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6C9E0" w14:textId="77777777" w:rsidR="00115843" w:rsidRPr="005A7C0B" w:rsidRDefault="00115843" w:rsidP="0037308F">
      <w:pPr>
        <w:pStyle w:val="PartHeading-TOC"/>
      </w:pPr>
      <w:bookmarkStart w:id="1" w:name="_Toc133228799"/>
      <w:r w:rsidRPr="005A7C0B">
        <w:t>D</w:t>
      </w:r>
      <w:bookmarkStart w:id="2" w:name="_GoBack"/>
      <w:bookmarkEnd w:id="2"/>
      <w:r w:rsidRPr="005A7C0B">
        <w:t xml:space="preserve">epartment of </w:t>
      </w:r>
      <w:r>
        <w:t>Infrastructure, Transport, Regional Development, Communications and the Arts</w:t>
      </w:r>
      <w:bookmarkEnd w:id="1"/>
    </w:p>
    <w:p w14:paraId="27AB6B45" w14:textId="77777777" w:rsidR="00115843" w:rsidRDefault="00115843" w:rsidP="00115843">
      <w:pPr>
        <w:pStyle w:val="PartHeading"/>
      </w:pPr>
    </w:p>
    <w:p w14:paraId="763F082F" w14:textId="6DBB4812" w:rsidR="00115843" w:rsidRDefault="00115843" w:rsidP="00267E75">
      <w:pPr>
        <w:pStyle w:val="PartHeading"/>
      </w:pPr>
      <w:r>
        <w:t>Entity resources and planned performance</w:t>
      </w:r>
    </w:p>
    <w:p w14:paraId="6B29F645" w14:textId="77777777" w:rsidR="00115843" w:rsidRDefault="00115843" w:rsidP="00115843">
      <w:pPr>
        <w:pStyle w:val="ContentsHeading"/>
        <w:sectPr w:rsidR="00115843" w:rsidSect="00FB0D02">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2835" w:right="2098" w:bottom="2466" w:left="2098" w:header="1531" w:footer="1531" w:gutter="0"/>
          <w:cols w:space="708"/>
          <w:vAlign w:val="center"/>
          <w:titlePg/>
          <w:docGrid w:linePitch="360"/>
        </w:sectPr>
      </w:pPr>
      <w:bookmarkStart w:id="5" w:name="_Toc190766150"/>
    </w:p>
    <w:p w14:paraId="43D9B75E" w14:textId="77777777" w:rsidR="00115843" w:rsidRPr="00E36F77" w:rsidRDefault="00115843" w:rsidP="00115843">
      <w:pPr>
        <w:pStyle w:val="ContentsHeading"/>
      </w:pPr>
      <w:r w:rsidRPr="00E36F77">
        <w:lastRenderedPageBreak/>
        <w:t xml:space="preserve">Department of </w:t>
      </w:r>
      <w:bookmarkEnd w:id="5"/>
      <w:r>
        <w:t>Infrastructure, Transport, Regional Development, Communications and the Arts</w:t>
      </w:r>
    </w:p>
    <w:p w14:paraId="10609B35" w14:textId="5D4053EB" w:rsidR="00ED5ABC" w:rsidRDefault="00115843">
      <w:pPr>
        <w:pStyle w:val="TOC1"/>
        <w:rPr>
          <w:rFonts w:asciiTheme="minorHAnsi" w:eastAsiaTheme="minorEastAsia" w:hAnsiTheme="minorHAnsi" w:cstheme="minorBidi"/>
          <w:b w:val="0"/>
          <w:caps w:val="0"/>
          <w:noProof/>
          <w:sz w:val="22"/>
          <w:szCs w:val="22"/>
        </w:rPr>
      </w:pPr>
      <w:r>
        <w:fldChar w:fldCharType="begin"/>
      </w:r>
      <w:r>
        <w:instrText xml:space="preserve"> TOC \h \z \t "Heading 2 - ITRDCA,1,Heading 3 - ITRDCA,2" </w:instrText>
      </w:r>
      <w:r>
        <w:fldChar w:fldCharType="separate"/>
      </w:r>
      <w:hyperlink w:anchor="_Toc117242342" w:history="1">
        <w:r w:rsidR="00ED5ABC" w:rsidRPr="00BF7199">
          <w:rPr>
            <w:rStyle w:val="Hyperlink"/>
            <w:noProof/>
          </w:rPr>
          <w:t>Section 1: Entity overview and resources</w:t>
        </w:r>
        <w:r w:rsidR="00ED5ABC">
          <w:rPr>
            <w:noProof/>
            <w:webHidden/>
          </w:rPr>
          <w:tab/>
        </w:r>
        <w:r w:rsidR="00ED5ABC">
          <w:rPr>
            <w:noProof/>
            <w:webHidden/>
          </w:rPr>
          <w:fldChar w:fldCharType="begin"/>
        </w:r>
        <w:r w:rsidR="00ED5ABC">
          <w:rPr>
            <w:noProof/>
            <w:webHidden/>
          </w:rPr>
          <w:instrText xml:space="preserve"> PAGEREF _Toc117242342 \h </w:instrText>
        </w:r>
        <w:r w:rsidR="00ED5ABC">
          <w:rPr>
            <w:noProof/>
            <w:webHidden/>
          </w:rPr>
        </w:r>
        <w:r w:rsidR="00ED5ABC">
          <w:rPr>
            <w:noProof/>
            <w:webHidden/>
          </w:rPr>
          <w:fldChar w:fldCharType="separate"/>
        </w:r>
        <w:r w:rsidR="006D5321">
          <w:rPr>
            <w:noProof/>
            <w:webHidden/>
          </w:rPr>
          <w:t>25</w:t>
        </w:r>
        <w:r w:rsidR="00ED5ABC">
          <w:rPr>
            <w:noProof/>
            <w:webHidden/>
          </w:rPr>
          <w:fldChar w:fldCharType="end"/>
        </w:r>
      </w:hyperlink>
    </w:p>
    <w:p w14:paraId="652F04E3" w14:textId="44628D0B" w:rsidR="00ED5ABC" w:rsidRDefault="00005586">
      <w:pPr>
        <w:pStyle w:val="TOC2"/>
        <w:tabs>
          <w:tab w:val="left" w:pos="800"/>
        </w:tabs>
        <w:rPr>
          <w:rFonts w:asciiTheme="minorHAnsi" w:eastAsiaTheme="minorEastAsia" w:hAnsiTheme="minorHAnsi" w:cstheme="minorBidi"/>
          <w:noProof/>
          <w:sz w:val="22"/>
          <w:szCs w:val="22"/>
        </w:rPr>
      </w:pPr>
      <w:hyperlink w:anchor="_Toc117242343" w:history="1">
        <w:r w:rsidR="00ED5ABC" w:rsidRPr="00BF7199">
          <w:rPr>
            <w:rStyle w:val="Hyperlink"/>
            <w:noProof/>
          </w:rPr>
          <w:t>1.1</w:t>
        </w:r>
        <w:r w:rsidR="00ED5ABC">
          <w:rPr>
            <w:rFonts w:asciiTheme="minorHAnsi" w:eastAsiaTheme="minorEastAsia" w:hAnsiTheme="minorHAnsi" w:cstheme="minorBidi"/>
            <w:noProof/>
            <w:sz w:val="22"/>
            <w:szCs w:val="22"/>
          </w:rPr>
          <w:tab/>
        </w:r>
        <w:r w:rsidR="00ED5ABC" w:rsidRPr="00BF7199">
          <w:rPr>
            <w:rStyle w:val="Hyperlink"/>
            <w:noProof/>
          </w:rPr>
          <w:t>Strategic direction statement</w:t>
        </w:r>
        <w:r w:rsidR="00ED5ABC">
          <w:rPr>
            <w:noProof/>
            <w:webHidden/>
          </w:rPr>
          <w:tab/>
        </w:r>
        <w:r w:rsidR="00ED5ABC">
          <w:rPr>
            <w:noProof/>
            <w:webHidden/>
          </w:rPr>
          <w:fldChar w:fldCharType="begin"/>
        </w:r>
        <w:r w:rsidR="00ED5ABC">
          <w:rPr>
            <w:noProof/>
            <w:webHidden/>
          </w:rPr>
          <w:instrText xml:space="preserve"> PAGEREF _Toc117242343 \h </w:instrText>
        </w:r>
        <w:r w:rsidR="00ED5ABC">
          <w:rPr>
            <w:noProof/>
            <w:webHidden/>
          </w:rPr>
        </w:r>
        <w:r w:rsidR="00ED5ABC">
          <w:rPr>
            <w:noProof/>
            <w:webHidden/>
          </w:rPr>
          <w:fldChar w:fldCharType="separate"/>
        </w:r>
        <w:r w:rsidR="006D5321">
          <w:rPr>
            <w:noProof/>
            <w:webHidden/>
          </w:rPr>
          <w:t>25</w:t>
        </w:r>
        <w:r w:rsidR="00ED5ABC">
          <w:rPr>
            <w:noProof/>
            <w:webHidden/>
          </w:rPr>
          <w:fldChar w:fldCharType="end"/>
        </w:r>
      </w:hyperlink>
    </w:p>
    <w:p w14:paraId="57DB60FD" w14:textId="3A691693" w:rsidR="00ED5ABC" w:rsidRDefault="00005586">
      <w:pPr>
        <w:pStyle w:val="TOC2"/>
        <w:tabs>
          <w:tab w:val="left" w:pos="800"/>
        </w:tabs>
        <w:rPr>
          <w:rFonts w:asciiTheme="minorHAnsi" w:eastAsiaTheme="minorEastAsia" w:hAnsiTheme="minorHAnsi" w:cstheme="minorBidi"/>
          <w:noProof/>
          <w:sz w:val="22"/>
          <w:szCs w:val="22"/>
        </w:rPr>
      </w:pPr>
      <w:hyperlink w:anchor="_Toc117242344" w:history="1">
        <w:r w:rsidR="00ED5ABC" w:rsidRPr="00BF7199">
          <w:rPr>
            <w:rStyle w:val="Hyperlink"/>
            <w:noProof/>
          </w:rPr>
          <w:t>1.2</w:t>
        </w:r>
        <w:r w:rsidR="00ED5ABC">
          <w:rPr>
            <w:rFonts w:asciiTheme="minorHAnsi" w:eastAsiaTheme="minorEastAsia" w:hAnsiTheme="minorHAnsi" w:cstheme="minorBidi"/>
            <w:noProof/>
            <w:sz w:val="22"/>
            <w:szCs w:val="22"/>
          </w:rPr>
          <w:tab/>
        </w:r>
        <w:r w:rsidR="00ED5ABC" w:rsidRPr="00BF7199">
          <w:rPr>
            <w:rStyle w:val="Hyperlink"/>
            <w:noProof/>
          </w:rPr>
          <w:t>Entity resource statement</w:t>
        </w:r>
        <w:r w:rsidR="00ED5ABC">
          <w:rPr>
            <w:noProof/>
            <w:webHidden/>
          </w:rPr>
          <w:tab/>
        </w:r>
        <w:r w:rsidR="00ED5ABC">
          <w:rPr>
            <w:noProof/>
            <w:webHidden/>
          </w:rPr>
          <w:fldChar w:fldCharType="begin"/>
        </w:r>
        <w:r w:rsidR="00ED5ABC">
          <w:rPr>
            <w:noProof/>
            <w:webHidden/>
          </w:rPr>
          <w:instrText xml:space="preserve"> PAGEREF _Toc117242344 \h </w:instrText>
        </w:r>
        <w:r w:rsidR="00ED5ABC">
          <w:rPr>
            <w:noProof/>
            <w:webHidden/>
          </w:rPr>
        </w:r>
        <w:r w:rsidR="00ED5ABC">
          <w:rPr>
            <w:noProof/>
            <w:webHidden/>
          </w:rPr>
          <w:fldChar w:fldCharType="separate"/>
        </w:r>
        <w:r w:rsidR="006D5321">
          <w:rPr>
            <w:noProof/>
            <w:webHidden/>
          </w:rPr>
          <w:t>28</w:t>
        </w:r>
        <w:r w:rsidR="00ED5ABC">
          <w:rPr>
            <w:noProof/>
            <w:webHidden/>
          </w:rPr>
          <w:fldChar w:fldCharType="end"/>
        </w:r>
      </w:hyperlink>
    </w:p>
    <w:p w14:paraId="1624B2AA" w14:textId="7D4D3D32" w:rsidR="00ED5ABC" w:rsidRDefault="00005586">
      <w:pPr>
        <w:pStyle w:val="TOC2"/>
        <w:tabs>
          <w:tab w:val="left" w:pos="800"/>
        </w:tabs>
        <w:rPr>
          <w:rFonts w:asciiTheme="minorHAnsi" w:eastAsiaTheme="minorEastAsia" w:hAnsiTheme="minorHAnsi" w:cstheme="minorBidi"/>
          <w:noProof/>
          <w:sz w:val="22"/>
          <w:szCs w:val="22"/>
        </w:rPr>
      </w:pPr>
      <w:hyperlink w:anchor="_Toc117242345" w:history="1">
        <w:r w:rsidR="00ED5ABC" w:rsidRPr="00BF7199">
          <w:rPr>
            <w:rStyle w:val="Hyperlink"/>
            <w:noProof/>
          </w:rPr>
          <w:t>1.3</w:t>
        </w:r>
        <w:r w:rsidR="00ED5ABC">
          <w:rPr>
            <w:rFonts w:asciiTheme="minorHAnsi" w:eastAsiaTheme="minorEastAsia" w:hAnsiTheme="minorHAnsi" w:cstheme="minorBidi"/>
            <w:noProof/>
            <w:sz w:val="22"/>
            <w:szCs w:val="22"/>
          </w:rPr>
          <w:tab/>
        </w:r>
        <w:r w:rsidR="00ED5ABC" w:rsidRPr="00BF7199">
          <w:rPr>
            <w:rStyle w:val="Hyperlink"/>
            <w:noProof/>
          </w:rPr>
          <w:t>Budget measures</w:t>
        </w:r>
        <w:r w:rsidR="00ED5ABC">
          <w:rPr>
            <w:noProof/>
            <w:webHidden/>
          </w:rPr>
          <w:tab/>
        </w:r>
        <w:r w:rsidR="00ED5ABC">
          <w:rPr>
            <w:noProof/>
            <w:webHidden/>
          </w:rPr>
          <w:fldChar w:fldCharType="begin"/>
        </w:r>
        <w:r w:rsidR="00ED5ABC">
          <w:rPr>
            <w:noProof/>
            <w:webHidden/>
          </w:rPr>
          <w:instrText xml:space="preserve"> PAGEREF _Toc117242345 \h </w:instrText>
        </w:r>
        <w:r w:rsidR="00ED5ABC">
          <w:rPr>
            <w:noProof/>
            <w:webHidden/>
          </w:rPr>
        </w:r>
        <w:r w:rsidR="00ED5ABC">
          <w:rPr>
            <w:noProof/>
            <w:webHidden/>
          </w:rPr>
          <w:fldChar w:fldCharType="separate"/>
        </w:r>
        <w:r w:rsidR="006D5321">
          <w:rPr>
            <w:noProof/>
            <w:webHidden/>
          </w:rPr>
          <w:t>33</w:t>
        </w:r>
        <w:r w:rsidR="00ED5ABC">
          <w:rPr>
            <w:noProof/>
            <w:webHidden/>
          </w:rPr>
          <w:fldChar w:fldCharType="end"/>
        </w:r>
      </w:hyperlink>
    </w:p>
    <w:p w14:paraId="18E6D4B0" w14:textId="66701895" w:rsidR="00ED5ABC" w:rsidRDefault="00005586">
      <w:pPr>
        <w:pStyle w:val="TOC1"/>
        <w:rPr>
          <w:rFonts w:asciiTheme="minorHAnsi" w:eastAsiaTheme="minorEastAsia" w:hAnsiTheme="minorHAnsi" w:cstheme="minorBidi"/>
          <w:b w:val="0"/>
          <w:caps w:val="0"/>
          <w:noProof/>
          <w:sz w:val="22"/>
          <w:szCs w:val="22"/>
        </w:rPr>
      </w:pPr>
      <w:hyperlink w:anchor="_Toc117242346" w:history="1">
        <w:r w:rsidR="00ED5ABC" w:rsidRPr="00BF7199">
          <w:rPr>
            <w:rStyle w:val="Hyperlink"/>
            <w:noProof/>
          </w:rPr>
          <w:t>Section 2: Outcomes and planned performance</w:t>
        </w:r>
        <w:r w:rsidR="00ED5ABC">
          <w:rPr>
            <w:noProof/>
            <w:webHidden/>
          </w:rPr>
          <w:tab/>
        </w:r>
        <w:r w:rsidR="00ED5ABC">
          <w:rPr>
            <w:noProof/>
            <w:webHidden/>
          </w:rPr>
          <w:fldChar w:fldCharType="begin"/>
        </w:r>
        <w:r w:rsidR="00ED5ABC">
          <w:rPr>
            <w:noProof/>
            <w:webHidden/>
          </w:rPr>
          <w:instrText xml:space="preserve"> PAGEREF _Toc117242346 \h </w:instrText>
        </w:r>
        <w:r w:rsidR="00ED5ABC">
          <w:rPr>
            <w:noProof/>
            <w:webHidden/>
          </w:rPr>
        </w:r>
        <w:r w:rsidR="00ED5ABC">
          <w:rPr>
            <w:noProof/>
            <w:webHidden/>
          </w:rPr>
          <w:fldChar w:fldCharType="separate"/>
        </w:r>
        <w:r w:rsidR="006D5321">
          <w:rPr>
            <w:noProof/>
            <w:webHidden/>
          </w:rPr>
          <w:t>36</w:t>
        </w:r>
        <w:r w:rsidR="00ED5ABC">
          <w:rPr>
            <w:noProof/>
            <w:webHidden/>
          </w:rPr>
          <w:fldChar w:fldCharType="end"/>
        </w:r>
      </w:hyperlink>
    </w:p>
    <w:p w14:paraId="6A7A2EDD" w14:textId="4C899168" w:rsidR="00ED5ABC" w:rsidRDefault="00005586">
      <w:pPr>
        <w:pStyle w:val="TOC2"/>
        <w:tabs>
          <w:tab w:val="left" w:pos="800"/>
        </w:tabs>
        <w:rPr>
          <w:rFonts w:asciiTheme="minorHAnsi" w:eastAsiaTheme="minorEastAsia" w:hAnsiTheme="minorHAnsi" w:cstheme="minorBidi"/>
          <w:noProof/>
          <w:sz w:val="22"/>
          <w:szCs w:val="22"/>
        </w:rPr>
      </w:pPr>
      <w:hyperlink w:anchor="_Toc117242347" w:history="1">
        <w:r w:rsidR="00ED5ABC" w:rsidRPr="00BF7199">
          <w:rPr>
            <w:rStyle w:val="Hyperlink"/>
            <w:noProof/>
          </w:rPr>
          <w:t xml:space="preserve">2.1 </w:t>
        </w:r>
        <w:r w:rsidR="00ED5ABC">
          <w:rPr>
            <w:rFonts w:asciiTheme="minorHAnsi" w:eastAsiaTheme="minorEastAsia" w:hAnsiTheme="minorHAnsi" w:cstheme="minorBidi"/>
            <w:noProof/>
            <w:sz w:val="22"/>
            <w:szCs w:val="22"/>
          </w:rPr>
          <w:tab/>
        </w:r>
        <w:r w:rsidR="00ED5ABC" w:rsidRPr="00BF7199">
          <w:rPr>
            <w:rStyle w:val="Hyperlink"/>
            <w:noProof/>
          </w:rPr>
          <w:t>Budgeted expenses and performance for Outcome 1</w:t>
        </w:r>
        <w:r w:rsidR="00ED5ABC">
          <w:rPr>
            <w:noProof/>
            <w:webHidden/>
          </w:rPr>
          <w:tab/>
        </w:r>
        <w:r w:rsidR="00ED5ABC">
          <w:rPr>
            <w:noProof/>
            <w:webHidden/>
          </w:rPr>
          <w:fldChar w:fldCharType="begin"/>
        </w:r>
        <w:r w:rsidR="00ED5ABC">
          <w:rPr>
            <w:noProof/>
            <w:webHidden/>
          </w:rPr>
          <w:instrText xml:space="preserve"> PAGEREF _Toc117242347 \h </w:instrText>
        </w:r>
        <w:r w:rsidR="00ED5ABC">
          <w:rPr>
            <w:noProof/>
            <w:webHidden/>
          </w:rPr>
        </w:r>
        <w:r w:rsidR="00ED5ABC">
          <w:rPr>
            <w:noProof/>
            <w:webHidden/>
          </w:rPr>
          <w:fldChar w:fldCharType="separate"/>
        </w:r>
        <w:r w:rsidR="006D5321">
          <w:rPr>
            <w:noProof/>
            <w:webHidden/>
          </w:rPr>
          <w:t>37</w:t>
        </w:r>
        <w:r w:rsidR="00ED5ABC">
          <w:rPr>
            <w:noProof/>
            <w:webHidden/>
          </w:rPr>
          <w:fldChar w:fldCharType="end"/>
        </w:r>
      </w:hyperlink>
    </w:p>
    <w:p w14:paraId="6C64C6B3" w14:textId="02312663" w:rsidR="00ED5ABC" w:rsidRDefault="00005586">
      <w:pPr>
        <w:pStyle w:val="TOC2"/>
        <w:tabs>
          <w:tab w:val="left" w:pos="800"/>
        </w:tabs>
        <w:rPr>
          <w:rFonts w:asciiTheme="minorHAnsi" w:eastAsiaTheme="minorEastAsia" w:hAnsiTheme="minorHAnsi" w:cstheme="minorBidi"/>
          <w:noProof/>
          <w:sz w:val="22"/>
          <w:szCs w:val="22"/>
        </w:rPr>
      </w:pPr>
      <w:hyperlink w:anchor="_Toc117242348" w:history="1">
        <w:r w:rsidR="00ED5ABC" w:rsidRPr="00BF7199">
          <w:rPr>
            <w:rStyle w:val="Hyperlink"/>
            <w:noProof/>
          </w:rPr>
          <w:t xml:space="preserve">2.2 </w:t>
        </w:r>
        <w:r w:rsidR="00ED5ABC">
          <w:rPr>
            <w:rFonts w:asciiTheme="minorHAnsi" w:eastAsiaTheme="minorEastAsia" w:hAnsiTheme="minorHAnsi" w:cstheme="minorBidi"/>
            <w:noProof/>
            <w:sz w:val="22"/>
            <w:szCs w:val="22"/>
          </w:rPr>
          <w:tab/>
        </w:r>
        <w:r w:rsidR="00ED5ABC" w:rsidRPr="00BF7199">
          <w:rPr>
            <w:rStyle w:val="Hyperlink"/>
            <w:noProof/>
          </w:rPr>
          <w:t>Budgeted expenses and performance for Outcome 2</w:t>
        </w:r>
        <w:r w:rsidR="00ED5ABC">
          <w:rPr>
            <w:noProof/>
            <w:webHidden/>
          </w:rPr>
          <w:tab/>
        </w:r>
        <w:r w:rsidR="00ED5ABC">
          <w:rPr>
            <w:noProof/>
            <w:webHidden/>
          </w:rPr>
          <w:fldChar w:fldCharType="begin"/>
        </w:r>
        <w:r w:rsidR="00ED5ABC">
          <w:rPr>
            <w:noProof/>
            <w:webHidden/>
          </w:rPr>
          <w:instrText xml:space="preserve"> PAGEREF _Toc117242348 \h </w:instrText>
        </w:r>
        <w:r w:rsidR="00ED5ABC">
          <w:rPr>
            <w:noProof/>
            <w:webHidden/>
          </w:rPr>
        </w:r>
        <w:r w:rsidR="00ED5ABC">
          <w:rPr>
            <w:noProof/>
            <w:webHidden/>
          </w:rPr>
          <w:fldChar w:fldCharType="separate"/>
        </w:r>
        <w:r w:rsidR="006D5321">
          <w:rPr>
            <w:noProof/>
            <w:webHidden/>
          </w:rPr>
          <w:t>42</w:t>
        </w:r>
        <w:r w:rsidR="00ED5ABC">
          <w:rPr>
            <w:noProof/>
            <w:webHidden/>
          </w:rPr>
          <w:fldChar w:fldCharType="end"/>
        </w:r>
      </w:hyperlink>
    </w:p>
    <w:p w14:paraId="7127A8E0" w14:textId="685841DC" w:rsidR="00ED5ABC" w:rsidRDefault="00005586">
      <w:pPr>
        <w:pStyle w:val="TOC2"/>
        <w:tabs>
          <w:tab w:val="left" w:pos="800"/>
        </w:tabs>
        <w:rPr>
          <w:rFonts w:asciiTheme="minorHAnsi" w:eastAsiaTheme="minorEastAsia" w:hAnsiTheme="minorHAnsi" w:cstheme="minorBidi"/>
          <w:noProof/>
          <w:sz w:val="22"/>
          <w:szCs w:val="22"/>
        </w:rPr>
      </w:pPr>
      <w:hyperlink w:anchor="_Toc117242349" w:history="1">
        <w:r w:rsidR="00ED5ABC" w:rsidRPr="00BF7199">
          <w:rPr>
            <w:rStyle w:val="Hyperlink"/>
            <w:noProof/>
          </w:rPr>
          <w:t xml:space="preserve">2.3 </w:t>
        </w:r>
        <w:r w:rsidR="00ED5ABC">
          <w:rPr>
            <w:rFonts w:asciiTheme="minorHAnsi" w:eastAsiaTheme="minorEastAsia" w:hAnsiTheme="minorHAnsi" w:cstheme="minorBidi"/>
            <w:noProof/>
            <w:sz w:val="22"/>
            <w:szCs w:val="22"/>
          </w:rPr>
          <w:tab/>
        </w:r>
        <w:r w:rsidR="00ED5ABC" w:rsidRPr="00BF7199">
          <w:rPr>
            <w:rStyle w:val="Hyperlink"/>
            <w:noProof/>
          </w:rPr>
          <w:t>Budgeted expenses and performance for Outcome 3</w:t>
        </w:r>
        <w:r w:rsidR="00ED5ABC">
          <w:rPr>
            <w:noProof/>
            <w:webHidden/>
          </w:rPr>
          <w:tab/>
        </w:r>
        <w:r w:rsidR="00ED5ABC">
          <w:rPr>
            <w:noProof/>
            <w:webHidden/>
          </w:rPr>
          <w:fldChar w:fldCharType="begin"/>
        </w:r>
        <w:r w:rsidR="00ED5ABC">
          <w:rPr>
            <w:noProof/>
            <w:webHidden/>
          </w:rPr>
          <w:instrText xml:space="preserve"> PAGEREF _Toc117242349 \h </w:instrText>
        </w:r>
        <w:r w:rsidR="00ED5ABC">
          <w:rPr>
            <w:noProof/>
            <w:webHidden/>
          </w:rPr>
        </w:r>
        <w:r w:rsidR="00ED5ABC">
          <w:rPr>
            <w:noProof/>
            <w:webHidden/>
          </w:rPr>
          <w:fldChar w:fldCharType="separate"/>
        </w:r>
        <w:r w:rsidR="006D5321">
          <w:rPr>
            <w:noProof/>
            <w:webHidden/>
          </w:rPr>
          <w:t>59</w:t>
        </w:r>
        <w:r w:rsidR="00ED5ABC">
          <w:rPr>
            <w:noProof/>
            <w:webHidden/>
          </w:rPr>
          <w:fldChar w:fldCharType="end"/>
        </w:r>
      </w:hyperlink>
    </w:p>
    <w:p w14:paraId="1986904A" w14:textId="5CB559A8" w:rsidR="00ED5ABC" w:rsidRDefault="00005586">
      <w:pPr>
        <w:pStyle w:val="TOC2"/>
        <w:tabs>
          <w:tab w:val="left" w:pos="800"/>
        </w:tabs>
        <w:rPr>
          <w:rFonts w:asciiTheme="minorHAnsi" w:eastAsiaTheme="minorEastAsia" w:hAnsiTheme="minorHAnsi" w:cstheme="minorBidi"/>
          <w:noProof/>
          <w:sz w:val="22"/>
          <w:szCs w:val="22"/>
        </w:rPr>
      </w:pPr>
      <w:hyperlink w:anchor="_Toc117242350" w:history="1">
        <w:r w:rsidR="00ED5ABC" w:rsidRPr="00BF7199">
          <w:rPr>
            <w:rStyle w:val="Hyperlink"/>
            <w:noProof/>
          </w:rPr>
          <w:t xml:space="preserve">2.4 </w:t>
        </w:r>
        <w:r w:rsidR="00ED5ABC">
          <w:rPr>
            <w:rFonts w:asciiTheme="minorHAnsi" w:eastAsiaTheme="minorEastAsia" w:hAnsiTheme="minorHAnsi" w:cstheme="minorBidi"/>
            <w:noProof/>
            <w:sz w:val="22"/>
            <w:szCs w:val="22"/>
          </w:rPr>
          <w:tab/>
        </w:r>
        <w:r w:rsidR="00ED5ABC" w:rsidRPr="00BF7199">
          <w:rPr>
            <w:rStyle w:val="Hyperlink"/>
            <w:noProof/>
          </w:rPr>
          <w:t>Budgeted expenses and performance for Outcome 4</w:t>
        </w:r>
        <w:r w:rsidR="00ED5ABC">
          <w:rPr>
            <w:noProof/>
            <w:webHidden/>
          </w:rPr>
          <w:tab/>
        </w:r>
        <w:r w:rsidR="00ED5ABC">
          <w:rPr>
            <w:noProof/>
            <w:webHidden/>
          </w:rPr>
          <w:fldChar w:fldCharType="begin"/>
        </w:r>
        <w:r w:rsidR="00ED5ABC">
          <w:rPr>
            <w:noProof/>
            <w:webHidden/>
          </w:rPr>
          <w:instrText xml:space="preserve"> PAGEREF _Toc117242350 \h </w:instrText>
        </w:r>
        <w:r w:rsidR="00ED5ABC">
          <w:rPr>
            <w:noProof/>
            <w:webHidden/>
          </w:rPr>
        </w:r>
        <w:r w:rsidR="00ED5ABC">
          <w:rPr>
            <w:noProof/>
            <w:webHidden/>
          </w:rPr>
          <w:fldChar w:fldCharType="separate"/>
        </w:r>
        <w:r w:rsidR="006D5321">
          <w:rPr>
            <w:noProof/>
            <w:webHidden/>
          </w:rPr>
          <w:t>69</w:t>
        </w:r>
        <w:r w:rsidR="00ED5ABC">
          <w:rPr>
            <w:noProof/>
            <w:webHidden/>
          </w:rPr>
          <w:fldChar w:fldCharType="end"/>
        </w:r>
      </w:hyperlink>
    </w:p>
    <w:p w14:paraId="5A5A248C" w14:textId="32AC5828" w:rsidR="00ED5ABC" w:rsidRDefault="00005586">
      <w:pPr>
        <w:pStyle w:val="TOC2"/>
        <w:tabs>
          <w:tab w:val="left" w:pos="800"/>
        </w:tabs>
        <w:rPr>
          <w:rFonts w:asciiTheme="minorHAnsi" w:eastAsiaTheme="minorEastAsia" w:hAnsiTheme="minorHAnsi" w:cstheme="minorBidi"/>
          <w:noProof/>
          <w:sz w:val="22"/>
          <w:szCs w:val="22"/>
        </w:rPr>
      </w:pPr>
      <w:hyperlink w:anchor="_Toc117242351" w:history="1">
        <w:r w:rsidR="00ED5ABC" w:rsidRPr="00BF7199">
          <w:rPr>
            <w:rStyle w:val="Hyperlink"/>
            <w:noProof/>
          </w:rPr>
          <w:t xml:space="preserve">2.5 </w:t>
        </w:r>
        <w:r w:rsidR="00ED5ABC">
          <w:rPr>
            <w:rFonts w:asciiTheme="minorHAnsi" w:eastAsiaTheme="minorEastAsia" w:hAnsiTheme="minorHAnsi" w:cstheme="minorBidi"/>
            <w:noProof/>
            <w:sz w:val="22"/>
            <w:szCs w:val="22"/>
          </w:rPr>
          <w:tab/>
        </w:r>
        <w:r w:rsidR="00ED5ABC" w:rsidRPr="00BF7199">
          <w:rPr>
            <w:rStyle w:val="Hyperlink"/>
            <w:noProof/>
          </w:rPr>
          <w:t>Budgeted expenses and performance for Outcome 5</w:t>
        </w:r>
        <w:r w:rsidR="00ED5ABC">
          <w:rPr>
            <w:noProof/>
            <w:webHidden/>
          </w:rPr>
          <w:tab/>
        </w:r>
        <w:r w:rsidR="00ED5ABC">
          <w:rPr>
            <w:noProof/>
            <w:webHidden/>
          </w:rPr>
          <w:fldChar w:fldCharType="begin"/>
        </w:r>
        <w:r w:rsidR="00ED5ABC">
          <w:rPr>
            <w:noProof/>
            <w:webHidden/>
          </w:rPr>
          <w:instrText xml:space="preserve"> PAGEREF _Toc117242351 \h </w:instrText>
        </w:r>
        <w:r w:rsidR="00ED5ABC">
          <w:rPr>
            <w:noProof/>
            <w:webHidden/>
          </w:rPr>
        </w:r>
        <w:r w:rsidR="00ED5ABC">
          <w:rPr>
            <w:noProof/>
            <w:webHidden/>
          </w:rPr>
          <w:fldChar w:fldCharType="separate"/>
        </w:r>
        <w:r w:rsidR="006D5321">
          <w:rPr>
            <w:noProof/>
            <w:webHidden/>
          </w:rPr>
          <w:t>74</w:t>
        </w:r>
        <w:r w:rsidR="00ED5ABC">
          <w:rPr>
            <w:noProof/>
            <w:webHidden/>
          </w:rPr>
          <w:fldChar w:fldCharType="end"/>
        </w:r>
      </w:hyperlink>
    </w:p>
    <w:p w14:paraId="4F38FB81" w14:textId="69F68D92" w:rsidR="00ED5ABC" w:rsidRDefault="00005586">
      <w:pPr>
        <w:pStyle w:val="TOC2"/>
        <w:tabs>
          <w:tab w:val="left" w:pos="800"/>
        </w:tabs>
        <w:rPr>
          <w:rFonts w:asciiTheme="minorHAnsi" w:eastAsiaTheme="minorEastAsia" w:hAnsiTheme="minorHAnsi" w:cstheme="minorBidi"/>
          <w:noProof/>
          <w:sz w:val="22"/>
          <w:szCs w:val="22"/>
        </w:rPr>
      </w:pPr>
      <w:hyperlink w:anchor="_Toc117242352" w:history="1">
        <w:r w:rsidR="00ED5ABC" w:rsidRPr="00BF7199">
          <w:rPr>
            <w:rStyle w:val="Hyperlink"/>
            <w:noProof/>
          </w:rPr>
          <w:t xml:space="preserve">2.6 </w:t>
        </w:r>
        <w:r w:rsidR="00ED5ABC">
          <w:rPr>
            <w:rFonts w:asciiTheme="minorHAnsi" w:eastAsiaTheme="minorEastAsia" w:hAnsiTheme="minorHAnsi" w:cstheme="minorBidi"/>
            <w:noProof/>
            <w:sz w:val="22"/>
            <w:szCs w:val="22"/>
          </w:rPr>
          <w:tab/>
        </w:r>
        <w:r w:rsidR="00ED5ABC" w:rsidRPr="00BF7199">
          <w:rPr>
            <w:rStyle w:val="Hyperlink"/>
            <w:noProof/>
          </w:rPr>
          <w:t>Budgeted expenses and performance for Outcome 6</w:t>
        </w:r>
        <w:r w:rsidR="00ED5ABC">
          <w:rPr>
            <w:noProof/>
            <w:webHidden/>
          </w:rPr>
          <w:tab/>
        </w:r>
        <w:r w:rsidR="00ED5ABC">
          <w:rPr>
            <w:noProof/>
            <w:webHidden/>
          </w:rPr>
          <w:fldChar w:fldCharType="begin"/>
        </w:r>
        <w:r w:rsidR="00ED5ABC">
          <w:rPr>
            <w:noProof/>
            <w:webHidden/>
          </w:rPr>
          <w:instrText xml:space="preserve"> PAGEREF _Toc117242352 \h </w:instrText>
        </w:r>
        <w:r w:rsidR="00ED5ABC">
          <w:rPr>
            <w:noProof/>
            <w:webHidden/>
          </w:rPr>
        </w:r>
        <w:r w:rsidR="00ED5ABC">
          <w:rPr>
            <w:noProof/>
            <w:webHidden/>
          </w:rPr>
          <w:fldChar w:fldCharType="separate"/>
        </w:r>
        <w:r w:rsidR="006D5321">
          <w:rPr>
            <w:noProof/>
            <w:webHidden/>
          </w:rPr>
          <w:t>83</w:t>
        </w:r>
        <w:r w:rsidR="00ED5ABC">
          <w:rPr>
            <w:noProof/>
            <w:webHidden/>
          </w:rPr>
          <w:fldChar w:fldCharType="end"/>
        </w:r>
      </w:hyperlink>
    </w:p>
    <w:p w14:paraId="58156C3D" w14:textId="0E853D54" w:rsidR="00ED5ABC" w:rsidRDefault="00005586">
      <w:pPr>
        <w:pStyle w:val="TOC1"/>
        <w:rPr>
          <w:rFonts w:asciiTheme="minorHAnsi" w:eastAsiaTheme="minorEastAsia" w:hAnsiTheme="minorHAnsi" w:cstheme="minorBidi"/>
          <w:b w:val="0"/>
          <w:caps w:val="0"/>
          <w:noProof/>
          <w:sz w:val="22"/>
          <w:szCs w:val="22"/>
        </w:rPr>
      </w:pPr>
      <w:hyperlink w:anchor="_Toc117242353" w:history="1">
        <w:r w:rsidR="00ED5ABC" w:rsidRPr="00BF7199">
          <w:rPr>
            <w:rStyle w:val="Hyperlink"/>
            <w:noProof/>
          </w:rPr>
          <w:t>Section 3: Budgeted financial statements</w:t>
        </w:r>
        <w:r w:rsidR="00ED5ABC">
          <w:rPr>
            <w:noProof/>
            <w:webHidden/>
          </w:rPr>
          <w:tab/>
        </w:r>
        <w:r w:rsidR="00ED5ABC">
          <w:rPr>
            <w:noProof/>
            <w:webHidden/>
          </w:rPr>
          <w:fldChar w:fldCharType="begin"/>
        </w:r>
        <w:r w:rsidR="00ED5ABC">
          <w:rPr>
            <w:noProof/>
            <w:webHidden/>
          </w:rPr>
          <w:instrText xml:space="preserve"> PAGEREF _Toc117242353 \h </w:instrText>
        </w:r>
        <w:r w:rsidR="00ED5ABC">
          <w:rPr>
            <w:noProof/>
            <w:webHidden/>
          </w:rPr>
        </w:r>
        <w:r w:rsidR="00ED5ABC">
          <w:rPr>
            <w:noProof/>
            <w:webHidden/>
          </w:rPr>
          <w:fldChar w:fldCharType="separate"/>
        </w:r>
        <w:r w:rsidR="006D5321">
          <w:rPr>
            <w:noProof/>
            <w:webHidden/>
          </w:rPr>
          <w:t>91</w:t>
        </w:r>
        <w:r w:rsidR="00ED5ABC">
          <w:rPr>
            <w:noProof/>
            <w:webHidden/>
          </w:rPr>
          <w:fldChar w:fldCharType="end"/>
        </w:r>
      </w:hyperlink>
    </w:p>
    <w:p w14:paraId="48E63AF9" w14:textId="7F118715" w:rsidR="00ED5ABC" w:rsidRDefault="00005586">
      <w:pPr>
        <w:pStyle w:val="TOC2"/>
        <w:tabs>
          <w:tab w:val="left" w:pos="800"/>
        </w:tabs>
        <w:rPr>
          <w:rFonts w:asciiTheme="minorHAnsi" w:eastAsiaTheme="minorEastAsia" w:hAnsiTheme="minorHAnsi" w:cstheme="minorBidi"/>
          <w:noProof/>
          <w:sz w:val="22"/>
          <w:szCs w:val="22"/>
        </w:rPr>
      </w:pPr>
      <w:hyperlink w:anchor="_Toc117242354" w:history="1">
        <w:r w:rsidR="00ED5ABC" w:rsidRPr="00BF7199">
          <w:rPr>
            <w:rStyle w:val="Hyperlink"/>
            <w:noProof/>
          </w:rPr>
          <w:t>3.1</w:t>
        </w:r>
        <w:r w:rsidR="00ED5ABC">
          <w:rPr>
            <w:rFonts w:asciiTheme="minorHAnsi" w:eastAsiaTheme="minorEastAsia" w:hAnsiTheme="minorHAnsi" w:cstheme="minorBidi"/>
            <w:noProof/>
            <w:sz w:val="22"/>
            <w:szCs w:val="22"/>
          </w:rPr>
          <w:tab/>
        </w:r>
        <w:r w:rsidR="00ED5ABC" w:rsidRPr="00BF7199">
          <w:rPr>
            <w:rStyle w:val="Hyperlink"/>
            <w:noProof/>
          </w:rPr>
          <w:t>Budgeted financial statements</w:t>
        </w:r>
        <w:r w:rsidR="00ED5ABC">
          <w:rPr>
            <w:noProof/>
            <w:webHidden/>
          </w:rPr>
          <w:tab/>
        </w:r>
        <w:r w:rsidR="00ED5ABC">
          <w:rPr>
            <w:noProof/>
            <w:webHidden/>
          </w:rPr>
          <w:fldChar w:fldCharType="begin"/>
        </w:r>
        <w:r w:rsidR="00ED5ABC">
          <w:rPr>
            <w:noProof/>
            <w:webHidden/>
          </w:rPr>
          <w:instrText xml:space="preserve"> PAGEREF _Toc117242354 \h </w:instrText>
        </w:r>
        <w:r w:rsidR="00ED5ABC">
          <w:rPr>
            <w:noProof/>
            <w:webHidden/>
          </w:rPr>
        </w:r>
        <w:r w:rsidR="00ED5ABC">
          <w:rPr>
            <w:noProof/>
            <w:webHidden/>
          </w:rPr>
          <w:fldChar w:fldCharType="separate"/>
        </w:r>
        <w:r w:rsidR="006D5321">
          <w:rPr>
            <w:noProof/>
            <w:webHidden/>
          </w:rPr>
          <w:t>91</w:t>
        </w:r>
        <w:r w:rsidR="00ED5ABC">
          <w:rPr>
            <w:noProof/>
            <w:webHidden/>
          </w:rPr>
          <w:fldChar w:fldCharType="end"/>
        </w:r>
      </w:hyperlink>
    </w:p>
    <w:p w14:paraId="437141FE" w14:textId="461B3480" w:rsidR="00ED5ABC" w:rsidRDefault="00005586">
      <w:pPr>
        <w:pStyle w:val="TOC2"/>
        <w:tabs>
          <w:tab w:val="left" w:pos="800"/>
        </w:tabs>
        <w:rPr>
          <w:rFonts w:asciiTheme="minorHAnsi" w:eastAsiaTheme="minorEastAsia" w:hAnsiTheme="minorHAnsi" w:cstheme="minorBidi"/>
          <w:noProof/>
          <w:sz w:val="22"/>
          <w:szCs w:val="22"/>
        </w:rPr>
      </w:pPr>
      <w:hyperlink w:anchor="_Toc117242355" w:history="1">
        <w:r w:rsidR="00ED5ABC" w:rsidRPr="00BF7199">
          <w:rPr>
            <w:rStyle w:val="Hyperlink"/>
            <w:noProof/>
            <w:lang w:val="x-none" w:eastAsia="x-none"/>
          </w:rPr>
          <w:t>3.2</w:t>
        </w:r>
        <w:r w:rsidR="00ED5ABC">
          <w:rPr>
            <w:rFonts w:asciiTheme="minorHAnsi" w:eastAsiaTheme="minorEastAsia" w:hAnsiTheme="minorHAnsi" w:cstheme="minorBidi"/>
            <w:noProof/>
            <w:sz w:val="22"/>
            <w:szCs w:val="22"/>
          </w:rPr>
          <w:tab/>
        </w:r>
        <w:r w:rsidR="00ED5ABC" w:rsidRPr="00BF7199">
          <w:rPr>
            <w:rStyle w:val="Hyperlink"/>
            <w:noProof/>
            <w:lang w:val="x-none" w:eastAsia="x-none"/>
          </w:rPr>
          <w:t>Budgeted financial statements tables</w:t>
        </w:r>
        <w:r w:rsidR="00ED5ABC">
          <w:rPr>
            <w:noProof/>
            <w:webHidden/>
          </w:rPr>
          <w:tab/>
        </w:r>
        <w:r w:rsidR="00ED5ABC">
          <w:rPr>
            <w:noProof/>
            <w:webHidden/>
          </w:rPr>
          <w:fldChar w:fldCharType="begin"/>
        </w:r>
        <w:r w:rsidR="00ED5ABC">
          <w:rPr>
            <w:noProof/>
            <w:webHidden/>
          </w:rPr>
          <w:instrText xml:space="preserve"> PAGEREF _Toc117242355 \h </w:instrText>
        </w:r>
        <w:r w:rsidR="00ED5ABC">
          <w:rPr>
            <w:noProof/>
            <w:webHidden/>
          </w:rPr>
        </w:r>
        <w:r w:rsidR="00ED5ABC">
          <w:rPr>
            <w:noProof/>
            <w:webHidden/>
          </w:rPr>
          <w:fldChar w:fldCharType="separate"/>
        </w:r>
        <w:r w:rsidR="006D5321">
          <w:rPr>
            <w:noProof/>
            <w:webHidden/>
          </w:rPr>
          <w:t>93</w:t>
        </w:r>
        <w:r w:rsidR="00ED5ABC">
          <w:rPr>
            <w:noProof/>
            <w:webHidden/>
          </w:rPr>
          <w:fldChar w:fldCharType="end"/>
        </w:r>
      </w:hyperlink>
    </w:p>
    <w:p w14:paraId="007749B0" w14:textId="1E327288" w:rsidR="00115843" w:rsidRDefault="00115843" w:rsidP="00115843">
      <w:pPr>
        <w:pStyle w:val="TOC1"/>
        <w:sectPr w:rsidR="00115843" w:rsidSect="00FB0D02">
          <w:headerReference w:type="first" r:id="rId20"/>
          <w:footerReference w:type="first" r:id="rId21"/>
          <w:type w:val="oddPage"/>
          <w:pgSz w:w="11906" w:h="16838" w:code="9"/>
          <w:pgMar w:top="2835" w:right="2098" w:bottom="2466" w:left="2098" w:header="1531" w:footer="1531" w:gutter="0"/>
          <w:cols w:space="708"/>
          <w:titlePg/>
          <w:docGrid w:linePitch="360"/>
        </w:sectPr>
      </w:pPr>
      <w:r>
        <w:fldChar w:fldCharType="end"/>
      </w:r>
    </w:p>
    <w:p w14:paraId="7B528DB2" w14:textId="7D374C76" w:rsidR="00115843" w:rsidRDefault="00115843" w:rsidP="00115843">
      <w:pPr>
        <w:pStyle w:val="Heading1"/>
      </w:pPr>
      <w:bookmarkStart w:id="6" w:name="_Toc65243502"/>
      <w:bookmarkStart w:id="7" w:name="_Toc117326636"/>
      <w:r>
        <w:lastRenderedPageBreak/>
        <w:t xml:space="preserve">Department of </w:t>
      </w:r>
      <w:bookmarkEnd w:id="6"/>
      <w:r>
        <w:t>Infrastructure, Transport, Regional Development, Communications and the Arts</w:t>
      </w:r>
      <w:bookmarkEnd w:id="7"/>
      <w:r>
        <w:t xml:space="preserve"> </w:t>
      </w:r>
    </w:p>
    <w:p w14:paraId="2912DEAD" w14:textId="55F3E67E" w:rsidR="00115843" w:rsidRPr="002C4D41" w:rsidRDefault="00115843" w:rsidP="00115843">
      <w:pPr>
        <w:pStyle w:val="Heading2-ITRDCA"/>
      </w:pPr>
      <w:bookmarkStart w:id="8" w:name="_Toc117242342"/>
      <w:r w:rsidRPr="002C4D41">
        <w:t xml:space="preserve">Section 1: Entity overview and </w:t>
      </w:r>
      <w:r>
        <w:t>reso</w:t>
      </w:r>
      <w:r w:rsidRPr="002C4D41">
        <w:t>urces</w:t>
      </w:r>
      <w:bookmarkEnd w:id="8"/>
    </w:p>
    <w:p w14:paraId="53F55F59" w14:textId="77777777" w:rsidR="00115843" w:rsidRDefault="00115843" w:rsidP="00883B0C">
      <w:pPr>
        <w:pStyle w:val="Heading3-ITRDCA"/>
        <w:spacing w:after="240"/>
      </w:pPr>
      <w:bookmarkStart w:id="9" w:name="_Toc117242343"/>
      <w:r>
        <w:t>1.1</w:t>
      </w:r>
      <w:r>
        <w:tab/>
        <w:t>Strategic direction statement</w:t>
      </w:r>
      <w:bookmarkEnd w:id="9"/>
    </w:p>
    <w:p w14:paraId="2ACF698D" w14:textId="1778F678" w:rsidR="003B1606" w:rsidRPr="00883B0C" w:rsidRDefault="003B1606" w:rsidP="003B1606">
      <w:pPr>
        <w:spacing w:before="120" w:after="120" w:line="240" w:lineRule="exact"/>
        <w:rPr>
          <w:rFonts w:eastAsia="Calibri"/>
        </w:rPr>
      </w:pPr>
      <w:bookmarkStart w:id="10" w:name="_Hlk117071139"/>
      <w:r w:rsidRPr="00883B0C">
        <w:rPr>
          <w:rFonts w:eastAsia="Calibri"/>
        </w:rPr>
        <w:t>The work of the Department of Infrastructure, Transport, Regional Development, Communications and the Arts touches the lives of every Australian, every day. The Department has a national footprint with our people working in Canberra and across all States and Territories. We have a truly national perspective in our vision to connect Australians, enrich our communities and empower our regions.</w:t>
      </w:r>
    </w:p>
    <w:p w14:paraId="72110E73" w14:textId="77777777" w:rsidR="003B1606" w:rsidRPr="00883B0C" w:rsidRDefault="003B1606" w:rsidP="00883B0C">
      <w:pPr>
        <w:spacing w:before="240" w:after="120" w:line="240" w:lineRule="exact"/>
      </w:pPr>
      <w:r w:rsidRPr="00883B0C">
        <w:t>The PB Statements showcase how we plan to deliver across one of the most diverse portfolios in the Australian Public Service. We are supporting the Australian Government’s reform and recovery agenda. We will deliver through respectful and meaningful engagement across all levels of government, working closely with our seven Ministers, 29 portfolio entities (from 1 July 2023), communities, and key industry stakeholders.</w:t>
      </w:r>
    </w:p>
    <w:p w14:paraId="136455E1" w14:textId="0264933F" w:rsidR="003B1606" w:rsidRPr="00883B0C" w:rsidRDefault="003B1606" w:rsidP="003B1606">
      <w:pPr>
        <w:spacing w:before="120" w:after="120" w:line="240" w:lineRule="exact"/>
        <w:rPr>
          <w:rFonts w:eastAsia="Calibri"/>
        </w:rPr>
      </w:pPr>
      <w:r w:rsidRPr="00883B0C">
        <w:rPr>
          <w:rFonts w:eastAsia="Calibri"/>
        </w:rPr>
        <w:t>Our nation building projects support economic and social development, disaster resilience and recovery, and create long-term productivity benefits for producers, businesses and communities. The Department’s work with each transport sector connects Australians to the world and each other. To set the scene for future growth and development we will deliver on the government’s commitments to</w:t>
      </w:r>
      <w:r w:rsidR="002D4336">
        <w:rPr>
          <w:rFonts w:eastAsia="Calibri"/>
        </w:rPr>
        <w:t xml:space="preserve"> the National Rail Action Plan, Heavy Vehicle Law Reform,</w:t>
      </w:r>
      <w:r w:rsidRPr="00883B0C">
        <w:rPr>
          <w:rFonts w:eastAsia="Calibri"/>
        </w:rPr>
        <w:t xml:space="preserve"> an Aviation White Paper and a Maritime Strategic Fleet.</w:t>
      </w:r>
    </w:p>
    <w:p w14:paraId="0B3F5535" w14:textId="1A11B4B8" w:rsidR="003B1606" w:rsidRPr="00883B0C" w:rsidRDefault="003B1606" w:rsidP="003B1606">
      <w:pPr>
        <w:spacing w:before="120" w:after="120" w:line="240" w:lineRule="exact"/>
        <w:rPr>
          <w:rFonts w:eastAsia="Calibri"/>
        </w:rPr>
      </w:pPr>
      <w:r w:rsidRPr="00883B0C">
        <w:rPr>
          <w:rFonts w:eastAsia="Calibri"/>
        </w:rPr>
        <w:t>Our portfolio will play a significant role in supporting the Government to reach its emissions reduction targets and achieve net zero, including reducing emissions in the transport</w:t>
      </w:r>
      <w:r w:rsidR="002D4336">
        <w:rPr>
          <w:rFonts w:eastAsia="Calibri"/>
        </w:rPr>
        <w:t xml:space="preserve"> and infrastructure</w:t>
      </w:r>
      <w:r w:rsidRPr="00883B0C">
        <w:rPr>
          <w:rFonts w:eastAsia="Calibri"/>
        </w:rPr>
        <w:t xml:space="preserve"> sector</w:t>
      </w:r>
      <w:r w:rsidR="002D4336">
        <w:rPr>
          <w:rFonts w:eastAsia="Calibri"/>
        </w:rPr>
        <w:t>s</w:t>
      </w:r>
      <w:r w:rsidRPr="00883B0C">
        <w:rPr>
          <w:rFonts w:eastAsia="Calibri"/>
        </w:rPr>
        <w:t xml:space="preserve">, increasing resilience of our </w:t>
      </w:r>
      <w:r w:rsidR="002D4336">
        <w:rPr>
          <w:rFonts w:eastAsia="Calibri"/>
        </w:rPr>
        <w:t xml:space="preserve">communities </w:t>
      </w:r>
      <w:r w:rsidRPr="00883B0C">
        <w:rPr>
          <w:rFonts w:eastAsia="Calibri"/>
        </w:rPr>
        <w:t xml:space="preserve">and supporting our regions in the transition from fossil fuels. We have supported the publication of the Government’s National Electric Vehicle Strategy (NEVS) that provides a comprehensive national framework for the widescale uptake of electric vehicles. The Strategy will guide future investment to increase electric vehicle uptake. The Minister for Infrastructure, Transport, Regional Development and Local Government has also released a consultation paper on the best way to implement a Fuel Efficiency Standard for new light vehicles. </w:t>
      </w:r>
    </w:p>
    <w:p w14:paraId="17B49C23" w14:textId="77777777" w:rsidR="003B1606" w:rsidRPr="00883B0C" w:rsidRDefault="003B1606" w:rsidP="003B1606">
      <w:pPr>
        <w:spacing w:before="120" w:after="120" w:line="240" w:lineRule="exact"/>
        <w:rPr>
          <w:rFonts w:eastAsia="Calibri"/>
        </w:rPr>
      </w:pPr>
      <w:r w:rsidRPr="00883B0C">
        <w:rPr>
          <w:rFonts w:eastAsia="Calibri"/>
        </w:rPr>
        <w:t xml:space="preserve">Our work in Australia’s cities, regions, and territories connects and empowers communities, improves productivity and liveability, and seeks to lift living standards. We will continue to develop, implement, and coordinate policies and programs that support sustainable economic development, and provide a foundation for resilient communities. This includes delivering the urban Precincts and Partnerships program and Thriving Suburbs program that will support priority community infrastructure in urban and suburban communities, complementing the regional Precincts and Partnerships and Growing Regions programs already announced by Government. We </w:t>
      </w:r>
      <w:r w:rsidRPr="00883B0C">
        <w:rPr>
          <w:rFonts w:eastAsia="Calibri"/>
        </w:rPr>
        <w:lastRenderedPageBreak/>
        <w:t>will continue to support strong governance frameworks for Australia’s territories, and deliver services to support those communities, working with state government partners. We will also support the Government’s Northern Australia agenda, including through refreshing the Northern Australia White Paper.</w:t>
      </w:r>
    </w:p>
    <w:p w14:paraId="06D6A1F1" w14:textId="745F3442" w:rsidR="003B1606" w:rsidRPr="00883B0C" w:rsidRDefault="003B1606" w:rsidP="003B1606">
      <w:pPr>
        <w:spacing w:before="120" w:after="120" w:line="240" w:lineRule="exact"/>
        <w:rPr>
          <w:rFonts w:eastAsia="Calibri"/>
        </w:rPr>
      </w:pPr>
      <w:r w:rsidRPr="00883B0C">
        <w:rPr>
          <w:rFonts w:eastAsia="Calibri"/>
        </w:rPr>
        <w:t>Communications service accessibility is essential to an inclusive and prosperous society. We will continue to work towards affordable and reliable communications and postal services across the country through appropriate regulatory reform as well as investment in digital connectivity in regional and rural Australia including overseeing improvements to NBN fixed wireless services. We support the Government with policies to keep Au</w:t>
      </w:r>
      <w:r w:rsidRPr="00773EFF">
        <w:rPr>
          <w:rFonts w:eastAsia="Calibri"/>
        </w:rPr>
        <w:t>stralians safe when using communications services</w:t>
      </w:r>
      <w:r w:rsidR="00773EFF" w:rsidRPr="00773EFF">
        <w:rPr>
          <w:rFonts w:eastAsia="Calibri"/>
        </w:rPr>
        <w:t xml:space="preserve"> and by taking appropriate steps to strengthen</w:t>
      </w:r>
      <w:r w:rsidR="00773EFF">
        <w:rPr>
          <w:rFonts w:eastAsia="Calibri"/>
        </w:rPr>
        <w:t xml:space="preserve"> </w:t>
      </w:r>
      <w:r w:rsidR="00383FD5">
        <w:rPr>
          <w:rFonts w:eastAsia="Calibri"/>
        </w:rPr>
        <w:t>on democracy by tackling misinformation and disinformation.</w:t>
      </w:r>
      <w:r w:rsidRPr="00883B0C">
        <w:rPr>
          <w:rFonts w:eastAsia="Calibri"/>
        </w:rPr>
        <w:t xml:space="preserve"> The availability of digital communication services continues to disrupt and challenge Australia’s media sector. We work with industry and Government to support sustainable Australian media services, including the National Broadcasters.</w:t>
      </w:r>
    </w:p>
    <w:p w14:paraId="6499837D" w14:textId="50D9378C" w:rsidR="00155F76" w:rsidRPr="00883B0C" w:rsidRDefault="003B1606" w:rsidP="00883B0C">
      <w:pPr>
        <w:spacing w:before="60" w:after="120" w:line="240" w:lineRule="exact"/>
        <w:rPr>
          <w:rFonts w:ascii="Arial" w:hAnsi="Arial" w:cs="Arial"/>
        </w:rPr>
      </w:pPr>
      <w:r w:rsidRPr="00883B0C">
        <w:rPr>
          <w:rFonts w:eastAsia="Calibri"/>
        </w:rPr>
        <w:t xml:space="preserve">We are </w:t>
      </w:r>
      <w:r w:rsidR="002D4336">
        <w:rPr>
          <w:rFonts w:eastAsia="Calibri"/>
        </w:rPr>
        <w:t>coordinating the delivery of</w:t>
      </w:r>
      <w:r w:rsidRPr="00883B0C">
        <w:rPr>
          <w:rFonts w:eastAsia="Calibri"/>
        </w:rPr>
        <w:t xml:space="preserve"> the </w:t>
      </w:r>
      <w:r w:rsidR="0095497F">
        <w:rPr>
          <w:rFonts w:eastAsia="Calibri"/>
        </w:rPr>
        <w:t xml:space="preserve">new </w:t>
      </w:r>
      <w:r w:rsidRPr="00883B0C">
        <w:rPr>
          <w:rFonts w:eastAsia="Calibri"/>
        </w:rPr>
        <w:t xml:space="preserve">National Cultural Policy - </w:t>
      </w:r>
      <w:r w:rsidRPr="0095497F">
        <w:rPr>
          <w:rFonts w:eastAsia="Calibri"/>
          <w:i/>
        </w:rPr>
        <w:t>Revive</w:t>
      </w:r>
      <w:r w:rsidRPr="00883B0C">
        <w:rPr>
          <w:rFonts w:eastAsia="Calibri"/>
        </w:rPr>
        <w:t xml:space="preserve"> that celebrates and invests in our unique arts industries and cultural institutions. </w:t>
      </w:r>
      <w:r w:rsidRPr="0095497F">
        <w:rPr>
          <w:rFonts w:eastAsia="Calibri"/>
          <w:i/>
        </w:rPr>
        <w:t>Revive</w:t>
      </w:r>
      <w:r w:rsidRPr="00883B0C">
        <w:rPr>
          <w:rFonts w:eastAsia="Calibri"/>
        </w:rPr>
        <w:t xml:space="preserve"> is a 5-year plan to renew and revive Australia's arts, entertainment and cultural sector through </w:t>
      </w:r>
      <w:r w:rsidR="0093286F">
        <w:rPr>
          <w:rFonts w:eastAsia="Calibri"/>
        </w:rPr>
        <w:t>suppo</w:t>
      </w:r>
      <w:r w:rsidR="0095497F">
        <w:rPr>
          <w:rFonts w:eastAsia="Calibri"/>
        </w:rPr>
        <w:t>rt</w:t>
      </w:r>
      <w:r w:rsidRPr="00883B0C">
        <w:rPr>
          <w:rFonts w:eastAsia="Calibri"/>
        </w:rPr>
        <w:t xml:space="preserve">ing new opportunities, reaching new audiences and telling stories in compelling and new ways. </w:t>
      </w:r>
      <w:r w:rsidRPr="0095497F">
        <w:rPr>
          <w:rFonts w:eastAsia="Calibri"/>
          <w:i/>
        </w:rPr>
        <w:t>Revive</w:t>
      </w:r>
      <w:r w:rsidRPr="00883B0C">
        <w:rPr>
          <w:rFonts w:eastAsia="Calibri"/>
        </w:rPr>
        <w:t xml:space="preserve"> puts First Nations</w:t>
      </w:r>
      <w:r w:rsidR="00C8547E">
        <w:rPr>
          <w:rFonts w:eastAsia="Calibri"/>
        </w:rPr>
        <w:t xml:space="preserve"> </w:t>
      </w:r>
      <w:r w:rsidR="00C77E24">
        <w:rPr>
          <w:rFonts w:eastAsia="Calibri"/>
        </w:rPr>
        <w:t>arts and culture</w:t>
      </w:r>
      <w:r w:rsidRPr="00883B0C">
        <w:rPr>
          <w:rFonts w:eastAsia="Calibri"/>
        </w:rPr>
        <w:t xml:space="preserve"> centre stage, including establishing a new First Nations-led body, introducing legislation to protect First Nations knowledge and cultural expressions, and developing a First Nations creative workforce strategy.</w:t>
      </w:r>
    </w:p>
    <w:p w14:paraId="022B319C" w14:textId="7BC3F3CA" w:rsidR="00574119" w:rsidRDefault="00883B0C" w:rsidP="00883B0C">
      <w:pPr>
        <w:spacing w:line="240" w:lineRule="exact"/>
      </w:pPr>
      <w:r w:rsidRPr="00883B0C">
        <w:t>Under the Closing the Gap National Agreement, we are supporting portfolio Ministers to achieve three Socio-Economic Targets</w:t>
      </w:r>
      <w:r w:rsidRPr="00883B0C">
        <w:rPr>
          <w:vertAlign w:val="superscript"/>
        </w:rPr>
        <w:t>(a)</w:t>
      </w:r>
      <w:r w:rsidRPr="00883B0C">
        <w:t xml:space="preserve"> (9b. Community Infrastructure, 16. Language and 17. Digital Inclusion) and we are implementing the four Priority Reforms that aim to change the way governments work with Aboriginal and Torres Strait Islander people, communities and organisations. To enable the </w:t>
      </w:r>
      <w:r w:rsidR="00E17F15">
        <w:t>Department</w:t>
      </w:r>
      <w:r w:rsidRPr="00883B0C">
        <w:t xml:space="preserve"> to deliver on our Closing the Gap targets and implement the Priority Reforms, we are progressing initiatives that align with the Department’s Innovate Reconciliation Action Plan (RAP) and Cultural Capability activities</w:t>
      </w:r>
      <w:r w:rsidR="00383FD5">
        <w:t>.</w:t>
      </w:r>
    </w:p>
    <w:p w14:paraId="3988C647" w14:textId="166A80B8" w:rsidR="00383FD5" w:rsidRPr="00383FD5" w:rsidRDefault="00256390" w:rsidP="00883B0C">
      <w:pPr>
        <w:spacing w:line="240" w:lineRule="exact"/>
        <w:rPr>
          <w:color w:val="000000" w:themeColor="text1"/>
        </w:rPr>
      </w:pPr>
      <w:r w:rsidRPr="00383FD5">
        <w:rPr>
          <w:color w:val="000000" w:themeColor="text1"/>
        </w:rPr>
        <w:t xml:space="preserve">We are supporting the </w:t>
      </w:r>
      <w:r>
        <w:rPr>
          <w:color w:val="000000" w:themeColor="text1"/>
        </w:rPr>
        <w:t>Government to undertake an Independent Strategic Review (the Review) of the Infrastructure Investment Program to inform future infrastructure investment, including focusing on nationally significant land transport projects. The Review will aim to ensure that federally funded infrastructure projects meet government policy objectives and deliver benefits for the Australian public.</w:t>
      </w:r>
    </w:p>
    <w:p w14:paraId="1F772F39" w14:textId="77777777" w:rsidR="00883B0C" w:rsidRPr="00883B0C" w:rsidRDefault="00883B0C" w:rsidP="00883B0C">
      <w:pPr>
        <w:spacing w:after="120"/>
        <w:rPr>
          <w:rFonts w:eastAsia="Calibri"/>
        </w:rPr>
      </w:pPr>
      <w:r w:rsidRPr="00883B0C">
        <w:rPr>
          <w:rFonts w:eastAsia="Calibri"/>
        </w:rPr>
        <w:t xml:space="preserve">We will monitor our progress, measure and deliver through our five purposes, which are: </w:t>
      </w:r>
    </w:p>
    <w:p w14:paraId="3A5B5169" w14:textId="77777777" w:rsidR="00883B0C" w:rsidRPr="00883B0C" w:rsidRDefault="00883B0C" w:rsidP="00977C28">
      <w:pPr>
        <w:numPr>
          <w:ilvl w:val="0"/>
          <w:numId w:val="103"/>
        </w:numPr>
        <w:spacing w:before="120" w:after="120" w:line="240" w:lineRule="auto"/>
        <w:rPr>
          <w:rFonts w:eastAsia="Calibri"/>
        </w:rPr>
      </w:pPr>
      <w:r w:rsidRPr="00883B0C">
        <w:rPr>
          <w:rFonts w:eastAsia="Calibri"/>
          <w:b/>
        </w:rPr>
        <w:t>Transport Connectivity</w:t>
      </w:r>
      <w:r w:rsidRPr="00883B0C">
        <w:rPr>
          <w:rFonts w:eastAsia="Calibri"/>
        </w:rPr>
        <w:br/>
        <w:t>Supporting an efficient, sustainable, competitive, accessible, safe and secure transport system through infrastructure investment</w:t>
      </w:r>
    </w:p>
    <w:p w14:paraId="5C4EE95B" w14:textId="77777777" w:rsidR="00883B0C" w:rsidRPr="00883B0C" w:rsidRDefault="00883B0C" w:rsidP="00977C28">
      <w:pPr>
        <w:numPr>
          <w:ilvl w:val="0"/>
          <w:numId w:val="103"/>
        </w:numPr>
        <w:spacing w:before="120" w:after="120" w:line="240" w:lineRule="auto"/>
        <w:ind w:left="357" w:hanging="357"/>
        <w:rPr>
          <w:rFonts w:eastAsia="Calibri"/>
        </w:rPr>
      </w:pPr>
      <w:r w:rsidRPr="00883B0C">
        <w:rPr>
          <w:rFonts w:eastAsia="Calibri"/>
          <w:b/>
        </w:rPr>
        <w:t>Regional development</w:t>
      </w:r>
      <w:r w:rsidRPr="00883B0C">
        <w:rPr>
          <w:rFonts w:eastAsia="Calibri"/>
        </w:rPr>
        <w:br/>
        <w:t>Improving living standards and facilitating economic growth in cities and regions</w:t>
      </w:r>
    </w:p>
    <w:p w14:paraId="5A5B3B72" w14:textId="77777777" w:rsidR="00883B0C" w:rsidRPr="00883B0C" w:rsidRDefault="00883B0C" w:rsidP="00977C28">
      <w:pPr>
        <w:numPr>
          <w:ilvl w:val="0"/>
          <w:numId w:val="103"/>
        </w:numPr>
        <w:spacing w:before="120" w:after="120" w:line="240" w:lineRule="auto"/>
        <w:ind w:left="357" w:hanging="357"/>
        <w:rPr>
          <w:rFonts w:eastAsia="Calibri"/>
        </w:rPr>
      </w:pPr>
      <w:r w:rsidRPr="00883B0C">
        <w:rPr>
          <w:rFonts w:eastAsia="Calibri"/>
          <w:b/>
        </w:rPr>
        <w:lastRenderedPageBreak/>
        <w:t>Territories</w:t>
      </w:r>
      <w:r w:rsidRPr="00883B0C">
        <w:rPr>
          <w:rFonts w:eastAsia="Calibri"/>
        </w:rPr>
        <w:br/>
        <w:t>Providing governance frameworks and services to support communities in the territories</w:t>
      </w:r>
    </w:p>
    <w:p w14:paraId="79047A20" w14:textId="77777777" w:rsidR="00883B0C" w:rsidRPr="00883B0C" w:rsidRDefault="00883B0C" w:rsidP="00977C28">
      <w:pPr>
        <w:numPr>
          <w:ilvl w:val="0"/>
          <w:numId w:val="103"/>
        </w:numPr>
        <w:spacing w:before="120" w:after="120" w:line="240" w:lineRule="auto"/>
        <w:ind w:left="357" w:hanging="357"/>
        <w:rPr>
          <w:rFonts w:eastAsia="Calibri"/>
        </w:rPr>
      </w:pPr>
      <w:r w:rsidRPr="00883B0C">
        <w:rPr>
          <w:rFonts w:eastAsia="Calibri"/>
          <w:b/>
        </w:rPr>
        <w:t>Communications Connectivity</w:t>
      </w:r>
      <w:r w:rsidRPr="00883B0C">
        <w:rPr>
          <w:rFonts w:eastAsia="Calibri"/>
        </w:rPr>
        <w:br/>
        <w:t>Enabling people in Australia to connect to effective, safe communications services. Enabling investment in communications technologies, for inclusiveness and sustainable economic growth</w:t>
      </w:r>
    </w:p>
    <w:p w14:paraId="3BCE052D" w14:textId="77777777" w:rsidR="00883B0C" w:rsidRPr="00883B0C" w:rsidRDefault="00883B0C" w:rsidP="00977C28">
      <w:pPr>
        <w:numPr>
          <w:ilvl w:val="0"/>
          <w:numId w:val="103"/>
        </w:numPr>
        <w:spacing w:before="120" w:after="120" w:line="240" w:lineRule="auto"/>
        <w:ind w:left="357" w:hanging="357"/>
        <w:rPr>
          <w:rFonts w:eastAsia="Calibri"/>
        </w:rPr>
      </w:pPr>
      <w:r w:rsidRPr="00883B0C">
        <w:rPr>
          <w:rFonts w:eastAsia="Calibri"/>
          <w:b/>
        </w:rPr>
        <w:t>Creativity and culture</w:t>
      </w:r>
      <w:r w:rsidRPr="00883B0C">
        <w:rPr>
          <w:rFonts w:eastAsia="Calibri"/>
        </w:rPr>
        <w:br/>
        <w:t>Supporting sustainable and inclusive creative and cultural sectors, and protecting and promoting Australian content and culture</w:t>
      </w:r>
    </w:p>
    <w:p w14:paraId="69A96A62" w14:textId="77777777" w:rsidR="00883B0C" w:rsidRPr="00883B0C" w:rsidRDefault="00883B0C" w:rsidP="00883B0C">
      <w:r w:rsidRPr="00883B0C">
        <w:t>We work with people across the Department and our portfolio entities to deliver our programs, projects and services in the major infrastructure, transport, communications and arts sectors, supporting our regions, cities and territories.</w:t>
      </w:r>
    </w:p>
    <w:p w14:paraId="2363260B" w14:textId="77777777" w:rsidR="00883B0C" w:rsidRPr="00883B0C" w:rsidRDefault="00883B0C" w:rsidP="00387550">
      <w:pPr>
        <w:spacing w:after="0"/>
      </w:pPr>
      <w:r w:rsidRPr="00883B0C">
        <w:t xml:space="preserve">For more information on our strategic direction and performance, please refer to our Corporate Plan, online at: </w:t>
      </w:r>
      <w:r w:rsidRPr="00883B0C">
        <w:rPr>
          <w:color w:val="000000" w:themeColor="text1"/>
          <w:u w:val="single"/>
        </w:rPr>
        <w:t>https://www.infrastructure.gov.au/department/about/corporate-plan</w:t>
      </w:r>
    </w:p>
    <w:p w14:paraId="123F7BC0" w14:textId="50D1C80D" w:rsidR="00883B0C" w:rsidRPr="00883B0C" w:rsidRDefault="00883B0C" w:rsidP="00977C28">
      <w:pPr>
        <w:pStyle w:val="ListParagraph"/>
        <w:numPr>
          <w:ilvl w:val="0"/>
          <w:numId w:val="232"/>
        </w:numPr>
        <w:spacing w:before="60"/>
        <w:ind w:left="426" w:hanging="426"/>
        <w:rPr>
          <w:rFonts w:ascii="Arial" w:hAnsi="Arial" w:cs="Arial"/>
          <w:color w:val="000000" w:themeColor="text1"/>
          <w:sz w:val="16"/>
          <w:szCs w:val="20"/>
          <w:u w:val="single"/>
        </w:rPr>
      </w:pPr>
      <w:r w:rsidRPr="00883B0C">
        <w:rPr>
          <w:rFonts w:ascii="Arial" w:hAnsi="Arial" w:cs="Arial"/>
          <w:sz w:val="16"/>
          <w:szCs w:val="20"/>
        </w:rPr>
        <w:t xml:space="preserve">Further information available at: </w:t>
      </w:r>
      <w:r w:rsidR="00A80BFB" w:rsidRPr="00387550">
        <w:rPr>
          <w:rFonts w:ascii="Arial" w:hAnsi="Arial" w:cs="Arial"/>
          <w:sz w:val="16"/>
          <w:szCs w:val="20"/>
          <w:u w:val="single"/>
        </w:rPr>
        <w:t>https://www.closingthegap.gov.au/national-agreement</w:t>
      </w:r>
      <w:r w:rsidR="00A80BFB">
        <w:rPr>
          <w:rFonts w:ascii="Arial" w:hAnsi="Arial" w:cs="Arial"/>
          <w:sz w:val="16"/>
          <w:szCs w:val="20"/>
        </w:rPr>
        <w:t>.</w:t>
      </w:r>
    </w:p>
    <w:bookmarkEnd w:id="10"/>
    <w:p w14:paraId="57AE6D8E" w14:textId="5F326479" w:rsidR="00115843" w:rsidRDefault="00115843" w:rsidP="00115843">
      <w:pPr>
        <w:pStyle w:val="Heading3-ITRDCA"/>
      </w:pPr>
      <w:r w:rsidRPr="0079797F">
        <w:br w:type="page"/>
      </w:r>
    </w:p>
    <w:p w14:paraId="59ADB4BB" w14:textId="77777777" w:rsidR="00115843" w:rsidRDefault="00115843" w:rsidP="00115843">
      <w:pPr>
        <w:pStyle w:val="Heading3-ITRDCA"/>
      </w:pPr>
      <w:bookmarkStart w:id="11" w:name="_Toc117242344"/>
      <w:r>
        <w:lastRenderedPageBreak/>
        <w:t>1.2</w:t>
      </w:r>
      <w:r>
        <w:tab/>
        <w:t>Entity resource statement</w:t>
      </w:r>
      <w:bookmarkEnd w:id="11"/>
    </w:p>
    <w:p w14:paraId="77FB4318" w14:textId="77777777" w:rsidR="00115843" w:rsidRDefault="00115843" w:rsidP="00115843">
      <w:r>
        <w:t>Table 1.1 shows the total funding from all sources available to the Department for its operations and to deliver programs and services on behalf of the Government.</w:t>
      </w:r>
    </w:p>
    <w:p w14:paraId="7D49F5C3" w14:textId="77777777" w:rsidR="00115843" w:rsidRDefault="00115843" w:rsidP="00115843">
      <w:r>
        <w:t>The table summarises how resources will be applied by outcome (government strategic policy objectives) and by administered (on behalf of the Government or the public) and departmental (for the Department’s operations) classification.</w:t>
      </w:r>
    </w:p>
    <w:p w14:paraId="19663865" w14:textId="6CB88113" w:rsidR="00115843" w:rsidRDefault="00115843" w:rsidP="00115843">
      <w:r>
        <w:t xml:space="preserve">For more detailed information on special accounts and special appropriations, please refer to the </w:t>
      </w:r>
      <w:r w:rsidRPr="00383FD5">
        <w:t>Budget Paper No. 4 – Agency Resourcing.</w:t>
      </w:r>
    </w:p>
    <w:p w14:paraId="018E4C98" w14:textId="3581C23F" w:rsidR="00115843" w:rsidRDefault="00115843" w:rsidP="00115843">
      <w:r>
        <w:t>Information in this table is presented on a resourcing (that is, appropriations/cash available) basis, whilst the ‘Budgeted expenses by Outcome’ tables in Section 2 and the financial statements in Section 3 are presented on an accrual basis.</w:t>
      </w:r>
    </w:p>
    <w:p w14:paraId="3DCC0A62" w14:textId="77777777" w:rsidR="00794270" w:rsidRPr="00794270" w:rsidRDefault="00794270" w:rsidP="00794270">
      <w:pPr>
        <w:rPr>
          <w:b/>
          <w:bCs/>
          <w:color w:val="000000"/>
        </w:rPr>
      </w:pPr>
      <w:r w:rsidRPr="00794270">
        <w:rPr>
          <w:b/>
          <w:bCs/>
          <w:color w:val="000000"/>
        </w:rPr>
        <w:t>Changes to indexation framework for various programs</w:t>
      </w:r>
    </w:p>
    <w:p w14:paraId="57B724C5" w14:textId="4394E987" w:rsidR="00794270" w:rsidRPr="00794270" w:rsidRDefault="00794270" w:rsidP="00794270">
      <w:pPr>
        <w:rPr>
          <w:color w:val="000000"/>
        </w:rPr>
      </w:pPr>
      <w:r w:rsidRPr="00794270">
        <w:rPr>
          <w:color w:val="000000"/>
        </w:rPr>
        <w:t xml:space="preserve">The indexation framework for programs indexed by Wage Cost Indices, including for government </w:t>
      </w:r>
      <w:r w:rsidRPr="00794270">
        <w:t>support</w:t>
      </w:r>
      <w:r w:rsidRPr="00794270">
        <w:rPr>
          <w:color w:val="000000"/>
        </w:rPr>
        <w:t xml:space="preserve">ed services, has been updated to better align with wages and prices </w:t>
      </w:r>
      <w:r w:rsidR="00F70365">
        <w:rPr>
          <w:color w:val="000000"/>
        </w:rPr>
        <w:t>movements.</w:t>
      </w:r>
      <w:r w:rsidRPr="00794270">
        <w:rPr>
          <w:color w:val="000000"/>
        </w:rPr>
        <w:t xml:space="preserve"> </w:t>
      </w:r>
    </w:p>
    <w:p w14:paraId="378C4554" w14:textId="27E26966" w:rsidR="00794270" w:rsidRPr="00794270" w:rsidRDefault="00794270" w:rsidP="00794270">
      <w:pPr>
        <w:rPr>
          <w:color w:val="000000"/>
        </w:rPr>
      </w:pPr>
      <w:r w:rsidRPr="00794270">
        <w:rPr>
          <w:color w:val="000000"/>
        </w:rPr>
        <w:t>Increased funding has been provided to the following programs:</w:t>
      </w:r>
    </w:p>
    <w:p w14:paraId="4FFBE45D" w14:textId="77777777" w:rsidR="00794270" w:rsidRPr="00794270" w:rsidRDefault="00794270" w:rsidP="00977C28">
      <w:pPr>
        <w:pStyle w:val="ListParagraph"/>
        <w:numPr>
          <w:ilvl w:val="0"/>
          <w:numId w:val="260"/>
        </w:numPr>
        <w:spacing w:after="0" w:line="252" w:lineRule="auto"/>
        <w:ind w:left="426" w:hanging="426"/>
        <w:rPr>
          <w:rFonts w:ascii="Book Antiqua" w:hAnsi="Book Antiqua"/>
          <w:color w:val="000000"/>
          <w:sz w:val="20"/>
          <w:szCs w:val="20"/>
        </w:rPr>
      </w:pPr>
      <w:r w:rsidRPr="00794270">
        <w:rPr>
          <w:rFonts w:ascii="Book Antiqua" w:hAnsi="Book Antiqua"/>
          <w:color w:val="000000"/>
          <w:sz w:val="20"/>
          <w:szCs w:val="20"/>
        </w:rPr>
        <w:t xml:space="preserve">Surface Transport </w:t>
      </w:r>
    </w:p>
    <w:p w14:paraId="0D749CE1" w14:textId="77777777" w:rsidR="00794270" w:rsidRPr="00794270" w:rsidRDefault="00794270" w:rsidP="00977C28">
      <w:pPr>
        <w:pStyle w:val="ListParagraph"/>
        <w:numPr>
          <w:ilvl w:val="0"/>
          <w:numId w:val="260"/>
        </w:numPr>
        <w:spacing w:after="0" w:line="252" w:lineRule="auto"/>
        <w:ind w:left="426" w:hanging="426"/>
        <w:rPr>
          <w:rFonts w:ascii="Book Antiqua" w:hAnsi="Book Antiqua"/>
          <w:color w:val="000000"/>
          <w:sz w:val="20"/>
          <w:szCs w:val="20"/>
        </w:rPr>
      </w:pPr>
      <w:r w:rsidRPr="00794270">
        <w:rPr>
          <w:rFonts w:ascii="Book Antiqua" w:hAnsi="Book Antiqua"/>
          <w:color w:val="000000"/>
          <w:sz w:val="20"/>
          <w:szCs w:val="20"/>
        </w:rPr>
        <w:t xml:space="preserve">Air Transport </w:t>
      </w:r>
    </w:p>
    <w:p w14:paraId="4DB31617" w14:textId="77777777" w:rsidR="00794270" w:rsidRPr="00794270" w:rsidRDefault="00794270" w:rsidP="00977C28">
      <w:pPr>
        <w:pStyle w:val="ListParagraph"/>
        <w:numPr>
          <w:ilvl w:val="0"/>
          <w:numId w:val="260"/>
        </w:numPr>
        <w:spacing w:after="0" w:line="252" w:lineRule="auto"/>
        <w:ind w:left="426" w:hanging="426"/>
        <w:rPr>
          <w:rFonts w:ascii="Book Antiqua" w:hAnsi="Book Antiqua"/>
          <w:color w:val="000000"/>
          <w:sz w:val="20"/>
          <w:szCs w:val="20"/>
        </w:rPr>
      </w:pPr>
      <w:r w:rsidRPr="00794270">
        <w:rPr>
          <w:rFonts w:ascii="Book Antiqua" w:hAnsi="Book Antiqua"/>
          <w:color w:val="000000"/>
          <w:sz w:val="20"/>
          <w:szCs w:val="20"/>
        </w:rPr>
        <w:t>Regional Development</w:t>
      </w:r>
    </w:p>
    <w:p w14:paraId="54EC9053" w14:textId="77777777" w:rsidR="00794270" w:rsidRPr="00794270" w:rsidRDefault="00794270" w:rsidP="00977C28">
      <w:pPr>
        <w:pStyle w:val="ListParagraph"/>
        <w:numPr>
          <w:ilvl w:val="0"/>
          <w:numId w:val="260"/>
        </w:numPr>
        <w:spacing w:after="0" w:line="252" w:lineRule="auto"/>
        <w:ind w:left="426" w:hanging="426"/>
        <w:rPr>
          <w:rFonts w:ascii="Book Antiqua" w:hAnsi="Book Antiqua"/>
          <w:sz w:val="20"/>
          <w:szCs w:val="20"/>
        </w:rPr>
      </w:pPr>
      <w:r w:rsidRPr="00794270">
        <w:rPr>
          <w:rFonts w:ascii="Book Antiqua" w:hAnsi="Book Antiqua"/>
          <w:color w:val="000000"/>
          <w:sz w:val="20"/>
          <w:szCs w:val="20"/>
        </w:rPr>
        <w:t xml:space="preserve">Digital Technologies and Communications Services </w:t>
      </w:r>
    </w:p>
    <w:p w14:paraId="4E05B032" w14:textId="3EDD9010" w:rsidR="00794270" w:rsidRPr="00794270" w:rsidRDefault="00794270" w:rsidP="00977C28">
      <w:pPr>
        <w:pStyle w:val="ListParagraph"/>
        <w:numPr>
          <w:ilvl w:val="0"/>
          <w:numId w:val="260"/>
        </w:numPr>
        <w:spacing w:after="360" w:line="252" w:lineRule="auto"/>
        <w:ind w:left="426" w:hanging="426"/>
        <w:rPr>
          <w:rFonts w:ascii="Book Antiqua" w:hAnsi="Book Antiqua"/>
          <w:sz w:val="20"/>
          <w:szCs w:val="20"/>
        </w:rPr>
      </w:pPr>
      <w:r w:rsidRPr="00794270">
        <w:rPr>
          <w:rFonts w:ascii="Book Antiqua" w:hAnsi="Book Antiqua"/>
          <w:color w:val="000000"/>
          <w:sz w:val="20"/>
          <w:szCs w:val="20"/>
        </w:rPr>
        <w:t>Arts and Cultural Development</w:t>
      </w:r>
    </w:p>
    <w:p w14:paraId="1D29ED60" w14:textId="77777777" w:rsidR="00D20486" w:rsidRDefault="00D20486">
      <w:pPr>
        <w:spacing w:after="0" w:line="240" w:lineRule="auto"/>
        <w:rPr>
          <w:rFonts w:ascii="Arial" w:hAnsi="Arial"/>
          <w:b/>
          <w:color w:val="000000"/>
          <w:lang w:val="x-none" w:eastAsia="x-none"/>
        </w:rPr>
      </w:pPr>
      <w:r>
        <w:br w:type="page"/>
      </w:r>
    </w:p>
    <w:p w14:paraId="4B1D04C9" w14:textId="3A9FBD32" w:rsidR="00115843" w:rsidRPr="00FE1091" w:rsidRDefault="00115843" w:rsidP="00115843">
      <w:pPr>
        <w:pStyle w:val="TableHeading"/>
        <w:rPr>
          <w:b w:val="0"/>
        </w:rPr>
      </w:pPr>
      <w:r w:rsidRPr="00D44150">
        <w:lastRenderedPageBreak/>
        <w:t xml:space="preserve">Table 1.1: </w:t>
      </w:r>
      <w:r>
        <w:t>Department of Infrastructure, Transport, Regional Development, Communications and the Arts</w:t>
      </w:r>
      <w:r w:rsidRPr="00D44150">
        <w:t xml:space="preserve"> resource statement</w:t>
      </w:r>
      <w:r>
        <w:t xml:space="preserve"> — </w:t>
      </w:r>
      <w:r w:rsidR="00E92200">
        <w:rPr>
          <w:rFonts w:cs="Arial"/>
        </w:rPr>
        <w:t>Budget estimates for 2023</w:t>
      </w:r>
      <w:r w:rsidR="00E92200">
        <w:rPr>
          <w:rFonts w:cs="Arial"/>
        </w:rPr>
        <w:noBreakHyphen/>
        <w:t>24 as at Budget May 2023</w:t>
      </w:r>
    </w:p>
    <w:tbl>
      <w:tblPr>
        <w:tblW w:w="5000" w:type="pct"/>
        <w:tblLook w:val="04A0" w:firstRow="1" w:lastRow="0" w:firstColumn="1" w:lastColumn="0" w:noHBand="0" w:noVBand="1"/>
      </w:tblPr>
      <w:tblGrid>
        <w:gridCol w:w="5342"/>
        <w:gridCol w:w="1184"/>
        <w:gridCol w:w="1184"/>
      </w:tblGrid>
      <w:tr w:rsidR="009D7805" w:rsidRPr="009D7805" w14:paraId="7B0E1B87" w14:textId="77777777" w:rsidTr="009D7805">
        <w:trPr>
          <w:trHeight w:val="204"/>
        </w:trPr>
        <w:tc>
          <w:tcPr>
            <w:tcW w:w="3464" w:type="pct"/>
            <w:tcBorders>
              <w:top w:val="single" w:sz="4" w:space="0" w:color="auto"/>
              <w:left w:val="nil"/>
              <w:bottom w:val="nil"/>
              <w:right w:val="nil"/>
            </w:tcBorders>
            <w:shd w:val="clear" w:color="000000" w:fill="FFFFFF"/>
            <w:vAlign w:val="bottom"/>
            <w:hideMark/>
          </w:tcPr>
          <w:p w14:paraId="3B8D2754" w14:textId="77777777" w:rsidR="009D7805" w:rsidRPr="009D7805" w:rsidRDefault="009D7805" w:rsidP="009D7805">
            <w:pPr>
              <w:spacing w:after="0" w:line="240" w:lineRule="auto"/>
              <w:rPr>
                <w:rFonts w:ascii="Arial" w:hAnsi="Arial" w:cs="Arial"/>
                <w:color w:val="000000"/>
                <w:sz w:val="16"/>
                <w:szCs w:val="16"/>
              </w:rPr>
            </w:pPr>
            <w:r w:rsidRPr="009D7805">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vAlign w:val="bottom"/>
            <w:hideMark/>
          </w:tcPr>
          <w:p w14:paraId="312AA41F" w14:textId="77777777" w:rsidR="009D7805" w:rsidRPr="009D7805" w:rsidRDefault="009D7805" w:rsidP="009D7805">
            <w:pPr>
              <w:spacing w:after="0" w:line="240" w:lineRule="auto"/>
              <w:jc w:val="right"/>
              <w:rPr>
                <w:rFonts w:ascii="Arial" w:hAnsi="Arial" w:cs="Arial"/>
                <w:color w:val="000000"/>
                <w:sz w:val="16"/>
                <w:szCs w:val="16"/>
              </w:rPr>
            </w:pPr>
            <w:r w:rsidRPr="009D7805">
              <w:rPr>
                <w:rFonts w:ascii="Arial" w:hAnsi="Arial" w:cs="Arial"/>
                <w:color w:val="000000"/>
                <w:sz w:val="16"/>
                <w:szCs w:val="16"/>
              </w:rPr>
              <w:t>2022-23 Estimated actual</w:t>
            </w:r>
            <w:r w:rsidRPr="009D7805">
              <w:rPr>
                <w:rFonts w:ascii="Arial" w:hAnsi="Arial" w:cs="Arial"/>
                <w:color w:val="000000"/>
                <w:sz w:val="16"/>
                <w:szCs w:val="16"/>
              </w:rPr>
              <w:br/>
              <w:t>$'000</w:t>
            </w:r>
          </w:p>
        </w:tc>
        <w:tc>
          <w:tcPr>
            <w:tcW w:w="768" w:type="pct"/>
            <w:tcBorders>
              <w:top w:val="single" w:sz="4" w:space="0" w:color="auto"/>
              <w:left w:val="nil"/>
              <w:bottom w:val="single" w:sz="4" w:space="0" w:color="auto"/>
              <w:right w:val="nil"/>
            </w:tcBorders>
            <w:shd w:val="clear" w:color="000000" w:fill="E6E6E6"/>
            <w:vAlign w:val="bottom"/>
            <w:hideMark/>
          </w:tcPr>
          <w:p w14:paraId="4BE71499" w14:textId="77777777" w:rsidR="009D7805" w:rsidRPr="009D7805" w:rsidRDefault="009D7805" w:rsidP="009D7805">
            <w:pPr>
              <w:spacing w:after="0" w:line="240" w:lineRule="auto"/>
              <w:jc w:val="right"/>
              <w:rPr>
                <w:rFonts w:ascii="Arial" w:hAnsi="Arial" w:cs="Arial"/>
                <w:color w:val="000000"/>
                <w:sz w:val="16"/>
                <w:szCs w:val="16"/>
              </w:rPr>
            </w:pPr>
            <w:r w:rsidRPr="009D7805">
              <w:rPr>
                <w:rFonts w:ascii="Arial" w:hAnsi="Arial" w:cs="Arial"/>
                <w:color w:val="000000"/>
                <w:sz w:val="16"/>
                <w:szCs w:val="16"/>
              </w:rPr>
              <w:t>2023-24 Estimate</w:t>
            </w:r>
            <w:r w:rsidRPr="009D7805">
              <w:rPr>
                <w:rFonts w:ascii="Arial" w:hAnsi="Arial" w:cs="Arial"/>
                <w:color w:val="000000"/>
                <w:sz w:val="16"/>
                <w:szCs w:val="16"/>
              </w:rPr>
              <w:br/>
            </w:r>
            <w:r w:rsidRPr="009D7805">
              <w:rPr>
                <w:rFonts w:ascii="Arial" w:hAnsi="Arial" w:cs="Arial"/>
                <w:color w:val="000000"/>
                <w:sz w:val="16"/>
                <w:szCs w:val="16"/>
              </w:rPr>
              <w:br/>
              <w:t>$'000</w:t>
            </w:r>
          </w:p>
        </w:tc>
      </w:tr>
      <w:tr w:rsidR="009D7805" w:rsidRPr="009D7805" w14:paraId="003F6019" w14:textId="77777777" w:rsidTr="009D7805">
        <w:trPr>
          <w:trHeight w:val="204"/>
        </w:trPr>
        <w:tc>
          <w:tcPr>
            <w:tcW w:w="3464" w:type="pct"/>
            <w:tcBorders>
              <w:top w:val="nil"/>
              <w:left w:val="nil"/>
              <w:bottom w:val="nil"/>
              <w:right w:val="nil"/>
            </w:tcBorders>
            <w:shd w:val="clear" w:color="000000" w:fill="FFFFFF"/>
            <w:vAlign w:val="bottom"/>
            <w:hideMark/>
          </w:tcPr>
          <w:p w14:paraId="67430419" w14:textId="77777777" w:rsidR="009D7805" w:rsidRPr="009D7805" w:rsidRDefault="009D7805" w:rsidP="009D7805">
            <w:pPr>
              <w:spacing w:after="0" w:line="240" w:lineRule="auto"/>
              <w:rPr>
                <w:rFonts w:ascii="Arial" w:hAnsi="Arial" w:cs="Arial"/>
                <w:b/>
                <w:bCs/>
                <w:color w:val="000000"/>
                <w:sz w:val="16"/>
                <w:szCs w:val="16"/>
              </w:rPr>
            </w:pPr>
            <w:r w:rsidRPr="009D7805">
              <w:rPr>
                <w:rFonts w:ascii="Arial" w:hAnsi="Arial" w:cs="Arial"/>
                <w:b/>
                <w:bCs/>
                <w:color w:val="000000"/>
                <w:sz w:val="16"/>
                <w:szCs w:val="16"/>
              </w:rPr>
              <w:t>Departmental</w:t>
            </w:r>
          </w:p>
        </w:tc>
        <w:tc>
          <w:tcPr>
            <w:tcW w:w="768" w:type="pct"/>
            <w:tcBorders>
              <w:top w:val="nil"/>
              <w:left w:val="nil"/>
              <w:bottom w:val="nil"/>
              <w:right w:val="nil"/>
            </w:tcBorders>
            <w:shd w:val="clear" w:color="000000" w:fill="FFFFFF"/>
            <w:vAlign w:val="bottom"/>
            <w:hideMark/>
          </w:tcPr>
          <w:p w14:paraId="11012F3E" w14:textId="4A211B0C" w:rsidR="009D7805" w:rsidRPr="009D7805" w:rsidRDefault="009D7805" w:rsidP="008700A4">
            <w:pPr>
              <w:spacing w:after="0" w:line="240" w:lineRule="auto"/>
              <w:jc w:val="right"/>
              <w:rPr>
                <w:rFonts w:ascii="Arial" w:hAnsi="Arial" w:cs="Arial"/>
                <w:color w:val="000000" w:themeColor="text1"/>
                <w:sz w:val="16"/>
                <w:szCs w:val="16"/>
              </w:rPr>
            </w:pPr>
          </w:p>
        </w:tc>
        <w:tc>
          <w:tcPr>
            <w:tcW w:w="768" w:type="pct"/>
            <w:tcBorders>
              <w:top w:val="nil"/>
              <w:left w:val="nil"/>
              <w:bottom w:val="nil"/>
              <w:right w:val="nil"/>
            </w:tcBorders>
            <w:shd w:val="clear" w:color="000000" w:fill="E6E6E6"/>
            <w:vAlign w:val="bottom"/>
            <w:hideMark/>
          </w:tcPr>
          <w:p w14:paraId="757E102C" w14:textId="73177A24" w:rsidR="009D7805" w:rsidRPr="009D7805" w:rsidRDefault="009D7805" w:rsidP="008700A4">
            <w:pPr>
              <w:spacing w:after="0" w:line="240" w:lineRule="auto"/>
              <w:jc w:val="right"/>
              <w:rPr>
                <w:rFonts w:ascii="Arial" w:hAnsi="Arial" w:cs="Arial"/>
                <w:color w:val="000000" w:themeColor="text1"/>
                <w:sz w:val="16"/>
                <w:szCs w:val="16"/>
              </w:rPr>
            </w:pPr>
          </w:p>
        </w:tc>
      </w:tr>
      <w:tr w:rsidR="009D7805" w:rsidRPr="009D7805" w14:paraId="2E9C5175" w14:textId="77777777" w:rsidTr="009D7805">
        <w:trPr>
          <w:trHeight w:val="204"/>
        </w:trPr>
        <w:tc>
          <w:tcPr>
            <w:tcW w:w="3464" w:type="pct"/>
            <w:tcBorders>
              <w:top w:val="nil"/>
              <w:left w:val="nil"/>
              <w:bottom w:val="nil"/>
              <w:right w:val="nil"/>
            </w:tcBorders>
            <w:shd w:val="clear" w:color="000000" w:fill="FFFFFF"/>
            <w:vAlign w:val="bottom"/>
            <w:hideMark/>
          </w:tcPr>
          <w:p w14:paraId="1A565927" w14:textId="6457D7E4" w:rsidR="009D7805" w:rsidRPr="009D7805" w:rsidRDefault="009D7805" w:rsidP="009D7805">
            <w:pPr>
              <w:spacing w:after="0" w:line="240" w:lineRule="auto"/>
              <w:rPr>
                <w:rFonts w:ascii="Arial" w:hAnsi="Arial" w:cs="Arial"/>
                <w:color w:val="000000"/>
                <w:sz w:val="16"/>
                <w:szCs w:val="16"/>
              </w:rPr>
            </w:pPr>
            <w:r w:rsidRPr="009D7805">
              <w:rPr>
                <w:rFonts w:ascii="Arial" w:hAnsi="Arial" w:cs="Arial"/>
                <w:color w:val="000000"/>
                <w:sz w:val="16"/>
                <w:szCs w:val="16"/>
              </w:rPr>
              <w:t>Annual appropriations - ordinary annual services</w:t>
            </w:r>
            <w:r w:rsidRPr="009D7805">
              <w:rPr>
                <w:rFonts w:ascii="Arial" w:hAnsi="Arial" w:cs="Arial"/>
                <w:color w:val="000000"/>
                <w:sz w:val="16"/>
                <w:szCs w:val="16"/>
                <w:vertAlign w:val="superscript"/>
              </w:rPr>
              <w:t>(a)</w:t>
            </w:r>
          </w:p>
        </w:tc>
        <w:tc>
          <w:tcPr>
            <w:tcW w:w="768" w:type="pct"/>
            <w:tcBorders>
              <w:top w:val="nil"/>
              <w:left w:val="nil"/>
              <w:bottom w:val="nil"/>
              <w:right w:val="nil"/>
            </w:tcBorders>
            <w:shd w:val="clear" w:color="000000" w:fill="FFFFFF"/>
            <w:vAlign w:val="bottom"/>
            <w:hideMark/>
          </w:tcPr>
          <w:p w14:paraId="7DA6FE3D" w14:textId="66B5AEA9" w:rsidR="009D7805" w:rsidRPr="009D7805" w:rsidRDefault="009D7805" w:rsidP="008700A4">
            <w:pPr>
              <w:spacing w:after="0" w:line="240" w:lineRule="auto"/>
              <w:jc w:val="right"/>
              <w:rPr>
                <w:rFonts w:ascii="Arial" w:hAnsi="Arial" w:cs="Arial"/>
                <w:color w:val="000000" w:themeColor="text1"/>
                <w:sz w:val="16"/>
                <w:szCs w:val="16"/>
              </w:rPr>
            </w:pPr>
          </w:p>
        </w:tc>
        <w:tc>
          <w:tcPr>
            <w:tcW w:w="768" w:type="pct"/>
            <w:tcBorders>
              <w:top w:val="nil"/>
              <w:left w:val="nil"/>
              <w:bottom w:val="nil"/>
              <w:right w:val="nil"/>
            </w:tcBorders>
            <w:shd w:val="clear" w:color="000000" w:fill="E6E6E6"/>
            <w:vAlign w:val="bottom"/>
            <w:hideMark/>
          </w:tcPr>
          <w:p w14:paraId="0A7466E7" w14:textId="62FA85B3" w:rsidR="009D7805" w:rsidRPr="009D7805" w:rsidRDefault="009D7805" w:rsidP="008700A4">
            <w:pPr>
              <w:spacing w:after="0" w:line="240" w:lineRule="auto"/>
              <w:jc w:val="right"/>
              <w:rPr>
                <w:rFonts w:ascii="Arial" w:hAnsi="Arial" w:cs="Arial"/>
                <w:color w:val="000000" w:themeColor="text1"/>
                <w:sz w:val="16"/>
                <w:szCs w:val="16"/>
              </w:rPr>
            </w:pPr>
          </w:p>
        </w:tc>
      </w:tr>
      <w:tr w:rsidR="009D7805" w:rsidRPr="009D7805" w14:paraId="5EA35885" w14:textId="77777777" w:rsidTr="009D7805">
        <w:trPr>
          <w:trHeight w:val="204"/>
        </w:trPr>
        <w:tc>
          <w:tcPr>
            <w:tcW w:w="3464" w:type="pct"/>
            <w:tcBorders>
              <w:top w:val="nil"/>
              <w:left w:val="nil"/>
              <w:bottom w:val="nil"/>
              <w:right w:val="nil"/>
            </w:tcBorders>
            <w:shd w:val="clear" w:color="000000" w:fill="FFFFFF"/>
            <w:vAlign w:val="bottom"/>
            <w:hideMark/>
          </w:tcPr>
          <w:p w14:paraId="3DEDCF6B" w14:textId="2987E58F" w:rsidR="009D7805" w:rsidRPr="009D7805" w:rsidRDefault="009D7805" w:rsidP="008700A4">
            <w:pPr>
              <w:spacing w:after="0" w:line="240" w:lineRule="auto"/>
              <w:ind w:left="113"/>
              <w:rPr>
                <w:rFonts w:ascii="Arial" w:hAnsi="Arial" w:cs="Arial"/>
                <w:color w:val="000000"/>
                <w:sz w:val="16"/>
                <w:szCs w:val="16"/>
              </w:rPr>
            </w:pPr>
            <w:r w:rsidRPr="009D7805">
              <w:rPr>
                <w:rFonts w:ascii="Arial" w:hAnsi="Arial" w:cs="Arial"/>
                <w:color w:val="000000"/>
                <w:sz w:val="16"/>
                <w:szCs w:val="16"/>
              </w:rPr>
              <w:t>Prior year appropriations available</w:t>
            </w:r>
            <w:r w:rsidRPr="009D7805">
              <w:rPr>
                <w:rFonts w:ascii="Arial" w:hAnsi="Arial" w:cs="Arial"/>
                <w:color w:val="000000"/>
                <w:sz w:val="16"/>
                <w:szCs w:val="16"/>
                <w:vertAlign w:val="superscript"/>
              </w:rPr>
              <w:t>(b)</w:t>
            </w:r>
          </w:p>
        </w:tc>
        <w:tc>
          <w:tcPr>
            <w:tcW w:w="768" w:type="pct"/>
            <w:tcBorders>
              <w:top w:val="nil"/>
              <w:left w:val="nil"/>
              <w:bottom w:val="nil"/>
              <w:right w:val="nil"/>
            </w:tcBorders>
            <w:shd w:val="clear" w:color="000000" w:fill="FFFFFF"/>
            <w:vAlign w:val="bottom"/>
            <w:hideMark/>
          </w:tcPr>
          <w:p w14:paraId="673B1482" w14:textId="3FE80AFB" w:rsidR="009D7805" w:rsidRPr="009D7805" w:rsidRDefault="009D7805" w:rsidP="008700A4">
            <w:pPr>
              <w:spacing w:after="0" w:line="240" w:lineRule="auto"/>
              <w:jc w:val="right"/>
              <w:rPr>
                <w:rFonts w:ascii="Arial" w:hAnsi="Arial" w:cs="Arial"/>
                <w:color w:val="000000" w:themeColor="text1"/>
                <w:sz w:val="16"/>
                <w:szCs w:val="16"/>
              </w:rPr>
            </w:pPr>
            <w:r w:rsidRPr="009D7805">
              <w:rPr>
                <w:rFonts w:ascii="Arial" w:hAnsi="Arial" w:cs="Arial"/>
                <w:color w:val="000000" w:themeColor="text1"/>
                <w:sz w:val="16"/>
                <w:szCs w:val="16"/>
              </w:rPr>
              <w:t>106,524</w:t>
            </w:r>
          </w:p>
        </w:tc>
        <w:tc>
          <w:tcPr>
            <w:tcW w:w="768" w:type="pct"/>
            <w:tcBorders>
              <w:top w:val="nil"/>
              <w:left w:val="nil"/>
              <w:bottom w:val="nil"/>
              <w:right w:val="nil"/>
            </w:tcBorders>
            <w:shd w:val="clear" w:color="000000" w:fill="E6E6E6"/>
            <w:vAlign w:val="bottom"/>
            <w:hideMark/>
          </w:tcPr>
          <w:p w14:paraId="608EBADB" w14:textId="43FA08B0" w:rsidR="009D7805" w:rsidRPr="009D7805" w:rsidRDefault="009D7805" w:rsidP="008700A4">
            <w:pPr>
              <w:spacing w:after="0" w:line="240" w:lineRule="auto"/>
              <w:jc w:val="right"/>
              <w:rPr>
                <w:rFonts w:ascii="Arial" w:hAnsi="Arial" w:cs="Arial"/>
                <w:color w:val="000000" w:themeColor="text1"/>
                <w:sz w:val="16"/>
                <w:szCs w:val="16"/>
              </w:rPr>
            </w:pPr>
            <w:r w:rsidRPr="009D7805">
              <w:rPr>
                <w:rFonts w:ascii="Arial" w:hAnsi="Arial" w:cs="Arial"/>
                <w:color w:val="000000" w:themeColor="text1"/>
                <w:sz w:val="16"/>
                <w:szCs w:val="16"/>
              </w:rPr>
              <w:t>106,524</w:t>
            </w:r>
          </w:p>
        </w:tc>
      </w:tr>
      <w:tr w:rsidR="009D7805" w:rsidRPr="009D7805" w14:paraId="607E048C" w14:textId="77777777" w:rsidTr="009D7805">
        <w:trPr>
          <w:trHeight w:val="204"/>
        </w:trPr>
        <w:tc>
          <w:tcPr>
            <w:tcW w:w="3464" w:type="pct"/>
            <w:tcBorders>
              <w:top w:val="nil"/>
              <w:left w:val="nil"/>
              <w:bottom w:val="nil"/>
              <w:right w:val="nil"/>
            </w:tcBorders>
            <w:shd w:val="clear" w:color="000000" w:fill="FFFFFF"/>
            <w:vAlign w:val="bottom"/>
            <w:hideMark/>
          </w:tcPr>
          <w:p w14:paraId="3B87D4E9" w14:textId="0677C09B" w:rsidR="009D7805" w:rsidRPr="009D7805" w:rsidRDefault="009D7805" w:rsidP="008700A4">
            <w:pPr>
              <w:spacing w:after="0" w:line="240" w:lineRule="auto"/>
              <w:ind w:left="113"/>
              <w:rPr>
                <w:rFonts w:ascii="Arial" w:hAnsi="Arial" w:cs="Arial"/>
                <w:color w:val="000000"/>
                <w:sz w:val="16"/>
                <w:szCs w:val="16"/>
              </w:rPr>
            </w:pPr>
            <w:r w:rsidRPr="009D7805">
              <w:rPr>
                <w:rFonts w:ascii="Arial" w:hAnsi="Arial" w:cs="Arial"/>
                <w:color w:val="000000"/>
                <w:sz w:val="16"/>
                <w:szCs w:val="16"/>
              </w:rPr>
              <w:t>Departmental appropriation</w:t>
            </w:r>
            <w:r w:rsidRPr="009D7805">
              <w:rPr>
                <w:rFonts w:ascii="Arial" w:hAnsi="Arial" w:cs="Arial"/>
                <w:color w:val="000000"/>
                <w:sz w:val="16"/>
                <w:szCs w:val="16"/>
                <w:vertAlign w:val="superscript"/>
              </w:rPr>
              <w:t>(c)</w:t>
            </w:r>
          </w:p>
        </w:tc>
        <w:tc>
          <w:tcPr>
            <w:tcW w:w="768" w:type="pct"/>
            <w:tcBorders>
              <w:top w:val="nil"/>
              <w:left w:val="nil"/>
              <w:bottom w:val="nil"/>
              <w:right w:val="nil"/>
            </w:tcBorders>
            <w:shd w:val="clear" w:color="000000" w:fill="FFFFFF"/>
            <w:vAlign w:val="bottom"/>
            <w:hideMark/>
          </w:tcPr>
          <w:p w14:paraId="64FFCC61" w14:textId="6A2C290B" w:rsidR="009D7805" w:rsidRPr="009D7805" w:rsidRDefault="009D7805" w:rsidP="008700A4">
            <w:pPr>
              <w:spacing w:after="0" w:line="240" w:lineRule="auto"/>
              <w:jc w:val="right"/>
              <w:rPr>
                <w:rFonts w:ascii="Arial" w:hAnsi="Arial" w:cs="Arial"/>
                <w:color w:val="000000" w:themeColor="text1"/>
                <w:sz w:val="16"/>
                <w:szCs w:val="16"/>
              </w:rPr>
            </w:pPr>
            <w:r w:rsidRPr="009D7805">
              <w:rPr>
                <w:rFonts w:ascii="Arial" w:hAnsi="Arial" w:cs="Arial"/>
                <w:color w:val="000000" w:themeColor="text1"/>
                <w:sz w:val="16"/>
                <w:szCs w:val="16"/>
              </w:rPr>
              <w:t>401,210</w:t>
            </w:r>
          </w:p>
        </w:tc>
        <w:tc>
          <w:tcPr>
            <w:tcW w:w="768" w:type="pct"/>
            <w:tcBorders>
              <w:top w:val="nil"/>
              <w:left w:val="nil"/>
              <w:bottom w:val="nil"/>
              <w:right w:val="nil"/>
            </w:tcBorders>
            <w:shd w:val="clear" w:color="000000" w:fill="E6E6E6"/>
            <w:vAlign w:val="bottom"/>
            <w:hideMark/>
          </w:tcPr>
          <w:p w14:paraId="445087FE" w14:textId="3B2F746C" w:rsidR="009D7805" w:rsidRPr="009D7805" w:rsidRDefault="009D7805" w:rsidP="008700A4">
            <w:pPr>
              <w:spacing w:after="0" w:line="240" w:lineRule="auto"/>
              <w:jc w:val="right"/>
              <w:rPr>
                <w:rFonts w:ascii="Arial" w:hAnsi="Arial" w:cs="Arial"/>
                <w:color w:val="000000" w:themeColor="text1"/>
                <w:sz w:val="16"/>
                <w:szCs w:val="16"/>
              </w:rPr>
            </w:pPr>
            <w:r w:rsidRPr="009D7805">
              <w:rPr>
                <w:rFonts w:ascii="Arial" w:hAnsi="Arial" w:cs="Arial"/>
                <w:color w:val="000000" w:themeColor="text1"/>
                <w:sz w:val="16"/>
                <w:szCs w:val="16"/>
              </w:rPr>
              <w:t>455,618</w:t>
            </w:r>
          </w:p>
        </w:tc>
      </w:tr>
      <w:tr w:rsidR="009D7805" w:rsidRPr="009D7805" w14:paraId="54556463" w14:textId="77777777" w:rsidTr="009D7805">
        <w:trPr>
          <w:trHeight w:val="204"/>
        </w:trPr>
        <w:tc>
          <w:tcPr>
            <w:tcW w:w="3464" w:type="pct"/>
            <w:tcBorders>
              <w:top w:val="nil"/>
              <w:left w:val="nil"/>
              <w:bottom w:val="nil"/>
              <w:right w:val="nil"/>
            </w:tcBorders>
            <w:shd w:val="clear" w:color="000000" w:fill="FFFFFF"/>
            <w:vAlign w:val="bottom"/>
            <w:hideMark/>
          </w:tcPr>
          <w:p w14:paraId="5D815090" w14:textId="38F4BD06" w:rsidR="009D7805" w:rsidRPr="009D7805" w:rsidRDefault="009D7805" w:rsidP="008700A4">
            <w:pPr>
              <w:spacing w:after="0" w:line="240" w:lineRule="auto"/>
              <w:ind w:left="113"/>
              <w:rPr>
                <w:rFonts w:ascii="Arial" w:hAnsi="Arial" w:cs="Arial"/>
                <w:color w:val="000000"/>
                <w:sz w:val="16"/>
                <w:szCs w:val="16"/>
              </w:rPr>
            </w:pPr>
            <w:r w:rsidRPr="009D7805">
              <w:rPr>
                <w:rFonts w:ascii="Arial" w:hAnsi="Arial" w:cs="Arial"/>
                <w:color w:val="000000"/>
                <w:sz w:val="16"/>
                <w:szCs w:val="16"/>
              </w:rPr>
              <w:t>s74 External Revenue</w:t>
            </w:r>
            <w:r w:rsidRPr="009D7805">
              <w:rPr>
                <w:rFonts w:ascii="Arial" w:hAnsi="Arial" w:cs="Arial"/>
                <w:color w:val="000000"/>
                <w:sz w:val="16"/>
                <w:szCs w:val="16"/>
                <w:vertAlign w:val="superscript"/>
              </w:rPr>
              <w:t>(d)</w:t>
            </w:r>
          </w:p>
        </w:tc>
        <w:tc>
          <w:tcPr>
            <w:tcW w:w="768" w:type="pct"/>
            <w:tcBorders>
              <w:top w:val="nil"/>
              <w:left w:val="nil"/>
              <w:bottom w:val="nil"/>
              <w:right w:val="nil"/>
            </w:tcBorders>
            <w:shd w:val="clear" w:color="000000" w:fill="FFFFFF"/>
            <w:vAlign w:val="bottom"/>
            <w:hideMark/>
          </w:tcPr>
          <w:p w14:paraId="44FC9F1F" w14:textId="26921C84" w:rsidR="009D7805" w:rsidRPr="009D7805" w:rsidRDefault="009D7805" w:rsidP="008700A4">
            <w:pPr>
              <w:spacing w:after="0" w:line="240" w:lineRule="auto"/>
              <w:jc w:val="right"/>
              <w:rPr>
                <w:rFonts w:ascii="Arial" w:hAnsi="Arial" w:cs="Arial"/>
                <w:color w:val="000000" w:themeColor="text1"/>
                <w:sz w:val="16"/>
                <w:szCs w:val="16"/>
              </w:rPr>
            </w:pPr>
            <w:r w:rsidRPr="009D7805">
              <w:rPr>
                <w:rFonts w:ascii="Arial" w:hAnsi="Arial" w:cs="Arial"/>
                <w:color w:val="000000" w:themeColor="text1"/>
                <w:sz w:val="16"/>
                <w:szCs w:val="16"/>
              </w:rPr>
              <w:t>9,135</w:t>
            </w:r>
          </w:p>
        </w:tc>
        <w:tc>
          <w:tcPr>
            <w:tcW w:w="768" w:type="pct"/>
            <w:tcBorders>
              <w:top w:val="nil"/>
              <w:left w:val="nil"/>
              <w:bottom w:val="nil"/>
              <w:right w:val="nil"/>
            </w:tcBorders>
            <w:shd w:val="clear" w:color="000000" w:fill="E6E6E6"/>
            <w:vAlign w:val="bottom"/>
            <w:hideMark/>
          </w:tcPr>
          <w:p w14:paraId="2A7136F0" w14:textId="4E5CC028" w:rsidR="009D7805" w:rsidRPr="009D7805" w:rsidRDefault="009D7805" w:rsidP="008700A4">
            <w:pPr>
              <w:spacing w:after="0" w:line="240" w:lineRule="auto"/>
              <w:jc w:val="right"/>
              <w:rPr>
                <w:rFonts w:ascii="Arial" w:hAnsi="Arial" w:cs="Arial"/>
                <w:color w:val="000000" w:themeColor="text1"/>
                <w:sz w:val="16"/>
                <w:szCs w:val="16"/>
              </w:rPr>
            </w:pPr>
            <w:r w:rsidRPr="009D7805">
              <w:rPr>
                <w:rFonts w:ascii="Arial" w:hAnsi="Arial" w:cs="Arial"/>
                <w:color w:val="000000" w:themeColor="text1"/>
                <w:sz w:val="16"/>
                <w:szCs w:val="16"/>
              </w:rPr>
              <w:t>10,726</w:t>
            </w:r>
          </w:p>
        </w:tc>
      </w:tr>
      <w:tr w:rsidR="009D7805" w:rsidRPr="009D7805" w14:paraId="38EB2DF6" w14:textId="77777777" w:rsidTr="009D7805">
        <w:trPr>
          <w:trHeight w:val="204"/>
        </w:trPr>
        <w:tc>
          <w:tcPr>
            <w:tcW w:w="3464" w:type="pct"/>
            <w:tcBorders>
              <w:top w:val="nil"/>
              <w:left w:val="nil"/>
              <w:bottom w:val="nil"/>
              <w:right w:val="nil"/>
            </w:tcBorders>
            <w:shd w:val="clear" w:color="000000" w:fill="FFFFFF"/>
            <w:vAlign w:val="bottom"/>
            <w:hideMark/>
          </w:tcPr>
          <w:p w14:paraId="6AF90394" w14:textId="772E9AC8" w:rsidR="009D7805" w:rsidRPr="009D7805" w:rsidRDefault="009D7805" w:rsidP="008700A4">
            <w:pPr>
              <w:spacing w:after="0" w:line="240" w:lineRule="auto"/>
              <w:ind w:left="113"/>
              <w:rPr>
                <w:rFonts w:ascii="Arial" w:hAnsi="Arial" w:cs="Arial"/>
                <w:color w:val="000000"/>
                <w:sz w:val="16"/>
                <w:szCs w:val="16"/>
              </w:rPr>
            </w:pPr>
            <w:r w:rsidRPr="009D7805">
              <w:rPr>
                <w:rFonts w:ascii="Arial" w:hAnsi="Arial" w:cs="Arial"/>
                <w:color w:val="000000"/>
                <w:sz w:val="16"/>
                <w:szCs w:val="16"/>
              </w:rPr>
              <w:t>Departmental capital budget</w:t>
            </w:r>
            <w:r w:rsidRPr="009D7805">
              <w:rPr>
                <w:rFonts w:ascii="Arial" w:hAnsi="Arial" w:cs="Arial"/>
                <w:color w:val="000000"/>
                <w:sz w:val="16"/>
                <w:szCs w:val="16"/>
                <w:vertAlign w:val="superscript"/>
              </w:rPr>
              <w:t>(e)</w:t>
            </w:r>
          </w:p>
        </w:tc>
        <w:tc>
          <w:tcPr>
            <w:tcW w:w="768" w:type="pct"/>
            <w:tcBorders>
              <w:top w:val="nil"/>
              <w:left w:val="nil"/>
              <w:bottom w:val="nil"/>
              <w:right w:val="nil"/>
            </w:tcBorders>
            <w:shd w:val="clear" w:color="000000" w:fill="FFFFFF"/>
            <w:vAlign w:val="bottom"/>
            <w:hideMark/>
          </w:tcPr>
          <w:p w14:paraId="6E0B27E5" w14:textId="57448DF4" w:rsidR="009D7805" w:rsidRPr="009D7805" w:rsidRDefault="009D7805" w:rsidP="008700A4">
            <w:pPr>
              <w:spacing w:after="0" w:line="240" w:lineRule="auto"/>
              <w:jc w:val="right"/>
              <w:rPr>
                <w:rFonts w:ascii="Arial" w:hAnsi="Arial" w:cs="Arial"/>
                <w:color w:val="000000" w:themeColor="text1"/>
                <w:sz w:val="16"/>
                <w:szCs w:val="16"/>
              </w:rPr>
            </w:pPr>
            <w:r w:rsidRPr="009D7805">
              <w:rPr>
                <w:rFonts w:ascii="Arial" w:hAnsi="Arial" w:cs="Arial"/>
                <w:color w:val="000000" w:themeColor="text1"/>
                <w:sz w:val="16"/>
                <w:szCs w:val="16"/>
              </w:rPr>
              <w:t>12,456</w:t>
            </w:r>
          </w:p>
        </w:tc>
        <w:tc>
          <w:tcPr>
            <w:tcW w:w="768" w:type="pct"/>
            <w:tcBorders>
              <w:top w:val="nil"/>
              <w:left w:val="nil"/>
              <w:bottom w:val="nil"/>
              <w:right w:val="nil"/>
            </w:tcBorders>
            <w:shd w:val="clear" w:color="000000" w:fill="E6E6E6"/>
            <w:vAlign w:val="bottom"/>
            <w:hideMark/>
          </w:tcPr>
          <w:p w14:paraId="3D066205" w14:textId="7C06B828" w:rsidR="009D7805" w:rsidRPr="009D7805" w:rsidRDefault="009D7805" w:rsidP="008700A4">
            <w:pPr>
              <w:spacing w:after="0" w:line="240" w:lineRule="auto"/>
              <w:jc w:val="right"/>
              <w:rPr>
                <w:rFonts w:ascii="Arial" w:hAnsi="Arial" w:cs="Arial"/>
                <w:color w:val="000000" w:themeColor="text1"/>
                <w:sz w:val="16"/>
                <w:szCs w:val="16"/>
              </w:rPr>
            </w:pPr>
            <w:r w:rsidRPr="009D7805">
              <w:rPr>
                <w:rFonts w:ascii="Arial" w:hAnsi="Arial" w:cs="Arial"/>
                <w:color w:val="000000" w:themeColor="text1"/>
                <w:sz w:val="16"/>
                <w:szCs w:val="16"/>
              </w:rPr>
              <w:t>21,900</w:t>
            </w:r>
          </w:p>
        </w:tc>
      </w:tr>
      <w:tr w:rsidR="009D7805" w:rsidRPr="009D7805" w14:paraId="4B6222CF" w14:textId="77777777" w:rsidTr="009D7805">
        <w:trPr>
          <w:trHeight w:val="204"/>
        </w:trPr>
        <w:tc>
          <w:tcPr>
            <w:tcW w:w="3464" w:type="pct"/>
            <w:tcBorders>
              <w:top w:val="nil"/>
              <w:left w:val="nil"/>
              <w:bottom w:val="nil"/>
              <w:right w:val="nil"/>
            </w:tcBorders>
            <w:shd w:val="clear" w:color="000000" w:fill="FFFFFF"/>
            <w:vAlign w:val="bottom"/>
            <w:hideMark/>
          </w:tcPr>
          <w:p w14:paraId="314F0F88" w14:textId="77777777" w:rsidR="009D7805" w:rsidRPr="009D7805" w:rsidRDefault="009D7805" w:rsidP="009D7805">
            <w:pPr>
              <w:spacing w:after="0" w:line="240" w:lineRule="auto"/>
              <w:rPr>
                <w:rFonts w:ascii="Arial" w:hAnsi="Arial" w:cs="Arial"/>
                <w:color w:val="000000"/>
                <w:sz w:val="16"/>
                <w:szCs w:val="16"/>
              </w:rPr>
            </w:pPr>
            <w:r w:rsidRPr="009D7805">
              <w:rPr>
                <w:rFonts w:ascii="Arial" w:hAnsi="Arial" w:cs="Arial"/>
                <w:color w:val="000000"/>
                <w:sz w:val="16"/>
                <w:szCs w:val="16"/>
              </w:rPr>
              <w:t>Total departmental annual appropriations</w:t>
            </w:r>
          </w:p>
        </w:tc>
        <w:tc>
          <w:tcPr>
            <w:tcW w:w="768" w:type="pct"/>
            <w:tcBorders>
              <w:top w:val="single" w:sz="4" w:space="0" w:color="auto"/>
              <w:left w:val="nil"/>
              <w:bottom w:val="single" w:sz="4" w:space="0" w:color="auto"/>
              <w:right w:val="nil"/>
            </w:tcBorders>
            <w:shd w:val="clear" w:color="000000" w:fill="FFFFFF"/>
            <w:vAlign w:val="bottom"/>
            <w:hideMark/>
          </w:tcPr>
          <w:p w14:paraId="4113B417" w14:textId="28D3D3AA" w:rsidR="009D7805" w:rsidRPr="009D7805" w:rsidRDefault="009D7805" w:rsidP="008700A4">
            <w:pPr>
              <w:spacing w:after="0" w:line="240" w:lineRule="auto"/>
              <w:jc w:val="right"/>
              <w:rPr>
                <w:rFonts w:ascii="Arial" w:hAnsi="Arial" w:cs="Arial"/>
                <w:color w:val="000000" w:themeColor="text1"/>
                <w:sz w:val="16"/>
                <w:szCs w:val="16"/>
              </w:rPr>
            </w:pPr>
            <w:r w:rsidRPr="009D7805">
              <w:rPr>
                <w:rFonts w:ascii="Arial" w:hAnsi="Arial" w:cs="Arial"/>
                <w:color w:val="000000" w:themeColor="text1"/>
                <w:sz w:val="16"/>
                <w:szCs w:val="16"/>
              </w:rPr>
              <w:t>529,325</w:t>
            </w:r>
          </w:p>
        </w:tc>
        <w:tc>
          <w:tcPr>
            <w:tcW w:w="768" w:type="pct"/>
            <w:tcBorders>
              <w:top w:val="single" w:sz="4" w:space="0" w:color="auto"/>
              <w:left w:val="nil"/>
              <w:bottom w:val="single" w:sz="4" w:space="0" w:color="auto"/>
              <w:right w:val="nil"/>
            </w:tcBorders>
            <w:shd w:val="clear" w:color="000000" w:fill="E6E6E6"/>
            <w:vAlign w:val="bottom"/>
            <w:hideMark/>
          </w:tcPr>
          <w:p w14:paraId="2BF0AE79" w14:textId="616BE16B" w:rsidR="009D7805" w:rsidRPr="009D7805" w:rsidRDefault="009D7805" w:rsidP="008700A4">
            <w:pPr>
              <w:spacing w:after="0" w:line="240" w:lineRule="auto"/>
              <w:jc w:val="right"/>
              <w:rPr>
                <w:rFonts w:ascii="Arial" w:hAnsi="Arial" w:cs="Arial"/>
                <w:color w:val="000000" w:themeColor="text1"/>
                <w:sz w:val="16"/>
                <w:szCs w:val="16"/>
              </w:rPr>
            </w:pPr>
            <w:r w:rsidRPr="009D7805">
              <w:rPr>
                <w:rFonts w:ascii="Arial" w:hAnsi="Arial" w:cs="Arial"/>
                <w:color w:val="000000" w:themeColor="text1"/>
                <w:sz w:val="16"/>
                <w:szCs w:val="16"/>
              </w:rPr>
              <w:t>594,768</w:t>
            </w:r>
          </w:p>
        </w:tc>
      </w:tr>
      <w:tr w:rsidR="009D7805" w:rsidRPr="009D7805" w14:paraId="3F5FC872" w14:textId="77777777" w:rsidTr="009D7805">
        <w:trPr>
          <w:trHeight w:val="204"/>
        </w:trPr>
        <w:tc>
          <w:tcPr>
            <w:tcW w:w="3464" w:type="pct"/>
            <w:tcBorders>
              <w:top w:val="nil"/>
              <w:left w:val="nil"/>
              <w:bottom w:val="nil"/>
              <w:right w:val="nil"/>
            </w:tcBorders>
            <w:shd w:val="clear" w:color="000000" w:fill="FFFFFF"/>
            <w:vAlign w:val="bottom"/>
            <w:hideMark/>
          </w:tcPr>
          <w:p w14:paraId="0EDE4AA6" w14:textId="77777777" w:rsidR="009D7805" w:rsidRPr="009D7805" w:rsidRDefault="009D7805" w:rsidP="009D7805">
            <w:pPr>
              <w:spacing w:after="0" w:line="240" w:lineRule="auto"/>
              <w:rPr>
                <w:rFonts w:ascii="Arial" w:hAnsi="Arial" w:cs="Arial"/>
                <w:color w:val="000000"/>
                <w:sz w:val="16"/>
                <w:szCs w:val="16"/>
              </w:rPr>
            </w:pPr>
            <w:r w:rsidRPr="009D7805">
              <w:rPr>
                <w:rFonts w:ascii="Arial" w:hAnsi="Arial" w:cs="Arial"/>
                <w:color w:val="000000"/>
                <w:sz w:val="16"/>
                <w:szCs w:val="16"/>
              </w:rPr>
              <w:t>Special accounts</w:t>
            </w:r>
          </w:p>
        </w:tc>
        <w:tc>
          <w:tcPr>
            <w:tcW w:w="768" w:type="pct"/>
            <w:tcBorders>
              <w:top w:val="nil"/>
              <w:left w:val="nil"/>
              <w:bottom w:val="nil"/>
              <w:right w:val="nil"/>
            </w:tcBorders>
            <w:shd w:val="clear" w:color="000000" w:fill="FFFFFF"/>
            <w:vAlign w:val="bottom"/>
            <w:hideMark/>
          </w:tcPr>
          <w:p w14:paraId="00E287EB" w14:textId="02B3BCB6" w:rsidR="009D7805" w:rsidRPr="009D7805" w:rsidRDefault="009D7805" w:rsidP="008700A4">
            <w:pPr>
              <w:spacing w:after="0" w:line="240" w:lineRule="auto"/>
              <w:jc w:val="right"/>
              <w:rPr>
                <w:rFonts w:ascii="Arial" w:hAnsi="Arial" w:cs="Arial"/>
                <w:color w:val="000000" w:themeColor="text1"/>
                <w:sz w:val="16"/>
                <w:szCs w:val="16"/>
              </w:rPr>
            </w:pPr>
          </w:p>
        </w:tc>
        <w:tc>
          <w:tcPr>
            <w:tcW w:w="768" w:type="pct"/>
            <w:tcBorders>
              <w:top w:val="nil"/>
              <w:left w:val="nil"/>
              <w:bottom w:val="nil"/>
              <w:right w:val="nil"/>
            </w:tcBorders>
            <w:shd w:val="clear" w:color="000000" w:fill="E6E6E6"/>
            <w:vAlign w:val="bottom"/>
            <w:hideMark/>
          </w:tcPr>
          <w:p w14:paraId="0D84EC09" w14:textId="445B48BD" w:rsidR="009D7805" w:rsidRPr="009D7805" w:rsidRDefault="009D7805" w:rsidP="008700A4">
            <w:pPr>
              <w:spacing w:after="0" w:line="240" w:lineRule="auto"/>
              <w:jc w:val="right"/>
              <w:rPr>
                <w:rFonts w:ascii="Arial" w:hAnsi="Arial" w:cs="Arial"/>
                <w:color w:val="000000" w:themeColor="text1"/>
                <w:sz w:val="16"/>
                <w:szCs w:val="16"/>
              </w:rPr>
            </w:pPr>
          </w:p>
        </w:tc>
      </w:tr>
      <w:tr w:rsidR="009D7805" w:rsidRPr="009D7805" w14:paraId="2F479056" w14:textId="77777777" w:rsidTr="009D7805">
        <w:trPr>
          <w:trHeight w:val="204"/>
        </w:trPr>
        <w:tc>
          <w:tcPr>
            <w:tcW w:w="3464" w:type="pct"/>
            <w:tcBorders>
              <w:top w:val="nil"/>
              <w:left w:val="nil"/>
              <w:bottom w:val="nil"/>
              <w:right w:val="nil"/>
            </w:tcBorders>
            <w:shd w:val="clear" w:color="000000" w:fill="FFFFFF"/>
            <w:vAlign w:val="bottom"/>
            <w:hideMark/>
          </w:tcPr>
          <w:p w14:paraId="5899A514" w14:textId="1F577326" w:rsidR="009D7805" w:rsidRPr="009D7805" w:rsidRDefault="009D7805" w:rsidP="008700A4">
            <w:pPr>
              <w:spacing w:after="0" w:line="240" w:lineRule="auto"/>
              <w:ind w:left="113"/>
              <w:rPr>
                <w:rFonts w:ascii="Arial" w:hAnsi="Arial" w:cs="Arial"/>
                <w:color w:val="000000"/>
                <w:sz w:val="16"/>
                <w:szCs w:val="16"/>
              </w:rPr>
            </w:pPr>
            <w:r w:rsidRPr="009D7805">
              <w:rPr>
                <w:rFonts w:ascii="Arial" w:hAnsi="Arial" w:cs="Arial"/>
                <w:color w:val="000000"/>
                <w:sz w:val="16"/>
                <w:szCs w:val="16"/>
              </w:rPr>
              <w:t>Opening balance</w:t>
            </w:r>
          </w:p>
        </w:tc>
        <w:tc>
          <w:tcPr>
            <w:tcW w:w="768" w:type="pct"/>
            <w:tcBorders>
              <w:top w:val="nil"/>
              <w:left w:val="nil"/>
              <w:bottom w:val="nil"/>
              <w:right w:val="nil"/>
            </w:tcBorders>
            <w:shd w:val="clear" w:color="000000" w:fill="FFFFFF"/>
            <w:vAlign w:val="bottom"/>
            <w:hideMark/>
          </w:tcPr>
          <w:p w14:paraId="195EC264" w14:textId="7D026475" w:rsidR="009D7805" w:rsidRPr="009D7805" w:rsidRDefault="009D7805" w:rsidP="008700A4">
            <w:pPr>
              <w:spacing w:after="0" w:line="240" w:lineRule="auto"/>
              <w:jc w:val="right"/>
              <w:rPr>
                <w:rFonts w:ascii="Arial" w:hAnsi="Arial" w:cs="Arial"/>
                <w:color w:val="000000" w:themeColor="text1"/>
                <w:sz w:val="16"/>
                <w:szCs w:val="16"/>
              </w:rPr>
            </w:pPr>
            <w:r w:rsidRPr="009D7805">
              <w:rPr>
                <w:rFonts w:ascii="Arial" w:hAnsi="Arial" w:cs="Arial"/>
                <w:color w:val="000000" w:themeColor="text1"/>
                <w:sz w:val="16"/>
                <w:szCs w:val="16"/>
              </w:rPr>
              <w:t>6,788</w:t>
            </w:r>
          </w:p>
        </w:tc>
        <w:tc>
          <w:tcPr>
            <w:tcW w:w="768" w:type="pct"/>
            <w:tcBorders>
              <w:top w:val="nil"/>
              <w:left w:val="nil"/>
              <w:bottom w:val="nil"/>
              <w:right w:val="nil"/>
            </w:tcBorders>
            <w:shd w:val="clear" w:color="000000" w:fill="E6E6E6"/>
            <w:vAlign w:val="bottom"/>
            <w:hideMark/>
          </w:tcPr>
          <w:p w14:paraId="63542CCD" w14:textId="5FD4DFA0" w:rsidR="009D7805" w:rsidRPr="009D7805" w:rsidRDefault="009D7805" w:rsidP="008700A4">
            <w:pPr>
              <w:spacing w:after="0" w:line="240" w:lineRule="auto"/>
              <w:jc w:val="right"/>
              <w:rPr>
                <w:rFonts w:ascii="Arial" w:hAnsi="Arial" w:cs="Arial"/>
                <w:color w:val="000000" w:themeColor="text1"/>
                <w:sz w:val="16"/>
                <w:szCs w:val="16"/>
              </w:rPr>
            </w:pPr>
            <w:r w:rsidRPr="009D7805">
              <w:rPr>
                <w:rFonts w:ascii="Arial" w:hAnsi="Arial" w:cs="Arial"/>
                <w:color w:val="000000" w:themeColor="text1"/>
                <w:sz w:val="16"/>
                <w:szCs w:val="16"/>
              </w:rPr>
              <w:t>6,280</w:t>
            </w:r>
          </w:p>
        </w:tc>
      </w:tr>
      <w:tr w:rsidR="009D7805" w:rsidRPr="009D7805" w14:paraId="28F864FA" w14:textId="77777777" w:rsidTr="009D7805">
        <w:trPr>
          <w:trHeight w:val="204"/>
        </w:trPr>
        <w:tc>
          <w:tcPr>
            <w:tcW w:w="3464" w:type="pct"/>
            <w:tcBorders>
              <w:top w:val="nil"/>
              <w:left w:val="nil"/>
              <w:bottom w:val="nil"/>
              <w:right w:val="nil"/>
            </w:tcBorders>
            <w:shd w:val="clear" w:color="000000" w:fill="FFFFFF"/>
            <w:vAlign w:val="bottom"/>
            <w:hideMark/>
          </w:tcPr>
          <w:p w14:paraId="6779013E" w14:textId="345D833D" w:rsidR="009D7805" w:rsidRPr="009D7805" w:rsidRDefault="009D7805" w:rsidP="008700A4">
            <w:pPr>
              <w:spacing w:after="0" w:line="240" w:lineRule="auto"/>
              <w:ind w:left="113"/>
              <w:rPr>
                <w:rFonts w:ascii="Arial" w:hAnsi="Arial" w:cs="Arial"/>
                <w:color w:val="000000"/>
                <w:sz w:val="16"/>
                <w:szCs w:val="16"/>
              </w:rPr>
            </w:pPr>
            <w:r w:rsidRPr="009D7805">
              <w:rPr>
                <w:rFonts w:ascii="Arial" w:hAnsi="Arial" w:cs="Arial"/>
                <w:color w:val="000000"/>
                <w:sz w:val="16"/>
                <w:szCs w:val="16"/>
              </w:rPr>
              <w:t>Appropriation receipts</w:t>
            </w:r>
          </w:p>
        </w:tc>
        <w:tc>
          <w:tcPr>
            <w:tcW w:w="768" w:type="pct"/>
            <w:tcBorders>
              <w:top w:val="nil"/>
              <w:left w:val="nil"/>
              <w:bottom w:val="nil"/>
              <w:right w:val="nil"/>
            </w:tcBorders>
            <w:shd w:val="clear" w:color="000000" w:fill="FFFFFF"/>
            <w:vAlign w:val="bottom"/>
            <w:hideMark/>
          </w:tcPr>
          <w:p w14:paraId="283184BC" w14:textId="0493F889" w:rsidR="009D7805" w:rsidRPr="009D7805" w:rsidRDefault="009D7805" w:rsidP="008700A4">
            <w:pPr>
              <w:spacing w:after="0" w:line="240" w:lineRule="auto"/>
              <w:jc w:val="right"/>
              <w:rPr>
                <w:rFonts w:ascii="Arial" w:hAnsi="Arial" w:cs="Arial"/>
                <w:color w:val="000000" w:themeColor="text1"/>
                <w:sz w:val="16"/>
                <w:szCs w:val="16"/>
              </w:rPr>
            </w:pPr>
            <w:r w:rsidRPr="009D7805">
              <w:rPr>
                <w:rFonts w:ascii="Arial" w:hAnsi="Arial" w:cs="Arial"/>
                <w:color w:val="000000" w:themeColor="text1"/>
                <w:sz w:val="16"/>
                <w:szCs w:val="16"/>
              </w:rPr>
              <w:t>4,747</w:t>
            </w:r>
          </w:p>
        </w:tc>
        <w:tc>
          <w:tcPr>
            <w:tcW w:w="768" w:type="pct"/>
            <w:tcBorders>
              <w:top w:val="nil"/>
              <w:left w:val="nil"/>
              <w:bottom w:val="nil"/>
              <w:right w:val="nil"/>
            </w:tcBorders>
            <w:shd w:val="clear" w:color="000000" w:fill="E6E6E6"/>
            <w:vAlign w:val="bottom"/>
            <w:hideMark/>
          </w:tcPr>
          <w:p w14:paraId="0EBDF8A4" w14:textId="3BB25977" w:rsidR="009D7805" w:rsidRPr="009D7805" w:rsidRDefault="009D7805" w:rsidP="008700A4">
            <w:pPr>
              <w:spacing w:after="0" w:line="240" w:lineRule="auto"/>
              <w:jc w:val="right"/>
              <w:rPr>
                <w:rFonts w:ascii="Arial" w:hAnsi="Arial" w:cs="Arial"/>
                <w:color w:val="000000" w:themeColor="text1"/>
                <w:sz w:val="16"/>
                <w:szCs w:val="16"/>
              </w:rPr>
            </w:pPr>
            <w:r w:rsidRPr="009D7805">
              <w:rPr>
                <w:rFonts w:ascii="Arial" w:hAnsi="Arial" w:cs="Arial"/>
                <w:color w:val="000000" w:themeColor="text1"/>
                <w:sz w:val="16"/>
                <w:szCs w:val="16"/>
              </w:rPr>
              <w:t>4,752</w:t>
            </w:r>
          </w:p>
        </w:tc>
      </w:tr>
      <w:tr w:rsidR="009D7805" w:rsidRPr="009D7805" w14:paraId="45BB0147" w14:textId="77777777" w:rsidTr="009D7805">
        <w:trPr>
          <w:trHeight w:val="204"/>
        </w:trPr>
        <w:tc>
          <w:tcPr>
            <w:tcW w:w="3464" w:type="pct"/>
            <w:tcBorders>
              <w:top w:val="nil"/>
              <w:left w:val="nil"/>
              <w:bottom w:val="nil"/>
              <w:right w:val="nil"/>
            </w:tcBorders>
            <w:shd w:val="clear" w:color="000000" w:fill="FFFFFF"/>
            <w:vAlign w:val="bottom"/>
            <w:hideMark/>
          </w:tcPr>
          <w:p w14:paraId="5C46838A" w14:textId="299C0FAB" w:rsidR="009D7805" w:rsidRPr="009D7805" w:rsidRDefault="009D7805" w:rsidP="008700A4">
            <w:pPr>
              <w:spacing w:after="0" w:line="240" w:lineRule="auto"/>
              <w:ind w:left="113"/>
              <w:rPr>
                <w:rFonts w:ascii="Arial" w:hAnsi="Arial" w:cs="Arial"/>
                <w:color w:val="000000"/>
                <w:sz w:val="16"/>
                <w:szCs w:val="16"/>
              </w:rPr>
            </w:pPr>
            <w:r w:rsidRPr="009D7805">
              <w:rPr>
                <w:rFonts w:ascii="Arial" w:hAnsi="Arial" w:cs="Arial"/>
                <w:color w:val="000000"/>
                <w:sz w:val="16"/>
                <w:szCs w:val="16"/>
              </w:rPr>
              <w:t>Non-appropriation receipts</w:t>
            </w:r>
          </w:p>
        </w:tc>
        <w:tc>
          <w:tcPr>
            <w:tcW w:w="768" w:type="pct"/>
            <w:tcBorders>
              <w:top w:val="nil"/>
              <w:left w:val="nil"/>
              <w:bottom w:val="nil"/>
              <w:right w:val="nil"/>
            </w:tcBorders>
            <w:shd w:val="clear" w:color="000000" w:fill="FFFFFF"/>
            <w:vAlign w:val="bottom"/>
            <w:hideMark/>
          </w:tcPr>
          <w:p w14:paraId="1831323B" w14:textId="441EFED3" w:rsidR="009D7805" w:rsidRPr="009D7805" w:rsidRDefault="009D7805" w:rsidP="008700A4">
            <w:pPr>
              <w:spacing w:after="0" w:line="240" w:lineRule="auto"/>
              <w:jc w:val="right"/>
              <w:rPr>
                <w:rFonts w:ascii="Arial" w:hAnsi="Arial" w:cs="Arial"/>
                <w:color w:val="000000" w:themeColor="text1"/>
                <w:sz w:val="16"/>
                <w:szCs w:val="16"/>
              </w:rPr>
            </w:pPr>
            <w:r w:rsidRPr="009D7805">
              <w:rPr>
                <w:rFonts w:ascii="Arial" w:hAnsi="Arial" w:cs="Arial"/>
                <w:color w:val="000000" w:themeColor="text1"/>
                <w:sz w:val="16"/>
                <w:szCs w:val="16"/>
              </w:rPr>
              <w:t>3,633</w:t>
            </w:r>
          </w:p>
        </w:tc>
        <w:tc>
          <w:tcPr>
            <w:tcW w:w="768" w:type="pct"/>
            <w:tcBorders>
              <w:top w:val="nil"/>
              <w:left w:val="nil"/>
              <w:bottom w:val="nil"/>
              <w:right w:val="nil"/>
            </w:tcBorders>
            <w:shd w:val="clear" w:color="000000" w:fill="E6E6E6"/>
            <w:vAlign w:val="bottom"/>
            <w:hideMark/>
          </w:tcPr>
          <w:p w14:paraId="3260C6E5" w14:textId="7422C143" w:rsidR="009D7805" w:rsidRPr="009D7805" w:rsidRDefault="009D7805" w:rsidP="008700A4">
            <w:pPr>
              <w:spacing w:after="0" w:line="240" w:lineRule="auto"/>
              <w:jc w:val="right"/>
              <w:rPr>
                <w:rFonts w:ascii="Arial" w:hAnsi="Arial" w:cs="Arial"/>
                <w:color w:val="000000" w:themeColor="text1"/>
                <w:sz w:val="16"/>
                <w:szCs w:val="16"/>
              </w:rPr>
            </w:pPr>
            <w:r w:rsidRPr="009D7805">
              <w:rPr>
                <w:rFonts w:ascii="Arial" w:hAnsi="Arial" w:cs="Arial"/>
                <w:color w:val="000000" w:themeColor="text1"/>
                <w:sz w:val="16"/>
                <w:szCs w:val="16"/>
              </w:rPr>
              <w:t>3,680</w:t>
            </w:r>
          </w:p>
        </w:tc>
      </w:tr>
      <w:tr w:rsidR="009D7805" w:rsidRPr="009D7805" w14:paraId="04FB4656" w14:textId="77777777" w:rsidTr="009D7805">
        <w:trPr>
          <w:trHeight w:val="204"/>
        </w:trPr>
        <w:tc>
          <w:tcPr>
            <w:tcW w:w="3464" w:type="pct"/>
            <w:tcBorders>
              <w:top w:val="nil"/>
              <w:left w:val="nil"/>
              <w:bottom w:val="nil"/>
              <w:right w:val="nil"/>
            </w:tcBorders>
            <w:shd w:val="clear" w:color="000000" w:fill="FFFFFF"/>
            <w:vAlign w:val="bottom"/>
            <w:hideMark/>
          </w:tcPr>
          <w:p w14:paraId="322CE293" w14:textId="77777777" w:rsidR="009D7805" w:rsidRPr="009D7805" w:rsidRDefault="009D7805" w:rsidP="009D7805">
            <w:pPr>
              <w:spacing w:after="0" w:line="240" w:lineRule="auto"/>
              <w:rPr>
                <w:rFonts w:ascii="Arial" w:hAnsi="Arial" w:cs="Arial"/>
                <w:color w:val="000000"/>
                <w:sz w:val="16"/>
                <w:szCs w:val="16"/>
              </w:rPr>
            </w:pPr>
            <w:r w:rsidRPr="009D7805">
              <w:rPr>
                <w:rFonts w:ascii="Arial" w:hAnsi="Arial" w:cs="Arial"/>
                <w:color w:val="000000"/>
                <w:sz w:val="16"/>
                <w:szCs w:val="16"/>
              </w:rPr>
              <w:t>Total special accounts</w:t>
            </w:r>
          </w:p>
        </w:tc>
        <w:tc>
          <w:tcPr>
            <w:tcW w:w="768" w:type="pct"/>
            <w:tcBorders>
              <w:top w:val="single" w:sz="4" w:space="0" w:color="auto"/>
              <w:left w:val="nil"/>
              <w:bottom w:val="single" w:sz="4" w:space="0" w:color="auto"/>
              <w:right w:val="nil"/>
            </w:tcBorders>
            <w:shd w:val="clear" w:color="000000" w:fill="FFFFFF"/>
            <w:vAlign w:val="bottom"/>
            <w:hideMark/>
          </w:tcPr>
          <w:p w14:paraId="7EFCFCD0" w14:textId="745D14A8" w:rsidR="009D7805" w:rsidRPr="009D7805" w:rsidRDefault="009D7805" w:rsidP="008700A4">
            <w:pPr>
              <w:spacing w:after="0" w:line="240" w:lineRule="auto"/>
              <w:jc w:val="right"/>
              <w:rPr>
                <w:rFonts w:ascii="Arial" w:hAnsi="Arial" w:cs="Arial"/>
                <w:color w:val="000000" w:themeColor="text1"/>
                <w:sz w:val="16"/>
                <w:szCs w:val="16"/>
              </w:rPr>
            </w:pPr>
            <w:r w:rsidRPr="009D7805">
              <w:rPr>
                <w:rFonts w:ascii="Arial" w:hAnsi="Arial" w:cs="Arial"/>
                <w:color w:val="000000" w:themeColor="text1"/>
                <w:sz w:val="16"/>
                <w:szCs w:val="16"/>
              </w:rPr>
              <w:t>15,168</w:t>
            </w:r>
          </w:p>
        </w:tc>
        <w:tc>
          <w:tcPr>
            <w:tcW w:w="768" w:type="pct"/>
            <w:tcBorders>
              <w:top w:val="single" w:sz="4" w:space="0" w:color="auto"/>
              <w:left w:val="nil"/>
              <w:bottom w:val="single" w:sz="4" w:space="0" w:color="auto"/>
              <w:right w:val="nil"/>
            </w:tcBorders>
            <w:shd w:val="clear" w:color="000000" w:fill="E6E6E6"/>
            <w:vAlign w:val="bottom"/>
            <w:hideMark/>
          </w:tcPr>
          <w:p w14:paraId="4A7BA87B" w14:textId="31EE71D6" w:rsidR="009D7805" w:rsidRPr="009D7805" w:rsidRDefault="009D7805" w:rsidP="008700A4">
            <w:pPr>
              <w:spacing w:after="0" w:line="240" w:lineRule="auto"/>
              <w:jc w:val="right"/>
              <w:rPr>
                <w:rFonts w:ascii="Arial" w:hAnsi="Arial" w:cs="Arial"/>
                <w:color w:val="000000" w:themeColor="text1"/>
                <w:sz w:val="16"/>
                <w:szCs w:val="16"/>
              </w:rPr>
            </w:pPr>
            <w:r w:rsidRPr="009D7805">
              <w:rPr>
                <w:rFonts w:ascii="Arial" w:hAnsi="Arial" w:cs="Arial"/>
                <w:color w:val="000000" w:themeColor="text1"/>
                <w:sz w:val="16"/>
                <w:szCs w:val="16"/>
              </w:rPr>
              <w:t>14,712</w:t>
            </w:r>
          </w:p>
        </w:tc>
      </w:tr>
      <w:tr w:rsidR="009D7805" w:rsidRPr="009D7805" w14:paraId="2D348BEA" w14:textId="77777777" w:rsidTr="009D7805">
        <w:trPr>
          <w:trHeight w:val="204"/>
        </w:trPr>
        <w:tc>
          <w:tcPr>
            <w:tcW w:w="3464" w:type="pct"/>
            <w:tcBorders>
              <w:top w:val="nil"/>
              <w:left w:val="nil"/>
              <w:bottom w:val="nil"/>
              <w:right w:val="nil"/>
            </w:tcBorders>
            <w:shd w:val="clear" w:color="000000" w:fill="FFFFFF"/>
            <w:vAlign w:val="bottom"/>
            <w:hideMark/>
          </w:tcPr>
          <w:p w14:paraId="36C607F1" w14:textId="7011706D" w:rsidR="009D7805" w:rsidRPr="00092BB9" w:rsidRDefault="009D7805" w:rsidP="008700A4">
            <w:pPr>
              <w:spacing w:after="0" w:line="240" w:lineRule="auto"/>
              <w:ind w:left="113"/>
              <w:rPr>
                <w:rFonts w:ascii="Arial" w:hAnsi="Arial" w:cs="Arial"/>
                <w:iCs/>
                <w:color w:val="000000"/>
                <w:sz w:val="16"/>
                <w:szCs w:val="16"/>
              </w:rPr>
            </w:pPr>
            <w:r w:rsidRPr="00092BB9">
              <w:rPr>
                <w:rFonts w:ascii="Arial" w:hAnsi="Arial" w:cs="Arial"/>
                <w:iCs/>
                <w:color w:val="000000"/>
                <w:sz w:val="16"/>
                <w:szCs w:val="16"/>
              </w:rPr>
              <w:t>less departmental appropriations drawn from annual/special appropriations and credited to special accounts</w:t>
            </w:r>
          </w:p>
        </w:tc>
        <w:tc>
          <w:tcPr>
            <w:tcW w:w="768" w:type="pct"/>
            <w:tcBorders>
              <w:top w:val="nil"/>
              <w:left w:val="nil"/>
              <w:bottom w:val="nil"/>
              <w:right w:val="nil"/>
            </w:tcBorders>
            <w:shd w:val="clear" w:color="000000" w:fill="FFFFFF"/>
            <w:vAlign w:val="bottom"/>
            <w:hideMark/>
          </w:tcPr>
          <w:p w14:paraId="662B72F4" w14:textId="77777777" w:rsidR="009D7805" w:rsidRPr="009D7805" w:rsidRDefault="009D7805" w:rsidP="008700A4">
            <w:pPr>
              <w:spacing w:after="0" w:line="240" w:lineRule="auto"/>
              <w:jc w:val="right"/>
              <w:rPr>
                <w:rFonts w:ascii="Arial" w:hAnsi="Arial" w:cs="Arial"/>
                <w:color w:val="000000" w:themeColor="text1"/>
                <w:sz w:val="16"/>
                <w:szCs w:val="16"/>
              </w:rPr>
            </w:pPr>
            <w:r w:rsidRPr="009D7805">
              <w:rPr>
                <w:rFonts w:ascii="Arial" w:hAnsi="Arial" w:cs="Arial"/>
                <w:color w:val="000000" w:themeColor="text1"/>
                <w:sz w:val="16"/>
                <w:szCs w:val="16"/>
              </w:rPr>
              <w:t>(4,747)</w:t>
            </w:r>
          </w:p>
        </w:tc>
        <w:tc>
          <w:tcPr>
            <w:tcW w:w="768" w:type="pct"/>
            <w:tcBorders>
              <w:top w:val="nil"/>
              <w:left w:val="nil"/>
              <w:bottom w:val="nil"/>
              <w:right w:val="nil"/>
            </w:tcBorders>
            <w:shd w:val="clear" w:color="000000" w:fill="E6E6E6"/>
            <w:vAlign w:val="bottom"/>
            <w:hideMark/>
          </w:tcPr>
          <w:p w14:paraId="2BE5E2A5" w14:textId="77777777" w:rsidR="009D7805" w:rsidRPr="009D7805" w:rsidRDefault="009D7805" w:rsidP="008700A4">
            <w:pPr>
              <w:spacing w:after="0" w:line="240" w:lineRule="auto"/>
              <w:jc w:val="right"/>
              <w:rPr>
                <w:rFonts w:ascii="Arial" w:hAnsi="Arial" w:cs="Arial"/>
                <w:color w:val="000000" w:themeColor="text1"/>
                <w:sz w:val="16"/>
                <w:szCs w:val="16"/>
              </w:rPr>
            </w:pPr>
            <w:r w:rsidRPr="009D7805">
              <w:rPr>
                <w:rFonts w:ascii="Arial" w:hAnsi="Arial" w:cs="Arial"/>
                <w:color w:val="000000" w:themeColor="text1"/>
                <w:sz w:val="16"/>
                <w:szCs w:val="16"/>
              </w:rPr>
              <w:t>(4,752)</w:t>
            </w:r>
          </w:p>
        </w:tc>
      </w:tr>
      <w:tr w:rsidR="009D7805" w:rsidRPr="009D7805" w14:paraId="63456431" w14:textId="77777777" w:rsidTr="009D7805">
        <w:trPr>
          <w:trHeight w:val="204"/>
        </w:trPr>
        <w:tc>
          <w:tcPr>
            <w:tcW w:w="3464" w:type="pct"/>
            <w:tcBorders>
              <w:top w:val="nil"/>
              <w:left w:val="nil"/>
              <w:bottom w:val="nil"/>
              <w:right w:val="nil"/>
            </w:tcBorders>
            <w:shd w:val="clear" w:color="000000" w:fill="FFFFFF"/>
            <w:vAlign w:val="bottom"/>
            <w:hideMark/>
          </w:tcPr>
          <w:p w14:paraId="53E85DC8" w14:textId="77777777" w:rsidR="009D7805" w:rsidRPr="009D7805" w:rsidRDefault="009D7805" w:rsidP="009D7805">
            <w:pPr>
              <w:spacing w:after="0" w:line="240" w:lineRule="auto"/>
              <w:rPr>
                <w:rFonts w:ascii="Arial" w:hAnsi="Arial" w:cs="Arial"/>
                <w:b/>
                <w:bCs/>
                <w:i/>
                <w:iCs/>
                <w:color w:val="000000"/>
                <w:sz w:val="16"/>
                <w:szCs w:val="16"/>
              </w:rPr>
            </w:pPr>
            <w:r w:rsidRPr="009D7805">
              <w:rPr>
                <w:rFonts w:ascii="Arial" w:hAnsi="Arial" w:cs="Arial"/>
                <w:b/>
                <w:bCs/>
                <w:i/>
                <w:iCs/>
                <w:color w:val="000000"/>
                <w:sz w:val="16"/>
                <w:szCs w:val="16"/>
              </w:rPr>
              <w:t>Total departmental resourcing</w:t>
            </w:r>
          </w:p>
        </w:tc>
        <w:tc>
          <w:tcPr>
            <w:tcW w:w="768" w:type="pct"/>
            <w:tcBorders>
              <w:top w:val="single" w:sz="4" w:space="0" w:color="auto"/>
              <w:left w:val="nil"/>
              <w:bottom w:val="single" w:sz="4" w:space="0" w:color="auto"/>
              <w:right w:val="nil"/>
            </w:tcBorders>
            <w:shd w:val="clear" w:color="000000" w:fill="FFFFFF"/>
            <w:vAlign w:val="bottom"/>
            <w:hideMark/>
          </w:tcPr>
          <w:p w14:paraId="1462B054" w14:textId="2391DB83" w:rsidR="009D7805" w:rsidRPr="009D7805" w:rsidRDefault="009D7805" w:rsidP="008700A4">
            <w:pPr>
              <w:spacing w:after="0" w:line="240" w:lineRule="auto"/>
              <w:jc w:val="right"/>
              <w:rPr>
                <w:rFonts w:ascii="Arial" w:hAnsi="Arial" w:cs="Arial"/>
                <w:b/>
                <w:bCs/>
                <w:color w:val="000000" w:themeColor="text1"/>
                <w:sz w:val="16"/>
                <w:szCs w:val="16"/>
              </w:rPr>
            </w:pPr>
            <w:r w:rsidRPr="009D7805">
              <w:rPr>
                <w:rFonts w:ascii="Arial" w:hAnsi="Arial" w:cs="Arial"/>
                <w:b/>
                <w:bCs/>
                <w:color w:val="000000" w:themeColor="text1"/>
                <w:sz w:val="16"/>
                <w:szCs w:val="16"/>
              </w:rPr>
              <w:t>539,746</w:t>
            </w:r>
          </w:p>
        </w:tc>
        <w:tc>
          <w:tcPr>
            <w:tcW w:w="768" w:type="pct"/>
            <w:tcBorders>
              <w:top w:val="single" w:sz="4" w:space="0" w:color="auto"/>
              <w:left w:val="nil"/>
              <w:bottom w:val="single" w:sz="4" w:space="0" w:color="auto"/>
              <w:right w:val="nil"/>
            </w:tcBorders>
            <w:shd w:val="clear" w:color="000000" w:fill="E6E6E6"/>
            <w:vAlign w:val="bottom"/>
            <w:hideMark/>
          </w:tcPr>
          <w:p w14:paraId="291344DC" w14:textId="2D9EEFFB" w:rsidR="009D7805" w:rsidRPr="009D7805" w:rsidRDefault="009D7805" w:rsidP="008700A4">
            <w:pPr>
              <w:spacing w:after="0" w:line="240" w:lineRule="auto"/>
              <w:jc w:val="right"/>
              <w:rPr>
                <w:rFonts w:ascii="Arial" w:hAnsi="Arial" w:cs="Arial"/>
                <w:b/>
                <w:bCs/>
                <w:color w:val="000000" w:themeColor="text1"/>
                <w:sz w:val="16"/>
                <w:szCs w:val="16"/>
              </w:rPr>
            </w:pPr>
            <w:r w:rsidRPr="009D7805">
              <w:rPr>
                <w:rFonts w:ascii="Arial" w:hAnsi="Arial" w:cs="Arial"/>
                <w:b/>
                <w:bCs/>
                <w:color w:val="000000" w:themeColor="text1"/>
                <w:sz w:val="16"/>
                <w:szCs w:val="16"/>
              </w:rPr>
              <w:t>604,728</w:t>
            </w:r>
          </w:p>
        </w:tc>
      </w:tr>
      <w:tr w:rsidR="009D7805" w:rsidRPr="009D7805" w14:paraId="6D51F275" w14:textId="77777777" w:rsidTr="009D7805">
        <w:trPr>
          <w:trHeight w:val="204"/>
        </w:trPr>
        <w:tc>
          <w:tcPr>
            <w:tcW w:w="3464" w:type="pct"/>
            <w:tcBorders>
              <w:top w:val="nil"/>
              <w:left w:val="nil"/>
              <w:bottom w:val="nil"/>
              <w:right w:val="nil"/>
            </w:tcBorders>
            <w:shd w:val="clear" w:color="000000" w:fill="FFFFFF"/>
            <w:vAlign w:val="bottom"/>
            <w:hideMark/>
          </w:tcPr>
          <w:p w14:paraId="78219572" w14:textId="77777777" w:rsidR="009D7805" w:rsidRPr="009D7805" w:rsidRDefault="009D7805" w:rsidP="009D7805">
            <w:pPr>
              <w:spacing w:after="0" w:line="240" w:lineRule="auto"/>
              <w:rPr>
                <w:rFonts w:ascii="Arial" w:hAnsi="Arial" w:cs="Arial"/>
                <w:b/>
                <w:bCs/>
                <w:color w:val="000000"/>
                <w:sz w:val="16"/>
                <w:szCs w:val="16"/>
              </w:rPr>
            </w:pPr>
            <w:r w:rsidRPr="009D7805">
              <w:rPr>
                <w:rFonts w:ascii="Arial" w:hAnsi="Arial" w:cs="Arial"/>
                <w:b/>
                <w:bCs/>
                <w:color w:val="000000"/>
                <w:sz w:val="16"/>
                <w:szCs w:val="16"/>
              </w:rPr>
              <w:t>Administered</w:t>
            </w:r>
          </w:p>
        </w:tc>
        <w:tc>
          <w:tcPr>
            <w:tcW w:w="768" w:type="pct"/>
            <w:tcBorders>
              <w:top w:val="nil"/>
              <w:left w:val="nil"/>
              <w:bottom w:val="nil"/>
              <w:right w:val="nil"/>
            </w:tcBorders>
            <w:shd w:val="clear" w:color="000000" w:fill="FFFFFF"/>
            <w:vAlign w:val="bottom"/>
            <w:hideMark/>
          </w:tcPr>
          <w:p w14:paraId="3B6F3AF6" w14:textId="45693D49" w:rsidR="009D7805" w:rsidRPr="009D7805" w:rsidRDefault="009D7805" w:rsidP="008700A4">
            <w:pPr>
              <w:spacing w:after="0" w:line="240" w:lineRule="auto"/>
              <w:jc w:val="right"/>
              <w:rPr>
                <w:rFonts w:ascii="Arial" w:hAnsi="Arial" w:cs="Arial"/>
                <w:color w:val="000000" w:themeColor="text1"/>
                <w:sz w:val="16"/>
                <w:szCs w:val="16"/>
              </w:rPr>
            </w:pPr>
          </w:p>
        </w:tc>
        <w:tc>
          <w:tcPr>
            <w:tcW w:w="768" w:type="pct"/>
            <w:tcBorders>
              <w:top w:val="nil"/>
              <w:left w:val="nil"/>
              <w:bottom w:val="nil"/>
              <w:right w:val="nil"/>
            </w:tcBorders>
            <w:shd w:val="clear" w:color="000000" w:fill="E6E6E6"/>
            <w:vAlign w:val="bottom"/>
            <w:hideMark/>
          </w:tcPr>
          <w:p w14:paraId="3535D5A5" w14:textId="7160EFD6" w:rsidR="009D7805" w:rsidRPr="009D7805" w:rsidRDefault="009D7805" w:rsidP="008700A4">
            <w:pPr>
              <w:spacing w:after="0" w:line="240" w:lineRule="auto"/>
              <w:jc w:val="right"/>
              <w:rPr>
                <w:rFonts w:ascii="Arial" w:hAnsi="Arial" w:cs="Arial"/>
                <w:color w:val="000000" w:themeColor="text1"/>
                <w:sz w:val="16"/>
                <w:szCs w:val="16"/>
              </w:rPr>
            </w:pPr>
          </w:p>
        </w:tc>
      </w:tr>
      <w:tr w:rsidR="009D7805" w:rsidRPr="009D7805" w14:paraId="3788D34D" w14:textId="77777777" w:rsidTr="009D7805">
        <w:trPr>
          <w:trHeight w:val="204"/>
        </w:trPr>
        <w:tc>
          <w:tcPr>
            <w:tcW w:w="3464" w:type="pct"/>
            <w:tcBorders>
              <w:top w:val="nil"/>
              <w:left w:val="nil"/>
              <w:bottom w:val="nil"/>
              <w:right w:val="nil"/>
            </w:tcBorders>
            <w:shd w:val="clear" w:color="000000" w:fill="FFFFFF"/>
            <w:vAlign w:val="bottom"/>
            <w:hideMark/>
          </w:tcPr>
          <w:p w14:paraId="7BCF5255" w14:textId="1427117D" w:rsidR="009D7805" w:rsidRPr="009D7805" w:rsidRDefault="009D7805" w:rsidP="009D7805">
            <w:pPr>
              <w:spacing w:after="0" w:line="240" w:lineRule="auto"/>
              <w:rPr>
                <w:rFonts w:ascii="Arial" w:hAnsi="Arial" w:cs="Arial"/>
                <w:color w:val="000000"/>
                <w:sz w:val="16"/>
                <w:szCs w:val="16"/>
              </w:rPr>
            </w:pPr>
            <w:r w:rsidRPr="009D7805">
              <w:rPr>
                <w:rFonts w:ascii="Arial" w:hAnsi="Arial" w:cs="Arial"/>
                <w:color w:val="000000"/>
                <w:sz w:val="16"/>
                <w:szCs w:val="16"/>
              </w:rPr>
              <w:t>Annual appropriations - ordinary annual services</w:t>
            </w:r>
            <w:r w:rsidRPr="009D7805">
              <w:rPr>
                <w:rFonts w:ascii="Arial" w:hAnsi="Arial" w:cs="Arial"/>
                <w:color w:val="000000"/>
                <w:sz w:val="16"/>
                <w:szCs w:val="16"/>
                <w:vertAlign w:val="superscript"/>
              </w:rPr>
              <w:t>(a)</w:t>
            </w:r>
          </w:p>
        </w:tc>
        <w:tc>
          <w:tcPr>
            <w:tcW w:w="768" w:type="pct"/>
            <w:tcBorders>
              <w:top w:val="nil"/>
              <w:left w:val="nil"/>
              <w:bottom w:val="nil"/>
              <w:right w:val="nil"/>
            </w:tcBorders>
            <w:shd w:val="clear" w:color="000000" w:fill="FFFFFF"/>
            <w:vAlign w:val="bottom"/>
            <w:hideMark/>
          </w:tcPr>
          <w:p w14:paraId="5B96935E" w14:textId="2EDDC82C" w:rsidR="009D7805" w:rsidRPr="009D7805" w:rsidRDefault="009D7805" w:rsidP="008700A4">
            <w:pPr>
              <w:spacing w:after="0" w:line="240" w:lineRule="auto"/>
              <w:jc w:val="right"/>
              <w:rPr>
                <w:rFonts w:ascii="Arial" w:hAnsi="Arial" w:cs="Arial"/>
                <w:color w:val="000000" w:themeColor="text1"/>
                <w:sz w:val="16"/>
                <w:szCs w:val="16"/>
              </w:rPr>
            </w:pPr>
          </w:p>
        </w:tc>
        <w:tc>
          <w:tcPr>
            <w:tcW w:w="768" w:type="pct"/>
            <w:tcBorders>
              <w:top w:val="nil"/>
              <w:left w:val="nil"/>
              <w:bottom w:val="nil"/>
              <w:right w:val="nil"/>
            </w:tcBorders>
            <w:shd w:val="clear" w:color="000000" w:fill="E6E6E6"/>
            <w:vAlign w:val="bottom"/>
            <w:hideMark/>
          </w:tcPr>
          <w:p w14:paraId="3AA06D2B" w14:textId="0D551B53" w:rsidR="009D7805" w:rsidRPr="009D7805" w:rsidRDefault="009D7805" w:rsidP="008700A4">
            <w:pPr>
              <w:spacing w:after="0" w:line="240" w:lineRule="auto"/>
              <w:jc w:val="right"/>
              <w:rPr>
                <w:rFonts w:ascii="Arial" w:hAnsi="Arial" w:cs="Arial"/>
                <w:color w:val="000000" w:themeColor="text1"/>
                <w:sz w:val="16"/>
                <w:szCs w:val="16"/>
              </w:rPr>
            </w:pPr>
          </w:p>
        </w:tc>
      </w:tr>
      <w:tr w:rsidR="009D7805" w:rsidRPr="009D7805" w14:paraId="76E1A588" w14:textId="77777777" w:rsidTr="009D7805">
        <w:trPr>
          <w:trHeight w:val="204"/>
        </w:trPr>
        <w:tc>
          <w:tcPr>
            <w:tcW w:w="3464" w:type="pct"/>
            <w:tcBorders>
              <w:top w:val="nil"/>
              <w:left w:val="nil"/>
              <w:bottom w:val="nil"/>
              <w:right w:val="nil"/>
            </w:tcBorders>
            <w:shd w:val="clear" w:color="000000" w:fill="FFFFFF"/>
            <w:vAlign w:val="bottom"/>
            <w:hideMark/>
          </w:tcPr>
          <w:p w14:paraId="171F1228" w14:textId="32CC9EE0" w:rsidR="009D7805" w:rsidRPr="009D7805" w:rsidRDefault="009D7805" w:rsidP="008700A4">
            <w:pPr>
              <w:spacing w:after="0" w:line="240" w:lineRule="auto"/>
              <w:ind w:left="113"/>
              <w:rPr>
                <w:rFonts w:ascii="Arial" w:hAnsi="Arial" w:cs="Arial"/>
                <w:color w:val="000000"/>
                <w:sz w:val="16"/>
                <w:szCs w:val="16"/>
              </w:rPr>
            </w:pPr>
            <w:r w:rsidRPr="009D7805">
              <w:rPr>
                <w:rFonts w:ascii="Arial" w:hAnsi="Arial" w:cs="Arial"/>
                <w:color w:val="000000"/>
                <w:sz w:val="16"/>
                <w:szCs w:val="16"/>
              </w:rPr>
              <w:t>Prior year appropriations available</w:t>
            </w:r>
            <w:r w:rsidRPr="009D7805">
              <w:rPr>
                <w:rFonts w:ascii="Arial" w:hAnsi="Arial" w:cs="Arial"/>
                <w:color w:val="000000"/>
                <w:sz w:val="16"/>
                <w:szCs w:val="16"/>
                <w:vertAlign w:val="superscript"/>
              </w:rPr>
              <w:t>(b)</w:t>
            </w:r>
          </w:p>
        </w:tc>
        <w:tc>
          <w:tcPr>
            <w:tcW w:w="768" w:type="pct"/>
            <w:tcBorders>
              <w:top w:val="nil"/>
              <w:left w:val="nil"/>
              <w:bottom w:val="nil"/>
              <w:right w:val="nil"/>
            </w:tcBorders>
            <w:shd w:val="clear" w:color="000000" w:fill="FFFFFF"/>
            <w:vAlign w:val="bottom"/>
            <w:hideMark/>
          </w:tcPr>
          <w:p w14:paraId="1E085290" w14:textId="150602BE" w:rsidR="009D7805" w:rsidRPr="009D7805" w:rsidRDefault="009D7805" w:rsidP="008700A4">
            <w:pPr>
              <w:spacing w:after="0" w:line="240" w:lineRule="auto"/>
              <w:jc w:val="right"/>
              <w:rPr>
                <w:rFonts w:ascii="Arial" w:hAnsi="Arial" w:cs="Arial"/>
                <w:color w:val="000000" w:themeColor="text1"/>
                <w:sz w:val="16"/>
                <w:szCs w:val="16"/>
              </w:rPr>
            </w:pPr>
            <w:r w:rsidRPr="009D7805">
              <w:rPr>
                <w:rFonts w:ascii="Arial" w:hAnsi="Arial" w:cs="Arial"/>
                <w:color w:val="000000" w:themeColor="text1"/>
                <w:sz w:val="16"/>
                <w:szCs w:val="16"/>
              </w:rPr>
              <w:t>2,799,111</w:t>
            </w:r>
          </w:p>
        </w:tc>
        <w:tc>
          <w:tcPr>
            <w:tcW w:w="768" w:type="pct"/>
            <w:tcBorders>
              <w:top w:val="nil"/>
              <w:left w:val="nil"/>
              <w:bottom w:val="nil"/>
              <w:right w:val="nil"/>
            </w:tcBorders>
            <w:shd w:val="clear" w:color="000000" w:fill="E6E6E6"/>
            <w:vAlign w:val="bottom"/>
            <w:hideMark/>
          </w:tcPr>
          <w:p w14:paraId="40542379" w14:textId="22A3E05B" w:rsidR="009D7805" w:rsidRPr="009D7805" w:rsidRDefault="009D7805" w:rsidP="008700A4">
            <w:pPr>
              <w:spacing w:after="0" w:line="240" w:lineRule="auto"/>
              <w:jc w:val="right"/>
              <w:rPr>
                <w:rFonts w:ascii="Arial" w:hAnsi="Arial" w:cs="Arial"/>
                <w:color w:val="000000" w:themeColor="text1"/>
                <w:sz w:val="16"/>
                <w:szCs w:val="16"/>
              </w:rPr>
            </w:pPr>
            <w:r w:rsidRPr="009D7805">
              <w:rPr>
                <w:rFonts w:ascii="Arial" w:hAnsi="Arial" w:cs="Arial"/>
                <w:color w:val="000000" w:themeColor="text1"/>
                <w:sz w:val="16"/>
                <w:szCs w:val="16"/>
              </w:rPr>
              <w:t>2,792,367</w:t>
            </w:r>
          </w:p>
        </w:tc>
      </w:tr>
      <w:tr w:rsidR="009D7805" w:rsidRPr="009D7805" w14:paraId="3618DCD3" w14:textId="77777777" w:rsidTr="009D7805">
        <w:trPr>
          <w:trHeight w:val="204"/>
        </w:trPr>
        <w:tc>
          <w:tcPr>
            <w:tcW w:w="3464" w:type="pct"/>
            <w:tcBorders>
              <w:top w:val="nil"/>
              <w:left w:val="nil"/>
              <w:bottom w:val="nil"/>
              <w:right w:val="nil"/>
            </w:tcBorders>
            <w:shd w:val="clear" w:color="000000" w:fill="FFFFFF"/>
            <w:vAlign w:val="bottom"/>
            <w:hideMark/>
          </w:tcPr>
          <w:p w14:paraId="499844AC" w14:textId="6580EFC2" w:rsidR="009D7805" w:rsidRPr="009D7805" w:rsidRDefault="009D7805" w:rsidP="008700A4">
            <w:pPr>
              <w:spacing w:after="0" w:line="240" w:lineRule="auto"/>
              <w:ind w:left="113"/>
              <w:rPr>
                <w:rFonts w:ascii="Arial" w:hAnsi="Arial" w:cs="Arial"/>
                <w:color w:val="000000"/>
                <w:sz w:val="16"/>
                <w:szCs w:val="16"/>
              </w:rPr>
            </w:pPr>
            <w:r w:rsidRPr="009D7805">
              <w:rPr>
                <w:rFonts w:ascii="Arial" w:hAnsi="Arial" w:cs="Arial"/>
                <w:color w:val="000000"/>
                <w:sz w:val="16"/>
                <w:szCs w:val="16"/>
              </w:rPr>
              <w:t>Outcome 1</w:t>
            </w:r>
          </w:p>
        </w:tc>
        <w:tc>
          <w:tcPr>
            <w:tcW w:w="768" w:type="pct"/>
            <w:tcBorders>
              <w:top w:val="nil"/>
              <w:left w:val="nil"/>
              <w:bottom w:val="nil"/>
              <w:right w:val="nil"/>
            </w:tcBorders>
            <w:shd w:val="clear" w:color="000000" w:fill="FFFFFF"/>
            <w:vAlign w:val="bottom"/>
            <w:hideMark/>
          </w:tcPr>
          <w:p w14:paraId="718F5478" w14:textId="03E2D8C8" w:rsidR="009D7805" w:rsidRPr="009D7805" w:rsidRDefault="009D7805" w:rsidP="008700A4">
            <w:pPr>
              <w:spacing w:after="0" w:line="240" w:lineRule="auto"/>
              <w:jc w:val="right"/>
              <w:rPr>
                <w:rFonts w:ascii="Arial" w:hAnsi="Arial" w:cs="Arial"/>
                <w:color w:val="000000" w:themeColor="text1"/>
                <w:sz w:val="16"/>
                <w:szCs w:val="16"/>
              </w:rPr>
            </w:pPr>
            <w:r w:rsidRPr="009D7805">
              <w:rPr>
                <w:rFonts w:ascii="Arial" w:hAnsi="Arial" w:cs="Arial"/>
                <w:color w:val="000000" w:themeColor="text1"/>
                <w:sz w:val="16"/>
                <w:szCs w:val="16"/>
              </w:rPr>
              <w:t>225,435</w:t>
            </w:r>
          </w:p>
        </w:tc>
        <w:tc>
          <w:tcPr>
            <w:tcW w:w="768" w:type="pct"/>
            <w:tcBorders>
              <w:top w:val="nil"/>
              <w:left w:val="nil"/>
              <w:bottom w:val="nil"/>
              <w:right w:val="nil"/>
            </w:tcBorders>
            <w:shd w:val="clear" w:color="000000" w:fill="E6E6E6"/>
            <w:vAlign w:val="bottom"/>
            <w:hideMark/>
          </w:tcPr>
          <w:p w14:paraId="22A88591" w14:textId="30A31C57" w:rsidR="009D7805" w:rsidRPr="009D7805" w:rsidRDefault="009D7805" w:rsidP="008700A4">
            <w:pPr>
              <w:spacing w:after="0" w:line="240" w:lineRule="auto"/>
              <w:jc w:val="right"/>
              <w:rPr>
                <w:rFonts w:ascii="Arial" w:hAnsi="Arial" w:cs="Arial"/>
                <w:color w:val="000000" w:themeColor="text1"/>
                <w:sz w:val="16"/>
                <w:szCs w:val="16"/>
              </w:rPr>
            </w:pPr>
            <w:r w:rsidRPr="009D7805">
              <w:rPr>
                <w:rFonts w:ascii="Arial" w:hAnsi="Arial" w:cs="Arial"/>
                <w:color w:val="000000" w:themeColor="text1"/>
                <w:sz w:val="16"/>
                <w:szCs w:val="16"/>
              </w:rPr>
              <w:t>43,798</w:t>
            </w:r>
          </w:p>
        </w:tc>
      </w:tr>
      <w:tr w:rsidR="009D7805" w:rsidRPr="009D7805" w14:paraId="20A11488" w14:textId="77777777" w:rsidTr="009D7805">
        <w:trPr>
          <w:trHeight w:val="204"/>
        </w:trPr>
        <w:tc>
          <w:tcPr>
            <w:tcW w:w="3464" w:type="pct"/>
            <w:tcBorders>
              <w:top w:val="nil"/>
              <w:left w:val="nil"/>
              <w:bottom w:val="nil"/>
              <w:right w:val="nil"/>
            </w:tcBorders>
            <w:shd w:val="clear" w:color="000000" w:fill="FFFFFF"/>
            <w:vAlign w:val="bottom"/>
            <w:hideMark/>
          </w:tcPr>
          <w:p w14:paraId="72DC59A0" w14:textId="41C82759" w:rsidR="009D7805" w:rsidRPr="009D7805" w:rsidRDefault="009D7805" w:rsidP="008700A4">
            <w:pPr>
              <w:spacing w:after="0" w:line="240" w:lineRule="auto"/>
              <w:ind w:left="113"/>
              <w:rPr>
                <w:rFonts w:ascii="Arial" w:hAnsi="Arial" w:cs="Arial"/>
                <w:color w:val="000000"/>
                <w:sz w:val="16"/>
                <w:szCs w:val="16"/>
              </w:rPr>
            </w:pPr>
            <w:r w:rsidRPr="009D7805">
              <w:rPr>
                <w:rFonts w:ascii="Arial" w:hAnsi="Arial" w:cs="Arial"/>
                <w:color w:val="000000"/>
                <w:sz w:val="16"/>
                <w:szCs w:val="16"/>
              </w:rPr>
              <w:t>Outcome 2</w:t>
            </w:r>
          </w:p>
        </w:tc>
        <w:tc>
          <w:tcPr>
            <w:tcW w:w="768" w:type="pct"/>
            <w:tcBorders>
              <w:top w:val="nil"/>
              <w:left w:val="nil"/>
              <w:bottom w:val="nil"/>
              <w:right w:val="nil"/>
            </w:tcBorders>
            <w:shd w:val="clear" w:color="000000" w:fill="FFFFFF"/>
            <w:vAlign w:val="bottom"/>
            <w:hideMark/>
          </w:tcPr>
          <w:p w14:paraId="0A673A33" w14:textId="7C830B78" w:rsidR="009D7805" w:rsidRPr="009D7805" w:rsidRDefault="009D7805" w:rsidP="008700A4">
            <w:pPr>
              <w:spacing w:after="0" w:line="240" w:lineRule="auto"/>
              <w:jc w:val="right"/>
              <w:rPr>
                <w:rFonts w:ascii="Arial" w:hAnsi="Arial" w:cs="Arial"/>
                <w:color w:val="000000" w:themeColor="text1"/>
                <w:sz w:val="16"/>
                <w:szCs w:val="16"/>
              </w:rPr>
            </w:pPr>
            <w:r w:rsidRPr="009D7805">
              <w:rPr>
                <w:rFonts w:ascii="Arial" w:hAnsi="Arial" w:cs="Arial"/>
                <w:color w:val="000000" w:themeColor="text1"/>
                <w:sz w:val="16"/>
                <w:szCs w:val="16"/>
              </w:rPr>
              <w:t>336,927</w:t>
            </w:r>
          </w:p>
        </w:tc>
        <w:tc>
          <w:tcPr>
            <w:tcW w:w="768" w:type="pct"/>
            <w:tcBorders>
              <w:top w:val="nil"/>
              <w:left w:val="nil"/>
              <w:bottom w:val="nil"/>
              <w:right w:val="nil"/>
            </w:tcBorders>
            <w:shd w:val="clear" w:color="000000" w:fill="E6E6E6"/>
            <w:vAlign w:val="bottom"/>
            <w:hideMark/>
          </w:tcPr>
          <w:p w14:paraId="35307FBC" w14:textId="4A5C00F1" w:rsidR="009D7805" w:rsidRPr="009D7805" w:rsidRDefault="009D7805" w:rsidP="008700A4">
            <w:pPr>
              <w:spacing w:after="0" w:line="240" w:lineRule="auto"/>
              <w:jc w:val="right"/>
              <w:rPr>
                <w:rFonts w:ascii="Arial" w:hAnsi="Arial" w:cs="Arial"/>
                <w:color w:val="000000" w:themeColor="text1"/>
                <w:sz w:val="16"/>
                <w:szCs w:val="16"/>
              </w:rPr>
            </w:pPr>
            <w:r w:rsidRPr="009D7805">
              <w:rPr>
                <w:rFonts w:ascii="Arial" w:hAnsi="Arial" w:cs="Arial"/>
                <w:color w:val="000000" w:themeColor="text1"/>
                <w:sz w:val="16"/>
                <w:szCs w:val="16"/>
              </w:rPr>
              <w:t>387,135</w:t>
            </w:r>
          </w:p>
        </w:tc>
      </w:tr>
      <w:tr w:rsidR="009D7805" w:rsidRPr="009D7805" w14:paraId="7A8C9ECC" w14:textId="77777777" w:rsidTr="009D7805">
        <w:trPr>
          <w:trHeight w:val="204"/>
        </w:trPr>
        <w:tc>
          <w:tcPr>
            <w:tcW w:w="3464" w:type="pct"/>
            <w:tcBorders>
              <w:top w:val="nil"/>
              <w:left w:val="nil"/>
              <w:bottom w:val="nil"/>
              <w:right w:val="nil"/>
            </w:tcBorders>
            <w:shd w:val="clear" w:color="000000" w:fill="FFFFFF"/>
            <w:vAlign w:val="bottom"/>
            <w:hideMark/>
          </w:tcPr>
          <w:p w14:paraId="5E9D78F3" w14:textId="159093FA" w:rsidR="009D7805" w:rsidRPr="009D7805" w:rsidRDefault="009D7805" w:rsidP="008700A4">
            <w:pPr>
              <w:spacing w:after="0" w:line="240" w:lineRule="auto"/>
              <w:ind w:left="113"/>
              <w:rPr>
                <w:rFonts w:ascii="Arial" w:hAnsi="Arial" w:cs="Arial"/>
                <w:color w:val="000000"/>
                <w:sz w:val="16"/>
                <w:szCs w:val="16"/>
              </w:rPr>
            </w:pPr>
            <w:r w:rsidRPr="009D7805">
              <w:rPr>
                <w:rFonts w:ascii="Arial" w:hAnsi="Arial" w:cs="Arial"/>
                <w:color w:val="000000"/>
                <w:sz w:val="16"/>
                <w:szCs w:val="16"/>
              </w:rPr>
              <w:t>Outcome 3</w:t>
            </w:r>
          </w:p>
        </w:tc>
        <w:tc>
          <w:tcPr>
            <w:tcW w:w="768" w:type="pct"/>
            <w:tcBorders>
              <w:top w:val="nil"/>
              <w:left w:val="nil"/>
              <w:bottom w:val="nil"/>
              <w:right w:val="nil"/>
            </w:tcBorders>
            <w:shd w:val="clear" w:color="auto" w:fill="auto"/>
            <w:vAlign w:val="bottom"/>
            <w:hideMark/>
          </w:tcPr>
          <w:p w14:paraId="5A35F06C" w14:textId="469CEB40" w:rsidR="009D7805" w:rsidRPr="009D7805" w:rsidRDefault="009D7805" w:rsidP="008700A4">
            <w:pPr>
              <w:spacing w:after="0" w:line="240" w:lineRule="auto"/>
              <w:jc w:val="right"/>
              <w:rPr>
                <w:rFonts w:ascii="Arial" w:hAnsi="Arial" w:cs="Arial"/>
                <w:color w:val="000000" w:themeColor="text1"/>
                <w:sz w:val="16"/>
                <w:szCs w:val="16"/>
              </w:rPr>
            </w:pPr>
            <w:r w:rsidRPr="009D7805">
              <w:rPr>
                <w:rFonts w:ascii="Arial" w:hAnsi="Arial" w:cs="Arial"/>
                <w:color w:val="000000" w:themeColor="text1"/>
                <w:sz w:val="16"/>
                <w:szCs w:val="16"/>
              </w:rPr>
              <w:t>784,113</w:t>
            </w:r>
          </w:p>
        </w:tc>
        <w:tc>
          <w:tcPr>
            <w:tcW w:w="768" w:type="pct"/>
            <w:tcBorders>
              <w:top w:val="nil"/>
              <w:left w:val="nil"/>
              <w:bottom w:val="nil"/>
              <w:right w:val="nil"/>
            </w:tcBorders>
            <w:shd w:val="clear" w:color="000000" w:fill="E6E6E6"/>
            <w:vAlign w:val="bottom"/>
            <w:hideMark/>
          </w:tcPr>
          <w:p w14:paraId="62553985" w14:textId="0CF9DDF4" w:rsidR="009D7805" w:rsidRPr="009D7805" w:rsidRDefault="009D7805" w:rsidP="008700A4">
            <w:pPr>
              <w:spacing w:after="0" w:line="240" w:lineRule="auto"/>
              <w:jc w:val="right"/>
              <w:rPr>
                <w:rFonts w:ascii="Arial" w:hAnsi="Arial" w:cs="Arial"/>
                <w:color w:val="000000" w:themeColor="text1"/>
                <w:sz w:val="16"/>
                <w:szCs w:val="16"/>
              </w:rPr>
            </w:pPr>
            <w:r w:rsidRPr="009D7805">
              <w:rPr>
                <w:rFonts w:ascii="Arial" w:hAnsi="Arial" w:cs="Arial"/>
                <w:color w:val="000000" w:themeColor="text1"/>
                <w:sz w:val="16"/>
                <w:szCs w:val="16"/>
              </w:rPr>
              <w:t>916,527</w:t>
            </w:r>
          </w:p>
        </w:tc>
      </w:tr>
      <w:tr w:rsidR="009D7805" w:rsidRPr="009D7805" w14:paraId="3AC49ACC" w14:textId="77777777" w:rsidTr="009D7805">
        <w:trPr>
          <w:trHeight w:val="204"/>
        </w:trPr>
        <w:tc>
          <w:tcPr>
            <w:tcW w:w="3464" w:type="pct"/>
            <w:tcBorders>
              <w:top w:val="nil"/>
              <w:left w:val="nil"/>
              <w:bottom w:val="nil"/>
              <w:right w:val="nil"/>
            </w:tcBorders>
            <w:shd w:val="clear" w:color="000000" w:fill="FFFFFF"/>
            <w:vAlign w:val="bottom"/>
            <w:hideMark/>
          </w:tcPr>
          <w:p w14:paraId="7FB4DF22" w14:textId="4AFDA05E" w:rsidR="009D7805" w:rsidRPr="009D7805" w:rsidRDefault="009D7805" w:rsidP="008700A4">
            <w:pPr>
              <w:spacing w:after="0" w:line="240" w:lineRule="auto"/>
              <w:ind w:left="113"/>
              <w:rPr>
                <w:rFonts w:ascii="Arial" w:hAnsi="Arial" w:cs="Arial"/>
                <w:color w:val="000000"/>
                <w:sz w:val="16"/>
                <w:szCs w:val="16"/>
              </w:rPr>
            </w:pPr>
            <w:r w:rsidRPr="009D7805">
              <w:rPr>
                <w:rFonts w:ascii="Arial" w:hAnsi="Arial" w:cs="Arial"/>
                <w:color w:val="000000"/>
                <w:sz w:val="16"/>
                <w:szCs w:val="16"/>
              </w:rPr>
              <w:t>Outcome 4</w:t>
            </w:r>
          </w:p>
        </w:tc>
        <w:tc>
          <w:tcPr>
            <w:tcW w:w="768" w:type="pct"/>
            <w:tcBorders>
              <w:top w:val="nil"/>
              <w:left w:val="nil"/>
              <w:bottom w:val="nil"/>
              <w:right w:val="nil"/>
            </w:tcBorders>
            <w:shd w:val="clear" w:color="000000" w:fill="FFFFFF"/>
            <w:vAlign w:val="bottom"/>
            <w:hideMark/>
          </w:tcPr>
          <w:p w14:paraId="58E11243" w14:textId="68C49C1A" w:rsidR="009D7805" w:rsidRPr="009D7805" w:rsidRDefault="009D7805" w:rsidP="008700A4">
            <w:pPr>
              <w:spacing w:after="0" w:line="240" w:lineRule="auto"/>
              <w:jc w:val="right"/>
              <w:rPr>
                <w:rFonts w:ascii="Arial" w:hAnsi="Arial" w:cs="Arial"/>
                <w:color w:val="000000" w:themeColor="text1"/>
                <w:sz w:val="16"/>
                <w:szCs w:val="16"/>
              </w:rPr>
            </w:pPr>
            <w:r w:rsidRPr="009D7805">
              <w:rPr>
                <w:rFonts w:ascii="Arial" w:hAnsi="Arial" w:cs="Arial"/>
                <w:color w:val="000000" w:themeColor="text1"/>
                <w:sz w:val="16"/>
                <w:szCs w:val="16"/>
              </w:rPr>
              <w:t>245,704</w:t>
            </w:r>
          </w:p>
        </w:tc>
        <w:tc>
          <w:tcPr>
            <w:tcW w:w="768" w:type="pct"/>
            <w:tcBorders>
              <w:top w:val="nil"/>
              <w:left w:val="nil"/>
              <w:bottom w:val="nil"/>
              <w:right w:val="nil"/>
            </w:tcBorders>
            <w:shd w:val="clear" w:color="000000" w:fill="E6E6E6"/>
            <w:vAlign w:val="bottom"/>
            <w:hideMark/>
          </w:tcPr>
          <w:p w14:paraId="4D86785E" w14:textId="59A56FB4" w:rsidR="009D7805" w:rsidRPr="009D7805" w:rsidRDefault="009D7805" w:rsidP="008700A4">
            <w:pPr>
              <w:spacing w:after="0" w:line="240" w:lineRule="auto"/>
              <w:jc w:val="right"/>
              <w:rPr>
                <w:rFonts w:ascii="Arial" w:hAnsi="Arial" w:cs="Arial"/>
                <w:color w:val="000000" w:themeColor="text1"/>
                <w:sz w:val="16"/>
                <w:szCs w:val="16"/>
              </w:rPr>
            </w:pPr>
            <w:r w:rsidRPr="009D7805">
              <w:rPr>
                <w:rFonts w:ascii="Arial" w:hAnsi="Arial" w:cs="Arial"/>
                <w:color w:val="000000" w:themeColor="text1"/>
                <w:sz w:val="16"/>
                <w:szCs w:val="16"/>
              </w:rPr>
              <w:t>202,547</w:t>
            </w:r>
          </w:p>
        </w:tc>
      </w:tr>
      <w:tr w:rsidR="009D7805" w:rsidRPr="009D7805" w14:paraId="635148DD" w14:textId="77777777" w:rsidTr="009D7805">
        <w:trPr>
          <w:trHeight w:val="204"/>
        </w:trPr>
        <w:tc>
          <w:tcPr>
            <w:tcW w:w="3464" w:type="pct"/>
            <w:tcBorders>
              <w:top w:val="nil"/>
              <w:left w:val="nil"/>
              <w:bottom w:val="nil"/>
              <w:right w:val="nil"/>
            </w:tcBorders>
            <w:shd w:val="clear" w:color="000000" w:fill="FFFFFF"/>
            <w:vAlign w:val="bottom"/>
            <w:hideMark/>
          </w:tcPr>
          <w:p w14:paraId="23734620" w14:textId="57054E40" w:rsidR="009D7805" w:rsidRPr="009D7805" w:rsidRDefault="009D7805" w:rsidP="008700A4">
            <w:pPr>
              <w:spacing w:after="0" w:line="240" w:lineRule="auto"/>
              <w:ind w:left="113"/>
              <w:rPr>
                <w:rFonts w:ascii="Arial" w:hAnsi="Arial" w:cs="Arial"/>
                <w:color w:val="000000"/>
                <w:sz w:val="16"/>
                <w:szCs w:val="16"/>
              </w:rPr>
            </w:pPr>
            <w:r w:rsidRPr="009D7805">
              <w:rPr>
                <w:rFonts w:ascii="Arial" w:hAnsi="Arial" w:cs="Arial"/>
                <w:color w:val="000000"/>
                <w:sz w:val="16"/>
                <w:szCs w:val="16"/>
              </w:rPr>
              <w:t>Outcome 5</w:t>
            </w:r>
          </w:p>
        </w:tc>
        <w:tc>
          <w:tcPr>
            <w:tcW w:w="768" w:type="pct"/>
            <w:tcBorders>
              <w:top w:val="nil"/>
              <w:left w:val="nil"/>
              <w:bottom w:val="nil"/>
              <w:right w:val="nil"/>
            </w:tcBorders>
            <w:shd w:val="clear" w:color="auto" w:fill="auto"/>
            <w:vAlign w:val="bottom"/>
            <w:hideMark/>
          </w:tcPr>
          <w:p w14:paraId="1855EE14" w14:textId="3ABB3990" w:rsidR="009D7805" w:rsidRPr="009D7805" w:rsidRDefault="009D7805" w:rsidP="008700A4">
            <w:pPr>
              <w:spacing w:after="0" w:line="240" w:lineRule="auto"/>
              <w:jc w:val="right"/>
              <w:rPr>
                <w:rFonts w:ascii="Arial" w:hAnsi="Arial" w:cs="Arial"/>
                <w:color w:val="000000" w:themeColor="text1"/>
                <w:sz w:val="16"/>
                <w:szCs w:val="16"/>
              </w:rPr>
            </w:pPr>
            <w:r w:rsidRPr="009D7805">
              <w:rPr>
                <w:rFonts w:ascii="Arial" w:hAnsi="Arial" w:cs="Arial"/>
                <w:color w:val="000000" w:themeColor="text1"/>
                <w:sz w:val="16"/>
                <w:szCs w:val="16"/>
              </w:rPr>
              <w:t>310,319</w:t>
            </w:r>
          </w:p>
        </w:tc>
        <w:tc>
          <w:tcPr>
            <w:tcW w:w="768" w:type="pct"/>
            <w:tcBorders>
              <w:top w:val="nil"/>
              <w:left w:val="nil"/>
              <w:bottom w:val="nil"/>
              <w:right w:val="nil"/>
            </w:tcBorders>
            <w:shd w:val="clear" w:color="000000" w:fill="E6E6E6"/>
            <w:vAlign w:val="bottom"/>
            <w:hideMark/>
          </w:tcPr>
          <w:p w14:paraId="339B2E70" w14:textId="3B9C15BD" w:rsidR="009D7805" w:rsidRPr="009D7805" w:rsidRDefault="009D7805" w:rsidP="008700A4">
            <w:pPr>
              <w:spacing w:after="0" w:line="240" w:lineRule="auto"/>
              <w:jc w:val="right"/>
              <w:rPr>
                <w:rFonts w:ascii="Arial" w:hAnsi="Arial" w:cs="Arial"/>
                <w:color w:val="000000" w:themeColor="text1"/>
                <w:sz w:val="16"/>
                <w:szCs w:val="16"/>
              </w:rPr>
            </w:pPr>
            <w:r w:rsidRPr="009D7805">
              <w:rPr>
                <w:rFonts w:ascii="Arial" w:hAnsi="Arial" w:cs="Arial"/>
                <w:color w:val="000000" w:themeColor="text1"/>
                <w:sz w:val="16"/>
                <w:szCs w:val="16"/>
              </w:rPr>
              <w:t>411,782</w:t>
            </w:r>
          </w:p>
        </w:tc>
      </w:tr>
      <w:tr w:rsidR="009D7805" w:rsidRPr="009D7805" w14:paraId="036C11CC" w14:textId="77777777" w:rsidTr="009D7805">
        <w:trPr>
          <w:trHeight w:val="204"/>
        </w:trPr>
        <w:tc>
          <w:tcPr>
            <w:tcW w:w="3464" w:type="pct"/>
            <w:tcBorders>
              <w:top w:val="nil"/>
              <w:left w:val="nil"/>
              <w:bottom w:val="nil"/>
              <w:right w:val="nil"/>
            </w:tcBorders>
            <w:shd w:val="clear" w:color="000000" w:fill="FFFFFF"/>
            <w:vAlign w:val="bottom"/>
            <w:hideMark/>
          </w:tcPr>
          <w:p w14:paraId="40653FBF" w14:textId="25747563" w:rsidR="009D7805" w:rsidRPr="009D7805" w:rsidRDefault="009D7805" w:rsidP="008700A4">
            <w:pPr>
              <w:spacing w:after="0" w:line="240" w:lineRule="auto"/>
              <w:ind w:left="113"/>
              <w:rPr>
                <w:rFonts w:ascii="Arial" w:hAnsi="Arial" w:cs="Arial"/>
                <w:color w:val="000000"/>
                <w:sz w:val="16"/>
                <w:szCs w:val="16"/>
              </w:rPr>
            </w:pPr>
            <w:r w:rsidRPr="009D7805">
              <w:rPr>
                <w:rFonts w:ascii="Arial" w:hAnsi="Arial" w:cs="Arial"/>
                <w:color w:val="000000"/>
                <w:sz w:val="16"/>
                <w:szCs w:val="16"/>
              </w:rPr>
              <w:t>Outcome 6</w:t>
            </w:r>
          </w:p>
        </w:tc>
        <w:tc>
          <w:tcPr>
            <w:tcW w:w="768" w:type="pct"/>
            <w:tcBorders>
              <w:top w:val="nil"/>
              <w:left w:val="nil"/>
              <w:bottom w:val="nil"/>
              <w:right w:val="nil"/>
            </w:tcBorders>
            <w:shd w:val="clear" w:color="000000" w:fill="FFFFFF"/>
            <w:vAlign w:val="bottom"/>
            <w:hideMark/>
          </w:tcPr>
          <w:p w14:paraId="074B46BA" w14:textId="6DFAD7FD" w:rsidR="009D7805" w:rsidRPr="009D7805" w:rsidRDefault="009D7805" w:rsidP="008700A4">
            <w:pPr>
              <w:spacing w:after="0" w:line="240" w:lineRule="auto"/>
              <w:jc w:val="right"/>
              <w:rPr>
                <w:rFonts w:ascii="Arial" w:hAnsi="Arial" w:cs="Arial"/>
                <w:color w:val="000000" w:themeColor="text1"/>
                <w:sz w:val="16"/>
                <w:szCs w:val="16"/>
              </w:rPr>
            </w:pPr>
            <w:r w:rsidRPr="009D7805">
              <w:rPr>
                <w:rFonts w:ascii="Arial" w:hAnsi="Arial" w:cs="Arial"/>
                <w:color w:val="000000" w:themeColor="text1"/>
                <w:sz w:val="16"/>
                <w:szCs w:val="16"/>
              </w:rPr>
              <w:t>294,977</w:t>
            </w:r>
          </w:p>
        </w:tc>
        <w:tc>
          <w:tcPr>
            <w:tcW w:w="768" w:type="pct"/>
            <w:tcBorders>
              <w:top w:val="nil"/>
              <w:left w:val="nil"/>
              <w:bottom w:val="nil"/>
              <w:right w:val="nil"/>
            </w:tcBorders>
            <w:shd w:val="clear" w:color="000000" w:fill="E6E6E6"/>
            <w:vAlign w:val="bottom"/>
            <w:hideMark/>
          </w:tcPr>
          <w:p w14:paraId="6DE4F3DB" w14:textId="4B3CE711" w:rsidR="009D7805" w:rsidRPr="009D7805" w:rsidRDefault="009D7805" w:rsidP="008700A4">
            <w:pPr>
              <w:spacing w:after="0" w:line="240" w:lineRule="auto"/>
              <w:jc w:val="right"/>
              <w:rPr>
                <w:rFonts w:ascii="Arial" w:hAnsi="Arial" w:cs="Arial"/>
                <w:color w:val="000000" w:themeColor="text1"/>
                <w:sz w:val="16"/>
                <w:szCs w:val="16"/>
              </w:rPr>
            </w:pPr>
            <w:r w:rsidRPr="009D7805">
              <w:rPr>
                <w:rFonts w:ascii="Arial" w:hAnsi="Arial" w:cs="Arial"/>
                <w:color w:val="000000" w:themeColor="text1"/>
                <w:sz w:val="16"/>
                <w:szCs w:val="16"/>
              </w:rPr>
              <w:t>291,850</w:t>
            </w:r>
          </w:p>
        </w:tc>
      </w:tr>
      <w:tr w:rsidR="009D7805" w:rsidRPr="009D7805" w14:paraId="49955DFC" w14:textId="77777777" w:rsidTr="009D7805">
        <w:trPr>
          <w:trHeight w:val="204"/>
        </w:trPr>
        <w:tc>
          <w:tcPr>
            <w:tcW w:w="3464" w:type="pct"/>
            <w:tcBorders>
              <w:top w:val="nil"/>
              <w:left w:val="nil"/>
              <w:bottom w:val="nil"/>
              <w:right w:val="nil"/>
            </w:tcBorders>
            <w:shd w:val="clear" w:color="000000" w:fill="FFFFFF"/>
            <w:vAlign w:val="bottom"/>
            <w:hideMark/>
          </w:tcPr>
          <w:p w14:paraId="63F36EB0" w14:textId="40FAF058" w:rsidR="009D7805" w:rsidRPr="009D7805" w:rsidRDefault="009D7805" w:rsidP="008700A4">
            <w:pPr>
              <w:spacing w:after="0" w:line="240" w:lineRule="auto"/>
              <w:ind w:left="113"/>
              <w:rPr>
                <w:rFonts w:ascii="Arial" w:hAnsi="Arial" w:cs="Arial"/>
                <w:color w:val="000000"/>
                <w:sz w:val="16"/>
                <w:szCs w:val="16"/>
              </w:rPr>
            </w:pPr>
            <w:r w:rsidRPr="009D7805">
              <w:rPr>
                <w:rFonts w:ascii="Arial" w:hAnsi="Arial" w:cs="Arial"/>
                <w:color w:val="000000"/>
                <w:sz w:val="16"/>
                <w:szCs w:val="16"/>
              </w:rPr>
              <w:t>Administered capital budget</w:t>
            </w:r>
            <w:r w:rsidRPr="009D7805">
              <w:rPr>
                <w:rFonts w:ascii="Arial" w:hAnsi="Arial" w:cs="Arial"/>
                <w:color w:val="000000"/>
                <w:sz w:val="16"/>
                <w:szCs w:val="16"/>
                <w:vertAlign w:val="superscript"/>
              </w:rPr>
              <w:t>(f)</w:t>
            </w:r>
          </w:p>
        </w:tc>
        <w:tc>
          <w:tcPr>
            <w:tcW w:w="768" w:type="pct"/>
            <w:tcBorders>
              <w:top w:val="nil"/>
              <w:left w:val="nil"/>
              <w:bottom w:val="nil"/>
              <w:right w:val="nil"/>
            </w:tcBorders>
            <w:shd w:val="clear" w:color="000000" w:fill="FFFFFF"/>
            <w:vAlign w:val="bottom"/>
            <w:hideMark/>
          </w:tcPr>
          <w:p w14:paraId="0CEA3CE4" w14:textId="7A794F37" w:rsidR="009D7805" w:rsidRPr="009D7805" w:rsidRDefault="009D7805" w:rsidP="008700A4">
            <w:pPr>
              <w:spacing w:after="0" w:line="240" w:lineRule="auto"/>
              <w:jc w:val="right"/>
              <w:rPr>
                <w:rFonts w:ascii="Arial" w:hAnsi="Arial" w:cs="Arial"/>
                <w:color w:val="000000" w:themeColor="text1"/>
                <w:sz w:val="16"/>
                <w:szCs w:val="16"/>
              </w:rPr>
            </w:pPr>
            <w:r w:rsidRPr="009D7805">
              <w:rPr>
                <w:rFonts w:ascii="Arial" w:hAnsi="Arial" w:cs="Arial"/>
                <w:color w:val="000000" w:themeColor="text1"/>
                <w:sz w:val="16"/>
                <w:szCs w:val="16"/>
              </w:rPr>
              <w:t>39,244</w:t>
            </w:r>
          </w:p>
        </w:tc>
        <w:tc>
          <w:tcPr>
            <w:tcW w:w="768" w:type="pct"/>
            <w:tcBorders>
              <w:top w:val="nil"/>
              <w:left w:val="nil"/>
              <w:bottom w:val="nil"/>
              <w:right w:val="nil"/>
            </w:tcBorders>
            <w:shd w:val="clear" w:color="000000" w:fill="E6E6E6"/>
            <w:vAlign w:val="bottom"/>
            <w:hideMark/>
          </w:tcPr>
          <w:p w14:paraId="112EC056" w14:textId="1AE0DB3B" w:rsidR="009D7805" w:rsidRPr="009D7805" w:rsidRDefault="009D7805" w:rsidP="008700A4">
            <w:pPr>
              <w:spacing w:after="0" w:line="240" w:lineRule="auto"/>
              <w:jc w:val="right"/>
              <w:rPr>
                <w:rFonts w:ascii="Arial" w:hAnsi="Arial" w:cs="Arial"/>
                <w:color w:val="000000" w:themeColor="text1"/>
                <w:sz w:val="16"/>
                <w:szCs w:val="16"/>
              </w:rPr>
            </w:pPr>
            <w:r w:rsidRPr="009D7805">
              <w:rPr>
                <w:rFonts w:ascii="Arial" w:hAnsi="Arial" w:cs="Arial"/>
                <w:color w:val="000000" w:themeColor="text1"/>
                <w:sz w:val="16"/>
                <w:szCs w:val="16"/>
              </w:rPr>
              <w:t>26,991</w:t>
            </w:r>
          </w:p>
        </w:tc>
      </w:tr>
      <w:tr w:rsidR="009D7805" w:rsidRPr="009D7805" w14:paraId="3F15D4B6" w14:textId="77777777" w:rsidTr="009D7805">
        <w:trPr>
          <w:trHeight w:val="204"/>
        </w:trPr>
        <w:tc>
          <w:tcPr>
            <w:tcW w:w="3464" w:type="pct"/>
            <w:tcBorders>
              <w:top w:val="nil"/>
              <w:left w:val="nil"/>
              <w:bottom w:val="nil"/>
              <w:right w:val="nil"/>
            </w:tcBorders>
            <w:shd w:val="clear" w:color="000000" w:fill="FFFFFF"/>
            <w:vAlign w:val="bottom"/>
            <w:hideMark/>
          </w:tcPr>
          <w:p w14:paraId="024375FA" w14:textId="25987523" w:rsidR="009D7805" w:rsidRPr="009D7805" w:rsidRDefault="009D7805" w:rsidP="008700A4">
            <w:pPr>
              <w:spacing w:after="0" w:line="240" w:lineRule="auto"/>
              <w:ind w:left="113"/>
              <w:rPr>
                <w:rFonts w:ascii="Arial" w:hAnsi="Arial" w:cs="Arial"/>
                <w:color w:val="000000"/>
                <w:sz w:val="16"/>
                <w:szCs w:val="16"/>
              </w:rPr>
            </w:pPr>
            <w:r w:rsidRPr="009D7805">
              <w:rPr>
                <w:rFonts w:ascii="Arial" w:hAnsi="Arial" w:cs="Arial"/>
                <w:color w:val="000000"/>
                <w:sz w:val="16"/>
                <w:szCs w:val="16"/>
              </w:rPr>
              <w:t>Payments to corporate entities</w:t>
            </w:r>
            <w:r w:rsidRPr="009D7805">
              <w:rPr>
                <w:rFonts w:ascii="Arial" w:hAnsi="Arial" w:cs="Arial"/>
                <w:color w:val="000000"/>
                <w:sz w:val="16"/>
                <w:szCs w:val="16"/>
                <w:vertAlign w:val="superscript"/>
              </w:rPr>
              <w:t>(g)</w:t>
            </w:r>
          </w:p>
        </w:tc>
        <w:tc>
          <w:tcPr>
            <w:tcW w:w="768" w:type="pct"/>
            <w:tcBorders>
              <w:top w:val="nil"/>
              <w:left w:val="nil"/>
              <w:bottom w:val="nil"/>
              <w:right w:val="nil"/>
            </w:tcBorders>
            <w:shd w:val="clear" w:color="000000" w:fill="FFFFFF"/>
            <w:vAlign w:val="bottom"/>
            <w:hideMark/>
          </w:tcPr>
          <w:p w14:paraId="71119ABC" w14:textId="3F472FCA" w:rsidR="009D7805" w:rsidRPr="009D7805" w:rsidRDefault="009D7805" w:rsidP="008700A4">
            <w:pPr>
              <w:spacing w:after="0" w:line="240" w:lineRule="auto"/>
              <w:jc w:val="right"/>
              <w:rPr>
                <w:rFonts w:ascii="Arial" w:hAnsi="Arial" w:cs="Arial"/>
                <w:color w:val="000000" w:themeColor="text1"/>
                <w:sz w:val="16"/>
                <w:szCs w:val="16"/>
              </w:rPr>
            </w:pPr>
            <w:r w:rsidRPr="009D7805">
              <w:rPr>
                <w:rFonts w:ascii="Arial" w:hAnsi="Arial" w:cs="Arial"/>
                <w:color w:val="000000" w:themeColor="text1"/>
                <w:sz w:val="16"/>
                <w:szCs w:val="16"/>
              </w:rPr>
              <w:t>2,156,119</w:t>
            </w:r>
          </w:p>
        </w:tc>
        <w:tc>
          <w:tcPr>
            <w:tcW w:w="768" w:type="pct"/>
            <w:tcBorders>
              <w:top w:val="nil"/>
              <w:left w:val="nil"/>
              <w:bottom w:val="nil"/>
              <w:right w:val="nil"/>
            </w:tcBorders>
            <w:shd w:val="clear" w:color="000000" w:fill="E6E6E6"/>
            <w:vAlign w:val="bottom"/>
            <w:hideMark/>
          </w:tcPr>
          <w:p w14:paraId="4B6A10DD" w14:textId="29012B8E" w:rsidR="009D7805" w:rsidRPr="009D7805" w:rsidRDefault="009D7805" w:rsidP="008700A4">
            <w:pPr>
              <w:spacing w:after="0" w:line="240" w:lineRule="auto"/>
              <w:jc w:val="right"/>
              <w:rPr>
                <w:rFonts w:ascii="Arial" w:hAnsi="Arial" w:cs="Arial"/>
                <w:color w:val="000000" w:themeColor="text1"/>
                <w:sz w:val="16"/>
                <w:szCs w:val="16"/>
              </w:rPr>
            </w:pPr>
            <w:r w:rsidRPr="009D7805">
              <w:rPr>
                <w:rFonts w:ascii="Arial" w:hAnsi="Arial" w:cs="Arial"/>
                <w:color w:val="000000" w:themeColor="text1"/>
                <w:sz w:val="16"/>
                <w:szCs w:val="16"/>
              </w:rPr>
              <w:t>2,318,735</w:t>
            </w:r>
          </w:p>
        </w:tc>
      </w:tr>
      <w:tr w:rsidR="009D7805" w:rsidRPr="009D7805" w14:paraId="522EE6D0" w14:textId="77777777" w:rsidTr="009D7805">
        <w:trPr>
          <w:trHeight w:val="204"/>
        </w:trPr>
        <w:tc>
          <w:tcPr>
            <w:tcW w:w="3464" w:type="pct"/>
            <w:tcBorders>
              <w:top w:val="nil"/>
              <w:left w:val="nil"/>
              <w:bottom w:val="nil"/>
              <w:right w:val="nil"/>
            </w:tcBorders>
            <w:shd w:val="clear" w:color="000000" w:fill="FFFFFF"/>
            <w:vAlign w:val="bottom"/>
            <w:hideMark/>
          </w:tcPr>
          <w:p w14:paraId="438E2F92" w14:textId="7DC1816F" w:rsidR="009D7805" w:rsidRPr="009D7805" w:rsidRDefault="009D7805" w:rsidP="009D7805">
            <w:pPr>
              <w:spacing w:after="0" w:line="240" w:lineRule="auto"/>
              <w:rPr>
                <w:rFonts w:ascii="Arial" w:hAnsi="Arial" w:cs="Arial"/>
                <w:color w:val="000000"/>
                <w:sz w:val="16"/>
                <w:szCs w:val="16"/>
              </w:rPr>
            </w:pPr>
            <w:r w:rsidRPr="009D7805">
              <w:rPr>
                <w:rFonts w:ascii="Arial" w:hAnsi="Arial" w:cs="Arial"/>
                <w:color w:val="000000"/>
                <w:sz w:val="16"/>
                <w:szCs w:val="16"/>
              </w:rPr>
              <w:t>Annual appropriations - other services - non-operating</w:t>
            </w:r>
            <w:r w:rsidRPr="009D7805">
              <w:rPr>
                <w:rFonts w:ascii="Arial" w:hAnsi="Arial" w:cs="Arial"/>
                <w:color w:val="000000"/>
                <w:sz w:val="16"/>
                <w:szCs w:val="16"/>
                <w:vertAlign w:val="superscript"/>
              </w:rPr>
              <w:t>(h)</w:t>
            </w:r>
          </w:p>
        </w:tc>
        <w:tc>
          <w:tcPr>
            <w:tcW w:w="768" w:type="pct"/>
            <w:tcBorders>
              <w:top w:val="nil"/>
              <w:left w:val="nil"/>
              <w:bottom w:val="nil"/>
              <w:right w:val="nil"/>
            </w:tcBorders>
            <w:shd w:val="clear" w:color="000000" w:fill="FFFFFF"/>
            <w:vAlign w:val="bottom"/>
            <w:hideMark/>
          </w:tcPr>
          <w:p w14:paraId="40C3CBA1" w14:textId="2CF0B1E4" w:rsidR="009D7805" w:rsidRPr="009D7805" w:rsidRDefault="009D7805" w:rsidP="008700A4">
            <w:pPr>
              <w:spacing w:after="0" w:line="240" w:lineRule="auto"/>
              <w:jc w:val="right"/>
              <w:rPr>
                <w:rFonts w:ascii="Arial" w:hAnsi="Arial" w:cs="Arial"/>
                <w:color w:val="000000" w:themeColor="text1"/>
                <w:sz w:val="16"/>
                <w:szCs w:val="16"/>
              </w:rPr>
            </w:pPr>
          </w:p>
        </w:tc>
        <w:tc>
          <w:tcPr>
            <w:tcW w:w="768" w:type="pct"/>
            <w:tcBorders>
              <w:top w:val="nil"/>
              <w:left w:val="nil"/>
              <w:bottom w:val="nil"/>
              <w:right w:val="nil"/>
            </w:tcBorders>
            <w:shd w:val="clear" w:color="000000" w:fill="E6E6E6"/>
            <w:vAlign w:val="bottom"/>
            <w:hideMark/>
          </w:tcPr>
          <w:p w14:paraId="3267C64B" w14:textId="28E5405C" w:rsidR="009D7805" w:rsidRPr="009D7805" w:rsidRDefault="009D7805" w:rsidP="008700A4">
            <w:pPr>
              <w:spacing w:after="0" w:line="240" w:lineRule="auto"/>
              <w:jc w:val="right"/>
              <w:rPr>
                <w:rFonts w:ascii="Arial" w:hAnsi="Arial" w:cs="Arial"/>
                <w:color w:val="000000" w:themeColor="text1"/>
                <w:sz w:val="16"/>
                <w:szCs w:val="16"/>
              </w:rPr>
            </w:pPr>
          </w:p>
        </w:tc>
      </w:tr>
      <w:tr w:rsidR="009D7805" w:rsidRPr="009D7805" w14:paraId="6BB24E74" w14:textId="77777777" w:rsidTr="009D7805">
        <w:trPr>
          <w:trHeight w:val="204"/>
        </w:trPr>
        <w:tc>
          <w:tcPr>
            <w:tcW w:w="3464" w:type="pct"/>
            <w:tcBorders>
              <w:top w:val="nil"/>
              <w:left w:val="nil"/>
              <w:bottom w:val="nil"/>
              <w:right w:val="nil"/>
            </w:tcBorders>
            <w:shd w:val="clear" w:color="000000" w:fill="FFFFFF"/>
            <w:vAlign w:val="bottom"/>
            <w:hideMark/>
          </w:tcPr>
          <w:p w14:paraId="6C59A2E9" w14:textId="51E32289" w:rsidR="009D7805" w:rsidRPr="009D7805" w:rsidRDefault="009D7805" w:rsidP="008700A4">
            <w:pPr>
              <w:spacing w:after="0" w:line="240" w:lineRule="auto"/>
              <w:ind w:left="113"/>
              <w:rPr>
                <w:rFonts w:ascii="Arial" w:hAnsi="Arial" w:cs="Arial"/>
                <w:color w:val="000000"/>
                <w:sz w:val="16"/>
                <w:szCs w:val="16"/>
              </w:rPr>
            </w:pPr>
            <w:r w:rsidRPr="009D7805">
              <w:rPr>
                <w:rFonts w:ascii="Arial" w:hAnsi="Arial" w:cs="Arial"/>
                <w:color w:val="000000"/>
                <w:sz w:val="16"/>
                <w:szCs w:val="16"/>
              </w:rPr>
              <w:t>Prior year appropriations available</w:t>
            </w:r>
            <w:r w:rsidRPr="009D7805">
              <w:rPr>
                <w:rFonts w:ascii="Arial" w:hAnsi="Arial" w:cs="Arial"/>
                <w:color w:val="000000"/>
                <w:sz w:val="16"/>
                <w:szCs w:val="16"/>
                <w:vertAlign w:val="superscript"/>
              </w:rPr>
              <w:t>(b)</w:t>
            </w:r>
          </w:p>
        </w:tc>
        <w:tc>
          <w:tcPr>
            <w:tcW w:w="768" w:type="pct"/>
            <w:tcBorders>
              <w:top w:val="nil"/>
              <w:left w:val="nil"/>
              <w:bottom w:val="nil"/>
              <w:right w:val="nil"/>
            </w:tcBorders>
            <w:shd w:val="clear" w:color="000000" w:fill="FFFFFF"/>
            <w:vAlign w:val="bottom"/>
            <w:hideMark/>
          </w:tcPr>
          <w:p w14:paraId="45CBAD52" w14:textId="7DE2DCAA" w:rsidR="009D7805" w:rsidRPr="009D7805" w:rsidRDefault="009D7805" w:rsidP="008700A4">
            <w:pPr>
              <w:spacing w:after="0" w:line="240" w:lineRule="auto"/>
              <w:jc w:val="right"/>
              <w:rPr>
                <w:rFonts w:ascii="Arial" w:hAnsi="Arial" w:cs="Arial"/>
                <w:color w:val="000000" w:themeColor="text1"/>
                <w:sz w:val="16"/>
                <w:szCs w:val="16"/>
              </w:rPr>
            </w:pPr>
            <w:r w:rsidRPr="009D7805">
              <w:rPr>
                <w:rFonts w:ascii="Arial" w:hAnsi="Arial" w:cs="Arial"/>
                <w:color w:val="000000" w:themeColor="text1"/>
                <w:sz w:val="16"/>
                <w:szCs w:val="16"/>
              </w:rPr>
              <w:t>3,588,092</w:t>
            </w:r>
          </w:p>
        </w:tc>
        <w:tc>
          <w:tcPr>
            <w:tcW w:w="768" w:type="pct"/>
            <w:tcBorders>
              <w:top w:val="nil"/>
              <w:left w:val="nil"/>
              <w:bottom w:val="nil"/>
              <w:right w:val="nil"/>
            </w:tcBorders>
            <w:shd w:val="clear" w:color="000000" w:fill="E6E6E6"/>
            <w:vAlign w:val="bottom"/>
            <w:hideMark/>
          </w:tcPr>
          <w:p w14:paraId="31C4F330" w14:textId="03385E65" w:rsidR="009D7805" w:rsidRPr="009D7805" w:rsidRDefault="009D7805" w:rsidP="008700A4">
            <w:pPr>
              <w:spacing w:after="0" w:line="240" w:lineRule="auto"/>
              <w:jc w:val="right"/>
              <w:rPr>
                <w:rFonts w:ascii="Arial" w:hAnsi="Arial" w:cs="Arial"/>
                <w:color w:val="000000" w:themeColor="text1"/>
                <w:sz w:val="16"/>
                <w:szCs w:val="16"/>
              </w:rPr>
            </w:pPr>
            <w:r w:rsidRPr="009D7805">
              <w:rPr>
                <w:rFonts w:ascii="Arial" w:hAnsi="Arial" w:cs="Arial"/>
                <w:color w:val="000000" w:themeColor="text1"/>
                <w:sz w:val="16"/>
                <w:szCs w:val="16"/>
              </w:rPr>
              <w:t>3,453,884</w:t>
            </w:r>
          </w:p>
        </w:tc>
      </w:tr>
      <w:tr w:rsidR="009D7805" w:rsidRPr="009D7805" w14:paraId="7C9F8DBB" w14:textId="77777777" w:rsidTr="009D7805">
        <w:trPr>
          <w:trHeight w:val="204"/>
        </w:trPr>
        <w:tc>
          <w:tcPr>
            <w:tcW w:w="3464" w:type="pct"/>
            <w:tcBorders>
              <w:top w:val="nil"/>
              <w:left w:val="nil"/>
              <w:bottom w:val="nil"/>
              <w:right w:val="nil"/>
            </w:tcBorders>
            <w:shd w:val="clear" w:color="000000" w:fill="FFFFFF"/>
            <w:vAlign w:val="bottom"/>
            <w:hideMark/>
          </w:tcPr>
          <w:p w14:paraId="3278A610" w14:textId="2DCC3A89" w:rsidR="009D7805" w:rsidRPr="009D7805" w:rsidRDefault="009D7805" w:rsidP="008700A4">
            <w:pPr>
              <w:spacing w:after="0" w:line="240" w:lineRule="auto"/>
              <w:ind w:left="113"/>
              <w:rPr>
                <w:rFonts w:ascii="Arial" w:hAnsi="Arial" w:cs="Arial"/>
                <w:color w:val="000000"/>
                <w:sz w:val="16"/>
                <w:szCs w:val="16"/>
              </w:rPr>
            </w:pPr>
            <w:r w:rsidRPr="009D7805">
              <w:rPr>
                <w:rFonts w:ascii="Arial" w:hAnsi="Arial" w:cs="Arial"/>
                <w:color w:val="000000"/>
                <w:sz w:val="16"/>
                <w:szCs w:val="16"/>
              </w:rPr>
              <w:t>Administered assets and liabilities</w:t>
            </w:r>
            <w:r w:rsidRPr="009D7805">
              <w:rPr>
                <w:rFonts w:ascii="Arial" w:hAnsi="Arial" w:cs="Arial"/>
                <w:color w:val="000000"/>
                <w:sz w:val="16"/>
                <w:szCs w:val="16"/>
                <w:vertAlign w:val="superscript"/>
              </w:rPr>
              <w:t>(h)</w:t>
            </w:r>
          </w:p>
        </w:tc>
        <w:tc>
          <w:tcPr>
            <w:tcW w:w="768" w:type="pct"/>
            <w:tcBorders>
              <w:top w:val="nil"/>
              <w:left w:val="nil"/>
              <w:bottom w:val="nil"/>
              <w:right w:val="nil"/>
            </w:tcBorders>
            <w:shd w:val="clear" w:color="000000" w:fill="FFFFFF"/>
            <w:vAlign w:val="bottom"/>
            <w:hideMark/>
          </w:tcPr>
          <w:p w14:paraId="59877945" w14:textId="248A0D41" w:rsidR="009D7805" w:rsidRPr="009D7805" w:rsidRDefault="009D7805" w:rsidP="008700A4">
            <w:pPr>
              <w:spacing w:after="0" w:line="240" w:lineRule="auto"/>
              <w:jc w:val="right"/>
              <w:rPr>
                <w:rFonts w:ascii="Arial" w:hAnsi="Arial" w:cs="Arial"/>
                <w:color w:val="000000" w:themeColor="text1"/>
                <w:sz w:val="16"/>
                <w:szCs w:val="16"/>
              </w:rPr>
            </w:pPr>
            <w:r w:rsidRPr="009D7805">
              <w:rPr>
                <w:rFonts w:ascii="Arial" w:hAnsi="Arial" w:cs="Arial"/>
                <w:color w:val="000000" w:themeColor="text1"/>
                <w:sz w:val="16"/>
                <w:szCs w:val="16"/>
              </w:rPr>
              <w:t>3,829,129</w:t>
            </w:r>
          </w:p>
        </w:tc>
        <w:tc>
          <w:tcPr>
            <w:tcW w:w="768" w:type="pct"/>
            <w:tcBorders>
              <w:top w:val="nil"/>
              <w:left w:val="nil"/>
              <w:bottom w:val="nil"/>
              <w:right w:val="nil"/>
            </w:tcBorders>
            <w:shd w:val="clear" w:color="000000" w:fill="E6E6E6"/>
            <w:vAlign w:val="bottom"/>
            <w:hideMark/>
          </w:tcPr>
          <w:p w14:paraId="3D443484" w14:textId="5F2B31CF" w:rsidR="009D7805" w:rsidRPr="009D7805" w:rsidRDefault="009D7805" w:rsidP="008700A4">
            <w:pPr>
              <w:spacing w:after="0" w:line="240" w:lineRule="auto"/>
              <w:jc w:val="right"/>
              <w:rPr>
                <w:rFonts w:ascii="Arial" w:hAnsi="Arial" w:cs="Arial"/>
                <w:color w:val="000000" w:themeColor="text1"/>
                <w:sz w:val="16"/>
                <w:szCs w:val="16"/>
              </w:rPr>
            </w:pPr>
            <w:r w:rsidRPr="009D7805">
              <w:rPr>
                <w:rFonts w:ascii="Arial" w:hAnsi="Arial" w:cs="Arial"/>
                <w:color w:val="000000" w:themeColor="text1"/>
                <w:sz w:val="16"/>
                <w:szCs w:val="16"/>
              </w:rPr>
              <w:t>3,228,475</w:t>
            </w:r>
          </w:p>
        </w:tc>
      </w:tr>
      <w:tr w:rsidR="009D7805" w:rsidRPr="009D7805" w14:paraId="72DE638A" w14:textId="77777777" w:rsidTr="009D7805">
        <w:trPr>
          <w:trHeight w:val="204"/>
        </w:trPr>
        <w:tc>
          <w:tcPr>
            <w:tcW w:w="3464" w:type="pct"/>
            <w:tcBorders>
              <w:top w:val="nil"/>
              <w:left w:val="nil"/>
              <w:bottom w:val="single" w:sz="4" w:space="0" w:color="auto"/>
              <w:right w:val="nil"/>
            </w:tcBorders>
            <w:shd w:val="clear" w:color="000000" w:fill="FFFFFF"/>
            <w:vAlign w:val="bottom"/>
            <w:hideMark/>
          </w:tcPr>
          <w:p w14:paraId="100D40B6" w14:textId="263FFFA1" w:rsidR="009D7805" w:rsidRPr="009D7805" w:rsidRDefault="009D7805" w:rsidP="008700A4">
            <w:pPr>
              <w:spacing w:after="0" w:line="240" w:lineRule="auto"/>
              <w:ind w:left="113"/>
              <w:rPr>
                <w:rFonts w:ascii="Arial" w:hAnsi="Arial" w:cs="Arial"/>
                <w:color w:val="000000"/>
                <w:sz w:val="16"/>
                <w:szCs w:val="16"/>
              </w:rPr>
            </w:pPr>
            <w:r w:rsidRPr="009D7805">
              <w:rPr>
                <w:rFonts w:ascii="Arial" w:hAnsi="Arial" w:cs="Arial"/>
                <w:color w:val="000000"/>
                <w:sz w:val="16"/>
                <w:szCs w:val="16"/>
              </w:rPr>
              <w:t>Payments to corporate entities</w:t>
            </w:r>
            <w:r w:rsidRPr="009D7805">
              <w:rPr>
                <w:rFonts w:ascii="Arial" w:hAnsi="Arial" w:cs="Arial"/>
                <w:color w:val="000000"/>
                <w:sz w:val="16"/>
                <w:szCs w:val="16"/>
                <w:vertAlign w:val="superscript"/>
              </w:rPr>
              <w:t>(g)</w:t>
            </w:r>
          </w:p>
        </w:tc>
        <w:tc>
          <w:tcPr>
            <w:tcW w:w="768" w:type="pct"/>
            <w:tcBorders>
              <w:top w:val="nil"/>
              <w:left w:val="nil"/>
              <w:bottom w:val="single" w:sz="4" w:space="0" w:color="auto"/>
              <w:right w:val="nil"/>
            </w:tcBorders>
            <w:shd w:val="clear" w:color="000000" w:fill="FFFFFF"/>
            <w:vAlign w:val="bottom"/>
            <w:hideMark/>
          </w:tcPr>
          <w:p w14:paraId="677850AB" w14:textId="1722AFB6" w:rsidR="009D7805" w:rsidRPr="009D7805" w:rsidRDefault="009D7805" w:rsidP="008700A4">
            <w:pPr>
              <w:spacing w:after="0" w:line="240" w:lineRule="auto"/>
              <w:jc w:val="right"/>
              <w:rPr>
                <w:rFonts w:ascii="Arial" w:hAnsi="Arial" w:cs="Arial"/>
                <w:color w:val="000000" w:themeColor="text1"/>
                <w:sz w:val="16"/>
                <w:szCs w:val="16"/>
              </w:rPr>
            </w:pPr>
            <w:r w:rsidRPr="009D7805">
              <w:rPr>
                <w:rFonts w:ascii="Arial" w:hAnsi="Arial" w:cs="Arial"/>
                <w:color w:val="000000" w:themeColor="text1"/>
                <w:sz w:val="16"/>
                <w:szCs w:val="16"/>
              </w:rPr>
              <w:t>43,371</w:t>
            </w:r>
          </w:p>
        </w:tc>
        <w:tc>
          <w:tcPr>
            <w:tcW w:w="768" w:type="pct"/>
            <w:tcBorders>
              <w:top w:val="nil"/>
              <w:left w:val="nil"/>
              <w:bottom w:val="single" w:sz="4" w:space="0" w:color="auto"/>
              <w:right w:val="nil"/>
            </w:tcBorders>
            <w:shd w:val="clear" w:color="000000" w:fill="E6E6E6"/>
            <w:vAlign w:val="bottom"/>
            <w:hideMark/>
          </w:tcPr>
          <w:p w14:paraId="0DBBA610" w14:textId="28BBA6F8" w:rsidR="009D7805" w:rsidRPr="009D7805" w:rsidRDefault="009D7805" w:rsidP="008700A4">
            <w:pPr>
              <w:spacing w:after="0" w:line="240" w:lineRule="auto"/>
              <w:jc w:val="right"/>
              <w:rPr>
                <w:rFonts w:ascii="Arial" w:hAnsi="Arial" w:cs="Arial"/>
                <w:color w:val="000000" w:themeColor="text1"/>
                <w:sz w:val="16"/>
                <w:szCs w:val="16"/>
              </w:rPr>
            </w:pPr>
            <w:r w:rsidRPr="009D7805">
              <w:rPr>
                <w:rFonts w:ascii="Arial" w:hAnsi="Arial" w:cs="Arial"/>
                <w:color w:val="000000" w:themeColor="text1"/>
                <w:sz w:val="16"/>
                <w:szCs w:val="16"/>
              </w:rPr>
              <w:t>72,384</w:t>
            </w:r>
          </w:p>
        </w:tc>
      </w:tr>
    </w:tbl>
    <w:p w14:paraId="42A4E216" w14:textId="77777777" w:rsidR="00D20486" w:rsidRDefault="00D20486">
      <w:pPr>
        <w:spacing w:after="0" w:line="240" w:lineRule="auto"/>
        <w:rPr>
          <w:rFonts w:ascii="Arial" w:hAnsi="Arial"/>
          <w:b/>
          <w:color w:val="000000"/>
          <w:lang w:val="x-none" w:eastAsia="x-none"/>
        </w:rPr>
      </w:pPr>
      <w:r>
        <w:br w:type="page"/>
      </w:r>
    </w:p>
    <w:p w14:paraId="34EFD205" w14:textId="2738A1D3" w:rsidR="00115843" w:rsidRPr="0063772E" w:rsidRDefault="00115843" w:rsidP="0063772E">
      <w:pPr>
        <w:pStyle w:val="TableHeading"/>
        <w:rPr>
          <w:b w:val="0"/>
        </w:rPr>
      </w:pPr>
      <w:r w:rsidRPr="00D44150">
        <w:lastRenderedPageBreak/>
        <w:t xml:space="preserve">Table 1.1: </w:t>
      </w:r>
      <w:r>
        <w:t>Department of Infrastructure, Transport, Regional Development, Communications and the Arts</w:t>
      </w:r>
      <w:r w:rsidRPr="00D44150">
        <w:t xml:space="preserve"> resource statement</w:t>
      </w:r>
      <w:r>
        <w:t xml:space="preserve"> — </w:t>
      </w:r>
      <w:r w:rsidR="00E92200">
        <w:rPr>
          <w:rFonts w:cs="Arial"/>
        </w:rPr>
        <w:t>Budget estimates for 2023</w:t>
      </w:r>
      <w:r w:rsidR="00E92200">
        <w:rPr>
          <w:rFonts w:cs="Arial"/>
        </w:rPr>
        <w:noBreakHyphen/>
        <w:t>24 as at Budget May 2023</w:t>
      </w:r>
      <w:r>
        <w:t xml:space="preserve"> (continued)</w:t>
      </w:r>
    </w:p>
    <w:tbl>
      <w:tblPr>
        <w:tblW w:w="5000" w:type="pct"/>
        <w:tblLook w:val="04A0" w:firstRow="1" w:lastRow="0" w:firstColumn="1" w:lastColumn="0" w:noHBand="0" w:noVBand="1"/>
      </w:tblPr>
      <w:tblGrid>
        <w:gridCol w:w="5342"/>
        <w:gridCol w:w="1184"/>
        <w:gridCol w:w="1184"/>
      </w:tblGrid>
      <w:tr w:rsidR="008700A4" w:rsidRPr="008700A4" w14:paraId="612395CC" w14:textId="77777777" w:rsidTr="008700A4">
        <w:trPr>
          <w:trHeight w:val="204"/>
        </w:trPr>
        <w:tc>
          <w:tcPr>
            <w:tcW w:w="3464" w:type="pct"/>
            <w:tcBorders>
              <w:top w:val="single" w:sz="4" w:space="0" w:color="auto"/>
              <w:left w:val="nil"/>
              <w:bottom w:val="nil"/>
              <w:right w:val="nil"/>
            </w:tcBorders>
            <w:shd w:val="clear" w:color="000000" w:fill="FFFFFF"/>
            <w:vAlign w:val="bottom"/>
            <w:hideMark/>
          </w:tcPr>
          <w:p w14:paraId="0CA76ECD" w14:textId="77777777" w:rsidR="008700A4" w:rsidRPr="008700A4" w:rsidRDefault="008700A4" w:rsidP="008700A4">
            <w:pPr>
              <w:spacing w:after="0" w:line="240" w:lineRule="auto"/>
              <w:rPr>
                <w:rFonts w:ascii="Arial" w:hAnsi="Arial" w:cs="Arial"/>
                <w:color w:val="000000" w:themeColor="text1"/>
                <w:sz w:val="16"/>
                <w:szCs w:val="16"/>
              </w:rPr>
            </w:pPr>
            <w:r w:rsidRPr="008700A4">
              <w:rPr>
                <w:rFonts w:ascii="Arial" w:hAnsi="Arial" w:cs="Arial"/>
                <w:color w:val="000000" w:themeColor="text1"/>
                <w:sz w:val="16"/>
                <w:szCs w:val="16"/>
              </w:rPr>
              <w:t> </w:t>
            </w:r>
          </w:p>
        </w:tc>
        <w:tc>
          <w:tcPr>
            <w:tcW w:w="768" w:type="pct"/>
            <w:tcBorders>
              <w:top w:val="single" w:sz="4" w:space="0" w:color="auto"/>
              <w:left w:val="nil"/>
              <w:bottom w:val="single" w:sz="4" w:space="0" w:color="auto"/>
              <w:right w:val="nil"/>
            </w:tcBorders>
            <w:shd w:val="clear" w:color="000000" w:fill="FFFFFF"/>
            <w:vAlign w:val="bottom"/>
            <w:hideMark/>
          </w:tcPr>
          <w:p w14:paraId="0E5270F0" w14:textId="77777777"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2022-23 Estimated actual</w:t>
            </w:r>
            <w:r w:rsidRPr="008700A4">
              <w:rPr>
                <w:rFonts w:ascii="Arial" w:hAnsi="Arial" w:cs="Arial"/>
                <w:color w:val="000000" w:themeColor="text1"/>
                <w:sz w:val="16"/>
                <w:szCs w:val="16"/>
              </w:rPr>
              <w:br/>
              <w:t>$'000</w:t>
            </w:r>
          </w:p>
        </w:tc>
        <w:tc>
          <w:tcPr>
            <w:tcW w:w="768" w:type="pct"/>
            <w:tcBorders>
              <w:top w:val="single" w:sz="4" w:space="0" w:color="auto"/>
              <w:left w:val="nil"/>
              <w:bottom w:val="single" w:sz="4" w:space="0" w:color="auto"/>
              <w:right w:val="nil"/>
            </w:tcBorders>
            <w:shd w:val="clear" w:color="000000" w:fill="E6E6E6"/>
            <w:vAlign w:val="bottom"/>
            <w:hideMark/>
          </w:tcPr>
          <w:p w14:paraId="0BC35F16" w14:textId="77777777"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2023-24 Estimate</w:t>
            </w:r>
            <w:r w:rsidRPr="008700A4">
              <w:rPr>
                <w:rFonts w:ascii="Arial" w:hAnsi="Arial" w:cs="Arial"/>
                <w:color w:val="000000" w:themeColor="text1"/>
                <w:sz w:val="16"/>
                <w:szCs w:val="16"/>
              </w:rPr>
              <w:br/>
            </w:r>
            <w:r w:rsidRPr="008700A4">
              <w:rPr>
                <w:rFonts w:ascii="Arial" w:hAnsi="Arial" w:cs="Arial"/>
                <w:color w:val="000000" w:themeColor="text1"/>
                <w:sz w:val="16"/>
                <w:szCs w:val="16"/>
              </w:rPr>
              <w:br/>
              <w:t>$'000</w:t>
            </w:r>
          </w:p>
        </w:tc>
      </w:tr>
      <w:tr w:rsidR="008700A4" w:rsidRPr="008700A4" w14:paraId="30E927DE" w14:textId="77777777" w:rsidTr="008700A4">
        <w:trPr>
          <w:trHeight w:val="204"/>
        </w:trPr>
        <w:tc>
          <w:tcPr>
            <w:tcW w:w="3464" w:type="pct"/>
            <w:tcBorders>
              <w:top w:val="nil"/>
              <w:left w:val="nil"/>
              <w:bottom w:val="nil"/>
              <w:right w:val="nil"/>
            </w:tcBorders>
            <w:shd w:val="clear" w:color="000000" w:fill="FFFFFF"/>
            <w:vAlign w:val="bottom"/>
            <w:hideMark/>
          </w:tcPr>
          <w:p w14:paraId="2D36A5E7" w14:textId="3E42DE7E" w:rsidR="008700A4" w:rsidRPr="008700A4" w:rsidRDefault="008700A4" w:rsidP="008700A4">
            <w:pPr>
              <w:spacing w:after="0" w:line="240" w:lineRule="auto"/>
              <w:rPr>
                <w:rFonts w:ascii="Arial" w:hAnsi="Arial" w:cs="Arial"/>
                <w:color w:val="000000" w:themeColor="text1"/>
                <w:sz w:val="16"/>
                <w:szCs w:val="16"/>
              </w:rPr>
            </w:pPr>
            <w:r w:rsidRPr="008700A4">
              <w:rPr>
                <w:rFonts w:ascii="Arial" w:hAnsi="Arial" w:cs="Arial"/>
                <w:color w:val="000000" w:themeColor="text1"/>
                <w:sz w:val="16"/>
                <w:szCs w:val="16"/>
              </w:rPr>
              <w:t>Annual appropriations - other services - specific payments to States, ACT, NT and local government</w:t>
            </w:r>
            <w:r w:rsidRPr="008700A4">
              <w:rPr>
                <w:rFonts w:ascii="Arial" w:hAnsi="Arial" w:cs="Arial"/>
                <w:color w:val="000000" w:themeColor="text1"/>
                <w:sz w:val="16"/>
                <w:szCs w:val="16"/>
                <w:vertAlign w:val="superscript"/>
              </w:rPr>
              <w:t>(h)</w:t>
            </w:r>
          </w:p>
        </w:tc>
        <w:tc>
          <w:tcPr>
            <w:tcW w:w="768" w:type="pct"/>
            <w:tcBorders>
              <w:top w:val="nil"/>
              <w:left w:val="nil"/>
              <w:bottom w:val="nil"/>
              <w:right w:val="nil"/>
            </w:tcBorders>
            <w:shd w:val="clear" w:color="000000" w:fill="FFFFFF"/>
            <w:vAlign w:val="bottom"/>
            <w:hideMark/>
          </w:tcPr>
          <w:p w14:paraId="24874CE3" w14:textId="3F78A4E2" w:rsidR="008700A4" w:rsidRPr="008700A4" w:rsidRDefault="008700A4" w:rsidP="008700A4">
            <w:pPr>
              <w:spacing w:after="0" w:line="240" w:lineRule="auto"/>
              <w:jc w:val="right"/>
              <w:rPr>
                <w:rFonts w:ascii="Arial" w:hAnsi="Arial" w:cs="Arial"/>
                <w:color w:val="000000" w:themeColor="text1"/>
                <w:sz w:val="16"/>
                <w:szCs w:val="16"/>
              </w:rPr>
            </w:pPr>
          </w:p>
        </w:tc>
        <w:tc>
          <w:tcPr>
            <w:tcW w:w="768" w:type="pct"/>
            <w:tcBorders>
              <w:top w:val="nil"/>
              <w:left w:val="nil"/>
              <w:bottom w:val="nil"/>
              <w:right w:val="nil"/>
            </w:tcBorders>
            <w:shd w:val="clear" w:color="000000" w:fill="E6E6E6"/>
            <w:vAlign w:val="bottom"/>
            <w:hideMark/>
          </w:tcPr>
          <w:p w14:paraId="759D5C41" w14:textId="125A541C" w:rsidR="008700A4" w:rsidRPr="008700A4" w:rsidRDefault="008700A4" w:rsidP="008700A4">
            <w:pPr>
              <w:spacing w:after="0" w:line="240" w:lineRule="auto"/>
              <w:jc w:val="right"/>
              <w:rPr>
                <w:rFonts w:ascii="Arial" w:hAnsi="Arial" w:cs="Arial"/>
                <w:color w:val="000000" w:themeColor="text1"/>
                <w:sz w:val="16"/>
                <w:szCs w:val="16"/>
              </w:rPr>
            </w:pPr>
          </w:p>
        </w:tc>
      </w:tr>
      <w:tr w:rsidR="008700A4" w:rsidRPr="008700A4" w14:paraId="7018FA02" w14:textId="77777777" w:rsidTr="008700A4">
        <w:trPr>
          <w:trHeight w:val="204"/>
        </w:trPr>
        <w:tc>
          <w:tcPr>
            <w:tcW w:w="3464" w:type="pct"/>
            <w:tcBorders>
              <w:top w:val="nil"/>
              <w:left w:val="nil"/>
              <w:bottom w:val="nil"/>
              <w:right w:val="nil"/>
            </w:tcBorders>
            <w:shd w:val="clear" w:color="000000" w:fill="FFFFFF"/>
            <w:vAlign w:val="bottom"/>
            <w:hideMark/>
          </w:tcPr>
          <w:p w14:paraId="7BAB4C08" w14:textId="0E5D8262" w:rsidR="008700A4" w:rsidRPr="008700A4" w:rsidRDefault="008700A4" w:rsidP="008700A4">
            <w:pPr>
              <w:spacing w:after="0" w:line="240" w:lineRule="auto"/>
              <w:ind w:left="113"/>
              <w:rPr>
                <w:rFonts w:ascii="Arial" w:hAnsi="Arial" w:cs="Arial"/>
                <w:color w:val="000000" w:themeColor="text1"/>
                <w:sz w:val="16"/>
                <w:szCs w:val="16"/>
              </w:rPr>
            </w:pPr>
            <w:r w:rsidRPr="008700A4">
              <w:rPr>
                <w:rFonts w:ascii="Arial" w:hAnsi="Arial" w:cs="Arial"/>
                <w:color w:val="000000" w:themeColor="text1"/>
                <w:sz w:val="16"/>
                <w:szCs w:val="16"/>
              </w:rPr>
              <w:t>Outcome 1</w:t>
            </w:r>
            <w:r w:rsidRPr="008700A4">
              <w:rPr>
                <w:rFonts w:ascii="Arial" w:hAnsi="Arial" w:cs="Arial"/>
                <w:color w:val="000000" w:themeColor="text1"/>
                <w:sz w:val="16"/>
                <w:szCs w:val="16"/>
                <w:vertAlign w:val="superscript"/>
              </w:rPr>
              <w:t>(i)</w:t>
            </w:r>
          </w:p>
        </w:tc>
        <w:tc>
          <w:tcPr>
            <w:tcW w:w="768" w:type="pct"/>
            <w:tcBorders>
              <w:top w:val="nil"/>
              <w:left w:val="nil"/>
              <w:bottom w:val="nil"/>
              <w:right w:val="nil"/>
            </w:tcBorders>
            <w:shd w:val="clear" w:color="000000" w:fill="FFFFFF"/>
            <w:vAlign w:val="bottom"/>
            <w:hideMark/>
          </w:tcPr>
          <w:p w14:paraId="7590CDAF" w14:textId="2E598021"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490,881</w:t>
            </w:r>
          </w:p>
        </w:tc>
        <w:tc>
          <w:tcPr>
            <w:tcW w:w="768" w:type="pct"/>
            <w:tcBorders>
              <w:top w:val="nil"/>
              <w:left w:val="nil"/>
              <w:bottom w:val="nil"/>
              <w:right w:val="nil"/>
            </w:tcBorders>
            <w:shd w:val="clear" w:color="000000" w:fill="E6E6E6"/>
            <w:vAlign w:val="bottom"/>
            <w:hideMark/>
          </w:tcPr>
          <w:p w14:paraId="4F2F994D" w14:textId="3A95302E"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485,306</w:t>
            </w:r>
          </w:p>
        </w:tc>
      </w:tr>
      <w:tr w:rsidR="008700A4" w:rsidRPr="008700A4" w14:paraId="796D6A31" w14:textId="77777777" w:rsidTr="008700A4">
        <w:trPr>
          <w:trHeight w:val="204"/>
        </w:trPr>
        <w:tc>
          <w:tcPr>
            <w:tcW w:w="3464" w:type="pct"/>
            <w:tcBorders>
              <w:top w:val="nil"/>
              <w:left w:val="nil"/>
              <w:bottom w:val="nil"/>
              <w:right w:val="nil"/>
            </w:tcBorders>
            <w:shd w:val="clear" w:color="000000" w:fill="FFFFFF"/>
            <w:vAlign w:val="bottom"/>
            <w:hideMark/>
          </w:tcPr>
          <w:p w14:paraId="093C132B" w14:textId="77566DBD" w:rsidR="008700A4" w:rsidRPr="008700A4" w:rsidRDefault="008700A4" w:rsidP="008700A4">
            <w:pPr>
              <w:spacing w:after="0" w:line="240" w:lineRule="auto"/>
              <w:ind w:left="113"/>
              <w:rPr>
                <w:rFonts w:ascii="Arial" w:hAnsi="Arial" w:cs="Arial"/>
                <w:color w:val="000000" w:themeColor="text1"/>
                <w:sz w:val="16"/>
                <w:szCs w:val="16"/>
              </w:rPr>
            </w:pPr>
            <w:r w:rsidRPr="008700A4">
              <w:rPr>
                <w:rFonts w:ascii="Arial" w:hAnsi="Arial" w:cs="Arial"/>
                <w:color w:val="000000" w:themeColor="text1"/>
                <w:sz w:val="16"/>
                <w:szCs w:val="16"/>
              </w:rPr>
              <w:t>Outcome 3</w:t>
            </w:r>
            <w:r w:rsidRPr="008700A4">
              <w:rPr>
                <w:rFonts w:ascii="Arial" w:hAnsi="Arial" w:cs="Arial"/>
                <w:color w:val="000000" w:themeColor="text1"/>
                <w:sz w:val="16"/>
                <w:szCs w:val="16"/>
                <w:vertAlign w:val="superscript"/>
              </w:rPr>
              <w:t>(j)</w:t>
            </w:r>
          </w:p>
        </w:tc>
        <w:tc>
          <w:tcPr>
            <w:tcW w:w="768" w:type="pct"/>
            <w:tcBorders>
              <w:top w:val="nil"/>
              <w:left w:val="nil"/>
              <w:bottom w:val="nil"/>
              <w:right w:val="nil"/>
            </w:tcBorders>
            <w:shd w:val="clear" w:color="000000" w:fill="FFFFFF"/>
            <w:vAlign w:val="bottom"/>
            <w:hideMark/>
          </w:tcPr>
          <w:p w14:paraId="60B81696" w14:textId="0866256A"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669,330</w:t>
            </w:r>
          </w:p>
        </w:tc>
        <w:tc>
          <w:tcPr>
            <w:tcW w:w="768" w:type="pct"/>
            <w:tcBorders>
              <w:top w:val="nil"/>
              <w:left w:val="nil"/>
              <w:bottom w:val="nil"/>
              <w:right w:val="nil"/>
            </w:tcBorders>
            <w:shd w:val="clear" w:color="000000" w:fill="E6E6E6"/>
            <w:vAlign w:val="bottom"/>
            <w:hideMark/>
          </w:tcPr>
          <w:p w14:paraId="11475AA7" w14:textId="51B5F8AC"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369,610</w:t>
            </w:r>
          </w:p>
        </w:tc>
      </w:tr>
      <w:tr w:rsidR="008700A4" w:rsidRPr="008700A4" w14:paraId="2BF97C2F" w14:textId="77777777" w:rsidTr="008700A4">
        <w:trPr>
          <w:trHeight w:val="204"/>
        </w:trPr>
        <w:tc>
          <w:tcPr>
            <w:tcW w:w="3464" w:type="pct"/>
            <w:tcBorders>
              <w:top w:val="nil"/>
              <w:left w:val="nil"/>
              <w:bottom w:val="nil"/>
              <w:right w:val="nil"/>
            </w:tcBorders>
            <w:shd w:val="clear" w:color="000000" w:fill="FFFFFF"/>
            <w:vAlign w:val="bottom"/>
            <w:hideMark/>
          </w:tcPr>
          <w:p w14:paraId="758FDC79" w14:textId="77777777" w:rsidR="008700A4" w:rsidRPr="008700A4" w:rsidRDefault="008700A4" w:rsidP="008700A4">
            <w:pPr>
              <w:spacing w:after="0" w:line="240" w:lineRule="auto"/>
              <w:rPr>
                <w:rFonts w:ascii="Arial" w:hAnsi="Arial" w:cs="Arial"/>
                <w:color w:val="000000" w:themeColor="text1"/>
                <w:sz w:val="16"/>
                <w:szCs w:val="16"/>
              </w:rPr>
            </w:pPr>
            <w:r w:rsidRPr="008700A4">
              <w:rPr>
                <w:rFonts w:ascii="Arial" w:hAnsi="Arial" w:cs="Arial"/>
                <w:color w:val="000000" w:themeColor="text1"/>
                <w:sz w:val="16"/>
                <w:szCs w:val="16"/>
              </w:rPr>
              <w:t>Total administered annual appropriations</w:t>
            </w:r>
          </w:p>
        </w:tc>
        <w:tc>
          <w:tcPr>
            <w:tcW w:w="768" w:type="pct"/>
            <w:tcBorders>
              <w:top w:val="single" w:sz="4" w:space="0" w:color="auto"/>
              <w:left w:val="nil"/>
              <w:bottom w:val="single" w:sz="4" w:space="0" w:color="auto"/>
              <w:right w:val="nil"/>
            </w:tcBorders>
            <w:shd w:val="clear" w:color="000000" w:fill="FFFFFF"/>
            <w:vAlign w:val="bottom"/>
            <w:hideMark/>
          </w:tcPr>
          <w:p w14:paraId="2B0A05C5" w14:textId="4D11BBEB"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15,812,751</w:t>
            </w:r>
          </w:p>
        </w:tc>
        <w:tc>
          <w:tcPr>
            <w:tcW w:w="768" w:type="pct"/>
            <w:tcBorders>
              <w:top w:val="single" w:sz="4" w:space="0" w:color="auto"/>
              <w:left w:val="nil"/>
              <w:bottom w:val="single" w:sz="4" w:space="0" w:color="auto"/>
              <w:right w:val="nil"/>
            </w:tcBorders>
            <w:shd w:val="clear" w:color="000000" w:fill="E6E6E6"/>
            <w:vAlign w:val="bottom"/>
            <w:hideMark/>
          </w:tcPr>
          <w:p w14:paraId="3A8C1B20" w14:textId="3C63139E"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15,001,392</w:t>
            </w:r>
          </w:p>
        </w:tc>
      </w:tr>
      <w:tr w:rsidR="008700A4" w:rsidRPr="008700A4" w14:paraId="01EEEBDC" w14:textId="77777777" w:rsidTr="008700A4">
        <w:trPr>
          <w:trHeight w:val="204"/>
        </w:trPr>
        <w:tc>
          <w:tcPr>
            <w:tcW w:w="3464" w:type="pct"/>
            <w:tcBorders>
              <w:top w:val="nil"/>
              <w:left w:val="nil"/>
              <w:bottom w:val="nil"/>
              <w:right w:val="nil"/>
            </w:tcBorders>
            <w:shd w:val="clear" w:color="000000" w:fill="FFFFFF"/>
            <w:vAlign w:val="bottom"/>
            <w:hideMark/>
          </w:tcPr>
          <w:p w14:paraId="1D1DDD96" w14:textId="21ABFD4C" w:rsidR="008700A4" w:rsidRPr="008700A4" w:rsidRDefault="008700A4" w:rsidP="008700A4">
            <w:pPr>
              <w:spacing w:after="0" w:line="240" w:lineRule="auto"/>
              <w:rPr>
                <w:rFonts w:ascii="Arial" w:hAnsi="Arial" w:cs="Arial"/>
                <w:color w:val="000000" w:themeColor="text1"/>
                <w:sz w:val="16"/>
                <w:szCs w:val="16"/>
              </w:rPr>
            </w:pPr>
            <w:r w:rsidRPr="008700A4">
              <w:rPr>
                <w:rFonts w:ascii="Arial" w:hAnsi="Arial" w:cs="Arial"/>
                <w:color w:val="000000" w:themeColor="text1"/>
                <w:sz w:val="16"/>
                <w:szCs w:val="16"/>
              </w:rPr>
              <w:t>Total administered special appropriations</w:t>
            </w:r>
            <w:r w:rsidRPr="008700A4">
              <w:rPr>
                <w:rFonts w:ascii="Arial" w:hAnsi="Arial" w:cs="Arial"/>
                <w:color w:val="000000" w:themeColor="text1"/>
                <w:sz w:val="16"/>
                <w:szCs w:val="16"/>
                <w:vertAlign w:val="superscript"/>
              </w:rPr>
              <w:t>(k)</w:t>
            </w:r>
          </w:p>
        </w:tc>
        <w:tc>
          <w:tcPr>
            <w:tcW w:w="768" w:type="pct"/>
            <w:tcBorders>
              <w:top w:val="nil"/>
              <w:left w:val="nil"/>
              <w:bottom w:val="single" w:sz="4" w:space="0" w:color="auto"/>
              <w:right w:val="nil"/>
            </w:tcBorders>
            <w:shd w:val="clear" w:color="000000" w:fill="FFFFFF"/>
            <w:vAlign w:val="bottom"/>
            <w:hideMark/>
          </w:tcPr>
          <w:p w14:paraId="1DCA740C" w14:textId="3FF467CB"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1,846,329</w:t>
            </w:r>
          </w:p>
        </w:tc>
        <w:tc>
          <w:tcPr>
            <w:tcW w:w="768" w:type="pct"/>
            <w:tcBorders>
              <w:top w:val="nil"/>
              <w:left w:val="nil"/>
              <w:bottom w:val="single" w:sz="4" w:space="0" w:color="auto"/>
              <w:right w:val="nil"/>
            </w:tcBorders>
            <w:shd w:val="clear" w:color="000000" w:fill="E6E6E6"/>
            <w:vAlign w:val="bottom"/>
            <w:hideMark/>
          </w:tcPr>
          <w:p w14:paraId="7AD2BECE" w14:textId="1E3EB6F5"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4,375,125</w:t>
            </w:r>
          </w:p>
        </w:tc>
      </w:tr>
      <w:tr w:rsidR="008700A4" w:rsidRPr="008700A4" w14:paraId="4DFBF925" w14:textId="77777777" w:rsidTr="008700A4">
        <w:trPr>
          <w:trHeight w:val="204"/>
        </w:trPr>
        <w:tc>
          <w:tcPr>
            <w:tcW w:w="3464" w:type="pct"/>
            <w:tcBorders>
              <w:top w:val="nil"/>
              <w:left w:val="nil"/>
              <w:bottom w:val="nil"/>
              <w:right w:val="nil"/>
            </w:tcBorders>
            <w:shd w:val="clear" w:color="000000" w:fill="FFFFFF"/>
            <w:vAlign w:val="bottom"/>
            <w:hideMark/>
          </w:tcPr>
          <w:p w14:paraId="45DB16B0" w14:textId="07175C5D" w:rsidR="008700A4" w:rsidRPr="008700A4" w:rsidRDefault="008700A4" w:rsidP="008700A4">
            <w:pPr>
              <w:spacing w:after="0" w:line="240" w:lineRule="auto"/>
              <w:rPr>
                <w:rFonts w:ascii="Arial" w:hAnsi="Arial" w:cs="Arial"/>
                <w:color w:val="000000" w:themeColor="text1"/>
                <w:sz w:val="16"/>
                <w:szCs w:val="16"/>
              </w:rPr>
            </w:pPr>
            <w:r w:rsidRPr="008700A4">
              <w:rPr>
                <w:rFonts w:ascii="Arial" w:hAnsi="Arial" w:cs="Arial"/>
                <w:color w:val="000000" w:themeColor="text1"/>
                <w:sz w:val="16"/>
                <w:szCs w:val="16"/>
              </w:rPr>
              <w:t>Special accounts</w:t>
            </w:r>
            <w:r w:rsidRPr="008700A4">
              <w:rPr>
                <w:rFonts w:ascii="Arial" w:hAnsi="Arial" w:cs="Arial"/>
                <w:color w:val="000000" w:themeColor="text1"/>
                <w:sz w:val="16"/>
                <w:szCs w:val="16"/>
                <w:vertAlign w:val="superscript"/>
              </w:rPr>
              <w:t>(k)(l)</w:t>
            </w:r>
          </w:p>
        </w:tc>
        <w:tc>
          <w:tcPr>
            <w:tcW w:w="768" w:type="pct"/>
            <w:tcBorders>
              <w:top w:val="nil"/>
              <w:left w:val="nil"/>
              <w:bottom w:val="nil"/>
              <w:right w:val="nil"/>
            </w:tcBorders>
            <w:shd w:val="clear" w:color="000000" w:fill="FFFFFF"/>
            <w:vAlign w:val="bottom"/>
            <w:hideMark/>
          </w:tcPr>
          <w:p w14:paraId="01022786" w14:textId="66FD912B" w:rsidR="008700A4" w:rsidRPr="008700A4" w:rsidRDefault="008700A4" w:rsidP="008700A4">
            <w:pPr>
              <w:spacing w:after="0" w:line="240" w:lineRule="auto"/>
              <w:jc w:val="right"/>
              <w:rPr>
                <w:rFonts w:ascii="Arial" w:hAnsi="Arial" w:cs="Arial"/>
                <w:color w:val="000000" w:themeColor="text1"/>
                <w:sz w:val="16"/>
                <w:szCs w:val="16"/>
              </w:rPr>
            </w:pPr>
          </w:p>
        </w:tc>
        <w:tc>
          <w:tcPr>
            <w:tcW w:w="768" w:type="pct"/>
            <w:tcBorders>
              <w:top w:val="nil"/>
              <w:left w:val="nil"/>
              <w:bottom w:val="nil"/>
              <w:right w:val="nil"/>
            </w:tcBorders>
            <w:shd w:val="clear" w:color="000000" w:fill="E6E6E6"/>
            <w:vAlign w:val="bottom"/>
            <w:hideMark/>
          </w:tcPr>
          <w:p w14:paraId="4AB2F208" w14:textId="28B7195B" w:rsidR="008700A4" w:rsidRPr="008700A4" w:rsidRDefault="008700A4" w:rsidP="008700A4">
            <w:pPr>
              <w:spacing w:after="0" w:line="240" w:lineRule="auto"/>
              <w:jc w:val="right"/>
              <w:rPr>
                <w:rFonts w:ascii="Arial" w:hAnsi="Arial" w:cs="Arial"/>
                <w:color w:val="000000" w:themeColor="text1"/>
                <w:sz w:val="16"/>
                <w:szCs w:val="16"/>
              </w:rPr>
            </w:pPr>
          </w:p>
        </w:tc>
      </w:tr>
      <w:tr w:rsidR="008700A4" w:rsidRPr="008700A4" w14:paraId="17667477" w14:textId="77777777" w:rsidTr="008700A4">
        <w:trPr>
          <w:trHeight w:val="204"/>
        </w:trPr>
        <w:tc>
          <w:tcPr>
            <w:tcW w:w="3464" w:type="pct"/>
            <w:tcBorders>
              <w:top w:val="nil"/>
              <w:left w:val="nil"/>
              <w:bottom w:val="nil"/>
              <w:right w:val="nil"/>
            </w:tcBorders>
            <w:shd w:val="clear" w:color="000000" w:fill="FFFFFF"/>
            <w:vAlign w:val="bottom"/>
            <w:hideMark/>
          </w:tcPr>
          <w:p w14:paraId="5691D662" w14:textId="5C5C5A8D" w:rsidR="008700A4" w:rsidRPr="008700A4" w:rsidRDefault="008700A4" w:rsidP="008700A4">
            <w:pPr>
              <w:spacing w:after="0" w:line="240" w:lineRule="auto"/>
              <w:ind w:left="113"/>
              <w:rPr>
                <w:rFonts w:ascii="Arial" w:hAnsi="Arial" w:cs="Arial"/>
                <w:color w:val="000000" w:themeColor="text1"/>
                <w:sz w:val="16"/>
                <w:szCs w:val="16"/>
              </w:rPr>
            </w:pPr>
            <w:r w:rsidRPr="008700A4">
              <w:rPr>
                <w:rFonts w:ascii="Arial" w:hAnsi="Arial" w:cs="Arial"/>
                <w:color w:val="000000" w:themeColor="text1"/>
                <w:sz w:val="16"/>
                <w:szCs w:val="16"/>
              </w:rPr>
              <w:t>Opening balance</w:t>
            </w:r>
          </w:p>
        </w:tc>
        <w:tc>
          <w:tcPr>
            <w:tcW w:w="768" w:type="pct"/>
            <w:tcBorders>
              <w:top w:val="nil"/>
              <w:left w:val="nil"/>
              <w:bottom w:val="nil"/>
              <w:right w:val="nil"/>
            </w:tcBorders>
            <w:shd w:val="clear" w:color="000000" w:fill="FFFFFF"/>
            <w:vAlign w:val="bottom"/>
            <w:hideMark/>
          </w:tcPr>
          <w:p w14:paraId="33DA548E" w14:textId="13547FC5"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49,098</w:t>
            </w:r>
          </w:p>
        </w:tc>
        <w:tc>
          <w:tcPr>
            <w:tcW w:w="768" w:type="pct"/>
            <w:tcBorders>
              <w:top w:val="nil"/>
              <w:left w:val="nil"/>
              <w:bottom w:val="nil"/>
              <w:right w:val="nil"/>
            </w:tcBorders>
            <w:shd w:val="clear" w:color="000000" w:fill="E6E6E6"/>
            <w:vAlign w:val="bottom"/>
            <w:hideMark/>
          </w:tcPr>
          <w:p w14:paraId="59EA9517" w14:textId="2BB65586"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58,123</w:t>
            </w:r>
          </w:p>
        </w:tc>
      </w:tr>
      <w:tr w:rsidR="008700A4" w:rsidRPr="008700A4" w14:paraId="63142D4F" w14:textId="77777777" w:rsidTr="008700A4">
        <w:trPr>
          <w:trHeight w:val="204"/>
        </w:trPr>
        <w:tc>
          <w:tcPr>
            <w:tcW w:w="3464" w:type="pct"/>
            <w:tcBorders>
              <w:top w:val="nil"/>
              <w:left w:val="nil"/>
              <w:bottom w:val="nil"/>
              <w:right w:val="nil"/>
            </w:tcBorders>
            <w:shd w:val="clear" w:color="000000" w:fill="FFFFFF"/>
            <w:vAlign w:val="bottom"/>
            <w:hideMark/>
          </w:tcPr>
          <w:p w14:paraId="508EBC4A" w14:textId="6B2A3BA0" w:rsidR="008700A4" w:rsidRPr="008700A4" w:rsidRDefault="008700A4" w:rsidP="008700A4">
            <w:pPr>
              <w:spacing w:after="0" w:line="240" w:lineRule="auto"/>
              <w:ind w:left="113"/>
              <w:rPr>
                <w:rFonts w:ascii="Arial" w:hAnsi="Arial" w:cs="Arial"/>
                <w:color w:val="000000" w:themeColor="text1"/>
                <w:sz w:val="16"/>
                <w:szCs w:val="16"/>
              </w:rPr>
            </w:pPr>
            <w:r w:rsidRPr="008700A4">
              <w:rPr>
                <w:rFonts w:ascii="Arial" w:hAnsi="Arial" w:cs="Arial"/>
                <w:color w:val="000000" w:themeColor="text1"/>
                <w:sz w:val="16"/>
                <w:szCs w:val="16"/>
              </w:rPr>
              <w:t>Appropriation receipts</w:t>
            </w:r>
            <w:r w:rsidRPr="008700A4">
              <w:rPr>
                <w:rFonts w:ascii="Arial" w:hAnsi="Arial" w:cs="Arial"/>
                <w:color w:val="000000" w:themeColor="text1"/>
                <w:sz w:val="16"/>
                <w:szCs w:val="16"/>
                <w:vertAlign w:val="superscript"/>
              </w:rPr>
              <w:t>(m)</w:t>
            </w:r>
          </w:p>
        </w:tc>
        <w:tc>
          <w:tcPr>
            <w:tcW w:w="768" w:type="pct"/>
            <w:tcBorders>
              <w:top w:val="nil"/>
              <w:left w:val="nil"/>
              <w:bottom w:val="nil"/>
              <w:right w:val="nil"/>
            </w:tcBorders>
            <w:shd w:val="clear" w:color="000000" w:fill="FFFFFF"/>
            <w:vAlign w:val="bottom"/>
            <w:hideMark/>
          </w:tcPr>
          <w:p w14:paraId="0EDA5287" w14:textId="0CFBCEEC"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96,454</w:t>
            </w:r>
          </w:p>
        </w:tc>
        <w:tc>
          <w:tcPr>
            <w:tcW w:w="768" w:type="pct"/>
            <w:tcBorders>
              <w:top w:val="nil"/>
              <w:left w:val="nil"/>
              <w:bottom w:val="nil"/>
              <w:right w:val="nil"/>
            </w:tcBorders>
            <w:shd w:val="clear" w:color="000000" w:fill="E6E6E6"/>
            <w:vAlign w:val="bottom"/>
            <w:hideMark/>
          </w:tcPr>
          <w:p w14:paraId="689CD13E" w14:textId="333DF406"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96,454</w:t>
            </w:r>
          </w:p>
        </w:tc>
      </w:tr>
      <w:tr w:rsidR="008700A4" w:rsidRPr="008700A4" w14:paraId="512CB342" w14:textId="77777777" w:rsidTr="008700A4">
        <w:trPr>
          <w:trHeight w:val="204"/>
        </w:trPr>
        <w:tc>
          <w:tcPr>
            <w:tcW w:w="3464" w:type="pct"/>
            <w:tcBorders>
              <w:top w:val="nil"/>
              <w:left w:val="nil"/>
              <w:bottom w:val="nil"/>
              <w:right w:val="nil"/>
            </w:tcBorders>
            <w:shd w:val="clear" w:color="000000" w:fill="FFFFFF"/>
            <w:vAlign w:val="bottom"/>
            <w:hideMark/>
          </w:tcPr>
          <w:p w14:paraId="181B1E39" w14:textId="175A96A5" w:rsidR="008700A4" w:rsidRPr="008700A4" w:rsidRDefault="008700A4" w:rsidP="008700A4">
            <w:pPr>
              <w:spacing w:after="0" w:line="240" w:lineRule="auto"/>
              <w:ind w:left="113"/>
              <w:rPr>
                <w:rFonts w:ascii="Arial" w:hAnsi="Arial" w:cs="Arial"/>
                <w:color w:val="000000" w:themeColor="text1"/>
                <w:sz w:val="16"/>
                <w:szCs w:val="16"/>
              </w:rPr>
            </w:pPr>
            <w:r w:rsidRPr="008700A4">
              <w:rPr>
                <w:rFonts w:ascii="Arial" w:hAnsi="Arial" w:cs="Arial"/>
                <w:color w:val="000000" w:themeColor="text1"/>
                <w:sz w:val="16"/>
                <w:szCs w:val="16"/>
              </w:rPr>
              <w:t>Non-appropriation receipts</w:t>
            </w:r>
          </w:p>
        </w:tc>
        <w:tc>
          <w:tcPr>
            <w:tcW w:w="768" w:type="pct"/>
            <w:tcBorders>
              <w:top w:val="nil"/>
              <w:left w:val="nil"/>
              <w:bottom w:val="nil"/>
              <w:right w:val="nil"/>
            </w:tcBorders>
            <w:shd w:val="clear" w:color="000000" w:fill="FFFFFF"/>
            <w:vAlign w:val="bottom"/>
            <w:hideMark/>
          </w:tcPr>
          <w:p w14:paraId="6363211C" w14:textId="6AC75E2C"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260,228</w:t>
            </w:r>
          </w:p>
        </w:tc>
        <w:tc>
          <w:tcPr>
            <w:tcW w:w="768" w:type="pct"/>
            <w:tcBorders>
              <w:top w:val="nil"/>
              <w:left w:val="nil"/>
              <w:bottom w:val="nil"/>
              <w:right w:val="nil"/>
            </w:tcBorders>
            <w:shd w:val="clear" w:color="000000" w:fill="E6E6E6"/>
            <w:vAlign w:val="bottom"/>
            <w:hideMark/>
          </w:tcPr>
          <w:p w14:paraId="6CFA160C" w14:textId="7D74AF92"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251,457</w:t>
            </w:r>
          </w:p>
        </w:tc>
      </w:tr>
      <w:tr w:rsidR="008700A4" w:rsidRPr="008700A4" w14:paraId="77FFFA80" w14:textId="77777777" w:rsidTr="008700A4">
        <w:trPr>
          <w:trHeight w:val="204"/>
        </w:trPr>
        <w:tc>
          <w:tcPr>
            <w:tcW w:w="3464" w:type="pct"/>
            <w:tcBorders>
              <w:top w:val="nil"/>
              <w:left w:val="nil"/>
              <w:bottom w:val="nil"/>
              <w:right w:val="nil"/>
            </w:tcBorders>
            <w:shd w:val="clear" w:color="000000" w:fill="FFFFFF"/>
            <w:vAlign w:val="bottom"/>
            <w:hideMark/>
          </w:tcPr>
          <w:p w14:paraId="3AE5D035" w14:textId="77777777" w:rsidR="008700A4" w:rsidRPr="008700A4" w:rsidRDefault="008700A4" w:rsidP="008700A4">
            <w:pPr>
              <w:spacing w:after="0" w:line="240" w:lineRule="auto"/>
              <w:rPr>
                <w:rFonts w:ascii="Arial" w:hAnsi="Arial" w:cs="Arial"/>
                <w:color w:val="000000" w:themeColor="text1"/>
                <w:sz w:val="16"/>
                <w:szCs w:val="16"/>
              </w:rPr>
            </w:pPr>
            <w:r w:rsidRPr="008700A4">
              <w:rPr>
                <w:rFonts w:ascii="Arial" w:hAnsi="Arial" w:cs="Arial"/>
                <w:color w:val="000000" w:themeColor="text1"/>
                <w:sz w:val="16"/>
                <w:szCs w:val="16"/>
              </w:rPr>
              <w:t>Total special account receipts</w:t>
            </w:r>
          </w:p>
        </w:tc>
        <w:tc>
          <w:tcPr>
            <w:tcW w:w="768" w:type="pct"/>
            <w:tcBorders>
              <w:top w:val="single" w:sz="4" w:space="0" w:color="auto"/>
              <w:left w:val="nil"/>
              <w:bottom w:val="single" w:sz="4" w:space="0" w:color="auto"/>
              <w:right w:val="nil"/>
            </w:tcBorders>
            <w:shd w:val="clear" w:color="000000" w:fill="FFFFFF"/>
            <w:vAlign w:val="bottom"/>
            <w:hideMark/>
          </w:tcPr>
          <w:p w14:paraId="1D7143F1" w14:textId="00808255"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405,780</w:t>
            </w:r>
          </w:p>
        </w:tc>
        <w:tc>
          <w:tcPr>
            <w:tcW w:w="768" w:type="pct"/>
            <w:tcBorders>
              <w:top w:val="single" w:sz="4" w:space="0" w:color="auto"/>
              <w:left w:val="nil"/>
              <w:bottom w:val="single" w:sz="4" w:space="0" w:color="auto"/>
              <w:right w:val="nil"/>
            </w:tcBorders>
            <w:shd w:val="clear" w:color="000000" w:fill="E6E6E6"/>
            <w:vAlign w:val="bottom"/>
            <w:hideMark/>
          </w:tcPr>
          <w:p w14:paraId="1D48415B" w14:textId="5D14A7F5"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406,034</w:t>
            </w:r>
          </w:p>
        </w:tc>
      </w:tr>
      <w:tr w:rsidR="008700A4" w:rsidRPr="008700A4" w14:paraId="779AE7E6" w14:textId="77777777" w:rsidTr="008700A4">
        <w:trPr>
          <w:trHeight w:val="204"/>
        </w:trPr>
        <w:tc>
          <w:tcPr>
            <w:tcW w:w="3464" w:type="pct"/>
            <w:tcBorders>
              <w:top w:val="nil"/>
              <w:left w:val="nil"/>
              <w:bottom w:val="nil"/>
              <w:right w:val="nil"/>
            </w:tcBorders>
            <w:shd w:val="clear" w:color="000000" w:fill="FFFFFF"/>
            <w:vAlign w:val="bottom"/>
            <w:hideMark/>
          </w:tcPr>
          <w:p w14:paraId="3239F46A" w14:textId="03E82C91" w:rsidR="008700A4" w:rsidRPr="008700A4" w:rsidRDefault="008700A4" w:rsidP="008700A4">
            <w:pPr>
              <w:spacing w:after="0" w:line="240" w:lineRule="auto"/>
              <w:ind w:left="113"/>
              <w:rPr>
                <w:rFonts w:ascii="Arial" w:hAnsi="Arial" w:cs="Arial"/>
                <w:iCs/>
                <w:color w:val="000000" w:themeColor="text1"/>
                <w:sz w:val="16"/>
                <w:szCs w:val="16"/>
              </w:rPr>
            </w:pPr>
            <w:r w:rsidRPr="008700A4">
              <w:rPr>
                <w:rFonts w:ascii="Arial" w:hAnsi="Arial" w:cs="Arial"/>
                <w:iCs/>
                <w:color w:val="000000" w:themeColor="text1"/>
                <w:sz w:val="16"/>
                <w:szCs w:val="16"/>
              </w:rPr>
              <w:t>less administered appropriations drawn from annual/special appropriations and credited to special accounts</w:t>
            </w:r>
          </w:p>
        </w:tc>
        <w:tc>
          <w:tcPr>
            <w:tcW w:w="768" w:type="pct"/>
            <w:tcBorders>
              <w:top w:val="nil"/>
              <w:left w:val="nil"/>
              <w:bottom w:val="nil"/>
              <w:right w:val="nil"/>
            </w:tcBorders>
            <w:shd w:val="clear" w:color="000000" w:fill="FFFFFF"/>
            <w:vAlign w:val="bottom"/>
            <w:hideMark/>
          </w:tcPr>
          <w:p w14:paraId="74626058" w14:textId="77777777"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(336,748)</w:t>
            </w:r>
          </w:p>
        </w:tc>
        <w:tc>
          <w:tcPr>
            <w:tcW w:w="768" w:type="pct"/>
            <w:tcBorders>
              <w:top w:val="nil"/>
              <w:left w:val="nil"/>
              <w:bottom w:val="nil"/>
              <w:right w:val="nil"/>
            </w:tcBorders>
            <w:shd w:val="clear" w:color="000000" w:fill="E6E6E6"/>
            <w:vAlign w:val="bottom"/>
            <w:hideMark/>
          </w:tcPr>
          <w:p w14:paraId="7D170800" w14:textId="77777777"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(327,723)</w:t>
            </w:r>
          </w:p>
        </w:tc>
      </w:tr>
      <w:tr w:rsidR="008700A4" w:rsidRPr="008700A4" w14:paraId="70C829C4" w14:textId="77777777" w:rsidTr="008700A4">
        <w:trPr>
          <w:trHeight w:val="204"/>
        </w:trPr>
        <w:tc>
          <w:tcPr>
            <w:tcW w:w="3464" w:type="pct"/>
            <w:tcBorders>
              <w:top w:val="nil"/>
              <w:left w:val="nil"/>
              <w:bottom w:val="nil"/>
              <w:right w:val="nil"/>
            </w:tcBorders>
            <w:shd w:val="clear" w:color="000000" w:fill="FFFFFF"/>
            <w:vAlign w:val="bottom"/>
            <w:hideMark/>
          </w:tcPr>
          <w:p w14:paraId="0CBF6528" w14:textId="07AEFC8D" w:rsidR="008700A4" w:rsidRPr="008700A4" w:rsidRDefault="008700A4" w:rsidP="008700A4">
            <w:pPr>
              <w:spacing w:after="0" w:line="240" w:lineRule="auto"/>
              <w:ind w:left="113"/>
              <w:rPr>
                <w:rFonts w:ascii="Arial" w:hAnsi="Arial" w:cs="Arial"/>
                <w:iCs/>
                <w:color w:val="000000" w:themeColor="text1"/>
                <w:sz w:val="16"/>
                <w:szCs w:val="16"/>
              </w:rPr>
            </w:pPr>
            <w:r w:rsidRPr="008700A4">
              <w:rPr>
                <w:rFonts w:ascii="Arial" w:hAnsi="Arial" w:cs="Arial"/>
                <w:iCs/>
                <w:color w:val="000000" w:themeColor="text1"/>
                <w:sz w:val="16"/>
                <w:szCs w:val="16"/>
              </w:rPr>
              <w:t>less payments to corporate entities from annual/special appropriations</w:t>
            </w:r>
          </w:p>
        </w:tc>
        <w:tc>
          <w:tcPr>
            <w:tcW w:w="768" w:type="pct"/>
            <w:tcBorders>
              <w:top w:val="nil"/>
              <w:left w:val="nil"/>
              <w:bottom w:val="nil"/>
              <w:right w:val="nil"/>
            </w:tcBorders>
            <w:shd w:val="clear" w:color="000000" w:fill="FFFFFF"/>
            <w:vAlign w:val="bottom"/>
            <w:hideMark/>
          </w:tcPr>
          <w:p w14:paraId="25987A16" w14:textId="77777777"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(2,447,700)</w:t>
            </w:r>
          </w:p>
        </w:tc>
        <w:tc>
          <w:tcPr>
            <w:tcW w:w="768" w:type="pct"/>
            <w:tcBorders>
              <w:top w:val="nil"/>
              <w:left w:val="nil"/>
              <w:bottom w:val="nil"/>
              <w:right w:val="nil"/>
            </w:tcBorders>
            <w:shd w:val="clear" w:color="000000" w:fill="E6E6E6"/>
            <w:vAlign w:val="bottom"/>
            <w:hideMark/>
          </w:tcPr>
          <w:p w14:paraId="65906D90" w14:textId="77777777"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(2,617,370)</w:t>
            </w:r>
          </w:p>
        </w:tc>
      </w:tr>
      <w:tr w:rsidR="008700A4" w:rsidRPr="008700A4" w14:paraId="45278304" w14:textId="77777777" w:rsidTr="008700A4">
        <w:trPr>
          <w:trHeight w:val="204"/>
        </w:trPr>
        <w:tc>
          <w:tcPr>
            <w:tcW w:w="3464" w:type="pct"/>
            <w:tcBorders>
              <w:top w:val="nil"/>
              <w:left w:val="nil"/>
              <w:bottom w:val="nil"/>
              <w:right w:val="nil"/>
            </w:tcBorders>
            <w:shd w:val="clear" w:color="000000" w:fill="FFFFFF"/>
            <w:vAlign w:val="bottom"/>
            <w:hideMark/>
          </w:tcPr>
          <w:p w14:paraId="49F73917" w14:textId="77777777" w:rsidR="008700A4" w:rsidRPr="008700A4" w:rsidRDefault="008700A4" w:rsidP="008700A4">
            <w:pPr>
              <w:spacing w:after="0" w:line="240" w:lineRule="auto"/>
              <w:rPr>
                <w:rFonts w:ascii="Arial" w:hAnsi="Arial" w:cs="Arial"/>
                <w:b/>
                <w:bCs/>
                <w:color w:val="000000" w:themeColor="text1"/>
                <w:sz w:val="16"/>
                <w:szCs w:val="16"/>
              </w:rPr>
            </w:pPr>
            <w:r w:rsidRPr="008700A4">
              <w:rPr>
                <w:rFonts w:ascii="Arial" w:hAnsi="Arial" w:cs="Arial"/>
                <w:b/>
                <w:bCs/>
                <w:color w:val="000000" w:themeColor="text1"/>
                <w:sz w:val="16"/>
                <w:szCs w:val="16"/>
              </w:rPr>
              <w:t>Total administered resourcing</w:t>
            </w:r>
          </w:p>
        </w:tc>
        <w:tc>
          <w:tcPr>
            <w:tcW w:w="768" w:type="pct"/>
            <w:tcBorders>
              <w:top w:val="single" w:sz="4" w:space="0" w:color="auto"/>
              <w:left w:val="nil"/>
              <w:bottom w:val="single" w:sz="4" w:space="0" w:color="auto"/>
              <w:right w:val="nil"/>
            </w:tcBorders>
            <w:shd w:val="clear" w:color="000000" w:fill="FFFFFF"/>
            <w:vAlign w:val="bottom"/>
            <w:hideMark/>
          </w:tcPr>
          <w:p w14:paraId="2C560EFC" w14:textId="7C7C3ADE" w:rsidR="008700A4" w:rsidRPr="008700A4" w:rsidRDefault="008700A4" w:rsidP="008700A4">
            <w:pPr>
              <w:spacing w:after="0" w:line="240" w:lineRule="auto"/>
              <w:jc w:val="right"/>
              <w:rPr>
                <w:rFonts w:ascii="Arial" w:hAnsi="Arial" w:cs="Arial"/>
                <w:b/>
                <w:bCs/>
                <w:color w:val="000000" w:themeColor="text1"/>
                <w:sz w:val="16"/>
                <w:szCs w:val="16"/>
              </w:rPr>
            </w:pPr>
            <w:r w:rsidRPr="008700A4">
              <w:rPr>
                <w:rFonts w:ascii="Arial" w:hAnsi="Arial" w:cs="Arial"/>
                <w:b/>
                <w:bCs/>
                <w:color w:val="000000" w:themeColor="text1"/>
                <w:sz w:val="16"/>
                <w:szCs w:val="16"/>
              </w:rPr>
              <w:t>15,280,412</w:t>
            </w:r>
          </w:p>
        </w:tc>
        <w:tc>
          <w:tcPr>
            <w:tcW w:w="768" w:type="pct"/>
            <w:tcBorders>
              <w:top w:val="single" w:sz="4" w:space="0" w:color="auto"/>
              <w:left w:val="nil"/>
              <w:bottom w:val="single" w:sz="4" w:space="0" w:color="auto"/>
              <w:right w:val="nil"/>
            </w:tcBorders>
            <w:shd w:val="clear" w:color="000000" w:fill="E6E6E6"/>
            <w:vAlign w:val="bottom"/>
            <w:hideMark/>
          </w:tcPr>
          <w:p w14:paraId="7C899509" w14:textId="44EB4C49" w:rsidR="008700A4" w:rsidRPr="008700A4" w:rsidRDefault="008700A4" w:rsidP="008700A4">
            <w:pPr>
              <w:spacing w:after="0" w:line="240" w:lineRule="auto"/>
              <w:jc w:val="right"/>
              <w:rPr>
                <w:rFonts w:ascii="Arial" w:hAnsi="Arial" w:cs="Arial"/>
                <w:b/>
                <w:bCs/>
                <w:color w:val="000000" w:themeColor="text1"/>
                <w:sz w:val="16"/>
                <w:szCs w:val="16"/>
              </w:rPr>
            </w:pPr>
            <w:r w:rsidRPr="008700A4">
              <w:rPr>
                <w:rFonts w:ascii="Arial" w:hAnsi="Arial" w:cs="Arial"/>
                <w:b/>
                <w:bCs/>
                <w:color w:val="000000" w:themeColor="text1"/>
                <w:sz w:val="16"/>
                <w:szCs w:val="16"/>
              </w:rPr>
              <w:t>16,837,458</w:t>
            </w:r>
          </w:p>
        </w:tc>
      </w:tr>
      <w:tr w:rsidR="008700A4" w:rsidRPr="008700A4" w14:paraId="526232C0" w14:textId="77777777" w:rsidTr="008700A4">
        <w:trPr>
          <w:trHeight w:val="204"/>
        </w:trPr>
        <w:tc>
          <w:tcPr>
            <w:tcW w:w="3464" w:type="pct"/>
            <w:tcBorders>
              <w:top w:val="nil"/>
              <w:left w:val="nil"/>
              <w:bottom w:val="single" w:sz="4" w:space="0" w:color="auto"/>
              <w:right w:val="nil"/>
            </w:tcBorders>
            <w:shd w:val="clear" w:color="000000" w:fill="FFFFFF"/>
            <w:vAlign w:val="bottom"/>
            <w:hideMark/>
          </w:tcPr>
          <w:p w14:paraId="17D9F6F7" w14:textId="77777777" w:rsidR="008700A4" w:rsidRPr="008700A4" w:rsidRDefault="008700A4" w:rsidP="008700A4">
            <w:pPr>
              <w:spacing w:after="0" w:line="240" w:lineRule="auto"/>
              <w:rPr>
                <w:rFonts w:ascii="Arial" w:hAnsi="Arial" w:cs="Arial"/>
                <w:b/>
                <w:bCs/>
                <w:color w:val="000000" w:themeColor="text1"/>
                <w:sz w:val="16"/>
                <w:szCs w:val="16"/>
              </w:rPr>
            </w:pPr>
            <w:r w:rsidRPr="008700A4">
              <w:rPr>
                <w:rFonts w:ascii="Arial" w:hAnsi="Arial" w:cs="Arial"/>
                <w:b/>
                <w:bCs/>
                <w:color w:val="000000" w:themeColor="text1"/>
                <w:sz w:val="16"/>
                <w:szCs w:val="16"/>
              </w:rPr>
              <w:t>Total resourcing for the Department</w:t>
            </w:r>
          </w:p>
        </w:tc>
        <w:tc>
          <w:tcPr>
            <w:tcW w:w="768" w:type="pct"/>
            <w:tcBorders>
              <w:top w:val="nil"/>
              <w:left w:val="nil"/>
              <w:bottom w:val="single" w:sz="4" w:space="0" w:color="auto"/>
              <w:right w:val="nil"/>
            </w:tcBorders>
            <w:shd w:val="clear" w:color="000000" w:fill="FFFFFF"/>
            <w:vAlign w:val="bottom"/>
            <w:hideMark/>
          </w:tcPr>
          <w:p w14:paraId="1FE41249" w14:textId="11DA6D41" w:rsidR="008700A4" w:rsidRPr="008700A4" w:rsidRDefault="008700A4" w:rsidP="008700A4">
            <w:pPr>
              <w:spacing w:after="0" w:line="240" w:lineRule="auto"/>
              <w:jc w:val="right"/>
              <w:rPr>
                <w:rFonts w:ascii="Arial" w:hAnsi="Arial" w:cs="Arial"/>
                <w:b/>
                <w:bCs/>
                <w:color w:val="000000" w:themeColor="text1"/>
                <w:sz w:val="16"/>
                <w:szCs w:val="16"/>
              </w:rPr>
            </w:pPr>
            <w:r w:rsidRPr="008700A4">
              <w:rPr>
                <w:rFonts w:ascii="Arial" w:hAnsi="Arial" w:cs="Arial"/>
                <w:b/>
                <w:bCs/>
                <w:color w:val="000000" w:themeColor="text1"/>
                <w:sz w:val="16"/>
                <w:szCs w:val="16"/>
              </w:rPr>
              <w:t>15,820,158</w:t>
            </w:r>
          </w:p>
        </w:tc>
        <w:tc>
          <w:tcPr>
            <w:tcW w:w="768" w:type="pct"/>
            <w:tcBorders>
              <w:top w:val="nil"/>
              <w:left w:val="nil"/>
              <w:bottom w:val="single" w:sz="4" w:space="0" w:color="auto"/>
              <w:right w:val="nil"/>
            </w:tcBorders>
            <w:shd w:val="clear" w:color="000000" w:fill="E6E6E6"/>
            <w:vAlign w:val="bottom"/>
            <w:hideMark/>
          </w:tcPr>
          <w:p w14:paraId="0B9E48F9" w14:textId="039E1D33" w:rsidR="008700A4" w:rsidRPr="008700A4" w:rsidRDefault="008700A4" w:rsidP="008700A4">
            <w:pPr>
              <w:spacing w:after="0" w:line="240" w:lineRule="auto"/>
              <w:jc w:val="right"/>
              <w:rPr>
                <w:rFonts w:ascii="Arial" w:hAnsi="Arial" w:cs="Arial"/>
                <w:b/>
                <w:bCs/>
                <w:color w:val="000000" w:themeColor="text1"/>
                <w:sz w:val="16"/>
                <w:szCs w:val="16"/>
              </w:rPr>
            </w:pPr>
            <w:r w:rsidRPr="008700A4">
              <w:rPr>
                <w:rFonts w:ascii="Arial" w:hAnsi="Arial" w:cs="Arial"/>
                <w:b/>
                <w:bCs/>
                <w:color w:val="000000" w:themeColor="text1"/>
                <w:sz w:val="16"/>
                <w:szCs w:val="16"/>
              </w:rPr>
              <w:t>17,442,186</w:t>
            </w:r>
          </w:p>
        </w:tc>
      </w:tr>
    </w:tbl>
    <w:p w14:paraId="4CB66EC1" w14:textId="77777777" w:rsidR="008700A4" w:rsidRPr="00E972EF" w:rsidRDefault="008700A4" w:rsidP="00115843">
      <w:pPr>
        <w:spacing w:after="0" w:line="240" w:lineRule="auto"/>
        <w:rPr>
          <w:rFonts w:ascii="Arial" w:hAnsi="Arial" w:cs="Arial"/>
          <w:sz w:val="16"/>
        </w:rPr>
      </w:pPr>
    </w:p>
    <w:tbl>
      <w:tblPr>
        <w:tblW w:w="5000" w:type="pct"/>
        <w:tblLook w:val="04A0" w:firstRow="1" w:lastRow="0" w:firstColumn="1" w:lastColumn="0" w:noHBand="0" w:noVBand="1"/>
      </w:tblPr>
      <w:tblGrid>
        <w:gridCol w:w="5342"/>
        <w:gridCol w:w="1184"/>
        <w:gridCol w:w="1184"/>
      </w:tblGrid>
      <w:tr w:rsidR="00E972EF" w:rsidRPr="00E972EF" w14:paraId="6D80BE92" w14:textId="77777777" w:rsidTr="008700A4">
        <w:trPr>
          <w:trHeight w:val="204"/>
        </w:trPr>
        <w:tc>
          <w:tcPr>
            <w:tcW w:w="3464" w:type="pct"/>
            <w:tcBorders>
              <w:top w:val="single" w:sz="4" w:space="0" w:color="auto"/>
              <w:left w:val="nil"/>
              <w:bottom w:val="nil"/>
              <w:right w:val="nil"/>
            </w:tcBorders>
            <w:shd w:val="clear" w:color="000000" w:fill="FFFFFF"/>
            <w:vAlign w:val="bottom"/>
            <w:hideMark/>
          </w:tcPr>
          <w:p w14:paraId="17D8B3AD" w14:textId="77777777" w:rsidR="00E972EF" w:rsidRPr="00E972EF" w:rsidRDefault="00E972EF" w:rsidP="00E972EF">
            <w:pPr>
              <w:spacing w:after="0" w:line="240" w:lineRule="auto"/>
              <w:rPr>
                <w:rFonts w:ascii="Arial" w:hAnsi="Arial" w:cs="Arial"/>
                <w:color w:val="000000"/>
                <w:sz w:val="16"/>
                <w:szCs w:val="16"/>
              </w:rPr>
            </w:pPr>
            <w:r w:rsidRPr="00E972EF">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vAlign w:val="bottom"/>
            <w:hideMark/>
          </w:tcPr>
          <w:p w14:paraId="6F71AC7E" w14:textId="77777777" w:rsidR="00E972EF" w:rsidRPr="00383FD5" w:rsidRDefault="00E972EF" w:rsidP="00E972EF">
            <w:pPr>
              <w:spacing w:after="0" w:line="240" w:lineRule="auto"/>
              <w:jc w:val="right"/>
              <w:rPr>
                <w:rFonts w:ascii="Arial" w:hAnsi="Arial" w:cs="Arial"/>
                <w:iCs/>
                <w:color w:val="000000"/>
                <w:sz w:val="16"/>
                <w:szCs w:val="16"/>
              </w:rPr>
            </w:pPr>
            <w:r w:rsidRPr="00383FD5">
              <w:rPr>
                <w:rFonts w:ascii="Arial" w:hAnsi="Arial" w:cs="Arial"/>
                <w:iCs/>
                <w:color w:val="000000"/>
                <w:sz w:val="16"/>
                <w:szCs w:val="16"/>
              </w:rPr>
              <w:t>2022-23</w:t>
            </w:r>
          </w:p>
        </w:tc>
        <w:tc>
          <w:tcPr>
            <w:tcW w:w="768" w:type="pct"/>
            <w:tcBorders>
              <w:top w:val="single" w:sz="4" w:space="0" w:color="auto"/>
              <w:left w:val="nil"/>
              <w:bottom w:val="single" w:sz="4" w:space="0" w:color="auto"/>
              <w:right w:val="nil"/>
            </w:tcBorders>
            <w:shd w:val="clear" w:color="000000" w:fill="E6E6E6"/>
            <w:vAlign w:val="bottom"/>
            <w:hideMark/>
          </w:tcPr>
          <w:p w14:paraId="76F343E6" w14:textId="77777777" w:rsidR="00E972EF" w:rsidRPr="00E972EF" w:rsidRDefault="00E972EF" w:rsidP="00E972EF">
            <w:pPr>
              <w:spacing w:after="0" w:line="240" w:lineRule="auto"/>
              <w:jc w:val="right"/>
              <w:rPr>
                <w:rFonts w:ascii="Arial" w:hAnsi="Arial" w:cs="Arial"/>
                <w:color w:val="000000"/>
                <w:sz w:val="16"/>
                <w:szCs w:val="16"/>
              </w:rPr>
            </w:pPr>
            <w:r w:rsidRPr="00E972EF">
              <w:rPr>
                <w:rFonts w:ascii="Arial" w:hAnsi="Arial" w:cs="Arial"/>
                <w:color w:val="000000"/>
                <w:sz w:val="16"/>
                <w:szCs w:val="16"/>
              </w:rPr>
              <w:t>2023-24</w:t>
            </w:r>
          </w:p>
        </w:tc>
      </w:tr>
      <w:tr w:rsidR="008700A4" w:rsidRPr="00E972EF" w14:paraId="1CCD0B58" w14:textId="77777777" w:rsidTr="008700A4">
        <w:trPr>
          <w:trHeight w:val="204"/>
        </w:trPr>
        <w:tc>
          <w:tcPr>
            <w:tcW w:w="3464" w:type="pct"/>
            <w:tcBorders>
              <w:top w:val="nil"/>
              <w:left w:val="nil"/>
              <w:bottom w:val="single" w:sz="4" w:space="0" w:color="auto"/>
              <w:right w:val="nil"/>
            </w:tcBorders>
            <w:shd w:val="clear" w:color="000000" w:fill="FFFFFF"/>
            <w:vAlign w:val="bottom"/>
            <w:hideMark/>
          </w:tcPr>
          <w:p w14:paraId="7F1BD627" w14:textId="77777777" w:rsidR="008700A4" w:rsidRPr="00E972EF" w:rsidRDefault="008700A4" w:rsidP="008700A4">
            <w:pPr>
              <w:spacing w:after="0" w:line="240" w:lineRule="auto"/>
              <w:rPr>
                <w:rFonts w:ascii="Arial" w:hAnsi="Arial" w:cs="Arial"/>
                <w:b/>
                <w:bCs/>
                <w:color w:val="000000"/>
                <w:sz w:val="16"/>
                <w:szCs w:val="16"/>
              </w:rPr>
            </w:pPr>
            <w:r w:rsidRPr="00E972EF">
              <w:rPr>
                <w:rFonts w:ascii="Arial" w:hAnsi="Arial" w:cs="Arial"/>
                <w:b/>
                <w:bCs/>
                <w:color w:val="000000"/>
                <w:sz w:val="16"/>
                <w:szCs w:val="16"/>
              </w:rPr>
              <w:t>Average staffing level (number)</w:t>
            </w:r>
          </w:p>
        </w:tc>
        <w:tc>
          <w:tcPr>
            <w:tcW w:w="768" w:type="pct"/>
            <w:tcBorders>
              <w:top w:val="nil"/>
              <w:left w:val="nil"/>
              <w:bottom w:val="single" w:sz="4" w:space="0" w:color="auto"/>
              <w:right w:val="nil"/>
            </w:tcBorders>
            <w:shd w:val="clear" w:color="000000" w:fill="FFFFFF"/>
            <w:vAlign w:val="bottom"/>
            <w:hideMark/>
          </w:tcPr>
          <w:p w14:paraId="69F3A4C1" w14:textId="2DE44CDD" w:rsidR="008700A4" w:rsidRPr="008700A4" w:rsidRDefault="008700A4" w:rsidP="008700A4">
            <w:pPr>
              <w:spacing w:after="0" w:line="240" w:lineRule="auto"/>
              <w:jc w:val="right"/>
              <w:rPr>
                <w:rFonts w:ascii="Arial" w:hAnsi="Arial" w:cs="Arial"/>
                <w:iCs/>
                <w:color w:val="000000" w:themeColor="text1"/>
                <w:sz w:val="16"/>
                <w:szCs w:val="16"/>
              </w:rPr>
            </w:pPr>
            <w:r w:rsidRPr="008700A4">
              <w:rPr>
                <w:rFonts w:ascii="Arial" w:hAnsi="Arial" w:cs="Arial"/>
                <w:color w:val="000000" w:themeColor="text1"/>
                <w:sz w:val="16"/>
                <w:szCs w:val="16"/>
              </w:rPr>
              <w:t>1,818</w:t>
            </w:r>
          </w:p>
        </w:tc>
        <w:tc>
          <w:tcPr>
            <w:tcW w:w="768" w:type="pct"/>
            <w:tcBorders>
              <w:top w:val="nil"/>
              <w:left w:val="nil"/>
              <w:bottom w:val="single" w:sz="4" w:space="0" w:color="auto"/>
              <w:right w:val="nil"/>
            </w:tcBorders>
            <w:shd w:val="clear" w:color="000000" w:fill="E6E6E6"/>
            <w:vAlign w:val="bottom"/>
            <w:hideMark/>
          </w:tcPr>
          <w:p w14:paraId="4304736E" w14:textId="2A6591CE"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2,004</w:t>
            </w:r>
          </w:p>
        </w:tc>
      </w:tr>
    </w:tbl>
    <w:p w14:paraId="7A88A4AA" w14:textId="6D37E4A8" w:rsidR="00115843" w:rsidRDefault="00115843" w:rsidP="00115843">
      <w:pPr>
        <w:spacing w:after="0" w:line="240" w:lineRule="auto"/>
        <w:rPr>
          <w:rFonts w:ascii="Arial" w:hAnsi="Arial"/>
          <w:b/>
        </w:rPr>
      </w:pPr>
      <w:r>
        <w:br w:type="page"/>
      </w:r>
    </w:p>
    <w:p w14:paraId="4FB0FC21" w14:textId="77777777" w:rsidR="00092BB9" w:rsidRPr="0063772E" w:rsidRDefault="00092BB9" w:rsidP="00387550">
      <w:pPr>
        <w:pStyle w:val="TableHeading"/>
        <w:spacing w:after="0"/>
        <w:rPr>
          <w:b w:val="0"/>
        </w:rPr>
      </w:pPr>
      <w:r w:rsidRPr="00D44150">
        <w:lastRenderedPageBreak/>
        <w:t xml:space="preserve">Table 1.1: </w:t>
      </w:r>
      <w:r>
        <w:t>Department of Infrastructure, Transport, Regional Development, Communications and the Arts</w:t>
      </w:r>
      <w:r w:rsidRPr="00D44150">
        <w:t xml:space="preserve"> resource statement</w:t>
      </w:r>
      <w:r>
        <w:t xml:space="preserve"> — </w:t>
      </w:r>
      <w:r>
        <w:rPr>
          <w:rFonts w:cs="Arial"/>
        </w:rPr>
        <w:t>Budget estimates for 2023</w:t>
      </w:r>
      <w:r>
        <w:rPr>
          <w:rFonts w:cs="Arial"/>
        </w:rPr>
        <w:noBreakHyphen/>
        <w:t>24 as at Budget May 2023</w:t>
      </w:r>
      <w:r>
        <w:t xml:space="preserve"> (continued)</w:t>
      </w:r>
    </w:p>
    <w:p w14:paraId="7D276C6A" w14:textId="14053339" w:rsidR="00657C23" w:rsidRDefault="00657C23" w:rsidP="00387550">
      <w:pPr>
        <w:pStyle w:val="TableHeading"/>
        <w:spacing w:after="0"/>
      </w:pPr>
      <w:r w:rsidRPr="008A4505">
        <w:t>Third party payments from and on behalf of other entities</w:t>
      </w:r>
    </w:p>
    <w:tbl>
      <w:tblPr>
        <w:tblW w:w="5000" w:type="pct"/>
        <w:tblLook w:val="04A0" w:firstRow="1" w:lastRow="0" w:firstColumn="1" w:lastColumn="0" w:noHBand="0" w:noVBand="1"/>
      </w:tblPr>
      <w:tblGrid>
        <w:gridCol w:w="5342"/>
        <w:gridCol w:w="1184"/>
        <w:gridCol w:w="1184"/>
      </w:tblGrid>
      <w:tr w:rsidR="008700A4" w:rsidRPr="008700A4" w14:paraId="093A186C" w14:textId="77777777" w:rsidTr="008700A4">
        <w:trPr>
          <w:trHeight w:val="204"/>
        </w:trPr>
        <w:tc>
          <w:tcPr>
            <w:tcW w:w="3464" w:type="pct"/>
            <w:tcBorders>
              <w:top w:val="single" w:sz="4" w:space="0" w:color="auto"/>
              <w:left w:val="nil"/>
              <w:bottom w:val="nil"/>
              <w:right w:val="nil"/>
            </w:tcBorders>
            <w:shd w:val="clear" w:color="000000" w:fill="FFFFFF"/>
            <w:vAlign w:val="bottom"/>
            <w:hideMark/>
          </w:tcPr>
          <w:p w14:paraId="71E0DB0B" w14:textId="77777777" w:rsidR="008700A4" w:rsidRPr="008700A4" w:rsidRDefault="008700A4" w:rsidP="008700A4">
            <w:pPr>
              <w:spacing w:after="0" w:line="240" w:lineRule="auto"/>
              <w:rPr>
                <w:rFonts w:ascii="Arial" w:hAnsi="Arial" w:cs="Arial"/>
                <w:color w:val="000000" w:themeColor="text1"/>
                <w:sz w:val="16"/>
                <w:szCs w:val="16"/>
              </w:rPr>
            </w:pPr>
            <w:r w:rsidRPr="008700A4">
              <w:rPr>
                <w:rFonts w:ascii="Arial" w:hAnsi="Arial" w:cs="Arial"/>
                <w:color w:val="000000" w:themeColor="text1"/>
                <w:sz w:val="16"/>
                <w:szCs w:val="16"/>
              </w:rPr>
              <w:t> </w:t>
            </w:r>
          </w:p>
        </w:tc>
        <w:tc>
          <w:tcPr>
            <w:tcW w:w="768" w:type="pct"/>
            <w:tcBorders>
              <w:top w:val="single" w:sz="4" w:space="0" w:color="auto"/>
              <w:left w:val="nil"/>
              <w:bottom w:val="single" w:sz="4" w:space="0" w:color="auto"/>
              <w:right w:val="nil"/>
            </w:tcBorders>
            <w:shd w:val="clear" w:color="000000" w:fill="FFFFFF"/>
            <w:vAlign w:val="bottom"/>
            <w:hideMark/>
          </w:tcPr>
          <w:p w14:paraId="5A401B7F" w14:textId="77777777"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2022-23 Estimated actual</w:t>
            </w:r>
            <w:r w:rsidRPr="008700A4">
              <w:rPr>
                <w:rFonts w:ascii="Arial" w:hAnsi="Arial" w:cs="Arial"/>
                <w:color w:val="000000" w:themeColor="text1"/>
                <w:sz w:val="16"/>
                <w:szCs w:val="16"/>
              </w:rPr>
              <w:br/>
              <w:t>$'000</w:t>
            </w:r>
          </w:p>
        </w:tc>
        <w:tc>
          <w:tcPr>
            <w:tcW w:w="768" w:type="pct"/>
            <w:tcBorders>
              <w:top w:val="single" w:sz="4" w:space="0" w:color="auto"/>
              <w:left w:val="nil"/>
              <w:bottom w:val="single" w:sz="4" w:space="0" w:color="auto"/>
              <w:right w:val="nil"/>
            </w:tcBorders>
            <w:shd w:val="clear" w:color="000000" w:fill="E6E6E6"/>
            <w:vAlign w:val="bottom"/>
            <w:hideMark/>
          </w:tcPr>
          <w:p w14:paraId="686BC38E" w14:textId="77777777"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2023-24 Estimate</w:t>
            </w:r>
            <w:r w:rsidRPr="008700A4">
              <w:rPr>
                <w:rFonts w:ascii="Arial" w:hAnsi="Arial" w:cs="Arial"/>
                <w:color w:val="000000" w:themeColor="text1"/>
                <w:sz w:val="16"/>
                <w:szCs w:val="16"/>
              </w:rPr>
              <w:br/>
            </w:r>
            <w:r w:rsidRPr="008700A4">
              <w:rPr>
                <w:rFonts w:ascii="Arial" w:hAnsi="Arial" w:cs="Arial"/>
                <w:color w:val="000000" w:themeColor="text1"/>
                <w:sz w:val="16"/>
                <w:szCs w:val="16"/>
              </w:rPr>
              <w:br/>
              <w:t>$'000</w:t>
            </w:r>
          </w:p>
        </w:tc>
      </w:tr>
      <w:tr w:rsidR="008700A4" w:rsidRPr="008700A4" w14:paraId="06033540" w14:textId="77777777" w:rsidTr="008700A4">
        <w:trPr>
          <w:trHeight w:val="204"/>
        </w:trPr>
        <w:tc>
          <w:tcPr>
            <w:tcW w:w="3464" w:type="pct"/>
            <w:tcBorders>
              <w:top w:val="nil"/>
              <w:left w:val="nil"/>
              <w:bottom w:val="nil"/>
              <w:right w:val="nil"/>
            </w:tcBorders>
            <w:shd w:val="clear" w:color="000000" w:fill="FFFFFF"/>
            <w:vAlign w:val="bottom"/>
            <w:hideMark/>
          </w:tcPr>
          <w:p w14:paraId="14C7A80D" w14:textId="56B37118" w:rsidR="008700A4" w:rsidRPr="008700A4" w:rsidRDefault="008700A4" w:rsidP="008700A4">
            <w:pPr>
              <w:spacing w:after="0" w:line="240" w:lineRule="auto"/>
              <w:rPr>
                <w:rFonts w:ascii="Arial" w:hAnsi="Arial" w:cs="Arial"/>
                <w:color w:val="000000" w:themeColor="text1"/>
                <w:sz w:val="16"/>
                <w:szCs w:val="16"/>
              </w:rPr>
            </w:pPr>
            <w:r w:rsidRPr="008700A4">
              <w:rPr>
                <w:rFonts w:ascii="Arial" w:hAnsi="Arial" w:cs="Arial"/>
                <w:color w:val="000000" w:themeColor="text1"/>
                <w:sz w:val="16"/>
                <w:szCs w:val="16"/>
              </w:rPr>
              <w:t>Payments made by other entities on behalf of the Department (disclosed above)</w:t>
            </w:r>
          </w:p>
        </w:tc>
        <w:tc>
          <w:tcPr>
            <w:tcW w:w="768" w:type="pct"/>
            <w:tcBorders>
              <w:top w:val="nil"/>
              <w:left w:val="nil"/>
              <w:bottom w:val="nil"/>
              <w:right w:val="nil"/>
            </w:tcBorders>
            <w:shd w:val="clear" w:color="000000" w:fill="FFFFFF"/>
            <w:vAlign w:val="bottom"/>
            <w:hideMark/>
          </w:tcPr>
          <w:p w14:paraId="4A86B2C5" w14:textId="0DBCFD20" w:rsidR="008700A4" w:rsidRPr="008700A4" w:rsidRDefault="008700A4" w:rsidP="008700A4">
            <w:pPr>
              <w:spacing w:after="0" w:line="240" w:lineRule="auto"/>
              <w:jc w:val="right"/>
              <w:rPr>
                <w:rFonts w:ascii="Arial" w:hAnsi="Arial" w:cs="Arial"/>
                <w:color w:val="000000" w:themeColor="text1"/>
                <w:sz w:val="16"/>
                <w:szCs w:val="16"/>
              </w:rPr>
            </w:pPr>
          </w:p>
        </w:tc>
        <w:tc>
          <w:tcPr>
            <w:tcW w:w="768" w:type="pct"/>
            <w:tcBorders>
              <w:top w:val="nil"/>
              <w:left w:val="nil"/>
              <w:bottom w:val="nil"/>
              <w:right w:val="nil"/>
            </w:tcBorders>
            <w:shd w:val="clear" w:color="000000" w:fill="E6E6E6"/>
            <w:vAlign w:val="bottom"/>
            <w:hideMark/>
          </w:tcPr>
          <w:p w14:paraId="2C850450" w14:textId="26476687" w:rsidR="008700A4" w:rsidRPr="008700A4" w:rsidRDefault="008700A4" w:rsidP="008700A4">
            <w:pPr>
              <w:spacing w:after="0" w:line="240" w:lineRule="auto"/>
              <w:jc w:val="right"/>
              <w:rPr>
                <w:rFonts w:ascii="Arial" w:hAnsi="Arial" w:cs="Arial"/>
                <w:color w:val="000000" w:themeColor="text1"/>
                <w:sz w:val="16"/>
                <w:szCs w:val="16"/>
              </w:rPr>
            </w:pPr>
          </w:p>
        </w:tc>
      </w:tr>
      <w:tr w:rsidR="008700A4" w:rsidRPr="008700A4" w14:paraId="58F444A6" w14:textId="77777777" w:rsidTr="008700A4">
        <w:trPr>
          <w:trHeight w:val="204"/>
        </w:trPr>
        <w:tc>
          <w:tcPr>
            <w:tcW w:w="3464" w:type="pct"/>
            <w:tcBorders>
              <w:top w:val="nil"/>
              <w:left w:val="nil"/>
              <w:bottom w:val="nil"/>
              <w:right w:val="nil"/>
            </w:tcBorders>
            <w:shd w:val="clear" w:color="000000" w:fill="FFFFFF"/>
            <w:vAlign w:val="bottom"/>
            <w:hideMark/>
          </w:tcPr>
          <w:p w14:paraId="441E96F7" w14:textId="6B3C8BD7" w:rsidR="008700A4" w:rsidRPr="008700A4" w:rsidRDefault="008700A4" w:rsidP="008700A4">
            <w:pPr>
              <w:spacing w:after="0" w:line="240" w:lineRule="auto"/>
              <w:ind w:left="113"/>
              <w:rPr>
                <w:rFonts w:ascii="Arial" w:hAnsi="Arial" w:cs="Arial"/>
                <w:color w:val="000000" w:themeColor="text1"/>
                <w:sz w:val="16"/>
                <w:szCs w:val="16"/>
              </w:rPr>
            </w:pPr>
            <w:r w:rsidRPr="008700A4">
              <w:rPr>
                <w:rFonts w:ascii="Arial" w:hAnsi="Arial" w:cs="Arial"/>
                <w:color w:val="000000" w:themeColor="text1"/>
                <w:sz w:val="16"/>
                <w:szCs w:val="16"/>
              </w:rPr>
              <w:t>Services Australia</w:t>
            </w:r>
            <w:r w:rsidRPr="008700A4">
              <w:rPr>
                <w:rFonts w:ascii="Arial" w:hAnsi="Arial" w:cs="Arial"/>
                <w:color w:val="000000" w:themeColor="text1"/>
                <w:sz w:val="16"/>
                <w:szCs w:val="16"/>
                <w:vertAlign w:val="superscript"/>
              </w:rPr>
              <w:t>(n)</w:t>
            </w:r>
          </w:p>
        </w:tc>
        <w:tc>
          <w:tcPr>
            <w:tcW w:w="768" w:type="pct"/>
            <w:tcBorders>
              <w:top w:val="nil"/>
              <w:left w:val="nil"/>
              <w:bottom w:val="nil"/>
              <w:right w:val="nil"/>
            </w:tcBorders>
            <w:shd w:val="clear" w:color="000000" w:fill="FFFFFF"/>
            <w:vAlign w:val="bottom"/>
            <w:hideMark/>
          </w:tcPr>
          <w:p w14:paraId="64925CD7" w14:textId="1C3521D6"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232,456</w:t>
            </w:r>
          </w:p>
        </w:tc>
        <w:tc>
          <w:tcPr>
            <w:tcW w:w="768" w:type="pct"/>
            <w:tcBorders>
              <w:top w:val="nil"/>
              <w:left w:val="nil"/>
              <w:bottom w:val="nil"/>
              <w:right w:val="nil"/>
            </w:tcBorders>
            <w:shd w:val="clear" w:color="000000" w:fill="E6E6E6"/>
            <w:vAlign w:val="bottom"/>
            <w:hideMark/>
          </w:tcPr>
          <w:p w14:paraId="5E009F83" w14:textId="3D5FCB96"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236,651</w:t>
            </w:r>
          </w:p>
        </w:tc>
      </w:tr>
      <w:tr w:rsidR="008700A4" w:rsidRPr="008700A4" w14:paraId="7FBF5C33" w14:textId="77777777" w:rsidTr="008700A4">
        <w:trPr>
          <w:trHeight w:val="204"/>
        </w:trPr>
        <w:tc>
          <w:tcPr>
            <w:tcW w:w="3464" w:type="pct"/>
            <w:tcBorders>
              <w:top w:val="nil"/>
              <w:left w:val="nil"/>
              <w:bottom w:val="nil"/>
              <w:right w:val="nil"/>
            </w:tcBorders>
            <w:shd w:val="clear" w:color="000000" w:fill="FFFFFF"/>
            <w:vAlign w:val="bottom"/>
            <w:hideMark/>
          </w:tcPr>
          <w:p w14:paraId="2DFA68E6" w14:textId="5A0BF210" w:rsidR="008700A4" w:rsidRPr="008700A4" w:rsidRDefault="008700A4" w:rsidP="008700A4">
            <w:pPr>
              <w:spacing w:after="0" w:line="240" w:lineRule="auto"/>
              <w:rPr>
                <w:rFonts w:ascii="Arial" w:hAnsi="Arial" w:cs="Arial"/>
                <w:color w:val="000000" w:themeColor="text1"/>
                <w:sz w:val="16"/>
                <w:szCs w:val="16"/>
              </w:rPr>
            </w:pPr>
            <w:r w:rsidRPr="008700A4">
              <w:rPr>
                <w:rFonts w:ascii="Arial" w:hAnsi="Arial" w:cs="Arial"/>
                <w:color w:val="000000" w:themeColor="text1"/>
                <w:sz w:val="16"/>
                <w:szCs w:val="16"/>
              </w:rPr>
              <w:t>Receipts received from other entities for the provision of services (disclosed above in s74 External Revenue section above)</w:t>
            </w:r>
          </w:p>
        </w:tc>
        <w:tc>
          <w:tcPr>
            <w:tcW w:w="768" w:type="pct"/>
            <w:tcBorders>
              <w:top w:val="nil"/>
              <w:left w:val="nil"/>
              <w:bottom w:val="nil"/>
              <w:right w:val="nil"/>
            </w:tcBorders>
            <w:shd w:val="clear" w:color="000000" w:fill="FFFFFF"/>
            <w:vAlign w:val="bottom"/>
            <w:hideMark/>
          </w:tcPr>
          <w:p w14:paraId="7A971C2A" w14:textId="1F11FFDA" w:rsidR="008700A4" w:rsidRPr="008700A4" w:rsidRDefault="008700A4" w:rsidP="008700A4">
            <w:pPr>
              <w:spacing w:after="0" w:line="240" w:lineRule="auto"/>
              <w:jc w:val="right"/>
              <w:rPr>
                <w:rFonts w:ascii="Arial" w:hAnsi="Arial" w:cs="Arial"/>
                <w:color w:val="000000" w:themeColor="text1"/>
                <w:sz w:val="16"/>
                <w:szCs w:val="16"/>
              </w:rPr>
            </w:pPr>
          </w:p>
        </w:tc>
        <w:tc>
          <w:tcPr>
            <w:tcW w:w="768" w:type="pct"/>
            <w:tcBorders>
              <w:top w:val="nil"/>
              <w:left w:val="nil"/>
              <w:bottom w:val="nil"/>
              <w:right w:val="nil"/>
            </w:tcBorders>
            <w:shd w:val="clear" w:color="000000" w:fill="E6E6E6"/>
            <w:vAlign w:val="bottom"/>
            <w:hideMark/>
          </w:tcPr>
          <w:p w14:paraId="12206495" w14:textId="1091172E" w:rsidR="008700A4" w:rsidRPr="008700A4" w:rsidRDefault="008700A4" w:rsidP="008700A4">
            <w:pPr>
              <w:spacing w:after="0" w:line="240" w:lineRule="auto"/>
              <w:jc w:val="right"/>
              <w:rPr>
                <w:rFonts w:ascii="Arial" w:hAnsi="Arial" w:cs="Arial"/>
                <w:color w:val="000000" w:themeColor="text1"/>
                <w:sz w:val="16"/>
                <w:szCs w:val="16"/>
              </w:rPr>
            </w:pPr>
          </w:p>
        </w:tc>
      </w:tr>
      <w:tr w:rsidR="008700A4" w:rsidRPr="008700A4" w14:paraId="43DFE3D8" w14:textId="77777777" w:rsidTr="008700A4">
        <w:trPr>
          <w:trHeight w:val="204"/>
        </w:trPr>
        <w:tc>
          <w:tcPr>
            <w:tcW w:w="3464" w:type="pct"/>
            <w:tcBorders>
              <w:top w:val="nil"/>
              <w:left w:val="nil"/>
              <w:bottom w:val="nil"/>
              <w:right w:val="nil"/>
            </w:tcBorders>
            <w:shd w:val="clear" w:color="000000" w:fill="FFFFFF"/>
            <w:vAlign w:val="bottom"/>
            <w:hideMark/>
          </w:tcPr>
          <w:p w14:paraId="6B4119F2" w14:textId="77777777" w:rsidR="008700A4" w:rsidRPr="008700A4" w:rsidRDefault="008700A4" w:rsidP="008700A4">
            <w:pPr>
              <w:spacing w:after="0" w:line="240" w:lineRule="auto"/>
              <w:ind w:left="113"/>
              <w:rPr>
                <w:rFonts w:ascii="Arial" w:hAnsi="Arial" w:cs="Arial"/>
                <w:color w:val="000000" w:themeColor="text1"/>
                <w:sz w:val="16"/>
                <w:szCs w:val="16"/>
              </w:rPr>
            </w:pPr>
            <w:r w:rsidRPr="008700A4">
              <w:rPr>
                <w:rFonts w:ascii="Arial" w:hAnsi="Arial" w:cs="Arial"/>
                <w:color w:val="000000" w:themeColor="text1"/>
                <w:sz w:val="16"/>
                <w:szCs w:val="16"/>
              </w:rPr>
              <w:t>Australian Transport Safety Bureau</w:t>
            </w:r>
          </w:p>
        </w:tc>
        <w:tc>
          <w:tcPr>
            <w:tcW w:w="768" w:type="pct"/>
            <w:tcBorders>
              <w:top w:val="nil"/>
              <w:left w:val="nil"/>
              <w:bottom w:val="nil"/>
              <w:right w:val="nil"/>
            </w:tcBorders>
            <w:shd w:val="clear" w:color="000000" w:fill="FFFFFF"/>
            <w:vAlign w:val="bottom"/>
            <w:hideMark/>
          </w:tcPr>
          <w:p w14:paraId="3B8D37D9" w14:textId="2932F00B"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60</w:t>
            </w:r>
          </w:p>
        </w:tc>
        <w:tc>
          <w:tcPr>
            <w:tcW w:w="768" w:type="pct"/>
            <w:tcBorders>
              <w:top w:val="nil"/>
              <w:left w:val="nil"/>
              <w:bottom w:val="nil"/>
              <w:right w:val="nil"/>
            </w:tcBorders>
            <w:shd w:val="clear" w:color="000000" w:fill="E6E6E6"/>
            <w:vAlign w:val="bottom"/>
            <w:hideMark/>
          </w:tcPr>
          <w:p w14:paraId="33A45F11" w14:textId="222F8F8B"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60</w:t>
            </w:r>
          </w:p>
        </w:tc>
      </w:tr>
      <w:tr w:rsidR="008700A4" w:rsidRPr="008700A4" w14:paraId="5A081A80" w14:textId="77777777" w:rsidTr="008700A4">
        <w:trPr>
          <w:trHeight w:val="204"/>
        </w:trPr>
        <w:tc>
          <w:tcPr>
            <w:tcW w:w="3464" w:type="pct"/>
            <w:tcBorders>
              <w:top w:val="nil"/>
              <w:left w:val="nil"/>
              <w:bottom w:val="nil"/>
              <w:right w:val="nil"/>
            </w:tcBorders>
            <w:shd w:val="clear" w:color="000000" w:fill="FFFFFF"/>
            <w:vAlign w:val="bottom"/>
            <w:hideMark/>
          </w:tcPr>
          <w:p w14:paraId="7F34B90B" w14:textId="77777777" w:rsidR="008700A4" w:rsidRPr="008700A4" w:rsidRDefault="008700A4" w:rsidP="008700A4">
            <w:pPr>
              <w:spacing w:after="0" w:line="240" w:lineRule="auto"/>
              <w:rPr>
                <w:rFonts w:ascii="Arial" w:hAnsi="Arial" w:cs="Arial"/>
                <w:color w:val="000000" w:themeColor="text1"/>
                <w:sz w:val="16"/>
                <w:szCs w:val="16"/>
              </w:rPr>
            </w:pPr>
            <w:r w:rsidRPr="008700A4">
              <w:rPr>
                <w:rFonts w:ascii="Arial" w:hAnsi="Arial" w:cs="Arial"/>
                <w:color w:val="000000" w:themeColor="text1"/>
                <w:sz w:val="16"/>
                <w:szCs w:val="16"/>
              </w:rPr>
              <w:t xml:space="preserve">Payments made to corporate entities within the Portfolio </w:t>
            </w:r>
          </w:p>
        </w:tc>
        <w:tc>
          <w:tcPr>
            <w:tcW w:w="768" w:type="pct"/>
            <w:tcBorders>
              <w:top w:val="nil"/>
              <w:left w:val="nil"/>
              <w:bottom w:val="nil"/>
              <w:right w:val="nil"/>
            </w:tcBorders>
            <w:shd w:val="clear" w:color="000000" w:fill="FFFFFF"/>
            <w:vAlign w:val="bottom"/>
            <w:hideMark/>
          </w:tcPr>
          <w:p w14:paraId="24ABEA90" w14:textId="15A28E28" w:rsidR="008700A4" w:rsidRPr="008700A4" w:rsidRDefault="008700A4" w:rsidP="008700A4">
            <w:pPr>
              <w:spacing w:after="0" w:line="240" w:lineRule="auto"/>
              <w:jc w:val="right"/>
              <w:rPr>
                <w:rFonts w:ascii="Arial" w:hAnsi="Arial" w:cs="Arial"/>
                <w:color w:val="000000" w:themeColor="text1"/>
                <w:sz w:val="16"/>
                <w:szCs w:val="16"/>
              </w:rPr>
            </w:pPr>
          </w:p>
        </w:tc>
        <w:tc>
          <w:tcPr>
            <w:tcW w:w="768" w:type="pct"/>
            <w:tcBorders>
              <w:top w:val="nil"/>
              <w:left w:val="nil"/>
              <w:bottom w:val="nil"/>
              <w:right w:val="nil"/>
            </w:tcBorders>
            <w:shd w:val="clear" w:color="000000" w:fill="E6E6E6"/>
            <w:vAlign w:val="bottom"/>
            <w:hideMark/>
          </w:tcPr>
          <w:p w14:paraId="72524AAF" w14:textId="18345306" w:rsidR="008700A4" w:rsidRPr="008700A4" w:rsidRDefault="008700A4" w:rsidP="008700A4">
            <w:pPr>
              <w:spacing w:after="0" w:line="240" w:lineRule="auto"/>
              <w:jc w:val="right"/>
              <w:rPr>
                <w:rFonts w:ascii="Arial" w:hAnsi="Arial" w:cs="Arial"/>
                <w:color w:val="000000" w:themeColor="text1"/>
                <w:sz w:val="16"/>
                <w:szCs w:val="16"/>
              </w:rPr>
            </w:pPr>
          </w:p>
        </w:tc>
      </w:tr>
      <w:tr w:rsidR="008700A4" w:rsidRPr="008700A4" w14:paraId="7E6A604B" w14:textId="77777777" w:rsidTr="008700A4">
        <w:trPr>
          <w:trHeight w:val="204"/>
        </w:trPr>
        <w:tc>
          <w:tcPr>
            <w:tcW w:w="3464" w:type="pct"/>
            <w:tcBorders>
              <w:top w:val="nil"/>
              <w:left w:val="nil"/>
              <w:bottom w:val="nil"/>
              <w:right w:val="nil"/>
            </w:tcBorders>
            <w:shd w:val="clear" w:color="FFFFFF" w:fill="FFFFFF"/>
            <w:noWrap/>
            <w:vAlign w:val="bottom"/>
            <w:hideMark/>
          </w:tcPr>
          <w:p w14:paraId="03ED9551" w14:textId="77777777" w:rsidR="008700A4" w:rsidRPr="008700A4" w:rsidRDefault="008700A4" w:rsidP="008700A4">
            <w:pPr>
              <w:spacing w:after="0" w:line="240" w:lineRule="auto"/>
              <w:ind w:left="113"/>
              <w:rPr>
                <w:rFonts w:ascii="Arial" w:hAnsi="Arial" w:cs="Arial"/>
                <w:color w:val="000000" w:themeColor="text1"/>
                <w:sz w:val="16"/>
                <w:szCs w:val="16"/>
              </w:rPr>
            </w:pPr>
            <w:r w:rsidRPr="008700A4">
              <w:rPr>
                <w:rFonts w:ascii="Arial" w:hAnsi="Arial" w:cs="Arial"/>
                <w:color w:val="000000" w:themeColor="text1"/>
                <w:sz w:val="16"/>
                <w:szCs w:val="16"/>
              </w:rPr>
              <w:t>Australia Council</w:t>
            </w:r>
          </w:p>
        </w:tc>
        <w:tc>
          <w:tcPr>
            <w:tcW w:w="768" w:type="pct"/>
            <w:tcBorders>
              <w:top w:val="nil"/>
              <w:left w:val="nil"/>
              <w:bottom w:val="nil"/>
              <w:right w:val="nil"/>
            </w:tcBorders>
            <w:shd w:val="clear" w:color="000000" w:fill="FFFFFF"/>
            <w:vAlign w:val="bottom"/>
            <w:hideMark/>
          </w:tcPr>
          <w:p w14:paraId="4C85FEB8" w14:textId="2A61D364"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220,531</w:t>
            </w:r>
          </w:p>
        </w:tc>
        <w:tc>
          <w:tcPr>
            <w:tcW w:w="768" w:type="pct"/>
            <w:tcBorders>
              <w:top w:val="nil"/>
              <w:left w:val="nil"/>
              <w:bottom w:val="nil"/>
              <w:right w:val="nil"/>
            </w:tcBorders>
            <w:shd w:val="clear" w:color="000000" w:fill="E6E6E6"/>
            <w:vAlign w:val="bottom"/>
            <w:hideMark/>
          </w:tcPr>
          <w:p w14:paraId="4B89BED2" w14:textId="05F75E60"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257,974</w:t>
            </w:r>
          </w:p>
        </w:tc>
      </w:tr>
      <w:tr w:rsidR="008700A4" w:rsidRPr="008700A4" w14:paraId="0BFDA5E7" w14:textId="77777777" w:rsidTr="008700A4">
        <w:trPr>
          <w:trHeight w:val="204"/>
        </w:trPr>
        <w:tc>
          <w:tcPr>
            <w:tcW w:w="3464" w:type="pct"/>
            <w:tcBorders>
              <w:top w:val="nil"/>
              <w:left w:val="nil"/>
              <w:bottom w:val="nil"/>
              <w:right w:val="nil"/>
            </w:tcBorders>
            <w:shd w:val="clear" w:color="FFFFFF" w:fill="FFFFFF"/>
            <w:noWrap/>
            <w:vAlign w:val="bottom"/>
            <w:hideMark/>
          </w:tcPr>
          <w:p w14:paraId="51FD0D90" w14:textId="77777777" w:rsidR="008700A4" w:rsidRPr="008700A4" w:rsidRDefault="008700A4" w:rsidP="008700A4">
            <w:pPr>
              <w:spacing w:after="0" w:line="240" w:lineRule="auto"/>
              <w:ind w:left="113"/>
              <w:rPr>
                <w:rFonts w:ascii="Arial" w:hAnsi="Arial" w:cs="Arial"/>
                <w:color w:val="000000" w:themeColor="text1"/>
                <w:sz w:val="16"/>
                <w:szCs w:val="16"/>
              </w:rPr>
            </w:pPr>
            <w:r w:rsidRPr="008700A4">
              <w:rPr>
                <w:rFonts w:ascii="Arial" w:hAnsi="Arial" w:cs="Arial"/>
                <w:color w:val="000000" w:themeColor="text1"/>
                <w:sz w:val="16"/>
                <w:szCs w:val="16"/>
              </w:rPr>
              <w:t>Australian Broadcasting Corporation</w:t>
            </w:r>
          </w:p>
        </w:tc>
        <w:tc>
          <w:tcPr>
            <w:tcW w:w="768" w:type="pct"/>
            <w:tcBorders>
              <w:top w:val="nil"/>
              <w:left w:val="nil"/>
              <w:bottom w:val="nil"/>
              <w:right w:val="nil"/>
            </w:tcBorders>
            <w:shd w:val="clear" w:color="auto" w:fill="auto"/>
            <w:vAlign w:val="bottom"/>
            <w:hideMark/>
          </w:tcPr>
          <w:p w14:paraId="73FE31F0" w14:textId="7DEC4171"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1,107,158</w:t>
            </w:r>
          </w:p>
        </w:tc>
        <w:tc>
          <w:tcPr>
            <w:tcW w:w="768" w:type="pct"/>
            <w:tcBorders>
              <w:top w:val="nil"/>
              <w:left w:val="nil"/>
              <w:bottom w:val="nil"/>
              <w:right w:val="nil"/>
            </w:tcBorders>
            <w:shd w:val="clear" w:color="000000" w:fill="E6E6E6"/>
            <w:vAlign w:val="bottom"/>
            <w:hideMark/>
          </w:tcPr>
          <w:p w14:paraId="79CEC237" w14:textId="6B979192"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1,137,568</w:t>
            </w:r>
          </w:p>
        </w:tc>
      </w:tr>
      <w:tr w:rsidR="008700A4" w:rsidRPr="008700A4" w14:paraId="36F1A03D" w14:textId="77777777" w:rsidTr="008700A4">
        <w:trPr>
          <w:trHeight w:val="204"/>
        </w:trPr>
        <w:tc>
          <w:tcPr>
            <w:tcW w:w="3464" w:type="pct"/>
            <w:tcBorders>
              <w:top w:val="nil"/>
              <w:left w:val="nil"/>
              <w:bottom w:val="nil"/>
              <w:right w:val="nil"/>
            </w:tcBorders>
            <w:shd w:val="clear" w:color="FFFFFF" w:fill="FFFFFF"/>
            <w:noWrap/>
            <w:vAlign w:val="bottom"/>
            <w:hideMark/>
          </w:tcPr>
          <w:p w14:paraId="1CD25461" w14:textId="77777777" w:rsidR="008700A4" w:rsidRPr="008700A4" w:rsidRDefault="008700A4" w:rsidP="008700A4">
            <w:pPr>
              <w:spacing w:after="0" w:line="240" w:lineRule="auto"/>
              <w:ind w:left="113"/>
              <w:rPr>
                <w:rFonts w:ascii="Arial" w:hAnsi="Arial" w:cs="Arial"/>
                <w:color w:val="000000" w:themeColor="text1"/>
                <w:sz w:val="16"/>
                <w:szCs w:val="16"/>
              </w:rPr>
            </w:pPr>
            <w:r w:rsidRPr="008700A4">
              <w:rPr>
                <w:rFonts w:ascii="Arial" w:hAnsi="Arial" w:cs="Arial"/>
                <w:color w:val="000000" w:themeColor="text1"/>
                <w:sz w:val="16"/>
                <w:szCs w:val="16"/>
              </w:rPr>
              <w:t>Australian Film, Television and Radio School</w:t>
            </w:r>
          </w:p>
        </w:tc>
        <w:tc>
          <w:tcPr>
            <w:tcW w:w="768" w:type="pct"/>
            <w:tcBorders>
              <w:top w:val="nil"/>
              <w:left w:val="nil"/>
              <w:bottom w:val="nil"/>
              <w:right w:val="nil"/>
            </w:tcBorders>
            <w:shd w:val="clear" w:color="auto" w:fill="auto"/>
            <w:vAlign w:val="bottom"/>
            <w:hideMark/>
          </w:tcPr>
          <w:p w14:paraId="4BFBCF53" w14:textId="30B88241"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22,997</w:t>
            </w:r>
          </w:p>
        </w:tc>
        <w:tc>
          <w:tcPr>
            <w:tcW w:w="768" w:type="pct"/>
            <w:tcBorders>
              <w:top w:val="nil"/>
              <w:left w:val="nil"/>
              <w:bottom w:val="nil"/>
              <w:right w:val="nil"/>
            </w:tcBorders>
            <w:shd w:val="clear" w:color="000000" w:fill="E6E6E6"/>
            <w:vAlign w:val="bottom"/>
            <w:hideMark/>
          </w:tcPr>
          <w:p w14:paraId="164D84F0" w14:textId="3169C6F7"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24,283</w:t>
            </w:r>
          </w:p>
        </w:tc>
      </w:tr>
      <w:tr w:rsidR="008700A4" w:rsidRPr="008700A4" w14:paraId="57E4A7FA" w14:textId="77777777" w:rsidTr="008700A4">
        <w:trPr>
          <w:trHeight w:val="204"/>
        </w:trPr>
        <w:tc>
          <w:tcPr>
            <w:tcW w:w="3464" w:type="pct"/>
            <w:tcBorders>
              <w:top w:val="nil"/>
              <w:left w:val="nil"/>
              <w:bottom w:val="nil"/>
              <w:right w:val="nil"/>
            </w:tcBorders>
            <w:shd w:val="clear" w:color="FFFFFF" w:fill="FFFFFF"/>
            <w:noWrap/>
            <w:vAlign w:val="bottom"/>
            <w:hideMark/>
          </w:tcPr>
          <w:p w14:paraId="6E9D0EB6" w14:textId="77777777" w:rsidR="008700A4" w:rsidRPr="008700A4" w:rsidRDefault="008700A4" w:rsidP="008700A4">
            <w:pPr>
              <w:spacing w:after="0" w:line="240" w:lineRule="auto"/>
              <w:ind w:left="113"/>
              <w:rPr>
                <w:rFonts w:ascii="Arial" w:hAnsi="Arial" w:cs="Arial"/>
                <w:color w:val="000000" w:themeColor="text1"/>
                <w:sz w:val="16"/>
                <w:szCs w:val="16"/>
              </w:rPr>
            </w:pPr>
            <w:r w:rsidRPr="008700A4">
              <w:rPr>
                <w:rFonts w:ascii="Arial" w:hAnsi="Arial" w:cs="Arial"/>
                <w:color w:val="000000" w:themeColor="text1"/>
                <w:sz w:val="16"/>
                <w:szCs w:val="16"/>
              </w:rPr>
              <w:t>Australian Maritime Safety Authority</w:t>
            </w:r>
          </w:p>
        </w:tc>
        <w:tc>
          <w:tcPr>
            <w:tcW w:w="768" w:type="pct"/>
            <w:tcBorders>
              <w:top w:val="nil"/>
              <w:left w:val="nil"/>
              <w:bottom w:val="nil"/>
              <w:right w:val="nil"/>
            </w:tcBorders>
            <w:shd w:val="clear" w:color="auto" w:fill="auto"/>
            <w:vAlign w:val="bottom"/>
            <w:hideMark/>
          </w:tcPr>
          <w:p w14:paraId="1A4A520F" w14:textId="4202B2EB"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223,903</w:t>
            </w:r>
          </w:p>
        </w:tc>
        <w:tc>
          <w:tcPr>
            <w:tcW w:w="768" w:type="pct"/>
            <w:tcBorders>
              <w:top w:val="nil"/>
              <w:left w:val="nil"/>
              <w:bottom w:val="nil"/>
              <w:right w:val="nil"/>
            </w:tcBorders>
            <w:shd w:val="clear" w:color="000000" w:fill="E6E6E6"/>
            <w:vAlign w:val="bottom"/>
            <w:hideMark/>
          </w:tcPr>
          <w:p w14:paraId="303AB954" w14:textId="7C96BC41"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235,233</w:t>
            </w:r>
          </w:p>
        </w:tc>
      </w:tr>
      <w:tr w:rsidR="008700A4" w:rsidRPr="008700A4" w14:paraId="29645CE8" w14:textId="77777777" w:rsidTr="008700A4">
        <w:trPr>
          <w:trHeight w:val="204"/>
        </w:trPr>
        <w:tc>
          <w:tcPr>
            <w:tcW w:w="3464" w:type="pct"/>
            <w:tcBorders>
              <w:top w:val="nil"/>
              <w:left w:val="nil"/>
              <w:bottom w:val="nil"/>
              <w:right w:val="nil"/>
            </w:tcBorders>
            <w:shd w:val="clear" w:color="FFFFFF" w:fill="FFFFFF"/>
            <w:noWrap/>
            <w:vAlign w:val="bottom"/>
            <w:hideMark/>
          </w:tcPr>
          <w:p w14:paraId="7A0D0133" w14:textId="77777777" w:rsidR="008700A4" w:rsidRPr="008700A4" w:rsidRDefault="008700A4" w:rsidP="008700A4">
            <w:pPr>
              <w:spacing w:after="0" w:line="240" w:lineRule="auto"/>
              <w:ind w:left="113"/>
              <w:rPr>
                <w:rFonts w:ascii="Arial" w:hAnsi="Arial" w:cs="Arial"/>
                <w:color w:val="000000" w:themeColor="text1"/>
                <w:sz w:val="16"/>
                <w:szCs w:val="16"/>
              </w:rPr>
            </w:pPr>
            <w:r w:rsidRPr="008700A4">
              <w:rPr>
                <w:rFonts w:ascii="Arial" w:hAnsi="Arial" w:cs="Arial"/>
                <w:color w:val="000000" w:themeColor="text1"/>
                <w:sz w:val="16"/>
                <w:szCs w:val="16"/>
              </w:rPr>
              <w:t>Australian National Maritime Museum</w:t>
            </w:r>
          </w:p>
        </w:tc>
        <w:tc>
          <w:tcPr>
            <w:tcW w:w="768" w:type="pct"/>
            <w:tcBorders>
              <w:top w:val="nil"/>
              <w:left w:val="nil"/>
              <w:bottom w:val="nil"/>
              <w:right w:val="nil"/>
            </w:tcBorders>
            <w:shd w:val="clear" w:color="auto" w:fill="auto"/>
            <w:vAlign w:val="bottom"/>
            <w:hideMark/>
          </w:tcPr>
          <w:p w14:paraId="5FF40A7F" w14:textId="3DC1167B"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25,734</w:t>
            </w:r>
          </w:p>
        </w:tc>
        <w:tc>
          <w:tcPr>
            <w:tcW w:w="768" w:type="pct"/>
            <w:tcBorders>
              <w:top w:val="nil"/>
              <w:left w:val="nil"/>
              <w:bottom w:val="nil"/>
              <w:right w:val="nil"/>
            </w:tcBorders>
            <w:shd w:val="clear" w:color="000000" w:fill="E6E6E6"/>
            <w:vAlign w:val="bottom"/>
            <w:hideMark/>
          </w:tcPr>
          <w:p w14:paraId="3043857A" w14:textId="338832BE"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29,824</w:t>
            </w:r>
          </w:p>
        </w:tc>
      </w:tr>
      <w:tr w:rsidR="008700A4" w:rsidRPr="008700A4" w14:paraId="76B1F593" w14:textId="77777777" w:rsidTr="008700A4">
        <w:trPr>
          <w:trHeight w:val="204"/>
        </w:trPr>
        <w:tc>
          <w:tcPr>
            <w:tcW w:w="3464" w:type="pct"/>
            <w:tcBorders>
              <w:top w:val="nil"/>
              <w:left w:val="nil"/>
              <w:bottom w:val="nil"/>
              <w:right w:val="nil"/>
            </w:tcBorders>
            <w:shd w:val="clear" w:color="FFFFFF" w:fill="FFFFFF"/>
            <w:noWrap/>
            <w:vAlign w:val="bottom"/>
            <w:hideMark/>
          </w:tcPr>
          <w:p w14:paraId="0A4D03FB" w14:textId="77777777" w:rsidR="008700A4" w:rsidRPr="008700A4" w:rsidRDefault="008700A4" w:rsidP="008700A4">
            <w:pPr>
              <w:spacing w:after="0" w:line="240" w:lineRule="auto"/>
              <w:ind w:left="113"/>
              <w:rPr>
                <w:rFonts w:ascii="Arial" w:hAnsi="Arial" w:cs="Arial"/>
                <w:color w:val="000000" w:themeColor="text1"/>
                <w:sz w:val="16"/>
                <w:szCs w:val="16"/>
              </w:rPr>
            </w:pPr>
            <w:r w:rsidRPr="008700A4">
              <w:rPr>
                <w:rFonts w:ascii="Arial" w:hAnsi="Arial" w:cs="Arial"/>
                <w:color w:val="000000" w:themeColor="text1"/>
                <w:sz w:val="16"/>
                <w:szCs w:val="16"/>
              </w:rPr>
              <w:t>Civil Aviation Safety Authority</w:t>
            </w:r>
          </w:p>
        </w:tc>
        <w:tc>
          <w:tcPr>
            <w:tcW w:w="768" w:type="pct"/>
            <w:tcBorders>
              <w:top w:val="nil"/>
              <w:left w:val="nil"/>
              <w:bottom w:val="nil"/>
              <w:right w:val="nil"/>
            </w:tcBorders>
            <w:shd w:val="clear" w:color="auto" w:fill="auto"/>
            <w:vAlign w:val="bottom"/>
            <w:hideMark/>
          </w:tcPr>
          <w:p w14:paraId="479E638A" w14:textId="0B0F767F"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206,219</w:t>
            </w:r>
          </w:p>
        </w:tc>
        <w:tc>
          <w:tcPr>
            <w:tcW w:w="768" w:type="pct"/>
            <w:tcBorders>
              <w:top w:val="nil"/>
              <w:left w:val="nil"/>
              <w:bottom w:val="nil"/>
              <w:right w:val="nil"/>
            </w:tcBorders>
            <w:shd w:val="clear" w:color="000000" w:fill="E6E6E6"/>
            <w:vAlign w:val="bottom"/>
            <w:hideMark/>
          </w:tcPr>
          <w:p w14:paraId="225D772E" w14:textId="6B41A6F3"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197,446</w:t>
            </w:r>
          </w:p>
        </w:tc>
      </w:tr>
      <w:tr w:rsidR="008700A4" w:rsidRPr="008700A4" w14:paraId="62229925" w14:textId="77777777" w:rsidTr="008700A4">
        <w:trPr>
          <w:trHeight w:val="204"/>
        </w:trPr>
        <w:tc>
          <w:tcPr>
            <w:tcW w:w="3464" w:type="pct"/>
            <w:tcBorders>
              <w:top w:val="nil"/>
              <w:left w:val="nil"/>
              <w:bottom w:val="nil"/>
              <w:right w:val="nil"/>
            </w:tcBorders>
            <w:shd w:val="clear" w:color="FFFFFF" w:fill="FFFFFF"/>
            <w:noWrap/>
            <w:vAlign w:val="bottom"/>
            <w:hideMark/>
          </w:tcPr>
          <w:p w14:paraId="24270EC0" w14:textId="07D78D7C" w:rsidR="008700A4" w:rsidRPr="008700A4" w:rsidRDefault="008700A4" w:rsidP="008700A4">
            <w:pPr>
              <w:spacing w:after="0" w:line="240" w:lineRule="auto"/>
              <w:ind w:left="113"/>
              <w:rPr>
                <w:rFonts w:ascii="Arial" w:hAnsi="Arial" w:cs="Arial"/>
                <w:color w:val="000000" w:themeColor="text1"/>
                <w:sz w:val="16"/>
                <w:szCs w:val="16"/>
              </w:rPr>
            </w:pPr>
            <w:r w:rsidRPr="008700A4">
              <w:rPr>
                <w:rFonts w:ascii="Arial" w:hAnsi="Arial" w:cs="Arial"/>
                <w:color w:val="000000" w:themeColor="text1"/>
                <w:sz w:val="16"/>
                <w:szCs w:val="16"/>
              </w:rPr>
              <w:t>High Speed Rail Authority</w:t>
            </w:r>
            <w:r w:rsidRPr="008700A4">
              <w:rPr>
                <w:rFonts w:ascii="Arial" w:hAnsi="Arial" w:cs="Arial"/>
                <w:color w:val="000000" w:themeColor="text1"/>
                <w:sz w:val="16"/>
                <w:szCs w:val="16"/>
                <w:vertAlign w:val="superscript"/>
              </w:rPr>
              <w:t>(o)</w:t>
            </w:r>
          </w:p>
        </w:tc>
        <w:tc>
          <w:tcPr>
            <w:tcW w:w="768" w:type="pct"/>
            <w:tcBorders>
              <w:top w:val="nil"/>
              <w:left w:val="nil"/>
              <w:bottom w:val="nil"/>
              <w:right w:val="nil"/>
            </w:tcBorders>
            <w:shd w:val="clear" w:color="auto" w:fill="auto"/>
            <w:vAlign w:val="bottom"/>
            <w:hideMark/>
          </w:tcPr>
          <w:p w14:paraId="096DA974" w14:textId="50AE96B0"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w:t>
            </w:r>
          </w:p>
        </w:tc>
        <w:tc>
          <w:tcPr>
            <w:tcW w:w="768" w:type="pct"/>
            <w:tcBorders>
              <w:top w:val="nil"/>
              <w:left w:val="nil"/>
              <w:bottom w:val="nil"/>
              <w:right w:val="nil"/>
            </w:tcBorders>
            <w:shd w:val="clear" w:color="000000" w:fill="E6E6E6"/>
            <w:vAlign w:val="bottom"/>
            <w:hideMark/>
          </w:tcPr>
          <w:p w14:paraId="4F0A887A" w14:textId="54D7B2AE"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5,424</w:t>
            </w:r>
          </w:p>
        </w:tc>
      </w:tr>
      <w:tr w:rsidR="008700A4" w:rsidRPr="008700A4" w14:paraId="0365DAF9" w14:textId="77777777" w:rsidTr="008700A4">
        <w:trPr>
          <w:trHeight w:val="204"/>
        </w:trPr>
        <w:tc>
          <w:tcPr>
            <w:tcW w:w="3464" w:type="pct"/>
            <w:tcBorders>
              <w:top w:val="nil"/>
              <w:left w:val="nil"/>
              <w:bottom w:val="nil"/>
              <w:right w:val="nil"/>
            </w:tcBorders>
            <w:shd w:val="clear" w:color="FFFFFF" w:fill="FFFFFF"/>
            <w:noWrap/>
            <w:vAlign w:val="bottom"/>
            <w:hideMark/>
          </w:tcPr>
          <w:p w14:paraId="6459FEB3" w14:textId="77777777" w:rsidR="008700A4" w:rsidRPr="008700A4" w:rsidRDefault="008700A4" w:rsidP="008700A4">
            <w:pPr>
              <w:spacing w:after="0" w:line="240" w:lineRule="auto"/>
              <w:ind w:left="113"/>
              <w:rPr>
                <w:rFonts w:ascii="Arial" w:hAnsi="Arial" w:cs="Arial"/>
                <w:color w:val="000000" w:themeColor="text1"/>
                <w:sz w:val="16"/>
                <w:szCs w:val="16"/>
              </w:rPr>
            </w:pPr>
            <w:r w:rsidRPr="008700A4">
              <w:rPr>
                <w:rFonts w:ascii="Arial" w:hAnsi="Arial" w:cs="Arial"/>
                <w:color w:val="000000" w:themeColor="text1"/>
                <w:sz w:val="16"/>
                <w:szCs w:val="16"/>
              </w:rPr>
              <w:t>Infrastructure Australia</w:t>
            </w:r>
          </w:p>
        </w:tc>
        <w:tc>
          <w:tcPr>
            <w:tcW w:w="768" w:type="pct"/>
            <w:tcBorders>
              <w:top w:val="nil"/>
              <w:left w:val="nil"/>
              <w:bottom w:val="nil"/>
              <w:right w:val="nil"/>
            </w:tcBorders>
            <w:shd w:val="clear" w:color="auto" w:fill="auto"/>
            <w:vAlign w:val="bottom"/>
            <w:hideMark/>
          </w:tcPr>
          <w:p w14:paraId="6B8D0632" w14:textId="71EEA7C2"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12,524</w:t>
            </w:r>
          </w:p>
        </w:tc>
        <w:tc>
          <w:tcPr>
            <w:tcW w:w="768" w:type="pct"/>
            <w:tcBorders>
              <w:top w:val="nil"/>
              <w:left w:val="nil"/>
              <w:bottom w:val="nil"/>
              <w:right w:val="nil"/>
            </w:tcBorders>
            <w:shd w:val="clear" w:color="000000" w:fill="E6E6E6"/>
            <w:vAlign w:val="bottom"/>
            <w:hideMark/>
          </w:tcPr>
          <w:p w14:paraId="1C339EF5" w14:textId="6BA6A28D"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12,961</w:t>
            </w:r>
          </w:p>
        </w:tc>
      </w:tr>
      <w:tr w:rsidR="008700A4" w:rsidRPr="008700A4" w14:paraId="522DA7B8" w14:textId="77777777" w:rsidTr="008700A4">
        <w:trPr>
          <w:trHeight w:val="204"/>
        </w:trPr>
        <w:tc>
          <w:tcPr>
            <w:tcW w:w="3464" w:type="pct"/>
            <w:tcBorders>
              <w:top w:val="nil"/>
              <w:left w:val="nil"/>
              <w:bottom w:val="nil"/>
              <w:right w:val="nil"/>
            </w:tcBorders>
            <w:shd w:val="clear" w:color="FFFFFF" w:fill="FFFFFF"/>
            <w:noWrap/>
            <w:vAlign w:val="bottom"/>
            <w:hideMark/>
          </w:tcPr>
          <w:p w14:paraId="758E3E3F" w14:textId="77777777" w:rsidR="008700A4" w:rsidRPr="008700A4" w:rsidRDefault="008700A4" w:rsidP="008700A4">
            <w:pPr>
              <w:spacing w:after="0" w:line="240" w:lineRule="auto"/>
              <w:ind w:left="113"/>
              <w:rPr>
                <w:rFonts w:ascii="Arial" w:hAnsi="Arial" w:cs="Arial"/>
                <w:color w:val="000000" w:themeColor="text1"/>
                <w:sz w:val="16"/>
                <w:szCs w:val="16"/>
              </w:rPr>
            </w:pPr>
            <w:r w:rsidRPr="008700A4">
              <w:rPr>
                <w:rFonts w:ascii="Arial" w:hAnsi="Arial" w:cs="Arial"/>
                <w:color w:val="000000" w:themeColor="text1"/>
                <w:sz w:val="16"/>
                <w:szCs w:val="16"/>
              </w:rPr>
              <w:t>National Film and Sound Archive of Australia</w:t>
            </w:r>
          </w:p>
        </w:tc>
        <w:tc>
          <w:tcPr>
            <w:tcW w:w="768" w:type="pct"/>
            <w:tcBorders>
              <w:top w:val="nil"/>
              <w:left w:val="nil"/>
              <w:bottom w:val="nil"/>
              <w:right w:val="nil"/>
            </w:tcBorders>
            <w:shd w:val="clear" w:color="auto" w:fill="auto"/>
            <w:vAlign w:val="bottom"/>
            <w:hideMark/>
          </w:tcPr>
          <w:p w14:paraId="6CF6F523" w14:textId="72B6FCC5"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38,107</w:t>
            </w:r>
          </w:p>
        </w:tc>
        <w:tc>
          <w:tcPr>
            <w:tcW w:w="768" w:type="pct"/>
            <w:tcBorders>
              <w:top w:val="nil"/>
              <w:left w:val="nil"/>
              <w:bottom w:val="nil"/>
              <w:right w:val="nil"/>
            </w:tcBorders>
            <w:shd w:val="clear" w:color="000000" w:fill="E6E6E6"/>
            <w:vAlign w:val="bottom"/>
            <w:hideMark/>
          </w:tcPr>
          <w:p w14:paraId="59274277" w14:textId="710C1404"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47,083</w:t>
            </w:r>
          </w:p>
        </w:tc>
      </w:tr>
      <w:tr w:rsidR="008700A4" w:rsidRPr="008700A4" w14:paraId="7A926FBF" w14:textId="77777777" w:rsidTr="008700A4">
        <w:trPr>
          <w:trHeight w:val="204"/>
        </w:trPr>
        <w:tc>
          <w:tcPr>
            <w:tcW w:w="3464" w:type="pct"/>
            <w:tcBorders>
              <w:top w:val="nil"/>
              <w:left w:val="nil"/>
              <w:bottom w:val="nil"/>
              <w:right w:val="nil"/>
            </w:tcBorders>
            <w:shd w:val="clear" w:color="FFFFFF" w:fill="FFFFFF"/>
            <w:noWrap/>
            <w:vAlign w:val="bottom"/>
            <w:hideMark/>
          </w:tcPr>
          <w:p w14:paraId="3C882B8A" w14:textId="77777777" w:rsidR="008700A4" w:rsidRPr="008700A4" w:rsidRDefault="008700A4" w:rsidP="008700A4">
            <w:pPr>
              <w:spacing w:after="0" w:line="240" w:lineRule="auto"/>
              <w:ind w:left="113"/>
              <w:rPr>
                <w:rFonts w:ascii="Arial" w:hAnsi="Arial" w:cs="Arial"/>
                <w:color w:val="000000" w:themeColor="text1"/>
                <w:sz w:val="16"/>
                <w:szCs w:val="16"/>
              </w:rPr>
            </w:pPr>
            <w:r w:rsidRPr="008700A4">
              <w:rPr>
                <w:rFonts w:ascii="Arial" w:hAnsi="Arial" w:cs="Arial"/>
                <w:color w:val="000000" w:themeColor="text1"/>
                <w:sz w:val="16"/>
                <w:szCs w:val="16"/>
              </w:rPr>
              <w:t>National Gallery of Australia</w:t>
            </w:r>
          </w:p>
        </w:tc>
        <w:tc>
          <w:tcPr>
            <w:tcW w:w="768" w:type="pct"/>
            <w:tcBorders>
              <w:top w:val="nil"/>
              <w:left w:val="nil"/>
              <w:bottom w:val="nil"/>
              <w:right w:val="nil"/>
            </w:tcBorders>
            <w:shd w:val="clear" w:color="auto" w:fill="auto"/>
            <w:vAlign w:val="bottom"/>
            <w:hideMark/>
          </w:tcPr>
          <w:p w14:paraId="4EFB23F9" w14:textId="7768C06E"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65,088</w:t>
            </w:r>
          </w:p>
        </w:tc>
        <w:tc>
          <w:tcPr>
            <w:tcW w:w="768" w:type="pct"/>
            <w:tcBorders>
              <w:top w:val="nil"/>
              <w:left w:val="nil"/>
              <w:bottom w:val="nil"/>
              <w:right w:val="nil"/>
            </w:tcBorders>
            <w:shd w:val="clear" w:color="000000" w:fill="E6E6E6"/>
            <w:vAlign w:val="bottom"/>
            <w:hideMark/>
          </w:tcPr>
          <w:p w14:paraId="139FF54E" w14:textId="08AB3A38"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93,821</w:t>
            </w:r>
          </w:p>
        </w:tc>
      </w:tr>
      <w:tr w:rsidR="008700A4" w:rsidRPr="008700A4" w14:paraId="62232062" w14:textId="77777777" w:rsidTr="008700A4">
        <w:trPr>
          <w:trHeight w:val="204"/>
        </w:trPr>
        <w:tc>
          <w:tcPr>
            <w:tcW w:w="3464" w:type="pct"/>
            <w:tcBorders>
              <w:top w:val="nil"/>
              <w:left w:val="nil"/>
              <w:bottom w:val="nil"/>
              <w:right w:val="nil"/>
            </w:tcBorders>
            <w:shd w:val="clear" w:color="FFFFFF" w:fill="FFFFFF"/>
            <w:noWrap/>
            <w:vAlign w:val="bottom"/>
            <w:hideMark/>
          </w:tcPr>
          <w:p w14:paraId="5ED5FE5A" w14:textId="77777777" w:rsidR="008700A4" w:rsidRPr="008700A4" w:rsidRDefault="008700A4" w:rsidP="008700A4">
            <w:pPr>
              <w:spacing w:after="0" w:line="240" w:lineRule="auto"/>
              <w:ind w:left="113"/>
              <w:rPr>
                <w:rFonts w:ascii="Arial" w:hAnsi="Arial" w:cs="Arial"/>
                <w:color w:val="000000" w:themeColor="text1"/>
                <w:sz w:val="16"/>
                <w:szCs w:val="16"/>
              </w:rPr>
            </w:pPr>
            <w:r w:rsidRPr="008700A4">
              <w:rPr>
                <w:rFonts w:ascii="Arial" w:hAnsi="Arial" w:cs="Arial"/>
                <w:color w:val="000000" w:themeColor="text1"/>
                <w:sz w:val="16"/>
                <w:szCs w:val="16"/>
              </w:rPr>
              <w:t>National Library of Australia</w:t>
            </w:r>
          </w:p>
        </w:tc>
        <w:tc>
          <w:tcPr>
            <w:tcW w:w="768" w:type="pct"/>
            <w:tcBorders>
              <w:top w:val="nil"/>
              <w:left w:val="nil"/>
              <w:bottom w:val="nil"/>
              <w:right w:val="nil"/>
            </w:tcBorders>
            <w:shd w:val="clear" w:color="auto" w:fill="auto"/>
            <w:vAlign w:val="bottom"/>
            <w:hideMark/>
          </w:tcPr>
          <w:p w14:paraId="528BA839" w14:textId="2BE52C5E"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70,639</w:t>
            </w:r>
          </w:p>
        </w:tc>
        <w:tc>
          <w:tcPr>
            <w:tcW w:w="768" w:type="pct"/>
            <w:tcBorders>
              <w:top w:val="nil"/>
              <w:left w:val="nil"/>
              <w:bottom w:val="nil"/>
              <w:right w:val="nil"/>
            </w:tcBorders>
            <w:shd w:val="clear" w:color="000000" w:fill="E6E6E6"/>
            <w:vAlign w:val="bottom"/>
            <w:hideMark/>
          </w:tcPr>
          <w:p w14:paraId="52C17144" w14:textId="11E3EA91"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92,791</w:t>
            </w:r>
          </w:p>
        </w:tc>
      </w:tr>
      <w:tr w:rsidR="008700A4" w:rsidRPr="008700A4" w14:paraId="2A799998" w14:textId="77777777" w:rsidTr="008700A4">
        <w:trPr>
          <w:trHeight w:val="204"/>
        </w:trPr>
        <w:tc>
          <w:tcPr>
            <w:tcW w:w="3464" w:type="pct"/>
            <w:tcBorders>
              <w:top w:val="nil"/>
              <w:left w:val="nil"/>
              <w:bottom w:val="nil"/>
              <w:right w:val="nil"/>
            </w:tcBorders>
            <w:shd w:val="clear" w:color="FFFFFF" w:fill="FFFFFF"/>
            <w:noWrap/>
            <w:vAlign w:val="bottom"/>
            <w:hideMark/>
          </w:tcPr>
          <w:p w14:paraId="789E31E8" w14:textId="77777777" w:rsidR="008700A4" w:rsidRPr="008700A4" w:rsidRDefault="008700A4" w:rsidP="008700A4">
            <w:pPr>
              <w:spacing w:after="0" w:line="240" w:lineRule="auto"/>
              <w:ind w:left="113"/>
              <w:rPr>
                <w:rFonts w:ascii="Arial" w:hAnsi="Arial" w:cs="Arial"/>
                <w:color w:val="000000" w:themeColor="text1"/>
                <w:sz w:val="16"/>
                <w:szCs w:val="16"/>
              </w:rPr>
            </w:pPr>
            <w:r w:rsidRPr="008700A4">
              <w:rPr>
                <w:rFonts w:ascii="Arial" w:hAnsi="Arial" w:cs="Arial"/>
                <w:color w:val="000000" w:themeColor="text1"/>
                <w:sz w:val="16"/>
                <w:szCs w:val="16"/>
              </w:rPr>
              <w:t>National Museum of Australia</w:t>
            </w:r>
          </w:p>
        </w:tc>
        <w:tc>
          <w:tcPr>
            <w:tcW w:w="768" w:type="pct"/>
            <w:tcBorders>
              <w:top w:val="nil"/>
              <w:left w:val="nil"/>
              <w:bottom w:val="nil"/>
              <w:right w:val="nil"/>
            </w:tcBorders>
            <w:shd w:val="clear" w:color="auto" w:fill="auto"/>
            <w:vAlign w:val="bottom"/>
            <w:hideMark/>
          </w:tcPr>
          <w:p w14:paraId="67ED771B" w14:textId="6FAA7D09"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52,860</w:t>
            </w:r>
          </w:p>
        </w:tc>
        <w:tc>
          <w:tcPr>
            <w:tcW w:w="768" w:type="pct"/>
            <w:tcBorders>
              <w:top w:val="nil"/>
              <w:left w:val="nil"/>
              <w:bottom w:val="nil"/>
              <w:right w:val="nil"/>
            </w:tcBorders>
            <w:shd w:val="clear" w:color="000000" w:fill="E6E6E6"/>
            <w:vAlign w:val="bottom"/>
            <w:hideMark/>
          </w:tcPr>
          <w:p w14:paraId="1BFF4152" w14:textId="7A8BC398"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62,606</w:t>
            </w:r>
          </w:p>
        </w:tc>
      </w:tr>
      <w:tr w:rsidR="008700A4" w:rsidRPr="008700A4" w14:paraId="498509E5" w14:textId="77777777" w:rsidTr="008700A4">
        <w:trPr>
          <w:trHeight w:val="204"/>
        </w:trPr>
        <w:tc>
          <w:tcPr>
            <w:tcW w:w="3464" w:type="pct"/>
            <w:tcBorders>
              <w:top w:val="nil"/>
              <w:left w:val="nil"/>
              <w:bottom w:val="nil"/>
              <w:right w:val="nil"/>
            </w:tcBorders>
            <w:shd w:val="clear" w:color="FFFFFF" w:fill="FFFFFF"/>
            <w:noWrap/>
            <w:vAlign w:val="bottom"/>
            <w:hideMark/>
          </w:tcPr>
          <w:p w14:paraId="1606158B" w14:textId="77777777" w:rsidR="008700A4" w:rsidRPr="008700A4" w:rsidRDefault="008700A4" w:rsidP="008700A4">
            <w:pPr>
              <w:spacing w:after="0" w:line="240" w:lineRule="auto"/>
              <w:ind w:left="113"/>
              <w:rPr>
                <w:rFonts w:ascii="Arial" w:hAnsi="Arial" w:cs="Arial"/>
                <w:color w:val="000000" w:themeColor="text1"/>
                <w:sz w:val="16"/>
                <w:szCs w:val="16"/>
              </w:rPr>
            </w:pPr>
            <w:r w:rsidRPr="008700A4">
              <w:rPr>
                <w:rFonts w:ascii="Arial" w:hAnsi="Arial" w:cs="Arial"/>
                <w:color w:val="000000" w:themeColor="text1"/>
                <w:sz w:val="16"/>
                <w:szCs w:val="16"/>
              </w:rPr>
              <w:t>National Portrait Gallery of Australia</w:t>
            </w:r>
          </w:p>
        </w:tc>
        <w:tc>
          <w:tcPr>
            <w:tcW w:w="768" w:type="pct"/>
            <w:tcBorders>
              <w:top w:val="nil"/>
              <w:left w:val="nil"/>
              <w:bottom w:val="nil"/>
              <w:right w:val="nil"/>
            </w:tcBorders>
            <w:shd w:val="clear" w:color="auto" w:fill="auto"/>
            <w:vAlign w:val="bottom"/>
            <w:hideMark/>
          </w:tcPr>
          <w:p w14:paraId="02752741" w14:textId="5EDB8BD6"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12,809</w:t>
            </w:r>
          </w:p>
        </w:tc>
        <w:tc>
          <w:tcPr>
            <w:tcW w:w="768" w:type="pct"/>
            <w:tcBorders>
              <w:top w:val="nil"/>
              <w:left w:val="nil"/>
              <w:bottom w:val="nil"/>
              <w:right w:val="nil"/>
            </w:tcBorders>
            <w:shd w:val="clear" w:color="000000" w:fill="E6E6E6"/>
            <w:vAlign w:val="bottom"/>
            <w:hideMark/>
          </w:tcPr>
          <w:p w14:paraId="636F8D1A" w14:textId="2790870E"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18,853</w:t>
            </w:r>
          </w:p>
        </w:tc>
      </w:tr>
      <w:tr w:rsidR="008700A4" w:rsidRPr="008700A4" w14:paraId="35924342" w14:textId="77777777" w:rsidTr="008700A4">
        <w:trPr>
          <w:trHeight w:val="204"/>
        </w:trPr>
        <w:tc>
          <w:tcPr>
            <w:tcW w:w="3464" w:type="pct"/>
            <w:tcBorders>
              <w:top w:val="nil"/>
              <w:left w:val="nil"/>
              <w:bottom w:val="nil"/>
              <w:right w:val="nil"/>
            </w:tcBorders>
            <w:shd w:val="clear" w:color="FFFFFF" w:fill="FFFFFF"/>
            <w:noWrap/>
            <w:vAlign w:val="bottom"/>
            <w:hideMark/>
          </w:tcPr>
          <w:p w14:paraId="0FD972CE" w14:textId="77777777" w:rsidR="008700A4" w:rsidRPr="008700A4" w:rsidRDefault="008700A4" w:rsidP="008700A4">
            <w:pPr>
              <w:spacing w:after="0" w:line="240" w:lineRule="auto"/>
              <w:ind w:left="113"/>
              <w:rPr>
                <w:rFonts w:ascii="Arial" w:hAnsi="Arial" w:cs="Arial"/>
                <w:color w:val="000000" w:themeColor="text1"/>
                <w:sz w:val="16"/>
                <w:szCs w:val="16"/>
              </w:rPr>
            </w:pPr>
            <w:r w:rsidRPr="008700A4">
              <w:rPr>
                <w:rFonts w:ascii="Arial" w:hAnsi="Arial" w:cs="Arial"/>
                <w:color w:val="000000" w:themeColor="text1"/>
                <w:sz w:val="16"/>
                <w:szCs w:val="16"/>
              </w:rPr>
              <w:t>National Transport Commission</w:t>
            </w:r>
          </w:p>
        </w:tc>
        <w:tc>
          <w:tcPr>
            <w:tcW w:w="768" w:type="pct"/>
            <w:tcBorders>
              <w:top w:val="nil"/>
              <w:left w:val="nil"/>
              <w:bottom w:val="nil"/>
              <w:right w:val="nil"/>
            </w:tcBorders>
            <w:shd w:val="clear" w:color="auto" w:fill="auto"/>
            <w:vAlign w:val="bottom"/>
            <w:hideMark/>
          </w:tcPr>
          <w:p w14:paraId="24160FCC" w14:textId="6E99F6A8"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4,427</w:t>
            </w:r>
          </w:p>
        </w:tc>
        <w:tc>
          <w:tcPr>
            <w:tcW w:w="768" w:type="pct"/>
            <w:tcBorders>
              <w:top w:val="nil"/>
              <w:left w:val="nil"/>
              <w:bottom w:val="nil"/>
              <w:right w:val="nil"/>
            </w:tcBorders>
            <w:shd w:val="clear" w:color="000000" w:fill="E6E6E6"/>
            <w:vAlign w:val="bottom"/>
            <w:hideMark/>
          </w:tcPr>
          <w:p w14:paraId="7D68B91B" w14:textId="23986B51"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4,605</w:t>
            </w:r>
          </w:p>
        </w:tc>
      </w:tr>
      <w:tr w:rsidR="008700A4" w:rsidRPr="008700A4" w14:paraId="68E9246B" w14:textId="77777777" w:rsidTr="008700A4">
        <w:trPr>
          <w:trHeight w:val="204"/>
        </w:trPr>
        <w:tc>
          <w:tcPr>
            <w:tcW w:w="3464" w:type="pct"/>
            <w:tcBorders>
              <w:top w:val="nil"/>
              <w:left w:val="nil"/>
              <w:bottom w:val="nil"/>
              <w:right w:val="nil"/>
            </w:tcBorders>
            <w:shd w:val="clear" w:color="FFFFFF" w:fill="FFFFFF"/>
            <w:noWrap/>
            <w:vAlign w:val="bottom"/>
            <w:hideMark/>
          </w:tcPr>
          <w:p w14:paraId="472B1DF5" w14:textId="77777777" w:rsidR="008700A4" w:rsidRPr="008700A4" w:rsidRDefault="008700A4" w:rsidP="008700A4">
            <w:pPr>
              <w:spacing w:after="0" w:line="240" w:lineRule="auto"/>
              <w:ind w:left="113"/>
              <w:rPr>
                <w:rFonts w:ascii="Arial" w:hAnsi="Arial" w:cs="Arial"/>
                <w:color w:val="000000" w:themeColor="text1"/>
                <w:sz w:val="16"/>
                <w:szCs w:val="16"/>
              </w:rPr>
            </w:pPr>
            <w:r w:rsidRPr="008700A4">
              <w:rPr>
                <w:rFonts w:ascii="Arial" w:hAnsi="Arial" w:cs="Arial"/>
                <w:color w:val="000000" w:themeColor="text1"/>
                <w:sz w:val="16"/>
                <w:szCs w:val="16"/>
              </w:rPr>
              <w:t>Northern Australia Infrastructure Facility</w:t>
            </w:r>
          </w:p>
        </w:tc>
        <w:tc>
          <w:tcPr>
            <w:tcW w:w="768" w:type="pct"/>
            <w:tcBorders>
              <w:top w:val="nil"/>
              <w:left w:val="nil"/>
              <w:bottom w:val="nil"/>
              <w:right w:val="nil"/>
            </w:tcBorders>
            <w:shd w:val="clear" w:color="auto" w:fill="auto"/>
            <w:vAlign w:val="bottom"/>
            <w:hideMark/>
          </w:tcPr>
          <w:p w14:paraId="5C2917D2" w14:textId="2959C5A3"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20,681</w:t>
            </w:r>
          </w:p>
        </w:tc>
        <w:tc>
          <w:tcPr>
            <w:tcW w:w="768" w:type="pct"/>
            <w:tcBorders>
              <w:top w:val="nil"/>
              <w:left w:val="nil"/>
              <w:bottom w:val="nil"/>
              <w:right w:val="nil"/>
            </w:tcBorders>
            <w:shd w:val="clear" w:color="000000" w:fill="E6E6E6"/>
            <w:vAlign w:val="bottom"/>
            <w:hideMark/>
          </w:tcPr>
          <w:p w14:paraId="2F83A8A2" w14:textId="73FFD56E"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21,295</w:t>
            </w:r>
          </w:p>
        </w:tc>
      </w:tr>
      <w:tr w:rsidR="008700A4" w:rsidRPr="008700A4" w14:paraId="22DDCA2C" w14:textId="77777777" w:rsidTr="008700A4">
        <w:trPr>
          <w:trHeight w:val="204"/>
        </w:trPr>
        <w:tc>
          <w:tcPr>
            <w:tcW w:w="3464" w:type="pct"/>
            <w:tcBorders>
              <w:top w:val="nil"/>
              <w:left w:val="nil"/>
              <w:bottom w:val="nil"/>
              <w:right w:val="nil"/>
            </w:tcBorders>
            <w:shd w:val="clear" w:color="FFFFFF" w:fill="FFFFFF"/>
            <w:noWrap/>
            <w:vAlign w:val="bottom"/>
            <w:hideMark/>
          </w:tcPr>
          <w:p w14:paraId="53270758" w14:textId="77777777" w:rsidR="008700A4" w:rsidRPr="008700A4" w:rsidRDefault="008700A4" w:rsidP="008700A4">
            <w:pPr>
              <w:spacing w:after="0" w:line="240" w:lineRule="auto"/>
              <w:ind w:left="113"/>
              <w:rPr>
                <w:rFonts w:ascii="Arial" w:hAnsi="Arial" w:cs="Arial"/>
                <w:color w:val="000000" w:themeColor="text1"/>
                <w:sz w:val="16"/>
                <w:szCs w:val="16"/>
              </w:rPr>
            </w:pPr>
            <w:r w:rsidRPr="008700A4">
              <w:rPr>
                <w:rFonts w:ascii="Arial" w:hAnsi="Arial" w:cs="Arial"/>
                <w:color w:val="000000" w:themeColor="text1"/>
                <w:sz w:val="16"/>
                <w:szCs w:val="16"/>
              </w:rPr>
              <w:t>Old Parliament House</w:t>
            </w:r>
          </w:p>
        </w:tc>
        <w:tc>
          <w:tcPr>
            <w:tcW w:w="768" w:type="pct"/>
            <w:tcBorders>
              <w:top w:val="nil"/>
              <w:left w:val="nil"/>
              <w:bottom w:val="nil"/>
              <w:right w:val="nil"/>
            </w:tcBorders>
            <w:shd w:val="clear" w:color="auto" w:fill="auto"/>
            <w:vAlign w:val="bottom"/>
            <w:hideMark/>
          </w:tcPr>
          <w:p w14:paraId="1B519915" w14:textId="38ABC749"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19,384</w:t>
            </w:r>
          </w:p>
        </w:tc>
        <w:tc>
          <w:tcPr>
            <w:tcW w:w="768" w:type="pct"/>
            <w:tcBorders>
              <w:top w:val="nil"/>
              <w:left w:val="nil"/>
              <w:bottom w:val="nil"/>
              <w:right w:val="nil"/>
            </w:tcBorders>
            <w:shd w:val="clear" w:color="000000" w:fill="E6E6E6"/>
            <w:vAlign w:val="bottom"/>
            <w:hideMark/>
          </w:tcPr>
          <w:p w14:paraId="246A7380" w14:textId="31090BC5"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27,774</w:t>
            </w:r>
          </w:p>
        </w:tc>
      </w:tr>
      <w:tr w:rsidR="008700A4" w:rsidRPr="008700A4" w14:paraId="4ADC8944" w14:textId="77777777" w:rsidTr="008700A4">
        <w:trPr>
          <w:trHeight w:val="204"/>
        </w:trPr>
        <w:tc>
          <w:tcPr>
            <w:tcW w:w="3464" w:type="pct"/>
            <w:tcBorders>
              <w:top w:val="nil"/>
              <w:left w:val="nil"/>
              <w:bottom w:val="nil"/>
              <w:right w:val="nil"/>
            </w:tcBorders>
            <w:shd w:val="clear" w:color="FFFFFF" w:fill="FFFFFF"/>
            <w:noWrap/>
            <w:vAlign w:val="bottom"/>
            <w:hideMark/>
          </w:tcPr>
          <w:p w14:paraId="31A1B734" w14:textId="77777777" w:rsidR="008700A4" w:rsidRPr="008700A4" w:rsidRDefault="008700A4" w:rsidP="008700A4">
            <w:pPr>
              <w:spacing w:after="0" w:line="240" w:lineRule="auto"/>
              <w:ind w:left="113"/>
              <w:rPr>
                <w:rFonts w:ascii="Arial" w:hAnsi="Arial" w:cs="Arial"/>
                <w:color w:val="000000" w:themeColor="text1"/>
                <w:sz w:val="16"/>
                <w:szCs w:val="16"/>
              </w:rPr>
            </w:pPr>
            <w:r w:rsidRPr="008700A4">
              <w:rPr>
                <w:rFonts w:ascii="Arial" w:hAnsi="Arial" w:cs="Arial"/>
                <w:color w:val="000000" w:themeColor="text1"/>
                <w:sz w:val="16"/>
                <w:szCs w:val="16"/>
              </w:rPr>
              <w:t>Screen Australia</w:t>
            </w:r>
          </w:p>
        </w:tc>
        <w:tc>
          <w:tcPr>
            <w:tcW w:w="768" w:type="pct"/>
            <w:tcBorders>
              <w:top w:val="nil"/>
              <w:left w:val="nil"/>
              <w:bottom w:val="nil"/>
              <w:right w:val="nil"/>
            </w:tcBorders>
            <w:shd w:val="clear" w:color="000000" w:fill="FFFFFF"/>
            <w:vAlign w:val="bottom"/>
            <w:hideMark/>
          </w:tcPr>
          <w:p w14:paraId="23FE08BB" w14:textId="43154CA6"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27,834</w:t>
            </w:r>
          </w:p>
        </w:tc>
        <w:tc>
          <w:tcPr>
            <w:tcW w:w="768" w:type="pct"/>
            <w:tcBorders>
              <w:top w:val="nil"/>
              <w:left w:val="nil"/>
              <w:bottom w:val="nil"/>
              <w:right w:val="nil"/>
            </w:tcBorders>
            <w:shd w:val="clear" w:color="000000" w:fill="E6E6E6"/>
            <w:vAlign w:val="bottom"/>
            <w:hideMark/>
          </w:tcPr>
          <w:p w14:paraId="63A1A24E" w14:textId="232A4C1B"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12,890</w:t>
            </w:r>
          </w:p>
        </w:tc>
      </w:tr>
      <w:tr w:rsidR="008700A4" w:rsidRPr="008700A4" w14:paraId="0FB0A218" w14:textId="77777777" w:rsidTr="008700A4">
        <w:trPr>
          <w:trHeight w:val="204"/>
        </w:trPr>
        <w:tc>
          <w:tcPr>
            <w:tcW w:w="3464" w:type="pct"/>
            <w:tcBorders>
              <w:top w:val="nil"/>
              <w:left w:val="nil"/>
              <w:bottom w:val="nil"/>
              <w:right w:val="nil"/>
            </w:tcBorders>
            <w:shd w:val="clear" w:color="FFFFFF" w:fill="FFFFFF"/>
            <w:noWrap/>
            <w:vAlign w:val="bottom"/>
            <w:hideMark/>
          </w:tcPr>
          <w:p w14:paraId="098AC402" w14:textId="77777777" w:rsidR="008700A4" w:rsidRPr="008700A4" w:rsidRDefault="008700A4" w:rsidP="008700A4">
            <w:pPr>
              <w:spacing w:after="0" w:line="240" w:lineRule="auto"/>
              <w:ind w:left="113"/>
              <w:rPr>
                <w:rFonts w:ascii="Arial" w:hAnsi="Arial" w:cs="Arial"/>
                <w:color w:val="000000" w:themeColor="text1"/>
                <w:sz w:val="16"/>
                <w:szCs w:val="16"/>
              </w:rPr>
            </w:pPr>
            <w:r w:rsidRPr="008700A4">
              <w:rPr>
                <w:rFonts w:ascii="Arial" w:hAnsi="Arial" w:cs="Arial"/>
                <w:color w:val="000000" w:themeColor="text1"/>
                <w:sz w:val="16"/>
                <w:szCs w:val="16"/>
              </w:rPr>
              <w:t>Special Broadcasting Service Corporation</w:t>
            </w:r>
          </w:p>
        </w:tc>
        <w:tc>
          <w:tcPr>
            <w:tcW w:w="768" w:type="pct"/>
            <w:tcBorders>
              <w:top w:val="nil"/>
              <w:left w:val="nil"/>
              <w:bottom w:val="nil"/>
              <w:right w:val="nil"/>
            </w:tcBorders>
            <w:shd w:val="clear" w:color="000000" w:fill="FFFFFF"/>
            <w:vAlign w:val="bottom"/>
            <w:hideMark/>
          </w:tcPr>
          <w:p w14:paraId="2B8E2D16" w14:textId="28B66C72"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316,805</w:t>
            </w:r>
          </w:p>
        </w:tc>
        <w:tc>
          <w:tcPr>
            <w:tcW w:w="768" w:type="pct"/>
            <w:tcBorders>
              <w:top w:val="nil"/>
              <w:left w:val="nil"/>
              <w:bottom w:val="nil"/>
              <w:right w:val="nil"/>
            </w:tcBorders>
            <w:shd w:val="clear" w:color="000000" w:fill="E6E6E6"/>
            <w:vAlign w:val="bottom"/>
            <w:hideMark/>
          </w:tcPr>
          <w:p w14:paraId="08646CDA" w14:textId="796B1393" w:rsidR="008700A4" w:rsidRPr="008700A4" w:rsidRDefault="008700A4" w:rsidP="008700A4">
            <w:pPr>
              <w:spacing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334,939</w:t>
            </w:r>
          </w:p>
        </w:tc>
      </w:tr>
      <w:tr w:rsidR="008700A4" w:rsidRPr="008700A4" w14:paraId="597112B9" w14:textId="77777777" w:rsidTr="008700A4">
        <w:trPr>
          <w:trHeight w:val="204"/>
        </w:trPr>
        <w:tc>
          <w:tcPr>
            <w:tcW w:w="3464" w:type="pct"/>
            <w:tcBorders>
              <w:top w:val="nil"/>
              <w:left w:val="nil"/>
              <w:bottom w:val="single" w:sz="4" w:space="0" w:color="auto"/>
              <w:right w:val="nil"/>
            </w:tcBorders>
            <w:shd w:val="clear" w:color="000000" w:fill="FFFFFF"/>
            <w:vAlign w:val="bottom"/>
            <w:hideMark/>
          </w:tcPr>
          <w:p w14:paraId="06471D5B" w14:textId="77777777" w:rsidR="008700A4" w:rsidRPr="008700A4" w:rsidRDefault="008700A4" w:rsidP="008700A4">
            <w:pPr>
              <w:spacing w:after="0" w:line="240" w:lineRule="auto"/>
              <w:rPr>
                <w:rFonts w:ascii="Arial" w:hAnsi="Arial" w:cs="Arial"/>
                <w:b/>
                <w:bCs/>
                <w:color w:val="000000" w:themeColor="text1"/>
                <w:sz w:val="16"/>
                <w:szCs w:val="16"/>
              </w:rPr>
            </w:pPr>
            <w:r w:rsidRPr="008700A4">
              <w:rPr>
                <w:rFonts w:ascii="Arial" w:hAnsi="Arial" w:cs="Arial"/>
                <w:b/>
                <w:bCs/>
                <w:color w:val="000000" w:themeColor="text1"/>
                <w:sz w:val="16"/>
                <w:szCs w:val="16"/>
              </w:rPr>
              <w:t>Total payments to corporate entities</w:t>
            </w:r>
          </w:p>
        </w:tc>
        <w:tc>
          <w:tcPr>
            <w:tcW w:w="768" w:type="pct"/>
            <w:tcBorders>
              <w:top w:val="single" w:sz="4" w:space="0" w:color="auto"/>
              <w:left w:val="nil"/>
              <w:bottom w:val="single" w:sz="4" w:space="0" w:color="auto"/>
              <w:right w:val="nil"/>
            </w:tcBorders>
            <w:shd w:val="clear" w:color="000000" w:fill="FFFFFF"/>
            <w:vAlign w:val="bottom"/>
            <w:hideMark/>
          </w:tcPr>
          <w:p w14:paraId="713DED18" w14:textId="1BDAD728" w:rsidR="008700A4" w:rsidRPr="008700A4" w:rsidRDefault="008700A4" w:rsidP="008700A4">
            <w:pPr>
              <w:spacing w:after="0" w:line="240" w:lineRule="auto"/>
              <w:jc w:val="right"/>
              <w:rPr>
                <w:rFonts w:ascii="Arial" w:hAnsi="Arial" w:cs="Arial"/>
                <w:b/>
                <w:bCs/>
                <w:color w:val="000000" w:themeColor="text1"/>
                <w:sz w:val="16"/>
                <w:szCs w:val="16"/>
              </w:rPr>
            </w:pPr>
            <w:r w:rsidRPr="008700A4">
              <w:rPr>
                <w:rFonts w:ascii="Arial" w:hAnsi="Arial" w:cs="Arial"/>
                <w:b/>
                <w:bCs/>
                <w:color w:val="000000" w:themeColor="text1"/>
                <w:sz w:val="16"/>
                <w:szCs w:val="16"/>
              </w:rPr>
              <w:t>2,447,700</w:t>
            </w:r>
          </w:p>
        </w:tc>
        <w:tc>
          <w:tcPr>
            <w:tcW w:w="768" w:type="pct"/>
            <w:tcBorders>
              <w:top w:val="single" w:sz="4" w:space="0" w:color="auto"/>
              <w:left w:val="nil"/>
              <w:bottom w:val="single" w:sz="4" w:space="0" w:color="auto"/>
              <w:right w:val="nil"/>
            </w:tcBorders>
            <w:shd w:val="clear" w:color="000000" w:fill="E6E6E6"/>
            <w:vAlign w:val="bottom"/>
            <w:hideMark/>
          </w:tcPr>
          <w:p w14:paraId="6FBDA508" w14:textId="357CCA9C" w:rsidR="008700A4" w:rsidRPr="008700A4" w:rsidRDefault="008700A4" w:rsidP="008700A4">
            <w:pPr>
              <w:spacing w:after="0" w:line="240" w:lineRule="auto"/>
              <w:jc w:val="right"/>
              <w:rPr>
                <w:rFonts w:ascii="Arial" w:hAnsi="Arial" w:cs="Arial"/>
                <w:b/>
                <w:bCs/>
                <w:color w:val="000000" w:themeColor="text1"/>
                <w:sz w:val="16"/>
                <w:szCs w:val="16"/>
              </w:rPr>
            </w:pPr>
            <w:r w:rsidRPr="008700A4">
              <w:rPr>
                <w:rFonts w:ascii="Arial" w:hAnsi="Arial" w:cs="Arial"/>
                <w:b/>
                <w:bCs/>
                <w:color w:val="000000" w:themeColor="text1"/>
                <w:sz w:val="16"/>
                <w:szCs w:val="16"/>
              </w:rPr>
              <w:t>2,617,370</w:t>
            </w:r>
          </w:p>
        </w:tc>
      </w:tr>
    </w:tbl>
    <w:p w14:paraId="6DDD3BCC" w14:textId="77777777" w:rsidR="00747A68" w:rsidRDefault="003D6226" w:rsidP="003D6226">
      <w:pPr>
        <w:pStyle w:val="ChartandTableFootnote"/>
        <w:spacing w:before="60"/>
      </w:pPr>
      <w:r>
        <w:rPr>
          <w:rFonts w:cs="Arial"/>
        </w:rPr>
        <w:t>Prepared on a resourcing (that is, appropriations available) basis.</w:t>
      </w:r>
      <w:r w:rsidR="00747A68" w:rsidRPr="00747A68">
        <w:t xml:space="preserve"> </w:t>
      </w:r>
    </w:p>
    <w:p w14:paraId="49E5C61D" w14:textId="59B41D84" w:rsidR="003D6226" w:rsidRDefault="00747A68" w:rsidP="00387550">
      <w:pPr>
        <w:pStyle w:val="ChartandTableFootnote"/>
        <w:rPr>
          <w:rFonts w:cs="Arial"/>
        </w:rPr>
      </w:pPr>
      <w:r w:rsidRPr="00747A68">
        <w:rPr>
          <w:rFonts w:cs="Arial"/>
        </w:rPr>
        <w:t>Table has been prepared exclusive of 2022-23 Additional Estimates figures.</w:t>
      </w:r>
    </w:p>
    <w:p w14:paraId="0EEE3090" w14:textId="77777777" w:rsidR="003D6226" w:rsidRDefault="003D6226" w:rsidP="003D6226">
      <w:pPr>
        <w:pStyle w:val="ChartandTableFootnote"/>
        <w:rPr>
          <w:rFonts w:cs="Arial"/>
        </w:rPr>
      </w:pPr>
      <w:r>
        <w:rPr>
          <w:rFonts w:cs="Arial"/>
        </w:rPr>
        <w:t>All figures shown above are GST exclusive - these may not match figures in the cash flow statement.</w:t>
      </w:r>
    </w:p>
    <w:p w14:paraId="62C9B89C" w14:textId="77777777" w:rsidR="003D6226" w:rsidRDefault="003D6226" w:rsidP="00977C28">
      <w:pPr>
        <w:pStyle w:val="ChartandTableFootnoteAlpha"/>
        <w:numPr>
          <w:ilvl w:val="0"/>
          <w:numId w:val="100"/>
        </w:numPr>
        <w:spacing w:before="30"/>
        <w:ind w:left="426" w:hanging="426"/>
        <w:jc w:val="left"/>
      </w:pPr>
      <w:r>
        <w:t>Appropriation Bill (No. 1) 2023-24.</w:t>
      </w:r>
    </w:p>
    <w:p w14:paraId="6FBC30A1" w14:textId="69C72C2F" w:rsidR="003D6226" w:rsidRDefault="00910DE9" w:rsidP="00977C28">
      <w:pPr>
        <w:pStyle w:val="ChartandTableFootnoteAlpha"/>
        <w:numPr>
          <w:ilvl w:val="0"/>
          <w:numId w:val="100"/>
        </w:numPr>
        <w:spacing w:before="30"/>
        <w:ind w:left="426" w:hanging="426"/>
        <w:jc w:val="left"/>
      </w:pPr>
      <w:r w:rsidRPr="00910DE9">
        <w:t xml:space="preserve">Excludes amounts subject to administrative quarantine by the Department of Finance or withheld under section 51 of the </w:t>
      </w:r>
      <w:r w:rsidRPr="00747A68">
        <w:rPr>
          <w:i/>
        </w:rPr>
        <w:t>Public Governance, Performance and Accountability Act 2013</w:t>
      </w:r>
      <w:r w:rsidRPr="00910DE9">
        <w:t xml:space="preserve"> (PGPA Act)</w:t>
      </w:r>
      <w:r w:rsidR="003D6226">
        <w:t>.</w:t>
      </w:r>
    </w:p>
    <w:p w14:paraId="21A28946" w14:textId="54A53B4E" w:rsidR="003D6226" w:rsidRDefault="003D6226" w:rsidP="00977C28">
      <w:pPr>
        <w:pStyle w:val="ChartandTableFootnoteAlpha"/>
        <w:numPr>
          <w:ilvl w:val="0"/>
          <w:numId w:val="100"/>
        </w:numPr>
        <w:spacing w:before="30"/>
        <w:ind w:left="426" w:hanging="426"/>
        <w:jc w:val="left"/>
      </w:pPr>
      <w:r>
        <w:t xml:space="preserve">Excludes </w:t>
      </w:r>
      <w:r w:rsidR="00BF4B80">
        <w:t>D</w:t>
      </w:r>
      <w:r>
        <w:t xml:space="preserve">epartmental </w:t>
      </w:r>
      <w:r w:rsidR="00BF4B80">
        <w:t>C</w:t>
      </w:r>
      <w:r>
        <w:t>apital</w:t>
      </w:r>
      <w:r w:rsidR="00BF4B80">
        <w:t xml:space="preserve"> B</w:t>
      </w:r>
      <w:r>
        <w:t>udget (DCB).</w:t>
      </w:r>
    </w:p>
    <w:p w14:paraId="737914C6" w14:textId="77777777" w:rsidR="003D6226" w:rsidRDefault="003D6226" w:rsidP="00977C28">
      <w:pPr>
        <w:pStyle w:val="ChartandTableFootnoteAlpha"/>
        <w:numPr>
          <w:ilvl w:val="0"/>
          <w:numId w:val="100"/>
        </w:numPr>
        <w:spacing w:before="30"/>
        <w:ind w:left="426" w:hanging="426"/>
        <w:jc w:val="left"/>
      </w:pPr>
      <w:r>
        <w:t>Estimated External Revenue receipts under section 74 of the PGPA Act.</w:t>
      </w:r>
    </w:p>
    <w:p w14:paraId="071EE1AD" w14:textId="77777777" w:rsidR="003D6226" w:rsidRDefault="003D6226" w:rsidP="00977C28">
      <w:pPr>
        <w:pStyle w:val="ChartandTableFootnoteAlpha"/>
        <w:numPr>
          <w:ilvl w:val="0"/>
          <w:numId w:val="100"/>
        </w:numPr>
        <w:spacing w:before="30"/>
        <w:ind w:left="426" w:hanging="426"/>
        <w:jc w:val="left"/>
      </w:pPr>
      <w:r>
        <w:t>Departmental capital budgets are not separately identified in Appropriation Bill (No.1) and form part of ordinary annual services items. Please refer to Table 3.5 for further details. For accounting purposes, this amount has been designated as a 'contribution by owner'.</w:t>
      </w:r>
    </w:p>
    <w:p w14:paraId="46C45322" w14:textId="77777777" w:rsidR="003D6226" w:rsidRDefault="003D6226" w:rsidP="00977C28">
      <w:pPr>
        <w:pStyle w:val="ChartandTableFootnoteAlpha"/>
        <w:numPr>
          <w:ilvl w:val="0"/>
          <w:numId w:val="100"/>
        </w:numPr>
        <w:spacing w:before="30"/>
        <w:ind w:left="426" w:hanging="426"/>
        <w:jc w:val="left"/>
      </w:pPr>
      <w:r>
        <w:t>Administered capital budgets are not separately identified in Appropriation Bill (No. 1) and form part of ordinary annual services items. Please refer to Table 3.10 for further details. For accounting purposes, this amount is designated as a 'contribution by owner'.</w:t>
      </w:r>
    </w:p>
    <w:p w14:paraId="74B61C69" w14:textId="4EF8BF26" w:rsidR="003D6226" w:rsidRDefault="003D6226" w:rsidP="00977C28">
      <w:pPr>
        <w:pStyle w:val="ChartandTableFootnoteAlpha"/>
        <w:numPr>
          <w:ilvl w:val="0"/>
          <w:numId w:val="100"/>
        </w:numPr>
        <w:spacing w:before="30"/>
        <w:ind w:left="426" w:hanging="426"/>
        <w:jc w:val="left"/>
      </w:pPr>
      <w:r>
        <w:t xml:space="preserve">'Corporate entities' are </w:t>
      </w:r>
      <w:r w:rsidR="00910DE9">
        <w:t>C</w:t>
      </w:r>
      <w:r>
        <w:t xml:space="preserve">orporate Commonwealth entities and Commonwealth </w:t>
      </w:r>
      <w:r w:rsidR="00910DE9">
        <w:t>C</w:t>
      </w:r>
      <w:r>
        <w:t>ompanies as defined under the PGPA Act.</w:t>
      </w:r>
    </w:p>
    <w:p w14:paraId="096CD8EA" w14:textId="25A44D8F" w:rsidR="00387550" w:rsidRDefault="003D6226" w:rsidP="00977C28">
      <w:pPr>
        <w:pStyle w:val="ChartandTableFootnoteAlpha"/>
        <w:numPr>
          <w:ilvl w:val="0"/>
          <w:numId w:val="100"/>
        </w:numPr>
        <w:spacing w:before="30"/>
        <w:ind w:left="426" w:hanging="426"/>
        <w:jc w:val="left"/>
      </w:pPr>
      <w:r>
        <w:t xml:space="preserve">Appropriation Bill (No. 2) 2023-24. </w:t>
      </w:r>
    </w:p>
    <w:p w14:paraId="2B402C1C" w14:textId="77777777" w:rsidR="00387550" w:rsidRDefault="00387550">
      <w:pPr>
        <w:spacing w:after="0" w:line="240" w:lineRule="auto"/>
        <w:rPr>
          <w:rFonts w:ascii="Arial" w:hAnsi="Arial"/>
          <w:sz w:val="16"/>
        </w:rPr>
      </w:pPr>
      <w:r>
        <w:br w:type="page"/>
      </w:r>
    </w:p>
    <w:p w14:paraId="4E336B32" w14:textId="77777777" w:rsidR="003D6226" w:rsidRDefault="003D6226" w:rsidP="00387550">
      <w:pPr>
        <w:pStyle w:val="ChartandTableFootnoteAlpha"/>
        <w:numPr>
          <w:ilvl w:val="0"/>
          <w:numId w:val="0"/>
        </w:numPr>
        <w:spacing w:before="30"/>
        <w:ind w:left="426"/>
        <w:jc w:val="left"/>
      </w:pPr>
    </w:p>
    <w:p w14:paraId="4F19E3C6" w14:textId="0994DEB7" w:rsidR="00747A68" w:rsidRPr="00747A68" w:rsidRDefault="00910DE9" w:rsidP="00977C28">
      <w:pPr>
        <w:pStyle w:val="ChartandTableFootnoteAlpha"/>
        <w:numPr>
          <w:ilvl w:val="0"/>
          <w:numId w:val="100"/>
        </w:numPr>
        <w:spacing w:before="30"/>
        <w:ind w:left="426" w:hanging="426"/>
        <w:jc w:val="left"/>
        <w:rPr>
          <w:i/>
          <w:color w:val="000000" w:themeColor="text1"/>
        </w:rPr>
      </w:pPr>
      <w:r w:rsidRPr="00910DE9">
        <w:t xml:space="preserve">Relates to appropriations sought for payment to the states, ACT, NT and local governments in Appropriation Bill (No. 2) 2023-24. Outcome 1 – Program 1.1: Infrastructure Investment includes the Roads to Recovery program under the Roads to Recovery Funding Conditions 2014. Information on the terms and conditions can be found in the determination, Roads to Recovery funding Conditions 2014 at </w:t>
      </w:r>
      <w:r w:rsidRPr="00092BB9">
        <w:rPr>
          <w:u w:val="single"/>
        </w:rPr>
        <w:t>https://investment.infrastructure.gov.au/files/roads_to_recovery_funding_conditions/R2R_Funding Conditions_November_2019.pdf</w:t>
      </w:r>
      <w:r w:rsidRPr="00910DE9">
        <w:t xml:space="preserve">. For state splits please refer to Budget Paper 3 2023-24 at </w:t>
      </w:r>
      <w:hyperlink r:id="rId22" w:history="1">
        <w:r w:rsidR="00747A68" w:rsidRPr="00C12AED">
          <w:rPr>
            <w:rStyle w:val="Hyperlink"/>
            <w:u w:val="single"/>
          </w:rPr>
          <w:t>https://budget.gov.au/2023-24/content/bp3/index.htm</w:t>
        </w:r>
      </w:hyperlink>
      <w:r w:rsidRPr="00910DE9">
        <w:t xml:space="preserve">. </w:t>
      </w:r>
    </w:p>
    <w:p w14:paraId="5D895C64" w14:textId="2F30BDA5" w:rsidR="00747A68" w:rsidRDefault="00747A68" w:rsidP="00977C28">
      <w:pPr>
        <w:pStyle w:val="ChartandTableFootnoteAlpha"/>
        <w:numPr>
          <w:ilvl w:val="0"/>
          <w:numId w:val="100"/>
        </w:numPr>
        <w:spacing w:before="30"/>
        <w:ind w:left="426" w:hanging="426"/>
        <w:jc w:val="left"/>
      </w:pPr>
      <w:r w:rsidRPr="00747A68">
        <w:t xml:space="preserve">Relates to appropriations sought for payment to the states, ACT, NT and local governments in Appropriation Bill (No. 2) 2023-24. Outcome 3 – Program 3.1: Regional Development includes the Drought Communities Programme and Program 3.2: Local Government includes Local Roads and Community Infrastructure. For state splits please refer Budget Paper 3 2023-24 at </w:t>
      </w:r>
      <w:hyperlink r:id="rId23" w:history="1">
        <w:r w:rsidRPr="00092BB9">
          <w:rPr>
            <w:rStyle w:val="Hyperlink"/>
            <w:u w:val="single"/>
          </w:rPr>
          <w:t>https://budget.gov.au/2023-24/content/bp3/index.htm</w:t>
        </w:r>
      </w:hyperlink>
      <w:r w:rsidRPr="00747A68">
        <w:t>.</w:t>
      </w:r>
    </w:p>
    <w:p w14:paraId="74AAADB0" w14:textId="31A72AD5" w:rsidR="00910DE9" w:rsidRDefault="00910DE9" w:rsidP="00977C28">
      <w:pPr>
        <w:pStyle w:val="ChartandTableFootnoteAlpha"/>
        <w:numPr>
          <w:ilvl w:val="0"/>
          <w:numId w:val="100"/>
        </w:numPr>
        <w:spacing w:before="30"/>
        <w:ind w:left="426" w:hanging="426"/>
        <w:jc w:val="left"/>
      </w:pPr>
      <w:r w:rsidRPr="00910DE9">
        <w:t>For further information on special appropriations and special accounts, please refer to Budget Paper No. 4 – Agency Resourcing. Please also see Section 2 for further information on outcome and program expenses broken down by various funding sources, for example annual appropriations, special appropriations and special accounts.</w:t>
      </w:r>
    </w:p>
    <w:p w14:paraId="21804488" w14:textId="77777777" w:rsidR="00910DE9" w:rsidRDefault="00910DE9" w:rsidP="00977C28">
      <w:pPr>
        <w:pStyle w:val="ChartandTableFootnoteAlpha"/>
        <w:numPr>
          <w:ilvl w:val="0"/>
          <w:numId w:val="100"/>
        </w:numPr>
        <w:spacing w:before="30"/>
        <w:ind w:left="426" w:hanging="426"/>
        <w:jc w:val="left"/>
      </w:pPr>
      <w:r w:rsidRPr="00910DE9">
        <w:t>Excludes trust moneys held in Services for Other Entities and Trust Moneys (SOETM) and other special accounts.</w:t>
      </w:r>
    </w:p>
    <w:p w14:paraId="490D3FDF" w14:textId="77777777" w:rsidR="00910DE9" w:rsidRDefault="00910DE9" w:rsidP="00977C28">
      <w:pPr>
        <w:pStyle w:val="ChartandTableFootnoteAlpha"/>
        <w:numPr>
          <w:ilvl w:val="0"/>
          <w:numId w:val="100"/>
        </w:numPr>
        <w:spacing w:before="30"/>
        <w:ind w:left="426" w:hanging="426"/>
        <w:jc w:val="left"/>
      </w:pPr>
      <w:r w:rsidRPr="00910DE9">
        <w:t>Amounts credited to the special accounts from annual and special appropriations.</w:t>
      </w:r>
    </w:p>
    <w:p w14:paraId="44FABCC1" w14:textId="77777777" w:rsidR="00910DE9" w:rsidRDefault="00910DE9" w:rsidP="00977C28">
      <w:pPr>
        <w:pStyle w:val="ChartandTableFootnoteAlpha"/>
        <w:numPr>
          <w:ilvl w:val="0"/>
          <w:numId w:val="100"/>
        </w:numPr>
        <w:spacing w:before="30"/>
        <w:ind w:left="426" w:hanging="426"/>
        <w:jc w:val="left"/>
      </w:pPr>
      <w:r w:rsidRPr="00910DE9">
        <w:t>Payments relate to the Tasmanian Freight Equalisation Scheme and the Bass Strait Passenger Vehicle Equalisation Scheme administered items.</w:t>
      </w:r>
    </w:p>
    <w:p w14:paraId="7E9452B6" w14:textId="41D58BE2" w:rsidR="00910DE9" w:rsidRDefault="00910DE9" w:rsidP="00977C28">
      <w:pPr>
        <w:pStyle w:val="ChartandTableFootnoteAlpha"/>
        <w:numPr>
          <w:ilvl w:val="0"/>
          <w:numId w:val="100"/>
        </w:numPr>
        <w:spacing w:before="30"/>
        <w:ind w:left="426" w:hanging="426"/>
        <w:jc w:val="left"/>
      </w:pPr>
      <w:r w:rsidRPr="00910DE9">
        <w:t xml:space="preserve">This reflects the establishment of the High Speed Rail Authority under the </w:t>
      </w:r>
      <w:r w:rsidRPr="00747A68">
        <w:rPr>
          <w:i/>
        </w:rPr>
        <w:t>High Speed Rail Authority Act 202</w:t>
      </w:r>
      <w:r w:rsidR="00747A68" w:rsidRPr="00747A68">
        <w:rPr>
          <w:i/>
        </w:rPr>
        <w:t>2</w:t>
      </w:r>
      <w:r w:rsidRPr="00910DE9">
        <w:t xml:space="preserve"> (the HSRA Act), passed by both houses on 24 November 202</w:t>
      </w:r>
      <w:r w:rsidR="00747A68">
        <w:t>2</w:t>
      </w:r>
      <w:r w:rsidRPr="00910DE9">
        <w:t>.</w:t>
      </w:r>
    </w:p>
    <w:p w14:paraId="5FA45705" w14:textId="77777777" w:rsidR="00115843" w:rsidRPr="005A7C0B" w:rsidRDefault="00115843" w:rsidP="00115843">
      <w:pPr>
        <w:pStyle w:val="Heading3-ITRDCA"/>
      </w:pPr>
      <w:r>
        <w:br w:type="page"/>
      </w:r>
      <w:bookmarkStart w:id="12" w:name="_Toc117242345"/>
      <w:r w:rsidRPr="005A7C0B">
        <w:lastRenderedPageBreak/>
        <w:t>1.3</w:t>
      </w:r>
      <w:r w:rsidRPr="005A7C0B">
        <w:tab/>
        <w:t>Budget measures</w:t>
      </w:r>
      <w:bookmarkEnd w:id="12"/>
    </w:p>
    <w:p w14:paraId="5D232747" w14:textId="12742EE9" w:rsidR="00794270" w:rsidRPr="00E1004B" w:rsidRDefault="00657C23" w:rsidP="00115843">
      <w:r w:rsidRPr="00123815">
        <w:t>Budget measures in Part 1 relating to the Department are detailed in Budget Paper No. 2 and are summarised below.</w:t>
      </w:r>
    </w:p>
    <w:p w14:paraId="4982DD88" w14:textId="2B7EF4E1" w:rsidR="00115843" w:rsidRPr="009A40DD" w:rsidRDefault="00115843" w:rsidP="00115843">
      <w:pPr>
        <w:pStyle w:val="TableHeading"/>
      </w:pPr>
      <w:r w:rsidRPr="009A40DD">
        <w:t xml:space="preserve">Table 1.2: </w:t>
      </w:r>
      <w:r>
        <w:t>Department of Infrastructure, Transport, Regional Development, Communications and the Arts</w:t>
      </w:r>
      <w:r w:rsidRPr="009A40DD">
        <w:t xml:space="preserve"> </w:t>
      </w:r>
      <w:r w:rsidR="00E215B7">
        <w:rPr>
          <w:rFonts w:cs="Arial"/>
        </w:rPr>
        <w:t>2023-24 Budget measures</w:t>
      </w:r>
    </w:p>
    <w:p w14:paraId="3C797868" w14:textId="6AAE6D8B" w:rsidR="00115843" w:rsidRDefault="00115843" w:rsidP="00115843">
      <w:pPr>
        <w:pStyle w:val="TableGraphic"/>
        <w:rPr>
          <w:rFonts w:ascii="Arial Bold" w:hAnsi="Arial Bold"/>
          <w:b/>
        </w:rPr>
      </w:pPr>
      <w:r>
        <w:rPr>
          <w:rFonts w:ascii="Arial Bold" w:hAnsi="Arial Bold"/>
          <w:b/>
        </w:rPr>
        <w:t xml:space="preserve">Part 1: </w:t>
      </w:r>
      <w:r w:rsidRPr="007F6CAD">
        <w:rPr>
          <w:rFonts w:ascii="Arial Bold" w:hAnsi="Arial Bold"/>
          <w:b/>
        </w:rPr>
        <w:t xml:space="preserve">Measures announced </w:t>
      </w:r>
      <w:r w:rsidR="00E215B7" w:rsidRPr="00E215B7">
        <w:rPr>
          <w:rFonts w:ascii="Arial Bold" w:hAnsi="Arial Bold"/>
          <w:b/>
        </w:rPr>
        <w:t>since the 2022-23 October Budget</w:t>
      </w:r>
    </w:p>
    <w:tbl>
      <w:tblPr>
        <w:tblW w:w="5000" w:type="pct"/>
        <w:tblLook w:val="04A0" w:firstRow="1" w:lastRow="0" w:firstColumn="1" w:lastColumn="0" w:noHBand="0" w:noVBand="1"/>
      </w:tblPr>
      <w:tblGrid>
        <w:gridCol w:w="2454"/>
        <w:gridCol w:w="830"/>
        <w:gridCol w:w="890"/>
        <w:gridCol w:w="884"/>
        <w:gridCol w:w="884"/>
        <w:gridCol w:w="884"/>
        <w:gridCol w:w="884"/>
      </w:tblGrid>
      <w:tr w:rsidR="00F2052E" w:rsidRPr="00F2052E" w14:paraId="494CB171" w14:textId="77777777" w:rsidTr="00B90578">
        <w:trPr>
          <w:trHeight w:val="204"/>
        </w:trPr>
        <w:tc>
          <w:tcPr>
            <w:tcW w:w="1591" w:type="pct"/>
            <w:tcBorders>
              <w:top w:val="single" w:sz="4" w:space="0" w:color="auto"/>
              <w:left w:val="nil"/>
              <w:bottom w:val="nil"/>
              <w:right w:val="nil"/>
            </w:tcBorders>
            <w:shd w:val="clear" w:color="auto" w:fill="auto"/>
            <w:noWrap/>
            <w:vAlign w:val="bottom"/>
            <w:hideMark/>
          </w:tcPr>
          <w:p w14:paraId="557EFB8C" w14:textId="77777777" w:rsidR="00F2052E" w:rsidRPr="00F2052E" w:rsidRDefault="00F2052E" w:rsidP="00F2052E">
            <w:pPr>
              <w:spacing w:after="0" w:line="240" w:lineRule="auto"/>
              <w:rPr>
                <w:rFonts w:ascii="Arial" w:hAnsi="Arial" w:cs="Arial"/>
                <w:sz w:val="16"/>
                <w:szCs w:val="16"/>
              </w:rPr>
            </w:pPr>
            <w:r w:rsidRPr="00F2052E">
              <w:rPr>
                <w:rFonts w:ascii="Arial" w:hAnsi="Arial" w:cs="Arial"/>
                <w:sz w:val="16"/>
                <w:szCs w:val="16"/>
              </w:rPr>
              <w:t> </w:t>
            </w:r>
          </w:p>
        </w:tc>
        <w:tc>
          <w:tcPr>
            <w:tcW w:w="538" w:type="pct"/>
            <w:tcBorders>
              <w:top w:val="single" w:sz="4" w:space="0" w:color="auto"/>
              <w:left w:val="nil"/>
              <w:bottom w:val="single" w:sz="4" w:space="0" w:color="auto"/>
              <w:right w:val="nil"/>
            </w:tcBorders>
            <w:shd w:val="clear" w:color="auto" w:fill="auto"/>
            <w:noWrap/>
            <w:vAlign w:val="bottom"/>
            <w:hideMark/>
          </w:tcPr>
          <w:p w14:paraId="03850607" w14:textId="77777777" w:rsidR="00F2052E" w:rsidRPr="00F2052E" w:rsidRDefault="00F2052E" w:rsidP="00F2052E">
            <w:pPr>
              <w:spacing w:after="0" w:line="240" w:lineRule="auto"/>
              <w:rPr>
                <w:rFonts w:ascii="Arial" w:hAnsi="Arial" w:cs="Arial"/>
                <w:sz w:val="16"/>
                <w:szCs w:val="16"/>
              </w:rPr>
            </w:pPr>
            <w:r w:rsidRPr="00F2052E">
              <w:rPr>
                <w:rFonts w:ascii="Arial" w:hAnsi="Arial" w:cs="Arial"/>
                <w:sz w:val="16"/>
                <w:szCs w:val="16"/>
              </w:rPr>
              <w:t>Program</w:t>
            </w:r>
          </w:p>
        </w:tc>
        <w:tc>
          <w:tcPr>
            <w:tcW w:w="577" w:type="pct"/>
            <w:tcBorders>
              <w:top w:val="single" w:sz="4" w:space="0" w:color="auto"/>
              <w:left w:val="nil"/>
              <w:bottom w:val="single" w:sz="4" w:space="0" w:color="auto"/>
              <w:right w:val="nil"/>
            </w:tcBorders>
            <w:shd w:val="clear" w:color="000000" w:fill="E6E6E6"/>
            <w:vAlign w:val="bottom"/>
            <w:hideMark/>
          </w:tcPr>
          <w:p w14:paraId="2144E614" w14:textId="77777777"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2022-23</w:t>
            </w:r>
            <w:r w:rsidRPr="00F2052E">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6B3B5532" w14:textId="77777777"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2023-24</w:t>
            </w:r>
            <w:r w:rsidRPr="00F2052E">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000000" w:fill="E6E6E6"/>
            <w:vAlign w:val="bottom"/>
            <w:hideMark/>
          </w:tcPr>
          <w:p w14:paraId="5E404763" w14:textId="77777777"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2024-25</w:t>
            </w:r>
            <w:r w:rsidRPr="00F2052E">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62FF9447" w14:textId="77777777"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2025-26</w:t>
            </w:r>
            <w:r w:rsidRPr="00F2052E">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000000" w:fill="E6E6E6"/>
            <w:vAlign w:val="bottom"/>
            <w:hideMark/>
          </w:tcPr>
          <w:p w14:paraId="01E8568B" w14:textId="77777777"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2026-27</w:t>
            </w:r>
            <w:r w:rsidRPr="00F2052E">
              <w:rPr>
                <w:rFonts w:ascii="Arial" w:hAnsi="Arial" w:cs="Arial"/>
                <w:sz w:val="16"/>
                <w:szCs w:val="16"/>
              </w:rPr>
              <w:br/>
              <w:t>$'000</w:t>
            </w:r>
          </w:p>
        </w:tc>
      </w:tr>
      <w:tr w:rsidR="00F2052E" w:rsidRPr="00F2052E" w14:paraId="4F62D8D6" w14:textId="77777777" w:rsidTr="00B90578">
        <w:trPr>
          <w:trHeight w:val="204"/>
        </w:trPr>
        <w:tc>
          <w:tcPr>
            <w:tcW w:w="1591" w:type="pct"/>
            <w:tcBorders>
              <w:top w:val="nil"/>
              <w:left w:val="nil"/>
              <w:bottom w:val="nil"/>
              <w:right w:val="nil"/>
            </w:tcBorders>
            <w:shd w:val="clear" w:color="auto" w:fill="auto"/>
            <w:noWrap/>
            <w:vAlign w:val="bottom"/>
            <w:hideMark/>
          </w:tcPr>
          <w:p w14:paraId="1E401692" w14:textId="44139887" w:rsidR="00F2052E" w:rsidRPr="00F2052E" w:rsidRDefault="00F2052E" w:rsidP="00F2052E">
            <w:pPr>
              <w:spacing w:after="0" w:line="240" w:lineRule="auto"/>
              <w:rPr>
                <w:rFonts w:ascii="Arial" w:hAnsi="Arial" w:cs="Arial"/>
                <w:b/>
                <w:bCs/>
                <w:sz w:val="16"/>
                <w:szCs w:val="16"/>
              </w:rPr>
            </w:pPr>
            <w:r w:rsidRPr="00F2052E">
              <w:rPr>
                <w:rFonts w:ascii="Arial" w:hAnsi="Arial" w:cs="Arial"/>
                <w:b/>
                <w:bCs/>
                <w:sz w:val="16"/>
                <w:szCs w:val="16"/>
              </w:rPr>
              <w:t>Receipt measure</w:t>
            </w:r>
          </w:p>
        </w:tc>
        <w:tc>
          <w:tcPr>
            <w:tcW w:w="538" w:type="pct"/>
            <w:tcBorders>
              <w:top w:val="nil"/>
              <w:left w:val="nil"/>
              <w:bottom w:val="nil"/>
              <w:right w:val="nil"/>
            </w:tcBorders>
            <w:shd w:val="clear" w:color="auto" w:fill="auto"/>
            <w:noWrap/>
            <w:vAlign w:val="bottom"/>
            <w:hideMark/>
          </w:tcPr>
          <w:p w14:paraId="1BAE9357" w14:textId="77777777" w:rsidR="00F2052E" w:rsidRPr="00F2052E" w:rsidRDefault="00F2052E" w:rsidP="00F2052E">
            <w:pPr>
              <w:spacing w:after="0" w:line="240" w:lineRule="auto"/>
              <w:jc w:val="center"/>
              <w:rPr>
                <w:rFonts w:ascii="Arial" w:hAnsi="Arial" w:cs="Arial"/>
                <w:b/>
                <w:bCs/>
                <w:sz w:val="16"/>
                <w:szCs w:val="16"/>
              </w:rPr>
            </w:pPr>
          </w:p>
        </w:tc>
        <w:tc>
          <w:tcPr>
            <w:tcW w:w="577" w:type="pct"/>
            <w:tcBorders>
              <w:top w:val="nil"/>
              <w:left w:val="nil"/>
              <w:bottom w:val="nil"/>
              <w:right w:val="nil"/>
            </w:tcBorders>
            <w:shd w:val="clear" w:color="000000" w:fill="E6E6E6"/>
            <w:noWrap/>
            <w:vAlign w:val="bottom"/>
            <w:hideMark/>
          </w:tcPr>
          <w:p w14:paraId="13574235" w14:textId="5D5A3F8E" w:rsidR="00F2052E" w:rsidRPr="00F2052E" w:rsidRDefault="00F2052E" w:rsidP="00F2052E">
            <w:pPr>
              <w:spacing w:after="0" w:line="240" w:lineRule="auto"/>
              <w:jc w:val="right"/>
              <w:rPr>
                <w:rFonts w:ascii="Arial" w:hAnsi="Arial" w:cs="Arial"/>
                <w:sz w:val="16"/>
                <w:szCs w:val="16"/>
              </w:rPr>
            </w:pPr>
          </w:p>
        </w:tc>
        <w:tc>
          <w:tcPr>
            <w:tcW w:w="573" w:type="pct"/>
            <w:tcBorders>
              <w:top w:val="nil"/>
              <w:left w:val="nil"/>
              <w:bottom w:val="nil"/>
              <w:right w:val="nil"/>
            </w:tcBorders>
            <w:shd w:val="clear" w:color="000000" w:fill="FFFFFF"/>
            <w:noWrap/>
            <w:vAlign w:val="bottom"/>
            <w:hideMark/>
          </w:tcPr>
          <w:p w14:paraId="15939751" w14:textId="6A450579" w:rsidR="00F2052E" w:rsidRPr="00F2052E" w:rsidRDefault="00F2052E" w:rsidP="00F2052E">
            <w:pPr>
              <w:spacing w:after="0" w:line="240" w:lineRule="auto"/>
              <w:jc w:val="right"/>
              <w:rPr>
                <w:rFonts w:ascii="Arial" w:hAnsi="Arial" w:cs="Arial"/>
                <w:sz w:val="16"/>
                <w:szCs w:val="16"/>
              </w:rPr>
            </w:pPr>
          </w:p>
        </w:tc>
        <w:tc>
          <w:tcPr>
            <w:tcW w:w="573" w:type="pct"/>
            <w:tcBorders>
              <w:top w:val="nil"/>
              <w:left w:val="nil"/>
              <w:bottom w:val="nil"/>
              <w:right w:val="nil"/>
            </w:tcBorders>
            <w:shd w:val="clear" w:color="000000" w:fill="E6E6E6"/>
            <w:noWrap/>
            <w:vAlign w:val="bottom"/>
            <w:hideMark/>
          </w:tcPr>
          <w:p w14:paraId="5A20AA68" w14:textId="74EFD975" w:rsidR="00F2052E" w:rsidRPr="00F2052E" w:rsidRDefault="00F2052E" w:rsidP="00F2052E">
            <w:pPr>
              <w:spacing w:after="0" w:line="240" w:lineRule="auto"/>
              <w:jc w:val="right"/>
              <w:rPr>
                <w:rFonts w:ascii="Arial" w:hAnsi="Arial" w:cs="Arial"/>
                <w:sz w:val="16"/>
                <w:szCs w:val="16"/>
              </w:rPr>
            </w:pPr>
          </w:p>
        </w:tc>
        <w:tc>
          <w:tcPr>
            <w:tcW w:w="573" w:type="pct"/>
            <w:tcBorders>
              <w:top w:val="nil"/>
              <w:left w:val="nil"/>
              <w:bottom w:val="nil"/>
              <w:right w:val="nil"/>
            </w:tcBorders>
            <w:shd w:val="clear" w:color="000000" w:fill="FFFFFF"/>
            <w:noWrap/>
            <w:vAlign w:val="bottom"/>
            <w:hideMark/>
          </w:tcPr>
          <w:p w14:paraId="32364986" w14:textId="307649ED" w:rsidR="00F2052E" w:rsidRPr="00F2052E" w:rsidRDefault="00F2052E" w:rsidP="00F2052E">
            <w:pPr>
              <w:spacing w:after="0" w:line="240" w:lineRule="auto"/>
              <w:jc w:val="right"/>
              <w:rPr>
                <w:rFonts w:ascii="Arial" w:hAnsi="Arial" w:cs="Arial"/>
                <w:sz w:val="16"/>
                <w:szCs w:val="16"/>
              </w:rPr>
            </w:pPr>
          </w:p>
        </w:tc>
        <w:tc>
          <w:tcPr>
            <w:tcW w:w="573" w:type="pct"/>
            <w:tcBorders>
              <w:top w:val="nil"/>
              <w:left w:val="nil"/>
              <w:bottom w:val="nil"/>
              <w:right w:val="nil"/>
            </w:tcBorders>
            <w:shd w:val="clear" w:color="000000" w:fill="E6E6E6"/>
            <w:noWrap/>
            <w:vAlign w:val="bottom"/>
            <w:hideMark/>
          </w:tcPr>
          <w:p w14:paraId="67AF692D" w14:textId="44FEDCA5" w:rsidR="00F2052E" w:rsidRPr="00F2052E" w:rsidRDefault="00F2052E" w:rsidP="00F2052E">
            <w:pPr>
              <w:spacing w:after="0" w:line="240" w:lineRule="auto"/>
              <w:jc w:val="right"/>
              <w:rPr>
                <w:rFonts w:ascii="Arial" w:hAnsi="Arial" w:cs="Arial"/>
                <w:sz w:val="16"/>
                <w:szCs w:val="16"/>
              </w:rPr>
            </w:pPr>
          </w:p>
        </w:tc>
      </w:tr>
      <w:tr w:rsidR="00F2052E" w:rsidRPr="00F2052E" w14:paraId="4CA1F067" w14:textId="77777777" w:rsidTr="00B90578">
        <w:trPr>
          <w:trHeight w:val="204"/>
        </w:trPr>
        <w:tc>
          <w:tcPr>
            <w:tcW w:w="1591" w:type="pct"/>
            <w:tcBorders>
              <w:top w:val="nil"/>
              <w:left w:val="nil"/>
              <w:bottom w:val="nil"/>
              <w:right w:val="nil"/>
            </w:tcBorders>
            <w:shd w:val="clear" w:color="auto" w:fill="auto"/>
            <w:vAlign w:val="bottom"/>
            <w:hideMark/>
          </w:tcPr>
          <w:p w14:paraId="1E255C64" w14:textId="77777777" w:rsidR="00F2052E" w:rsidRPr="00F2052E" w:rsidRDefault="00F2052E" w:rsidP="00F2052E">
            <w:pPr>
              <w:spacing w:after="0" w:line="240" w:lineRule="auto"/>
              <w:rPr>
                <w:rFonts w:ascii="Arial" w:hAnsi="Arial" w:cs="Arial"/>
                <w:sz w:val="16"/>
                <w:szCs w:val="16"/>
              </w:rPr>
            </w:pPr>
            <w:r w:rsidRPr="00F2052E">
              <w:rPr>
                <w:rFonts w:ascii="Arial" w:hAnsi="Arial" w:cs="Arial"/>
                <w:sz w:val="16"/>
                <w:szCs w:val="16"/>
              </w:rPr>
              <w:t>Funding for Territories</w:t>
            </w:r>
          </w:p>
        </w:tc>
        <w:tc>
          <w:tcPr>
            <w:tcW w:w="538" w:type="pct"/>
            <w:tcBorders>
              <w:top w:val="nil"/>
              <w:left w:val="nil"/>
              <w:bottom w:val="nil"/>
              <w:right w:val="nil"/>
            </w:tcBorders>
            <w:shd w:val="clear" w:color="auto" w:fill="auto"/>
            <w:noWrap/>
            <w:vAlign w:val="bottom"/>
            <w:hideMark/>
          </w:tcPr>
          <w:p w14:paraId="1A562938" w14:textId="77777777" w:rsidR="00F2052E" w:rsidRPr="00F2052E" w:rsidRDefault="00F2052E" w:rsidP="00F2052E">
            <w:pPr>
              <w:spacing w:after="0" w:line="240" w:lineRule="auto"/>
              <w:jc w:val="center"/>
              <w:rPr>
                <w:rFonts w:ascii="Arial" w:hAnsi="Arial" w:cs="Arial"/>
                <w:sz w:val="16"/>
                <w:szCs w:val="16"/>
              </w:rPr>
            </w:pPr>
            <w:r w:rsidRPr="00F2052E">
              <w:rPr>
                <w:rFonts w:ascii="Arial" w:hAnsi="Arial" w:cs="Arial"/>
                <w:sz w:val="16"/>
                <w:szCs w:val="16"/>
              </w:rPr>
              <w:t>4.1</w:t>
            </w:r>
          </w:p>
        </w:tc>
        <w:tc>
          <w:tcPr>
            <w:tcW w:w="577" w:type="pct"/>
            <w:tcBorders>
              <w:top w:val="nil"/>
              <w:left w:val="nil"/>
              <w:bottom w:val="nil"/>
              <w:right w:val="nil"/>
            </w:tcBorders>
            <w:shd w:val="clear" w:color="000000" w:fill="E6E6E6"/>
            <w:noWrap/>
            <w:vAlign w:val="bottom"/>
            <w:hideMark/>
          </w:tcPr>
          <w:p w14:paraId="7678085B" w14:textId="00636DBA" w:rsidR="00F2052E" w:rsidRPr="00F2052E" w:rsidRDefault="00F2052E" w:rsidP="00F2052E">
            <w:pPr>
              <w:spacing w:after="0" w:line="240" w:lineRule="auto"/>
              <w:jc w:val="right"/>
              <w:rPr>
                <w:rFonts w:ascii="Arial" w:hAnsi="Arial" w:cs="Arial"/>
                <w:sz w:val="16"/>
                <w:szCs w:val="16"/>
              </w:rPr>
            </w:pPr>
          </w:p>
        </w:tc>
        <w:tc>
          <w:tcPr>
            <w:tcW w:w="573" w:type="pct"/>
            <w:tcBorders>
              <w:top w:val="nil"/>
              <w:left w:val="nil"/>
              <w:bottom w:val="nil"/>
              <w:right w:val="nil"/>
            </w:tcBorders>
            <w:shd w:val="clear" w:color="000000" w:fill="FFFFFF"/>
            <w:noWrap/>
            <w:vAlign w:val="bottom"/>
            <w:hideMark/>
          </w:tcPr>
          <w:p w14:paraId="75E5820B" w14:textId="01752C80" w:rsidR="00F2052E" w:rsidRPr="00F2052E" w:rsidRDefault="00F2052E" w:rsidP="00F2052E">
            <w:pPr>
              <w:spacing w:after="0" w:line="240" w:lineRule="auto"/>
              <w:jc w:val="right"/>
              <w:rPr>
                <w:rFonts w:ascii="Arial" w:hAnsi="Arial" w:cs="Arial"/>
                <w:sz w:val="16"/>
                <w:szCs w:val="16"/>
              </w:rPr>
            </w:pPr>
          </w:p>
        </w:tc>
        <w:tc>
          <w:tcPr>
            <w:tcW w:w="573" w:type="pct"/>
            <w:tcBorders>
              <w:top w:val="nil"/>
              <w:left w:val="nil"/>
              <w:bottom w:val="nil"/>
              <w:right w:val="nil"/>
            </w:tcBorders>
            <w:shd w:val="clear" w:color="000000" w:fill="E6E6E6"/>
            <w:noWrap/>
            <w:vAlign w:val="bottom"/>
            <w:hideMark/>
          </w:tcPr>
          <w:p w14:paraId="00BACAEC" w14:textId="0738D943" w:rsidR="00F2052E" w:rsidRPr="00F2052E" w:rsidRDefault="00F2052E" w:rsidP="00F2052E">
            <w:pPr>
              <w:spacing w:after="0" w:line="240" w:lineRule="auto"/>
              <w:jc w:val="right"/>
              <w:rPr>
                <w:rFonts w:ascii="Arial" w:hAnsi="Arial" w:cs="Arial"/>
                <w:sz w:val="16"/>
                <w:szCs w:val="16"/>
              </w:rPr>
            </w:pPr>
          </w:p>
        </w:tc>
        <w:tc>
          <w:tcPr>
            <w:tcW w:w="573" w:type="pct"/>
            <w:tcBorders>
              <w:top w:val="nil"/>
              <w:left w:val="nil"/>
              <w:bottom w:val="nil"/>
              <w:right w:val="nil"/>
            </w:tcBorders>
            <w:shd w:val="clear" w:color="000000" w:fill="FFFFFF"/>
            <w:noWrap/>
            <w:vAlign w:val="bottom"/>
            <w:hideMark/>
          </w:tcPr>
          <w:p w14:paraId="19077B01" w14:textId="2AF38804" w:rsidR="00F2052E" w:rsidRPr="00F2052E" w:rsidRDefault="00F2052E" w:rsidP="00F2052E">
            <w:pPr>
              <w:spacing w:after="0" w:line="240" w:lineRule="auto"/>
              <w:jc w:val="right"/>
              <w:rPr>
                <w:rFonts w:ascii="Arial" w:hAnsi="Arial" w:cs="Arial"/>
                <w:sz w:val="16"/>
                <w:szCs w:val="16"/>
              </w:rPr>
            </w:pPr>
          </w:p>
        </w:tc>
        <w:tc>
          <w:tcPr>
            <w:tcW w:w="573" w:type="pct"/>
            <w:tcBorders>
              <w:top w:val="nil"/>
              <w:left w:val="nil"/>
              <w:bottom w:val="nil"/>
              <w:right w:val="nil"/>
            </w:tcBorders>
            <w:shd w:val="clear" w:color="000000" w:fill="E6E6E6"/>
            <w:noWrap/>
            <w:vAlign w:val="bottom"/>
            <w:hideMark/>
          </w:tcPr>
          <w:p w14:paraId="4F06A2D7" w14:textId="5BB5C1BE" w:rsidR="00F2052E" w:rsidRPr="00F2052E" w:rsidRDefault="00F2052E" w:rsidP="00F2052E">
            <w:pPr>
              <w:spacing w:after="0" w:line="240" w:lineRule="auto"/>
              <w:jc w:val="right"/>
              <w:rPr>
                <w:rFonts w:ascii="Arial" w:hAnsi="Arial" w:cs="Arial"/>
                <w:sz w:val="16"/>
                <w:szCs w:val="16"/>
              </w:rPr>
            </w:pPr>
          </w:p>
        </w:tc>
      </w:tr>
      <w:tr w:rsidR="00F2052E" w:rsidRPr="00F2052E" w14:paraId="723CB153" w14:textId="77777777" w:rsidTr="00B90578">
        <w:trPr>
          <w:trHeight w:val="204"/>
        </w:trPr>
        <w:tc>
          <w:tcPr>
            <w:tcW w:w="1591" w:type="pct"/>
            <w:tcBorders>
              <w:top w:val="nil"/>
              <w:left w:val="nil"/>
              <w:bottom w:val="nil"/>
              <w:right w:val="nil"/>
            </w:tcBorders>
            <w:shd w:val="clear" w:color="auto" w:fill="auto"/>
            <w:noWrap/>
            <w:vAlign w:val="bottom"/>
            <w:hideMark/>
          </w:tcPr>
          <w:p w14:paraId="7B907CED" w14:textId="77777777" w:rsidR="00F2052E" w:rsidRPr="00F2052E" w:rsidRDefault="00F2052E" w:rsidP="00F2052E">
            <w:pPr>
              <w:spacing w:after="0" w:line="240" w:lineRule="auto"/>
              <w:ind w:left="113"/>
              <w:rPr>
                <w:rFonts w:ascii="Arial" w:hAnsi="Arial" w:cs="Arial"/>
                <w:sz w:val="16"/>
                <w:szCs w:val="16"/>
              </w:rPr>
            </w:pPr>
            <w:r w:rsidRPr="00F2052E">
              <w:rPr>
                <w:rFonts w:ascii="Arial" w:hAnsi="Arial" w:cs="Arial"/>
                <w:sz w:val="16"/>
                <w:szCs w:val="16"/>
              </w:rPr>
              <w:t>Administered receipts</w:t>
            </w:r>
          </w:p>
        </w:tc>
        <w:tc>
          <w:tcPr>
            <w:tcW w:w="538" w:type="pct"/>
            <w:tcBorders>
              <w:top w:val="nil"/>
              <w:left w:val="nil"/>
              <w:bottom w:val="nil"/>
              <w:right w:val="nil"/>
            </w:tcBorders>
            <w:shd w:val="clear" w:color="auto" w:fill="auto"/>
            <w:noWrap/>
            <w:vAlign w:val="bottom"/>
            <w:hideMark/>
          </w:tcPr>
          <w:p w14:paraId="7115844F" w14:textId="77777777" w:rsidR="00F2052E" w:rsidRPr="00F2052E" w:rsidRDefault="00F2052E" w:rsidP="00F2052E">
            <w:pPr>
              <w:spacing w:after="0" w:line="240" w:lineRule="auto"/>
              <w:ind w:firstLineChars="100" w:firstLine="160"/>
              <w:jc w:val="center"/>
              <w:rPr>
                <w:rFonts w:ascii="Arial" w:hAnsi="Arial" w:cs="Arial"/>
                <w:sz w:val="16"/>
                <w:szCs w:val="16"/>
              </w:rPr>
            </w:pPr>
          </w:p>
        </w:tc>
        <w:tc>
          <w:tcPr>
            <w:tcW w:w="577" w:type="pct"/>
            <w:tcBorders>
              <w:top w:val="nil"/>
              <w:left w:val="nil"/>
              <w:bottom w:val="nil"/>
              <w:right w:val="nil"/>
            </w:tcBorders>
            <w:shd w:val="clear" w:color="000000" w:fill="E6E6E6"/>
            <w:noWrap/>
            <w:vAlign w:val="bottom"/>
            <w:hideMark/>
          </w:tcPr>
          <w:p w14:paraId="6181C069" w14:textId="4AAE0D0B"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w:t>
            </w:r>
          </w:p>
        </w:tc>
        <w:tc>
          <w:tcPr>
            <w:tcW w:w="573" w:type="pct"/>
            <w:tcBorders>
              <w:top w:val="nil"/>
              <w:left w:val="nil"/>
              <w:bottom w:val="nil"/>
              <w:right w:val="nil"/>
            </w:tcBorders>
            <w:shd w:val="clear" w:color="000000" w:fill="FFFFFF"/>
            <w:noWrap/>
            <w:vAlign w:val="bottom"/>
            <w:hideMark/>
          </w:tcPr>
          <w:p w14:paraId="49BF63C5" w14:textId="2D6B519C"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177</w:t>
            </w:r>
          </w:p>
        </w:tc>
        <w:tc>
          <w:tcPr>
            <w:tcW w:w="573" w:type="pct"/>
            <w:tcBorders>
              <w:top w:val="nil"/>
              <w:left w:val="nil"/>
              <w:bottom w:val="nil"/>
              <w:right w:val="nil"/>
            </w:tcBorders>
            <w:shd w:val="clear" w:color="000000" w:fill="E6E6E6"/>
            <w:noWrap/>
            <w:vAlign w:val="bottom"/>
            <w:hideMark/>
          </w:tcPr>
          <w:p w14:paraId="4E635E6C" w14:textId="06FCA871"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182</w:t>
            </w:r>
          </w:p>
        </w:tc>
        <w:tc>
          <w:tcPr>
            <w:tcW w:w="573" w:type="pct"/>
            <w:tcBorders>
              <w:top w:val="nil"/>
              <w:left w:val="nil"/>
              <w:bottom w:val="nil"/>
              <w:right w:val="nil"/>
            </w:tcBorders>
            <w:shd w:val="clear" w:color="000000" w:fill="FFFFFF"/>
            <w:noWrap/>
            <w:vAlign w:val="bottom"/>
            <w:hideMark/>
          </w:tcPr>
          <w:p w14:paraId="552A379D" w14:textId="4A2E8FE0"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185</w:t>
            </w:r>
          </w:p>
        </w:tc>
        <w:tc>
          <w:tcPr>
            <w:tcW w:w="573" w:type="pct"/>
            <w:tcBorders>
              <w:top w:val="nil"/>
              <w:left w:val="nil"/>
              <w:bottom w:val="nil"/>
              <w:right w:val="nil"/>
            </w:tcBorders>
            <w:shd w:val="clear" w:color="000000" w:fill="E6E6E6"/>
            <w:noWrap/>
            <w:vAlign w:val="bottom"/>
            <w:hideMark/>
          </w:tcPr>
          <w:p w14:paraId="4FA46ED5" w14:textId="641344DE"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188</w:t>
            </w:r>
          </w:p>
        </w:tc>
      </w:tr>
      <w:tr w:rsidR="00F2052E" w:rsidRPr="00F2052E" w14:paraId="48EEC5A3" w14:textId="77777777" w:rsidTr="00B90578">
        <w:trPr>
          <w:trHeight w:val="204"/>
        </w:trPr>
        <w:tc>
          <w:tcPr>
            <w:tcW w:w="1591" w:type="pct"/>
            <w:tcBorders>
              <w:top w:val="nil"/>
              <w:left w:val="nil"/>
              <w:bottom w:val="nil"/>
              <w:right w:val="nil"/>
            </w:tcBorders>
            <w:shd w:val="clear" w:color="auto" w:fill="auto"/>
            <w:noWrap/>
            <w:vAlign w:val="bottom"/>
            <w:hideMark/>
          </w:tcPr>
          <w:p w14:paraId="1D6BB617" w14:textId="77777777" w:rsidR="00F2052E" w:rsidRPr="00F2052E" w:rsidRDefault="00F2052E" w:rsidP="00F2052E">
            <w:pPr>
              <w:spacing w:after="0" w:line="240" w:lineRule="auto"/>
              <w:rPr>
                <w:rFonts w:ascii="Arial" w:hAnsi="Arial" w:cs="Arial"/>
                <w:b/>
                <w:bCs/>
                <w:sz w:val="16"/>
                <w:szCs w:val="16"/>
              </w:rPr>
            </w:pPr>
            <w:r w:rsidRPr="00F2052E">
              <w:rPr>
                <w:rFonts w:ascii="Arial" w:hAnsi="Arial" w:cs="Arial"/>
                <w:b/>
                <w:bCs/>
                <w:sz w:val="16"/>
                <w:szCs w:val="16"/>
              </w:rPr>
              <w:t xml:space="preserve">Total </w:t>
            </w:r>
          </w:p>
        </w:tc>
        <w:tc>
          <w:tcPr>
            <w:tcW w:w="538" w:type="pct"/>
            <w:tcBorders>
              <w:top w:val="nil"/>
              <w:left w:val="nil"/>
              <w:bottom w:val="nil"/>
              <w:right w:val="nil"/>
            </w:tcBorders>
            <w:shd w:val="clear" w:color="auto" w:fill="auto"/>
            <w:noWrap/>
            <w:vAlign w:val="bottom"/>
            <w:hideMark/>
          </w:tcPr>
          <w:p w14:paraId="48354A6D" w14:textId="77777777" w:rsidR="00F2052E" w:rsidRPr="00F2052E" w:rsidRDefault="00F2052E" w:rsidP="00F2052E">
            <w:pPr>
              <w:spacing w:after="0" w:line="240" w:lineRule="auto"/>
              <w:jc w:val="center"/>
              <w:rPr>
                <w:rFonts w:ascii="Arial" w:hAnsi="Arial" w:cs="Arial"/>
                <w:b/>
                <w:bCs/>
                <w:sz w:val="16"/>
                <w:szCs w:val="16"/>
              </w:rPr>
            </w:pPr>
          </w:p>
        </w:tc>
        <w:tc>
          <w:tcPr>
            <w:tcW w:w="577" w:type="pct"/>
            <w:tcBorders>
              <w:top w:val="nil"/>
              <w:left w:val="nil"/>
              <w:bottom w:val="nil"/>
              <w:right w:val="nil"/>
            </w:tcBorders>
            <w:shd w:val="clear" w:color="000000" w:fill="E6E6E6"/>
            <w:noWrap/>
            <w:vAlign w:val="bottom"/>
            <w:hideMark/>
          </w:tcPr>
          <w:p w14:paraId="3F7508AC" w14:textId="5C582F31" w:rsidR="00F2052E" w:rsidRPr="00F2052E" w:rsidRDefault="00F2052E" w:rsidP="00F2052E">
            <w:pPr>
              <w:spacing w:after="0" w:line="240" w:lineRule="auto"/>
              <w:jc w:val="right"/>
              <w:rPr>
                <w:rFonts w:ascii="Arial" w:hAnsi="Arial" w:cs="Arial"/>
                <w:b/>
                <w:bCs/>
                <w:sz w:val="16"/>
                <w:szCs w:val="16"/>
              </w:rPr>
            </w:pPr>
            <w:r w:rsidRPr="00F2052E">
              <w:rPr>
                <w:rFonts w:ascii="Arial" w:hAnsi="Arial" w:cs="Arial"/>
                <w:b/>
                <w:bCs/>
                <w:sz w:val="16"/>
                <w:szCs w:val="16"/>
              </w:rPr>
              <w:t>-</w:t>
            </w:r>
          </w:p>
        </w:tc>
        <w:tc>
          <w:tcPr>
            <w:tcW w:w="573" w:type="pct"/>
            <w:tcBorders>
              <w:top w:val="nil"/>
              <w:left w:val="nil"/>
              <w:bottom w:val="nil"/>
              <w:right w:val="nil"/>
            </w:tcBorders>
            <w:shd w:val="clear" w:color="000000" w:fill="FFFFFF"/>
            <w:noWrap/>
            <w:vAlign w:val="bottom"/>
            <w:hideMark/>
          </w:tcPr>
          <w:p w14:paraId="07DA767F" w14:textId="7EBF56C4" w:rsidR="00F2052E" w:rsidRPr="00F2052E" w:rsidRDefault="00F2052E" w:rsidP="00F2052E">
            <w:pPr>
              <w:spacing w:after="0" w:line="240" w:lineRule="auto"/>
              <w:jc w:val="right"/>
              <w:rPr>
                <w:rFonts w:ascii="Arial" w:hAnsi="Arial" w:cs="Arial"/>
                <w:b/>
                <w:bCs/>
                <w:sz w:val="16"/>
                <w:szCs w:val="16"/>
              </w:rPr>
            </w:pPr>
            <w:r w:rsidRPr="00F2052E">
              <w:rPr>
                <w:rFonts w:ascii="Arial" w:hAnsi="Arial" w:cs="Arial"/>
                <w:b/>
                <w:bCs/>
                <w:sz w:val="16"/>
                <w:szCs w:val="16"/>
              </w:rPr>
              <w:t>177</w:t>
            </w:r>
          </w:p>
        </w:tc>
        <w:tc>
          <w:tcPr>
            <w:tcW w:w="573" w:type="pct"/>
            <w:tcBorders>
              <w:top w:val="nil"/>
              <w:left w:val="nil"/>
              <w:bottom w:val="nil"/>
              <w:right w:val="nil"/>
            </w:tcBorders>
            <w:shd w:val="clear" w:color="000000" w:fill="E6E6E6"/>
            <w:noWrap/>
            <w:vAlign w:val="bottom"/>
            <w:hideMark/>
          </w:tcPr>
          <w:p w14:paraId="6300889A" w14:textId="07EC95FC" w:rsidR="00F2052E" w:rsidRPr="00F2052E" w:rsidRDefault="00F2052E" w:rsidP="00F2052E">
            <w:pPr>
              <w:spacing w:after="0" w:line="240" w:lineRule="auto"/>
              <w:jc w:val="right"/>
              <w:rPr>
                <w:rFonts w:ascii="Arial" w:hAnsi="Arial" w:cs="Arial"/>
                <w:b/>
                <w:bCs/>
                <w:sz w:val="16"/>
                <w:szCs w:val="16"/>
              </w:rPr>
            </w:pPr>
            <w:r w:rsidRPr="00F2052E">
              <w:rPr>
                <w:rFonts w:ascii="Arial" w:hAnsi="Arial" w:cs="Arial"/>
                <w:b/>
                <w:bCs/>
                <w:sz w:val="16"/>
                <w:szCs w:val="16"/>
              </w:rPr>
              <w:t>182</w:t>
            </w:r>
          </w:p>
        </w:tc>
        <w:tc>
          <w:tcPr>
            <w:tcW w:w="573" w:type="pct"/>
            <w:tcBorders>
              <w:top w:val="nil"/>
              <w:left w:val="nil"/>
              <w:bottom w:val="nil"/>
              <w:right w:val="nil"/>
            </w:tcBorders>
            <w:shd w:val="clear" w:color="000000" w:fill="FFFFFF"/>
            <w:noWrap/>
            <w:vAlign w:val="bottom"/>
            <w:hideMark/>
          </w:tcPr>
          <w:p w14:paraId="26856B11" w14:textId="429E30F8" w:rsidR="00F2052E" w:rsidRPr="00F2052E" w:rsidRDefault="00F2052E" w:rsidP="00F2052E">
            <w:pPr>
              <w:spacing w:after="0" w:line="240" w:lineRule="auto"/>
              <w:jc w:val="right"/>
              <w:rPr>
                <w:rFonts w:ascii="Arial" w:hAnsi="Arial" w:cs="Arial"/>
                <w:b/>
                <w:bCs/>
                <w:sz w:val="16"/>
                <w:szCs w:val="16"/>
              </w:rPr>
            </w:pPr>
            <w:r w:rsidRPr="00F2052E">
              <w:rPr>
                <w:rFonts w:ascii="Arial" w:hAnsi="Arial" w:cs="Arial"/>
                <w:b/>
                <w:bCs/>
                <w:sz w:val="16"/>
                <w:szCs w:val="16"/>
              </w:rPr>
              <w:t>185</w:t>
            </w:r>
          </w:p>
        </w:tc>
        <w:tc>
          <w:tcPr>
            <w:tcW w:w="573" w:type="pct"/>
            <w:tcBorders>
              <w:top w:val="nil"/>
              <w:left w:val="nil"/>
              <w:bottom w:val="nil"/>
              <w:right w:val="nil"/>
            </w:tcBorders>
            <w:shd w:val="clear" w:color="000000" w:fill="E6E6E6"/>
            <w:noWrap/>
            <w:vAlign w:val="bottom"/>
            <w:hideMark/>
          </w:tcPr>
          <w:p w14:paraId="67692CF6" w14:textId="5C96B567" w:rsidR="00F2052E" w:rsidRPr="00F2052E" w:rsidRDefault="00F2052E" w:rsidP="00F2052E">
            <w:pPr>
              <w:spacing w:after="0" w:line="240" w:lineRule="auto"/>
              <w:jc w:val="right"/>
              <w:rPr>
                <w:rFonts w:ascii="Arial" w:hAnsi="Arial" w:cs="Arial"/>
                <w:b/>
                <w:bCs/>
                <w:sz w:val="16"/>
                <w:szCs w:val="16"/>
              </w:rPr>
            </w:pPr>
            <w:r w:rsidRPr="00F2052E">
              <w:rPr>
                <w:rFonts w:ascii="Arial" w:hAnsi="Arial" w:cs="Arial"/>
                <w:b/>
                <w:bCs/>
                <w:sz w:val="16"/>
                <w:szCs w:val="16"/>
              </w:rPr>
              <w:t>188</w:t>
            </w:r>
          </w:p>
        </w:tc>
      </w:tr>
      <w:tr w:rsidR="00F2052E" w:rsidRPr="00F2052E" w14:paraId="55101A06" w14:textId="77777777" w:rsidTr="00B90578">
        <w:trPr>
          <w:trHeight w:val="204"/>
        </w:trPr>
        <w:tc>
          <w:tcPr>
            <w:tcW w:w="1591" w:type="pct"/>
            <w:tcBorders>
              <w:top w:val="nil"/>
              <w:left w:val="nil"/>
              <w:bottom w:val="nil"/>
              <w:right w:val="nil"/>
            </w:tcBorders>
            <w:shd w:val="clear" w:color="auto" w:fill="auto"/>
            <w:noWrap/>
            <w:vAlign w:val="bottom"/>
            <w:hideMark/>
          </w:tcPr>
          <w:p w14:paraId="0B20EA1D" w14:textId="1167CDA3" w:rsidR="00F2052E" w:rsidRPr="00F2052E" w:rsidRDefault="00F2052E" w:rsidP="00F2052E">
            <w:pPr>
              <w:spacing w:after="0" w:line="240" w:lineRule="auto"/>
              <w:rPr>
                <w:rFonts w:ascii="Arial" w:hAnsi="Arial" w:cs="Arial"/>
                <w:b/>
                <w:bCs/>
                <w:sz w:val="16"/>
                <w:szCs w:val="16"/>
              </w:rPr>
            </w:pPr>
            <w:r w:rsidRPr="00F2052E">
              <w:rPr>
                <w:rFonts w:ascii="Arial" w:hAnsi="Arial" w:cs="Arial"/>
                <w:b/>
                <w:bCs/>
                <w:sz w:val="16"/>
                <w:szCs w:val="16"/>
              </w:rPr>
              <w:t>Total receipt measure</w:t>
            </w:r>
          </w:p>
        </w:tc>
        <w:tc>
          <w:tcPr>
            <w:tcW w:w="538" w:type="pct"/>
            <w:tcBorders>
              <w:top w:val="nil"/>
              <w:left w:val="nil"/>
              <w:bottom w:val="nil"/>
              <w:right w:val="nil"/>
            </w:tcBorders>
            <w:shd w:val="clear" w:color="auto" w:fill="auto"/>
            <w:noWrap/>
            <w:vAlign w:val="bottom"/>
            <w:hideMark/>
          </w:tcPr>
          <w:p w14:paraId="08C22398" w14:textId="77777777" w:rsidR="00F2052E" w:rsidRPr="00F2052E" w:rsidRDefault="00F2052E" w:rsidP="00F2052E">
            <w:pPr>
              <w:spacing w:after="0" w:line="240" w:lineRule="auto"/>
              <w:jc w:val="center"/>
              <w:rPr>
                <w:rFonts w:ascii="Arial" w:hAnsi="Arial" w:cs="Arial"/>
                <w:b/>
                <w:bCs/>
                <w:sz w:val="16"/>
                <w:szCs w:val="16"/>
              </w:rPr>
            </w:pPr>
          </w:p>
        </w:tc>
        <w:tc>
          <w:tcPr>
            <w:tcW w:w="577" w:type="pct"/>
            <w:tcBorders>
              <w:top w:val="nil"/>
              <w:left w:val="nil"/>
              <w:bottom w:val="nil"/>
              <w:right w:val="nil"/>
            </w:tcBorders>
            <w:shd w:val="clear" w:color="000000" w:fill="E6E6E6"/>
            <w:noWrap/>
            <w:vAlign w:val="bottom"/>
            <w:hideMark/>
          </w:tcPr>
          <w:p w14:paraId="1ADC3585" w14:textId="1CBA1E0A" w:rsidR="00F2052E" w:rsidRPr="00F2052E" w:rsidRDefault="00F2052E" w:rsidP="00F2052E">
            <w:pPr>
              <w:spacing w:after="0" w:line="240" w:lineRule="auto"/>
              <w:jc w:val="right"/>
              <w:rPr>
                <w:rFonts w:ascii="Arial" w:hAnsi="Arial" w:cs="Arial"/>
                <w:sz w:val="16"/>
                <w:szCs w:val="16"/>
              </w:rPr>
            </w:pPr>
          </w:p>
        </w:tc>
        <w:tc>
          <w:tcPr>
            <w:tcW w:w="573" w:type="pct"/>
            <w:tcBorders>
              <w:top w:val="nil"/>
              <w:left w:val="nil"/>
              <w:bottom w:val="nil"/>
              <w:right w:val="nil"/>
            </w:tcBorders>
            <w:shd w:val="clear" w:color="000000" w:fill="FFFFFF"/>
            <w:noWrap/>
            <w:vAlign w:val="bottom"/>
            <w:hideMark/>
          </w:tcPr>
          <w:p w14:paraId="0CFDE4BE" w14:textId="2B1F3582" w:rsidR="00F2052E" w:rsidRPr="00F2052E" w:rsidRDefault="00F2052E" w:rsidP="00F2052E">
            <w:pPr>
              <w:spacing w:after="0" w:line="240" w:lineRule="auto"/>
              <w:jc w:val="right"/>
              <w:rPr>
                <w:rFonts w:ascii="Arial" w:hAnsi="Arial" w:cs="Arial"/>
                <w:sz w:val="16"/>
                <w:szCs w:val="16"/>
              </w:rPr>
            </w:pPr>
          </w:p>
        </w:tc>
        <w:tc>
          <w:tcPr>
            <w:tcW w:w="573" w:type="pct"/>
            <w:tcBorders>
              <w:top w:val="nil"/>
              <w:left w:val="nil"/>
              <w:bottom w:val="nil"/>
              <w:right w:val="nil"/>
            </w:tcBorders>
            <w:shd w:val="clear" w:color="000000" w:fill="E6E6E6"/>
            <w:noWrap/>
            <w:vAlign w:val="bottom"/>
            <w:hideMark/>
          </w:tcPr>
          <w:p w14:paraId="033D140F" w14:textId="675487D4" w:rsidR="00F2052E" w:rsidRPr="00F2052E" w:rsidRDefault="00F2052E" w:rsidP="00F2052E">
            <w:pPr>
              <w:spacing w:after="0" w:line="240" w:lineRule="auto"/>
              <w:jc w:val="right"/>
              <w:rPr>
                <w:rFonts w:ascii="Arial" w:hAnsi="Arial" w:cs="Arial"/>
                <w:sz w:val="16"/>
                <w:szCs w:val="16"/>
              </w:rPr>
            </w:pPr>
          </w:p>
        </w:tc>
        <w:tc>
          <w:tcPr>
            <w:tcW w:w="573" w:type="pct"/>
            <w:tcBorders>
              <w:top w:val="nil"/>
              <w:left w:val="nil"/>
              <w:bottom w:val="nil"/>
              <w:right w:val="nil"/>
            </w:tcBorders>
            <w:shd w:val="clear" w:color="000000" w:fill="FFFFFF"/>
            <w:noWrap/>
            <w:vAlign w:val="bottom"/>
            <w:hideMark/>
          </w:tcPr>
          <w:p w14:paraId="59373E6B" w14:textId="30EBB46C" w:rsidR="00F2052E" w:rsidRPr="00F2052E" w:rsidRDefault="00F2052E" w:rsidP="00F2052E">
            <w:pPr>
              <w:spacing w:after="0" w:line="240" w:lineRule="auto"/>
              <w:jc w:val="right"/>
              <w:rPr>
                <w:rFonts w:ascii="Arial" w:hAnsi="Arial" w:cs="Arial"/>
                <w:sz w:val="16"/>
                <w:szCs w:val="16"/>
              </w:rPr>
            </w:pPr>
          </w:p>
        </w:tc>
        <w:tc>
          <w:tcPr>
            <w:tcW w:w="573" w:type="pct"/>
            <w:tcBorders>
              <w:top w:val="nil"/>
              <w:left w:val="nil"/>
              <w:bottom w:val="nil"/>
              <w:right w:val="nil"/>
            </w:tcBorders>
            <w:shd w:val="clear" w:color="000000" w:fill="E6E6E6"/>
            <w:noWrap/>
            <w:vAlign w:val="bottom"/>
            <w:hideMark/>
          </w:tcPr>
          <w:p w14:paraId="376266D7" w14:textId="5D7555FE" w:rsidR="00F2052E" w:rsidRPr="00F2052E" w:rsidRDefault="00F2052E" w:rsidP="00F2052E">
            <w:pPr>
              <w:spacing w:after="0" w:line="240" w:lineRule="auto"/>
              <w:jc w:val="right"/>
              <w:rPr>
                <w:rFonts w:ascii="Arial" w:hAnsi="Arial" w:cs="Arial"/>
                <w:sz w:val="16"/>
                <w:szCs w:val="16"/>
              </w:rPr>
            </w:pPr>
          </w:p>
        </w:tc>
      </w:tr>
      <w:tr w:rsidR="00F2052E" w:rsidRPr="00F2052E" w14:paraId="6C9A2197" w14:textId="77777777" w:rsidTr="00B90578">
        <w:trPr>
          <w:trHeight w:val="204"/>
        </w:trPr>
        <w:tc>
          <w:tcPr>
            <w:tcW w:w="1591" w:type="pct"/>
            <w:tcBorders>
              <w:top w:val="nil"/>
              <w:left w:val="nil"/>
              <w:bottom w:val="nil"/>
              <w:right w:val="nil"/>
            </w:tcBorders>
            <w:shd w:val="clear" w:color="auto" w:fill="auto"/>
            <w:noWrap/>
            <w:vAlign w:val="bottom"/>
            <w:hideMark/>
          </w:tcPr>
          <w:p w14:paraId="65C342CD" w14:textId="77777777" w:rsidR="00F2052E" w:rsidRPr="00F2052E" w:rsidRDefault="00F2052E" w:rsidP="00F2052E">
            <w:pPr>
              <w:spacing w:after="0" w:line="240" w:lineRule="auto"/>
              <w:ind w:left="113"/>
              <w:rPr>
                <w:rFonts w:ascii="Arial" w:hAnsi="Arial" w:cs="Arial"/>
                <w:sz w:val="16"/>
                <w:szCs w:val="16"/>
              </w:rPr>
            </w:pPr>
            <w:r w:rsidRPr="00F2052E">
              <w:rPr>
                <w:rFonts w:ascii="Arial" w:hAnsi="Arial" w:cs="Arial"/>
                <w:sz w:val="16"/>
                <w:szCs w:val="16"/>
              </w:rPr>
              <w:t>Administered</w:t>
            </w:r>
          </w:p>
        </w:tc>
        <w:tc>
          <w:tcPr>
            <w:tcW w:w="538" w:type="pct"/>
            <w:tcBorders>
              <w:top w:val="nil"/>
              <w:left w:val="nil"/>
              <w:bottom w:val="nil"/>
              <w:right w:val="nil"/>
            </w:tcBorders>
            <w:shd w:val="clear" w:color="auto" w:fill="auto"/>
            <w:noWrap/>
            <w:vAlign w:val="bottom"/>
            <w:hideMark/>
          </w:tcPr>
          <w:p w14:paraId="0EE69E86" w14:textId="77777777" w:rsidR="00F2052E" w:rsidRPr="00F2052E" w:rsidRDefault="00F2052E" w:rsidP="00F2052E">
            <w:pPr>
              <w:spacing w:after="0" w:line="240" w:lineRule="auto"/>
              <w:ind w:firstLineChars="100" w:firstLine="160"/>
              <w:jc w:val="center"/>
              <w:rPr>
                <w:rFonts w:ascii="Arial" w:hAnsi="Arial" w:cs="Arial"/>
                <w:sz w:val="16"/>
                <w:szCs w:val="16"/>
              </w:rPr>
            </w:pPr>
          </w:p>
        </w:tc>
        <w:tc>
          <w:tcPr>
            <w:tcW w:w="577" w:type="pct"/>
            <w:tcBorders>
              <w:top w:val="nil"/>
              <w:left w:val="nil"/>
              <w:bottom w:val="nil"/>
              <w:right w:val="nil"/>
            </w:tcBorders>
            <w:shd w:val="clear" w:color="000000" w:fill="E6E6E6"/>
            <w:noWrap/>
            <w:vAlign w:val="bottom"/>
            <w:hideMark/>
          </w:tcPr>
          <w:p w14:paraId="405C2B4F" w14:textId="7C03D177"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w:t>
            </w:r>
          </w:p>
        </w:tc>
        <w:tc>
          <w:tcPr>
            <w:tcW w:w="573" w:type="pct"/>
            <w:tcBorders>
              <w:top w:val="nil"/>
              <w:left w:val="nil"/>
              <w:bottom w:val="nil"/>
              <w:right w:val="nil"/>
            </w:tcBorders>
            <w:shd w:val="clear" w:color="000000" w:fill="FFFFFF"/>
            <w:noWrap/>
            <w:vAlign w:val="bottom"/>
            <w:hideMark/>
          </w:tcPr>
          <w:p w14:paraId="2AF64B1E" w14:textId="3E4BABC6"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177</w:t>
            </w:r>
          </w:p>
        </w:tc>
        <w:tc>
          <w:tcPr>
            <w:tcW w:w="573" w:type="pct"/>
            <w:tcBorders>
              <w:top w:val="nil"/>
              <w:left w:val="nil"/>
              <w:bottom w:val="nil"/>
              <w:right w:val="nil"/>
            </w:tcBorders>
            <w:shd w:val="clear" w:color="000000" w:fill="E6E6E6"/>
            <w:noWrap/>
            <w:vAlign w:val="bottom"/>
            <w:hideMark/>
          </w:tcPr>
          <w:p w14:paraId="45AC9A6F" w14:textId="1A6B7C18"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182</w:t>
            </w:r>
          </w:p>
        </w:tc>
        <w:tc>
          <w:tcPr>
            <w:tcW w:w="573" w:type="pct"/>
            <w:tcBorders>
              <w:top w:val="nil"/>
              <w:left w:val="nil"/>
              <w:bottom w:val="nil"/>
              <w:right w:val="nil"/>
            </w:tcBorders>
            <w:shd w:val="clear" w:color="000000" w:fill="FFFFFF"/>
            <w:noWrap/>
            <w:vAlign w:val="bottom"/>
            <w:hideMark/>
          </w:tcPr>
          <w:p w14:paraId="09AD7AAE" w14:textId="4C7763A6"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185</w:t>
            </w:r>
          </w:p>
        </w:tc>
        <w:tc>
          <w:tcPr>
            <w:tcW w:w="573" w:type="pct"/>
            <w:tcBorders>
              <w:top w:val="nil"/>
              <w:left w:val="nil"/>
              <w:bottom w:val="nil"/>
              <w:right w:val="nil"/>
            </w:tcBorders>
            <w:shd w:val="clear" w:color="000000" w:fill="E6E6E6"/>
            <w:noWrap/>
            <w:vAlign w:val="bottom"/>
            <w:hideMark/>
          </w:tcPr>
          <w:p w14:paraId="5F481D55" w14:textId="26CEC3A1"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188</w:t>
            </w:r>
          </w:p>
        </w:tc>
      </w:tr>
      <w:tr w:rsidR="00F2052E" w:rsidRPr="00F2052E" w14:paraId="3174FC9D" w14:textId="77777777" w:rsidTr="00B90578">
        <w:trPr>
          <w:trHeight w:val="204"/>
        </w:trPr>
        <w:tc>
          <w:tcPr>
            <w:tcW w:w="1591" w:type="pct"/>
            <w:tcBorders>
              <w:top w:val="nil"/>
              <w:left w:val="nil"/>
              <w:bottom w:val="nil"/>
              <w:right w:val="nil"/>
            </w:tcBorders>
            <w:shd w:val="clear" w:color="auto" w:fill="auto"/>
            <w:noWrap/>
            <w:vAlign w:val="bottom"/>
            <w:hideMark/>
          </w:tcPr>
          <w:p w14:paraId="70078448" w14:textId="77777777" w:rsidR="00F2052E" w:rsidRPr="00F2052E" w:rsidRDefault="00F2052E" w:rsidP="00F2052E">
            <w:pPr>
              <w:spacing w:after="0" w:line="240" w:lineRule="auto"/>
              <w:rPr>
                <w:rFonts w:ascii="Arial" w:hAnsi="Arial" w:cs="Arial"/>
                <w:b/>
                <w:bCs/>
                <w:sz w:val="16"/>
                <w:szCs w:val="16"/>
              </w:rPr>
            </w:pPr>
            <w:r w:rsidRPr="00F2052E">
              <w:rPr>
                <w:rFonts w:ascii="Arial" w:hAnsi="Arial" w:cs="Arial"/>
                <w:b/>
                <w:bCs/>
                <w:sz w:val="16"/>
                <w:szCs w:val="16"/>
              </w:rPr>
              <w:t>Total</w:t>
            </w:r>
          </w:p>
        </w:tc>
        <w:tc>
          <w:tcPr>
            <w:tcW w:w="538" w:type="pct"/>
            <w:tcBorders>
              <w:top w:val="nil"/>
              <w:left w:val="nil"/>
              <w:bottom w:val="nil"/>
              <w:right w:val="nil"/>
            </w:tcBorders>
            <w:shd w:val="clear" w:color="auto" w:fill="auto"/>
            <w:noWrap/>
            <w:vAlign w:val="bottom"/>
            <w:hideMark/>
          </w:tcPr>
          <w:p w14:paraId="6B6AA3AF" w14:textId="77777777" w:rsidR="00F2052E" w:rsidRPr="00F2052E" w:rsidRDefault="00F2052E" w:rsidP="00F2052E">
            <w:pPr>
              <w:spacing w:after="0" w:line="240" w:lineRule="auto"/>
              <w:jc w:val="center"/>
              <w:rPr>
                <w:rFonts w:ascii="Arial" w:hAnsi="Arial" w:cs="Arial"/>
                <w:b/>
                <w:bCs/>
                <w:sz w:val="16"/>
                <w:szCs w:val="16"/>
              </w:rPr>
            </w:pPr>
          </w:p>
        </w:tc>
        <w:tc>
          <w:tcPr>
            <w:tcW w:w="577" w:type="pct"/>
            <w:tcBorders>
              <w:top w:val="nil"/>
              <w:left w:val="nil"/>
              <w:bottom w:val="nil"/>
              <w:right w:val="nil"/>
            </w:tcBorders>
            <w:shd w:val="clear" w:color="000000" w:fill="E6E6E6"/>
            <w:noWrap/>
            <w:vAlign w:val="bottom"/>
            <w:hideMark/>
          </w:tcPr>
          <w:p w14:paraId="75164F35" w14:textId="0DD30DA2" w:rsidR="00F2052E" w:rsidRPr="00F2052E" w:rsidRDefault="00F2052E" w:rsidP="00F2052E">
            <w:pPr>
              <w:spacing w:after="0" w:line="240" w:lineRule="auto"/>
              <w:jc w:val="right"/>
              <w:rPr>
                <w:rFonts w:ascii="Arial" w:hAnsi="Arial" w:cs="Arial"/>
                <w:b/>
                <w:bCs/>
                <w:sz w:val="16"/>
                <w:szCs w:val="16"/>
              </w:rPr>
            </w:pPr>
            <w:r w:rsidRPr="00F2052E">
              <w:rPr>
                <w:rFonts w:ascii="Arial" w:hAnsi="Arial" w:cs="Arial"/>
                <w:b/>
                <w:bCs/>
                <w:sz w:val="16"/>
                <w:szCs w:val="16"/>
              </w:rPr>
              <w:t>-</w:t>
            </w:r>
          </w:p>
        </w:tc>
        <w:tc>
          <w:tcPr>
            <w:tcW w:w="573" w:type="pct"/>
            <w:tcBorders>
              <w:top w:val="nil"/>
              <w:left w:val="nil"/>
              <w:bottom w:val="nil"/>
              <w:right w:val="nil"/>
            </w:tcBorders>
            <w:shd w:val="clear" w:color="000000" w:fill="FFFFFF"/>
            <w:noWrap/>
            <w:vAlign w:val="bottom"/>
            <w:hideMark/>
          </w:tcPr>
          <w:p w14:paraId="73E98DFA" w14:textId="7B4F7473" w:rsidR="00F2052E" w:rsidRPr="00F2052E" w:rsidRDefault="00F2052E" w:rsidP="00F2052E">
            <w:pPr>
              <w:spacing w:after="0" w:line="240" w:lineRule="auto"/>
              <w:jc w:val="right"/>
              <w:rPr>
                <w:rFonts w:ascii="Arial" w:hAnsi="Arial" w:cs="Arial"/>
                <w:b/>
                <w:bCs/>
                <w:sz w:val="16"/>
                <w:szCs w:val="16"/>
              </w:rPr>
            </w:pPr>
            <w:r w:rsidRPr="00F2052E">
              <w:rPr>
                <w:rFonts w:ascii="Arial" w:hAnsi="Arial" w:cs="Arial"/>
                <w:b/>
                <w:bCs/>
                <w:sz w:val="16"/>
                <w:szCs w:val="16"/>
              </w:rPr>
              <w:t>177</w:t>
            </w:r>
          </w:p>
        </w:tc>
        <w:tc>
          <w:tcPr>
            <w:tcW w:w="573" w:type="pct"/>
            <w:tcBorders>
              <w:top w:val="nil"/>
              <w:left w:val="nil"/>
              <w:bottom w:val="nil"/>
              <w:right w:val="nil"/>
            </w:tcBorders>
            <w:shd w:val="clear" w:color="000000" w:fill="E6E6E6"/>
            <w:noWrap/>
            <w:vAlign w:val="bottom"/>
            <w:hideMark/>
          </w:tcPr>
          <w:p w14:paraId="61F8950C" w14:textId="6D010835" w:rsidR="00F2052E" w:rsidRPr="00F2052E" w:rsidRDefault="00F2052E" w:rsidP="00F2052E">
            <w:pPr>
              <w:spacing w:after="0" w:line="240" w:lineRule="auto"/>
              <w:jc w:val="right"/>
              <w:rPr>
                <w:rFonts w:ascii="Arial" w:hAnsi="Arial" w:cs="Arial"/>
                <w:b/>
                <w:bCs/>
                <w:sz w:val="16"/>
                <w:szCs w:val="16"/>
              </w:rPr>
            </w:pPr>
            <w:r w:rsidRPr="00F2052E">
              <w:rPr>
                <w:rFonts w:ascii="Arial" w:hAnsi="Arial" w:cs="Arial"/>
                <w:b/>
                <w:bCs/>
                <w:sz w:val="16"/>
                <w:szCs w:val="16"/>
              </w:rPr>
              <w:t>182</w:t>
            </w:r>
          </w:p>
        </w:tc>
        <w:tc>
          <w:tcPr>
            <w:tcW w:w="573" w:type="pct"/>
            <w:tcBorders>
              <w:top w:val="nil"/>
              <w:left w:val="nil"/>
              <w:bottom w:val="nil"/>
              <w:right w:val="nil"/>
            </w:tcBorders>
            <w:shd w:val="clear" w:color="000000" w:fill="FFFFFF"/>
            <w:noWrap/>
            <w:vAlign w:val="bottom"/>
            <w:hideMark/>
          </w:tcPr>
          <w:p w14:paraId="187AD67D" w14:textId="6D41A1FF" w:rsidR="00F2052E" w:rsidRPr="00F2052E" w:rsidRDefault="00F2052E" w:rsidP="00F2052E">
            <w:pPr>
              <w:spacing w:after="0" w:line="240" w:lineRule="auto"/>
              <w:jc w:val="right"/>
              <w:rPr>
                <w:rFonts w:ascii="Arial" w:hAnsi="Arial" w:cs="Arial"/>
                <w:b/>
                <w:bCs/>
                <w:sz w:val="16"/>
                <w:szCs w:val="16"/>
              </w:rPr>
            </w:pPr>
            <w:r w:rsidRPr="00F2052E">
              <w:rPr>
                <w:rFonts w:ascii="Arial" w:hAnsi="Arial" w:cs="Arial"/>
                <w:b/>
                <w:bCs/>
                <w:sz w:val="16"/>
                <w:szCs w:val="16"/>
              </w:rPr>
              <w:t>185</w:t>
            </w:r>
          </w:p>
        </w:tc>
        <w:tc>
          <w:tcPr>
            <w:tcW w:w="573" w:type="pct"/>
            <w:tcBorders>
              <w:top w:val="nil"/>
              <w:left w:val="nil"/>
              <w:bottom w:val="nil"/>
              <w:right w:val="nil"/>
            </w:tcBorders>
            <w:shd w:val="clear" w:color="000000" w:fill="E6E6E6"/>
            <w:noWrap/>
            <w:vAlign w:val="bottom"/>
            <w:hideMark/>
          </w:tcPr>
          <w:p w14:paraId="3B8326D1" w14:textId="014E8360" w:rsidR="00F2052E" w:rsidRPr="00F2052E" w:rsidRDefault="00F2052E" w:rsidP="00F2052E">
            <w:pPr>
              <w:spacing w:after="0" w:line="240" w:lineRule="auto"/>
              <w:jc w:val="right"/>
              <w:rPr>
                <w:rFonts w:ascii="Arial" w:hAnsi="Arial" w:cs="Arial"/>
                <w:b/>
                <w:bCs/>
                <w:sz w:val="16"/>
                <w:szCs w:val="16"/>
              </w:rPr>
            </w:pPr>
            <w:r w:rsidRPr="00F2052E">
              <w:rPr>
                <w:rFonts w:ascii="Arial" w:hAnsi="Arial" w:cs="Arial"/>
                <w:b/>
                <w:bCs/>
                <w:sz w:val="16"/>
                <w:szCs w:val="16"/>
              </w:rPr>
              <w:t>188</w:t>
            </w:r>
          </w:p>
        </w:tc>
      </w:tr>
      <w:tr w:rsidR="00F2052E" w:rsidRPr="00F2052E" w14:paraId="32AD97EA" w14:textId="77777777" w:rsidTr="00B90578">
        <w:trPr>
          <w:trHeight w:val="204"/>
        </w:trPr>
        <w:tc>
          <w:tcPr>
            <w:tcW w:w="1591" w:type="pct"/>
            <w:tcBorders>
              <w:top w:val="nil"/>
              <w:left w:val="nil"/>
              <w:bottom w:val="nil"/>
              <w:right w:val="nil"/>
            </w:tcBorders>
            <w:shd w:val="clear" w:color="auto" w:fill="auto"/>
            <w:noWrap/>
            <w:vAlign w:val="bottom"/>
            <w:hideMark/>
          </w:tcPr>
          <w:p w14:paraId="700BE0F5" w14:textId="77777777" w:rsidR="00F2052E" w:rsidRPr="00F2052E" w:rsidRDefault="00F2052E" w:rsidP="00F2052E">
            <w:pPr>
              <w:spacing w:after="0" w:line="240" w:lineRule="auto"/>
              <w:rPr>
                <w:rFonts w:ascii="Arial" w:hAnsi="Arial" w:cs="Arial"/>
                <w:b/>
                <w:bCs/>
                <w:sz w:val="16"/>
                <w:szCs w:val="16"/>
              </w:rPr>
            </w:pPr>
            <w:r w:rsidRPr="00F2052E">
              <w:rPr>
                <w:rFonts w:ascii="Arial" w:hAnsi="Arial" w:cs="Arial"/>
                <w:b/>
                <w:bCs/>
                <w:sz w:val="16"/>
                <w:szCs w:val="16"/>
              </w:rPr>
              <w:t>Payment measures</w:t>
            </w:r>
          </w:p>
        </w:tc>
        <w:tc>
          <w:tcPr>
            <w:tcW w:w="538" w:type="pct"/>
            <w:tcBorders>
              <w:top w:val="nil"/>
              <w:left w:val="nil"/>
              <w:bottom w:val="nil"/>
              <w:right w:val="nil"/>
            </w:tcBorders>
            <w:shd w:val="clear" w:color="auto" w:fill="auto"/>
            <w:noWrap/>
            <w:vAlign w:val="bottom"/>
            <w:hideMark/>
          </w:tcPr>
          <w:p w14:paraId="12C2139D" w14:textId="77777777" w:rsidR="00F2052E" w:rsidRPr="00F2052E" w:rsidRDefault="00F2052E" w:rsidP="00F2052E">
            <w:pPr>
              <w:spacing w:after="0" w:line="240" w:lineRule="auto"/>
              <w:jc w:val="center"/>
              <w:rPr>
                <w:rFonts w:ascii="Arial" w:hAnsi="Arial" w:cs="Arial"/>
                <w:b/>
                <w:bCs/>
                <w:sz w:val="16"/>
                <w:szCs w:val="16"/>
              </w:rPr>
            </w:pPr>
          </w:p>
        </w:tc>
        <w:tc>
          <w:tcPr>
            <w:tcW w:w="577" w:type="pct"/>
            <w:tcBorders>
              <w:top w:val="nil"/>
              <w:left w:val="nil"/>
              <w:bottom w:val="nil"/>
              <w:right w:val="nil"/>
            </w:tcBorders>
            <w:shd w:val="clear" w:color="000000" w:fill="E6E6E6"/>
            <w:noWrap/>
            <w:vAlign w:val="bottom"/>
            <w:hideMark/>
          </w:tcPr>
          <w:p w14:paraId="3A772435" w14:textId="3C12BD29" w:rsidR="00F2052E" w:rsidRPr="00F2052E" w:rsidRDefault="00F2052E" w:rsidP="00F2052E">
            <w:pPr>
              <w:spacing w:after="0" w:line="240" w:lineRule="auto"/>
              <w:jc w:val="right"/>
              <w:rPr>
                <w:rFonts w:ascii="Arial" w:hAnsi="Arial" w:cs="Arial"/>
                <w:sz w:val="16"/>
                <w:szCs w:val="16"/>
              </w:rPr>
            </w:pPr>
          </w:p>
        </w:tc>
        <w:tc>
          <w:tcPr>
            <w:tcW w:w="573" w:type="pct"/>
            <w:tcBorders>
              <w:top w:val="nil"/>
              <w:left w:val="nil"/>
              <w:bottom w:val="nil"/>
              <w:right w:val="nil"/>
            </w:tcBorders>
            <w:shd w:val="clear" w:color="000000" w:fill="FFFFFF"/>
            <w:noWrap/>
            <w:vAlign w:val="bottom"/>
            <w:hideMark/>
          </w:tcPr>
          <w:p w14:paraId="07B4EB9C" w14:textId="35EFAC15" w:rsidR="00F2052E" w:rsidRPr="00F2052E" w:rsidRDefault="00F2052E" w:rsidP="00F2052E">
            <w:pPr>
              <w:spacing w:after="0" w:line="240" w:lineRule="auto"/>
              <w:jc w:val="right"/>
              <w:rPr>
                <w:rFonts w:ascii="Arial" w:hAnsi="Arial" w:cs="Arial"/>
                <w:sz w:val="16"/>
                <w:szCs w:val="16"/>
              </w:rPr>
            </w:pPr>
          </w:p>
        </w:tc>
        <w:tc>
          <w:tcPr>
            <w:tcW w:w="573" w:type="pct"/>
            <w:tcBorders>
              <w:top w:val="nil"/>
              <w:left w:val="nil"/>
              <w:bottom w:val="nil"/>
              <w:right w:val="nil"/>
            </w:tcBorders>
            <w:shd w:val="clear" w:color="000000" w:fill="E6E6E6"/>
            <w:noWrap/>
            <w:vAlign w:val="bottom"/>
            <w:hideMark/>
          </w:tcPr>
          <w:p w14:paraId="42BF77CB" w14:textId="46A96CEF" w:rsidR="00F2052E" w:rsidRPr="00F2052E" w:rsidRDefault="00F2052E" w:rsidP="00F2052E">
            <w:pPr>
              <w:spacing w:after="0" w:line="240" w:lineRule="auto"/>
              <w:jc w:val="right"/>
              <w:rPr>
                <w:rFonts w:ascii="Arial" w:hAnsi="Arial" w:cs="Arial"/>
                <w:sz w:val="16"/>
                <w:szCs w:val="16"/>
              </w:rPr>
            </w:pPr>
          </w:p>
        </w:tc>
        <w:tc>
          <w:tcPr>
            <w:tcW w:w="573" w:type="pct"/>
            <w:tcBorders>
              <w:top w:val="nil"/>
              <w:left w:val="nil"/>
              <w:bottom w:val="nil"/>
              <w:right w:val="nil"/>
            </w:tcBorders>
            <w:shd w:val="clear" w:color="000000" w:fill="FFFFFF"/>
            <w:noWrap/>
            <w:vAlign w:val="bottom"/>
            <w:hideMark/>
          </w:tcPr>
          <w:p w14:paraId="46638275" w14:textId="6CC4D55A" w:rsidR="00F2052E" w:rsidRPr="00F2052E" w:rsidRDefault="00F2052E" w:rsidP="00F2052E">
            <w:pPr>
              <w:spacing w:after="0" w:line="240" w:lineRule="auto"/>
              <w:jc w:val="right"/>
              <w:rPr>
                <w:rFonts w:ascii="Arial" w:hAnsi="Arial" w:cs="Arial"/>
                <w:sz w:val="16"/>
                <w:szCs w:val="16"/>
              </w:rPr>
            </w:pPr>
          </w:p>
        </w:tc>
        <w:tc>
          <w:tcPr>
            <w:tcW w:w="573" w:type="pct"/>
            <w:tcBorders>
              <w:top w:val="nil"/>
              <w:left w:val="nil"/>
              <w:bottom w:val="nil"/>
              <w:right w:val="nil"/>
            </w:tcBorders>
            <w:shd w:val="clear" w:color="000000" w:fill="E6E6E6"/>
            <w:noWrap/>
            <w:vAlign w:val="bottom"/>
            <w:hideMark/>
          </w:tcPr>
          <w:p w14:paraId="7290A8EE" w14:textId="5639D74E" w:rsidR="00F2052E" w:rsidRPr="00F2052E" w:rsidRDefault="00F2052E" w:rsidP="00F2052E">
            <w:pPr>
              <w:spacing w:after="0" w:line="240" w:lineRule="auto"/>
              <w:jc w:val="right"/>
              <w:rPr>
                <w:rFonts w:ascii="Arial" w:hAnsi="Arial" w:cs="Arial"/>
                <w:sz w:val="16"/>
                <w:szCs w:val="16"/>
              </w:rPr>
            </w:pPr>
          </w:p>
        </w:tc>
      </w:tr>
      <w:tr w:rsidR="00A77CB9" w:rsidRPr="00F2052E" w14:paraId="36BC95F0" w14:textId="77777777" w:rsidTr="00B90578">
        <w:trPr>
          <w:trHeight w:val="204"/>
        </w:trPr>
        <w:tc>
          <w:tcPr>
            <w:tcW w:w="1591" w:type="pct"/>
            <w:tcBorders>
              <w:top w:val="nil"/>
              <w:left w:val="nil"/>
              <w:bottom w:val="nil"/>
              <w:right w:val="nil"/>
            </w:tcBorders>
            <w:shd w:val="clear" w:color="auto" w:fill="auto"/>
            <w:vAlign w:val="bottom"/>
          </w:tcPr>
          <w:p w14:paraId="3B58414E" w14:textId="1277B17D" w:rsidR="00A77CB9" w:rsidRPr="00F2052E" w:rsidRDefault="00A77CB9" w:rsidP="00A77CB9">
            <w:pPr>
              <w:spacing w:after="0" w:line="240" w:lineRule="auto"/>
              <w:rPr>
                <w:rFonts w:ascii="Arial" w:hAnsi="Arial" w:cs="Arial"/>
                <w:sz w:val="16"/>
                <w:szCs w:val="16"/>
              </w:rPr>
            </w:pPr>
            <w:r>
              <w:rPr>
                <w:rFonts w:ascii="Arial" w:hAnsi="Arial" w:cs="Arial"/>
                <w:sz w:val="16"/>
                <w:szCs w:val="16"/>
              </w:rPr>
              <w:t>2</w:t>
            </w:r>
            <w:r w:rsidRPr="00F2052E">
              <w:rPr>
                <w:rFonts w:ascii="Arial" w:hAnsi="Arial" w:cs="Arial"/>
                <w:sz w:val="16"/>
                <w:szCs w:val="16"/>
              </w:rPr>
              <w:t>032</w:t>
            </w:r>
            <w:r>
              <w:rPr>
                <w:rFonts w:ascii="Arial" w:hAnsi="Arial" w:cs="Arial"/>
                <w:sz w:val="16"/>
                <w:szCs w:val="16"/>
              </w:rPr>
              <w:t xml:space="preserve"> Brisbane</w:t>
            </w:r>
            <w:r w:rsidRPr="00F2052E">
              <w:rPr>
                <w:rFonts w:ascii="Arial" w:hAnsi="Arial" w:cs="Arial"/>
                <w:sz w:val="16"/>
                <w:szCs w:val="16"/>
              </w:rPr>
              <w:t xml:space="preserve"> Olympic and Paralympic Games</w:t>
            </w:r>
            <w:r>
              <w:rPr>
                <w:rFonts w:ascii="Arial" w:hAnsi="Arial" w:cs="Arial"/>
                <w:sz w:val="16"/>
                <w:szCs w:val="16"/>
              </w:rPr>
              <w:t xml:space="preserve"> –</w:t>
            </w:r>
            <w:r w:rsidRPr="00F2052E">
              <w:rPr>
                <w:rFonts w:ascii="Arial" w:hAnsi="Arial" w:cs="Arial"/>
                <w:sz w:val="16"/>
                <w:szCs w:val="16"/>
              </w:rPr>
              <w:t xml:space="preserve"> </w:t>
            </w:r>
            <w:r>
              <w:rPr>
                <w:rFonts w:ascii="Arial" w:hAnsi="Arial" w:cs="Arial"/>
                <w:sz w:val="16"/>
                <w:szCs w:val="16"/>
              </w:rPr>
              <w:t>venue infrastructure</w:t>
            </w:r>
            <w:r w:rsidRPr="00F2052E">
              <w:rPr>
                <w:rFonts w:ascii="Arial" w:hAnsi="Arial" w:cs="Arial"/>
                <w:sz w:val="16"/>
                <w:szCs w:val="16"/>
                <w:vertAlign w:val="superscript"/>
              </w:rPr>
              <w:t>(</w:t>
            </w:r>
            <w:r w:rsidR="002C6E3B">
              <w:rPr>
                <w:rFonts w:ascii="Arial" w:hAnsi="Arial" w:cs="Arial"/>
                <w:sz w:val="16"/>
                <w:szCs w:val="16"/>
                <w:vertAlign w:val="superscript"/>
              </w:rPr>
              <w:t>a</w:t>
            </w:r>
            <w:r w:rsidRPr="00F2052E">
              <w:rPr>
                <w:rFonts w:ascii="Arial" w:hAnsi="Arial" w:cs="Arial"/>
                <w:sz w:val="16"/>
                <w:szCs w:val="16"/>
                <w:vertAlign w:val="superscript"/>
              </w:rPr>
              <w:t>)</w:t>
            </w:r>
          </w:p>
        </w:tc>
        <w:tc>
          <w:tcPr>
            <w:tcW w:w="538" w:type="pct"/>
            <w:tcBorders>
              <w:top w:val="nil"/>
              <w:left w:val="nil"/>
              <w:bottom w:val="nil"/>
              <w:right w:val="nil"/>
            </w:tcBorders>
            <w:shd w:val="clear" w:color="auto" w:fill="auto"/>
            <w:noWrap/>
            <w:vAlign w:val="bottom"/>
          </w:tcPr>
          <w:p w14:paraId="43CE1C9C" w14:textId="4A12B3FE" w:rsidR="00A77CB9" w:rsidRPr="00F2052E" w:rsidRDefault="00A77CB9" w:rsidP="00A77CB9">
            <w:pPr>
              <w:spacing w:after="0" w:line="240" w:lineRule="auto"/>
              <w:jc w:val="center"/>
              <w:rPr>
                <w:rFonts w:ascii="Arial" w:hAnsi="Arial" w:cs="Arial"/>
                <w:sz w:val="16"/>
                <w:szCs w:val="16"/>
              </w:rPr>
            </w:pPr>
            <w:r w:rsidRPr="00F2052E">
              <w:rPr>
                <w:rFonts w:ascii="Arial" w:hAnsi="Arial" w:cs="Arial"/>
                <w:sz w:val="16"/>
                <w:szCs w:val="16"/>
              </w:rPr>
              <w:t>3.3</w:t>
            </w:r>
          </w:p>
        </w:tc>
        <w:tc>
          <w:tcPr>
            <w:tcW w:w="577" w:type="pct"/>
            <w:tcBorders>
              <w:top w:val="nil"/>
              <w:left w:val="nil"/>
              <w:bottom w:val="nil"/>
              <w:right w:val="nil"/>
            </w:tcBorders>
            <w:shd w:val="clear" w:color="000000" w:fill="E6E6E6"/>
            <w:noWrap/>
            <w:vAlign w:val="bottom"/>
          </w:tcPr>
          <w:p w14:paraId="552C6D41" w14:textId="77777777" w:rsidR="00A77CB9" w:rsidRPr="00F2052E" w:rsidRDefault="00A77CB9" w:rsidP="00A77CB9">
            <w:pPr>
              <w:spacing w:after="0" w:line="240" w:lineRule="auto"/>
              <w:jc w:val="right"/>
              <w:rPr>
                <w:rFonts w:ascii="Arial" w:hAnsi="Arial" w:cs="Arial"/>
                <w:sz w:val="16"/>
                <w:szCs w:val="16"/>
              </w:rPr>
            </w:pPr>
          </w:p>
        </w:tc>
        <w:tc>
          <w:tcPr>
            <w:tcW w:w="573" w:type="pct"/>
            <w:tcBorders>
              <w:top w:val="nil"/>
              <w:left w:val="nil"/>
              <w:bottom w:val="nil"/>
              <w:right w:val="nil"/>
            </w:tcBorders>
            <w:shd w:val="clear" w:color="000000" w:fill="FFFFFF"/>
            <w:noWrap/>
            <w:vAlign w:val="bottom"/>
          </w:tcPr>
          <w:p w14:paraId="246835A0" w14:textId="77777777" w:rsidR="00A77CB9" w:rsidRPr="00F2052E" w:rsidRDefault="00A77CB9" w:rsidP="00A77CB9">
            <w:pPr>
              <w:spacing w:after="0" w:line="240" w:lineRule="auto"/>
              <w:jc w:val="right"/>
              <w:rPr>
                <w:rFonts w:ascii="Arial" w:hAnsi="Arial" w:cs="Arial"/>
                <w:sz w:val="16"/>
                <w:szCs w:val="16"/>
              </w:rPr>
            </w:pPr>
          </w:p>
        </w:tc>
        <w:tc>
          <w:tcPr>
            <w:tcW w:w="573" w:type="pct"/>
            <w:tcBorders>
              <w:top w:val="nil"/>
              <w:left w:val="nil"/>
              <w:bottom w:val="nil"/>
              <w:right w:val="nil"/>
            </w:tcBorders>
            <w:shd w:val="clear" w:color="000000" w:fill="E6E6E6"/>
            <w:noWrap/>
            <w:vAlign w:val="bottom"/>
          </w:tcPr>
          <w:p w14:paraId="4CDDFAE3" w14:textId="77777777" w:rsidR="00A77CB9" w:rsidRPr="00F2052E" w:rsidRDefault="00A77CB9" w:rsidP="00A77CB9">
            <w:pPr>
              <w:spacing w:after="0" w:line="240" w:lineRule="auto"/>
              <w:jc w:val="right"/>
              <w:rPr>
                <w:rFonts w:ascii="Arial" w:hAnsi="Arial" w:cs="Arial"/>
                <w:sz w:val="16"/>
                <w:szCs w:val="16"/>
              </w:rPr>
            </w:pPr>
          </w:p>
        </w:tc>
        <w:tc>
          <w:tcPr>
            <w:tcW w:w="573" w:type="pct"/>
            <w:tcBorders>
              <w:top w:val="nil"/>
              <w:left w:val="nil"/>
              <w:bottom w:val="nil"/>
              <w:right w:val="nil"/>
            </w:tcBorders>
            <w:shd w:val="clear" w:color="000000" w:fill="FFFFFF"/>
            <w:noWrap/>
            <w:vAlign w:val="bottom"/>
          </w:tcPr>
          <w:p w14:paraId="7AEEC668" w14:textId="77777777" w:rsidR="00A77CB9" w:rsidRPr="00F2052E" w:rsidRDefault="00A77CB9" w:rsidP="00A77CB9">
            <w:pPr>
              <w:spacing w:after="0" w:line="240" w:lineRule="auto"/>
              <w:jc w:val="right"/>
              <w:rPr>
                <w:rFonts w:ascii="Arial" w:hAnsi="Arial" w:cs="Arial"/>
                <w:sz w:val="16"/>
                <w:szCs w:val="16"/>
              </w:rPr>
            </w:pPr>
          </w:p>
        </w:tc>
        <w:tc>
          <w:tcPr>
            <w:tcW w:w="573" w:type="pct"/>
            <w:tcBorders>
              <w:top w:val="nil"/>
              <w:left w:val="nil"/>
              <w:bottom w:val="nil"/>
              <w:right w:val="nil"/>
            </w:tcBorders>
            <w:shd w:val="clear" w:color="000000" w:fill="E6E6E6"/>
            <w:noWrap/>
            <w:vAlign w:val="bottom"/>
          </w:tcPr>
          <w:p w14:paraId="353E6BDC" w14:textId="77777777" w:rsidR="00A77CB9" w:rsidRPr="00F2052E" w:rsidRDefault="00A77CB9" w:rsidP="00A77CB9">
            <w:pPr>
              <w:spacing w:after="0" w:line="240" w:lineRule="auto"/>
              <w:jc w:val="right"/>
              <w:rPr>
                <w:rFonts w:ascii="Arial" w:hAnsi="Arial" w:cs="Arial"/>
                <w:sz w:val="16"/>
                <w:szCs w:val="16"/>
              </w:rPr>
            </w:pPr>
          </w:p>
        </w:tc>
      </w:tr>
      <w:tr w:rsidR="00A77CB9" w:rsidRPr="00F2052E" w14:paraId="42C1A13F" w14:textId="77777777" w:rsidTr="00B90578">
        <w:trPr>
          <w:trHeight w:val="204"/>
        </w:trPr>
        <w:tc>
          <w:tcPr>
            <w:tcW w:w="1591" w:type="pct"/>
            <w:tcBorders>
              <w:top w:val="nil"/>
              <w:left w:val="nil"/>
              <w:bottom w:val="nil"/>
              <w:right w:val="nil"/>
            </w:tcBorders>
            <w:shd w:val="clear" w:color="auto" w:fill="auto"/>
            <w:vAlign w:val="bottom"/>
          </w:tcPr>
          <w:p w14:paraId="7D6CEBB1" w14:textId="4A8FF023" w:rsidR="00A77CB9" w:rsidRPr="00F2052E" w:rsidRDefault="00A77CB9" w:rsidP="002C712B">
            <w:pPr>
              <w:spacing w:after="0" w:line="240" w:lineRule="auto"/>
              <w:ind w:left="170"/>
              <w:rPr>
                <w:rFonts w:ascii="Arial" w:hAnsi="Arial" w:cs="Arial"/>
                <w:sz w:val="16"/>
                <w:szCs w:val="16"/>
              </w:rPr>
            </w:pPr>
            <w:r w:rsidRPr="00F2052E">
              <w:rPr>
                <w:rFonts w:ascii="Arial" w:hAnsi="Arial" w:cs="Arial"/>
                <w:sz w:val="16"/>
                <w:szCs w:val="16"/>
              </w:rPr>
              <w:t>Administered payments</w:t>
            </w:r>
          </w:p>
        </w:tc>
        <w:tc>
          <w:tcPr>
            <w:tcW w:w="538" w:type="pct"/>
            <w:tcBorders>
              <w:top w:val="nil"/>
              <w:left w:val="nil"/>
              <w:bottom w:val="nil"/>
              <w:right w:val="nil"/>
            </w:tcBorders>
            <w:shd w:val="clear" w:color="auto" w:fill="auto"/>
            <w:noWrap/>
            <w:vAlign w:val="bottom"/>
          </w:tcPr>
          <w:p w14:paraId="569AF34A" w14:textId="77777777" w:rsidR="00A77CB9" w:rsidRPr="00F2052E" w:rsidRDefault="00A77CB9" w:rsidP="00A77CB9">
            <w:pPr>
              <w:spacing w:after="0" w:line="240" w:lineRule="auto"/>
              <w:jc w:val="center"/>
              <w:rPr>
                <w:rFonts w:ascii="Arial" w:hAnsi="Arial" w:cs="Arial"/>
                <w:sz w:val="16"/>
                <w:szCs w:val="16"/>
              </w:rPr>
            </w:pPr>
          </w:p>
        </w:tc>
        <w:tc>
          <w:tcPr>
            <w:tcW w:w="577" w:type="pct"/>
            <w:tcBorders>
              <w:top w:val="nil"/>
              <w:left w:val="nil"/>
              <w:bottom w:val="nil"/>
              <w:right w:val="nil"/>
            </w:tcBorders>
            <w:shd w:val="clear" w:color="000000" w:fill="E6E6E6"/>
            <w:noWrap/>
            <w:vAlign w:val="bottom"/>
          </w:tcPr>
          <w:p w14:paraId="11743FD1" w14:textId="0EFC58E4" w:rsidR="00A77CB9" w:rsidRPr="00F2052E" w:rsidRDefault="00A77CB9" w:rsidP="00A77CB9">
            <w:pPr>
              <w:spacing w:after="0" w:line="240" w:lineRule="auto"/>
              <w:jc w:val="right"/>
              <w:rPr>
                <w:rFonts w:ascii="Arial" w:hAnsi="Arial" w:cs="Arial"/>
                <w:sz w:val="16"/>
                <w:szCs w:val="16"/>
              </w:rPr>
            </w:pPr>
            <w:r w:rsidRPr="00F2052E">
              <w:rPr>
                <w:rFonts w:ascii="Arial" w:hAnsi="Arial" w:cs="Arial"/>
                <w:sz w:val="16"/>
                <w:szCs w:val="16"/>
              </w:rPr>
              <w:t>-</w:t>
            </w:r>
          </w:p>
        </w:tc>
        <w:tc>
          <w:tcPr>
            <w:tcW w:w="573" w:type="pct"/>
            <w:tcBorders>
              <w:top w:val="nil"/>
              <w:left w:val="nil"/>
              <w:bottom w:val="nil"/>
              <w:right w:val="nil"/>
            </w:tcBorders>
            <w:shd w:val="clear" w:color="000000" w:fill="FFFFFF"/>
            <w:noWrap/>
            <w:vAlign w:val="bottom"/>
          </w:tcPr>
          <w:p w14:paraId="33C0F7EA" w14:textId="01EAE512" w:rsidR="00A77CB9" w:rsidRPr="00F2052E" w:rsidRDefault="00A77CB9" w:rsidP="00A77CB9">
            <w:pPr>
              <w:spacing w:after="0" w:line="240" w:lineRule="auto"/>
              <w:jc w:val="right"/>
              <w:rPr>
                <w:rFonts w:ascii="Arial" w:hAnsi="Arial" w:cs="Arial"/>
                <w:sz w:val="16"/>
                <w:szCs w:val="16"/>
              </w:rPr>
            </w:pPr>
            <w:r w:rsidRPr="00F2052E">
              <w:rPr>
                <w:rFonts w:ascii="Arial" w:hAnsi="Arial" w:cs="Arial"/>
                <w:sz w:val="16"/>
                <w:szCs w:val="16"/>
              </w:rPr>
              <w:t>-</w:t>
            </w:r>
          </w:p>
        </w:tc>
        <w:tc>
          <w:tcPr>
            <w:tcW w:w="573" w:type="pct"/>
            <w:tcBorders>
              <w:top w:val="nil"/>
              <w:left w:val="nil"/>
              <w:bottom w:val="nil"/>
              <w:right w:val="nil"/>
            </w:tcBorders>
            <w:shd w:val="clear" w:color="000000" w:fill="E6E6E6"/>
            <w:noWrap/>
            <w:vAlign w:val="bottom"/>
          </w:tcPr>
          <w:p w14:paraId="0CF38E53" w14:textId="2B628688" w:rsidR="00A77CB9" w:rsidRPr="00F2052E" w:rsidRDefault="00A77CB9" w:rsidP="00A77CB9">
            <w:pPr>
              <w:spacing w:after="0" w:line="240" w:lineRule="auto"/>
              <w:jc w:val="right"/>
              <w:rPr>
                <w:rFonts w:ascii="Arial" w:hAnsi="Arial" w:cs="Arial"/>
                <w:sz w:val="16"/>
                <w:szCs w:val="16"/>
              </w:rPr>
            </w:pPr>
            <w:r w:rsidRPr="00F2052E">
              <w:rPr>
                <w:rFonts w:ascii="Arial" w:hAnsi="Arial" w:cs="Arial"/>
                <w:sz w:val="16"/>
                <w:szCs w:val="16"/>
              </w:rPr>
              <w:t>-</w:t>
            </w:r>
          </w:p>
        </w:tc>
        <w:tc>
          <w:tcPr>
            <w:tcW w:w="573" w:type="pct"/>
            <w:tcBorders>
              <w:top w:val="nil"/>
              <w:left w:val="nil"/>
              <w:bottom w:val="nil"/>
              <w:right w:val="nil"/>
            </w:tcBorders>
            <w:shd w:val="clear" w:color="000000" w:fill="FFFFFF"/>
            <w:noWrap/>
            <w:vAlign w:val="bottom"/>
          </w:tcPr>
          <w:p w14:paraId="76A7B01C" w14:textId="7DCFE293" w:rsidR="00A77CB9" w:rsidRPr="00F2052E" w:rsidRDefault="00A77CB9" w:rsidP="00A77CB9">
            <w:pPr>
              <w:spacing w:after="0" w:line="240" w:lineRule="auto"/>
              <w:jc w:val="right"/>
              <w:rPr>
                <w:rFonts w:ascii="Arial" w:hAnsi="Arial" w:cs="Arial"/>
                <w:sz w:val="16"/>
                <w:szCs w:val="16"/>
              </w:rPr>
            </w:pPr>
            <w:r w:rsidRPr="00F2052E">
              <w:rPr>
                <w:rFonts w:ascii="Arial" w:hAnsi="Arial" w:cs="Arial"/>
                <w:sz w:val="16"/>
                <w:szCs w:val="16"/>
              </w:rPr>
              <w:t>-</w:t>
            </w:r>
          </w:p>
        </w:tc>
        <w:tc>
          <w:tcPr>
            <w:tcW w:w="573" w:type="pct"/>
            <w:tcBorders>
              <w:top w:val="nil"/>
              <w:left w:val="nil"/>
              <w:bottom w:val="nil"/>
              <w:right w:val="nil"/>
            </w:tcBorders>
            <w:shd w:val="clear" w:color="000000" w:fill="E6E6E6"/>
            <w:noWrap/>
            <w:vAlign w:val="bottom"/>
          </w:tcPr>
          <w:p w14:paraId="1A1C1796" w14:textId="2B342A13" w:rsidR="00A77CB9" w:rsidRPr="00F2052E" w:rsidRDefault="00A77CB9" w:rsidP="00A77CB9">
            <w:pPr>
              <w:spacing w:after="0" w:line="240" w:lineRule="auto"/>
              <w:jc w:val="right"/>
              <w:rPr>
                <w:rFonts w:ascii="Arial" w:hAnsi="Arial" w:cs="Arial"/>
                <w:sz w:val="16"/>
                <w:szCs w:val="16"/>
              </w:rPr>
            </w:pPr>
            <w:r w:rsidRPr="00F2052E">
              <w:rPr>
                <w:rFonts w:ascii="Arial" w:hAnsi="Arial" w:cs="Arial"/>
                <w:sz w:val="16"/>
                <w:szCs w:val="16"/>
              </w:rPr>
              <w:t>-</w:t>
            </w:r>
          </w:p>
        </w:tc>
      </w:tr>
      <w:tr w:rsidR="00A77CB9" w:rsidRPr="00F2052E" w14:paraId="1BA3AD21" w14:textId="77777777" w:rsidTr="00B90578">
        <w:trPr>
          <w:trHeight w:val="204"/>
        </w:trPr>
        <w:tc>
          <w:tcPr>
            <w:tcW w:w="1591" w:type="pct"/>
            <w:tcBorders>
              <w:top w:val="nil"/>
              <w:left w:val="nil"/>
              <w:bottom w:val="nil"/>
              <w:right w:val="nil"/>
            </w:tcBorders>
            <w:shd w:val="clear" w:color="auto" w:fill="auto"/>
            <w:vAlign w:val="bottom"/>
          </w:tcPr>
          <w:p w14:paraId="4385B29A" w14:textId="0B3EDA5F" w:rsidR="00A77CB9" w:rsidRPr="00F2052E" w:rsidRDefault="00A77CB9" w:rsidP="00A77CB9">
            <w:pPr>
              <w:spacing w:after="0" w:line="240" w:lineRule="auto"/>
              <w:rPr>
                <w:rFonts w:ascii="Arial" w:hAnsi="Arial" w:cs="Arial"/>
                <w:sz w:val="16"/>
                <w:szCs w:val="16"/>
              </w:rPr>
            </w:pPr>
            <w:r w:rsidRPr="00F2052E">
              <w:rPr>
                <w:rFonts w:ascii="Arial" w:hAnsi="Arial" w:cs="Arial"/>
                <w:b/>
                <w:bCs/>
                <w:sz w:val="16"/>
                <w:szCs w:val="16"/>
              </w:rPr>
              <w:t xml:space="preserve">Total </w:t>
            </w:r>
          </w:p>
        </w:tc>
        <w:tc>
          <w:tcPr>
            <w:tcW w:w="538" w:type="pct"/>
            <w:tcBorders>
              <w:top w:val="nil"/>
              <w:left w:val="nil"/>
              <w:bottom w:val="nil"/>
              <w:right w:val="nil"/>
            </w:tcBorders>
            <w:shd w:val="clear" w:color="auto" w:fill="auto"/>
            <w:noWrap/>
            <w:vAlign w:val="bottom"/>
          </w:tcPr>
          <w:p w14:paraId="7B2191C9" w14:textId="77777777" w:rsidR="00A77CB9" w:rsidRPr="00F2052E" w:rsidRDefault="00A77CB9" w:rsidP="00A77CB9">
            <w:pPr>
              <w:spacing w:after="0" w:line="240" w:lineRule="auto"/>
              <w:jc w:val="center"/>
              <w:rPr>
                <w:rFonts w:ascii="Arial" w:hAnsi="Arial" w:cs="Arial"/>
                <w:sz w:val="16"/>
                <w:szCs w:val="16"/>
              </w:rPr>
            </w:pPr>
          </w:p>
        </w:tc>
        <w:tc>
          <w:tcPr>
            <w:tcW w:w="577" w:type="pct"/>
            <w:tcBorders>
              <w:top w:val="nil"/>
              <w:left w:val="nil"/>
              <w:bottom w:val="nil"/>
              <w:right w:val="nil"/>
            </w:tcBorders>
            <w:shd w:val="clear" w:color="000000" w:fill="E6E6E6"/>
            <w:noWrap/>
            <w:vAlign w:val="bottom"/>
          </w:tcPr>
          <w:p w14:paraId="51E2D609" w14:textId="054C1C39" w:rsidR="00A77CB9" w:rsidRPr="00F2052E" w:rsidRDefault="00A77CB9" w:rsidP="00A77CB9">
            <w:pPr>
              <w:spacing w:after="0" w:line="240" w:lineRule="auto"/>
              <w:jc w:val="right"/>
              <w:rPr>
                <w:rFonts w:ascii="Arial" w:hAnsi="Arial" w:cs="Arial"/>
                <w:sz w:val="16"/>
                <w:szCs w:val="16"/>
              </w:rPr>
            </w:pPr>
            <w:r w:rsidRPr="00F2052E">
              <w:rPr>
                <w:rFonts w:ascii="Arial" w:hAnsi="Arial" w:cs="Arial"/>
                <w:b/>
                <w:bCs/>
                <w:sz w:val="16"/>
                <w:szCs w:val="16"/>
              </w:rPr>
              <w:t>-</w:t>
            </w:r>
          </w:p>
        </w:tc>
        <w:tc>
          <w:tcPr>
            <w:tcW w:w="573" w:type="pct"/>
            <w:tcBorders>
              <w:top w:val="nil"/>
              <w:left w:val="nil"/>
              <w:bottom w:val="nil"/>
              <w:right w:val="nil"/>
            </w:tcBorders>
            <w:shd w:val="clear" w:color="000000" w:fill="FFFFFF"/>
            <w:noWrap/>
            <w:vAlign w:val="bottom"/>
          </w:tcPr>
          <w:p w14:paraId="063A0797" w14:textId="53E3628A" w:rsidR="00A77CB9" w:rsidRPr="00F2052E" w:rsidRDefault="00A77CB9" w:rsidP="00A77CB9">
            <w:pPr>
              <w:spacing w:after="0" w:line="240" w:lineRule="auto"/>
              <w:jc w:val="right"/>
              <w:rPr>
                <w:rFonts w:ascii="Arial" w:hAnsi="Arial" w:cs="Arial"/>
                <w:sz w:val="16"/>
                <w:szCs w:val="16"/>
              </w:rPr>
            </w:pPr>
            <w:r w:rsidRPr="00F2052E">
              <w:rPr>
                <w:rFonts w:ascii="Arial" w:hAnsi="Arial" w:cs="Arial"/>
                <w:b/>
                <w:bCs/>
                <w:sz w:val="16"/>
                <w:szCs w:val="16"/>
              </w:rPr>
              <w:t>-</w:t>
            </w:r>
          </w:p>
        </w:tc>
        <w:tc>
          <w:tcPr>
            <w:tcW w:w="573" w:type="pct"/>
            <w:tcBorders>
              <w:top w:val="nil"/>
              <w:left w:val="nil"/>
              <w:bottom w:val="nil"/>
              <w:right w:val="nil"/>
            </w:tcBorders>
            <w:shd w:val="clear" w:color="000000" w:fill="E6E6E6"/>
            <w:noWrap/>
            <w:vAlign w:val="bottom"/>
          </w:tcPr>
          <w:p w14:paraId="7B41EA0B" w14:textId="55482BF0" w:rsidR="00A77CB9" w:rsidRPr="00F2052E" w:rsidRDefault="00A77CB9" w:rsidP="00A77CB9">
            <w:pPr>
              <w:spacing w:after="0" w:line="240" w:lineRule="auto"/>
              <w:jc w:val="right"/>
              <w:rPr>
                <w:rFonts w:ascii="Arial" w:hAnsi="Arial" w:cs="Arial"/>
                <w:sz w:val="16"/>
                <w:szCs w:val="16"/>
              </w:rPr>
            </w:pPr>
            <w:r w:rsidRPr="00F2052E">
              <w:rPr>
                <w:rFonts w:ascii="Arial" w:hAnsi="Arial" w:cs="Arial"/>
                <w:b/>
                <w:bCs/>
                <w:sz w:val="16"/>
                <w:szCs w:val="16"/>
              </w:rPr>
              <w:t>-</w:t>
            </w:r>
          </w:p>
        </w:tc>
        <w:tc>
          <w:tcPr>
            <w:tcW w:w="573" w:type="pct"/>
            <w:tcBorders>
              <w:top w:val="nil"/>
              <w:left w:val="nil"/>
              <w:bottom w:val="nil"/>
              <w:right w:val="nil"/>
            </w:tcBorders>
            <w:shd w:val="clear" w:color="000000" w:fill="FFFFFF"/>
            <w:noWrap/>
            <w:vAlign w:val="bottom"/>
          </w:tcPr>
          <w:p w14:paraId="2ABC9F0F" w14:textId="4CCA6DEE" w:rsidR="00A77CB9" w:rsidRPr="00F2052E" w:rsidRDefault="00A77CB9" w:rsidP="00A77CB9">
            <w:pPr>
              <w:spacing w:after="0" w:line="240" w:lineRule="auto"/>
              <w:jc w:val="right"/>
              <w:rPr>
                <w:rFonts w:ascii="Arial" w:hAnsi="Arial" w:cs="Arial"/>
                <w:sz w:val="16"/>
                <w:szCs w:val="16"/>
              </w:rPr>
            </w:pPr>
            <w:r w:rsidRPr="00F2052E">
              <w:rPr>
                <w:rFonts w:ascii="Arial" w:hAnsi="Arial" w:cs="Arial"/>
                <w:b/>
                <w:bCs/>
                <w:sz w:val="16"/>
                <w:szCs w:val="16"/>
              </w:rPr>
              <w:t>-</w:t>
            </w:r>
          </w:p>
        </w:tc>
        <w:tc>
          <w:tcPr>
            <w:tcW w:w="573" w:type="pct"/>
            <w:tcBorders>
              <w:top w:val="nil"/>
              <w:left w:val="nil"/>
              <w:bottom w:val="nil"/>
              <w:right w:val="nil"/>
            </w:tcBorders>
            <w:shd w:val="clear" w:color="000000" w:fill="E6E6E6"/>
            <w:noWrap/>
            <w:vAlign w:val="bottom"/>
          </w:tcPr>
          <w:p w14:paraId="212ECE0E" w14:textId="0CE811D7" w:rsidR="00A77CB9" w:rsidRPr="00F2052E" w:rsidRDefault="00A77CB9" w:rsidP="00A77CB9">
            <w:pPr>
              <w:spacing w:after="0" w:line="240" w:lineRule="auto"/>
              <w:jc w:val="right"/>
              <w:rPr>
                <w:rFonts w:ascii="Arial" w:hAnsi="Arial" w:cs="Arial"/>
                <w:sz w:val="16"/>
                <w:szCs w:val="16"/>
              </w:rPr>
            </w:pPr>
            <w:r w:rsidRPr="00F2052E">
              <w:rPr>
                <w:rFonts w:ascii="Arial" w:hAnsi="Arial" w:cs="Arial"/>
                <w:b/>
                <w:bCs/>
                <w:sz w:val="16"/>
                <w:szCs w:val="16"/>
              </w:rPr>
              <w:t>-</w:t>
            </w:r>
          </w:p>
        </w:tc>
      </w:tr>
      <w:tr w:rsidR="00A77CB9" w:rsidRPr="00F2052E" w14:paraId="7239AF07" w14:textId="77777777" w:rsidTr="00B90578">
        <w:trPr>
          <w:trHeight w:val="204"/>
        </w:trPr>
        <w:tc>
          <w:tcPr>
            <w:tcW w:w="1591" w:type="pct"/>
            <w:tcBorders>
              <w:top w:val="nil"/>
              <w:left w:val="nil"/>
              <w:bottom w:val="nil"/>
              <w:right w:val="nil"/>
            </w:tcBorders>
            <w:shd w:val="clear" w:color="auto" w:fill="auto"/>
            <w:vAlign w:val="bottom"/>
          </w:tcPr>
          <w:p w14:paraId="556AB891" w14:textId="50EB69D3" w:rsidR="00A77CB9" w:rsidRPr="00F2052E" w:rsidRDefault="00A77CB9" w:rsidP="00A77CB9">
            <w:pPr>
              <w:spacing w:after="0" w:line="240" w:lineRule="auto"/>
              <w:rPr>
                <w:rFonts w:ascii="Arial" w:hAnsi="Arial" w:cs="Arial"/>
                <w:sz w:val="16"/>
                <w:szCs w:val="16"/>
              </w:rPr>
            </w:pPr>
            <w:r w:rsidRPr="00F2052E">
              <w:rPr>
                <w:rFonts w:ascii="Arial" w:hAnsi="Arial" w:cs="Arial"/>
                <w:sz w:val="16"/>
                <w:szCs w:val="16"/>
              </w:rPr>
              <w:t>APS Capability Reinvestment Fund</w:t>
            </w:r>
            <w:r>
              <w:rPr>
                <w:rFonts w:ascii="Arial" w:hAnsi="Arial" w:cs="Arial"/>
                <w:sz w:val="16"/>
                <w:szCs w:val="16"/>
              </w:rPr>
              <w:t>: 2023-24 projects funded under round one</w:t>
            </w:r>
            <w:r w:rsidRPr="00F2052E">
              <w:rPr>
                <w:rFonts w:ascii="Arial" w:hAnsi="Arial" w:cs="Arial"/>
                <w:sz w:val="16"/>
                <w:szCs w:val="16"/>
                <w:vertAlign w:val="superscript"/>
              </w:rPr>
              <w:t>(</w:t>
            </w:r>
            <w:r w:rsidR="002C6E3B">
              <w:rPr>
                <w:rFonts w:ascii="Arial" w:hAnsi="Arial" w:cs="Arial"/>
                <w:sz w:val="16"/>
                <w:szCs w:val="16"/>
                <w:vertAlign w:val="superscript"/>
              </w:rPr>
              <w:t>b</w:t>
            </w:r>
            <w:r w:rsidRPr="00F2052E">
              <w:rPr>
                <w:rFonts w:ascii="Arial" w:hAnsi="Arial" w:cs="Arial"/>
                <w:sz w:val="16"/>
                <w:szCs w:val="16"/>
                <w:vertAlign w:val="superscript"/>
              </w:rPr>
              <w:t>)</w:t>
            </w:r>
          </w:p>
        </w:tc>
        <w:tc>
          <w:tcPr>
            <w:tcW w:w="538" w:type="pct"/>
            <w:tcBorders>
              <w:top w:val="nil"/>
              <w:left w:val="nil"/>
              <w:bottom w:val="nil"/>
              <w:right w:val="nil"/>
            </w:tcBorders>
            <w:shd w:val="clear" w:color="auto" w:fill="auto"/>
            <w:noWrap/>
            <w:vAlign w:val="bottom"/>
          </w:tcPr>
          <w:p w14:paraId="7A3786F6" w14:textId="39C7DE7E" w:rsidR="00A77CB9" w:rsidRPr="00F2052E" w:rsidRDefault="00A77CB9" w:rsidP="00A77CB9">
            <w:pPr>
              <w:spacing w:after="0" w:line="240" w:lineRule="auto"/>
              <w:jc w:val="center"/>
              <w:rPr>
                <w:rFonts w:ascii="Arial" w:hAnsi="Arial" w:cs="Arial"/>
                <w:sz w:val="16"/>
                <w:szCs w:val="16"/>
              </w:rPr>
            </w:pPr>
            <w:r w:rsidRPr="00F2052E">
              <w:rPr>
                <w:rFonts w:ascii="Arial" w:hAnsi="Arial" w:cs="Arial"/>
                <w:sz w:val="16"/>
                <w:szCs w:val="16"/>
              </w:rPr>
              <w:t>2.4</w:t>
            </w:r>
          </w:p>
        </w:tc>
        <w:tc>
          <w:tcPr>
            <w:tcW w:w="577" w:type="pct"/>
            <w:tcBorders>
              <w:top w:val="nil"/>
              <w:left w:val="nil"/>
              <w:bottom w:val="nil"/>
              <w:right w:val="nil"/>
            </w:tcBorders>
            <w:shd w:val="clear" w:color="000000" w:fill="E6E6E6"/>
            <w:noWrap/>
            <w:vAlign w:val="bottom"/>
          </w:tcPr>
          <w:p w14:paraId="3F4187F9" w14:textId="77777777" w:rsidR="00A77CB9" w:rsidRPr="00F2052E" w:rsidRDefault="00A77CB9" w:rsidP="00A77CB9">
            <w:pPr>
              <w:spacing w:after="0" w:line="240" w:lineRule="auto"/>
              <w:jc w:val="right"/>
              <w:rPr>
                <w:rFonts w:ascii="Arial" w:hAnsi="Arial" w:cs="Arial"/>
                <w:sz w:val="16"/>
                <w:szCs w:val="16"/>
              </w:rPr>
            </w:pPr>
          </w:p>
        </w:tc>
        <w:tc>
          <w:tcPr>
            <w:tcW w:w="573" w:type="pct"/>
            <w:tcBorders>
              <w:top w:val="nil"/>
              <w:left w:val="nil"/>
              <w:bottom w:val="nil"/>
              <w:right w:val="nil"/>
            </w:tcBorders>
            <w:shd w:val="clear" w:color="000000" w:fill="FFFFFF"/>
            <w:noWrap/>
            <w:vAlign w:val="bottom"/>
          </w:tcPr>
          <w:p w14:paraId="500A37FE" w14:textId="77777777" w:rsidR="00A77CB9" w:rsidRPr="00F2052E" w:rsidRDefault="00A77CB9" w:rsidP="00A77CB9">
            <w:pPr>
              <w:spacing w:after="0" w:line="240" w:lineRule="auto"/>
              <w:jc w:val="right"/>
              <w:rPr>
                <w:rFonts w:ascii="Arial" w:hAnsi="Arial" w:cs="Arial"/>
                <w:sz w:val="16"/>
                <w:szCs w:val="16"/>
              </w:rPr>
            </w:pPr>
          </w:p>
        </w:tc>
        <w:tc>
          <w:tcPr>
            <w:tcW w:w="573" w:type="pct"/>
            <w:tcBorders>
              <w:top w:val="nil"/>
              <w:left w:val="nil"/>
              <w:bottom w:val="nil"/>
              <w:right w:val="nil"/>
            </w:tcBorders>
            <w:shd w:val="clear" w:color="000000" w:fill="E6E6E6"/>
            <w:noWrap/>
            <w:vAlign w:val="bottom"/>
          </w:tcPr>
          <w:p w14:paraId="3312F1A0" w14:textId="77777777" w:rsidR="00A77CB9" w:rsidRPr="00F2052E" w:rsidRDefault="00A77CB9" w:rsidP="00A77CB9">
            <w:pPr>
              <w:spacing w:after="0" w:line="240" w:lineRule="auto"/>
              <w:jc w:val="right"/>
              <w:rPr>
                <w:rFonts w:ascii="Arial" w:hAnsi="Arial" w:cs="Arial"/>
                <w:sz w:val="16"/>
                <w:szCs w:val="16"/>
              </w:rPr>
            </w:pPr>
          </w:p>
        </w:tc>
        <w:tc>
          <w:tcPr>
            <w:tcW w:w="573" w:type="pct"/>
            <w:tcBorders>
              <w:top w:val="nil"/>
              <w:left w:val="nil"/>
              <w:bottom w:val="nil"/>
              <w:right w:val="nil"/>
            </w:tcBorders>
            <w:shd w:val="clear" w:color="000000" w:fill="FFFFFF"/>
            <w:noWrap/>
            <w:vAlign w:val="bottom"/>
          </w:tcPr>
          <w:p w14:paraId="78CC659B" w14:textId="77777777" w:rsidR="00A77CB9" w:rsidRPr="00F2052E" w:rsidRDefault="00A77CB9" w:rsidP="00A77CB9">
            <w:pPr>
              <w:spacing w:after="0" w:line="240" w:lineRule="auto"/>
              <w:jc w:val="right"/>
              <w:rPr>
                <w:rFonts w:ascii="Arial" w:hAnsi="Arial" w:cs="Arial"/>
                <w:sz w:val="16"/>
                <w:szCs w:val="16"/>
              </w:rPr>
            </w:pPr>
          </w:p>
        </w:tc>
        <w:tc>
          <w:tcPr>
            <w:tcW w:w="573" w:type="pct"/>
            <w:tcBorders>
              <w:top w:val="nil"/>
              <w:left w:val="nil"/>
              <w:bottom w:val="nil"/>
              <w:right w:val="nil"/>
            </w:tcBorders>
            <w:shd w:val="clear" w:color="000000" w:fill="E6E6E6"/>
            <w:noWrap/>
            <w:vAlign w:val="bottom"/>
          </w:tcPr>
          <w:p w14:paraId="5462ED62" w14:textId="77777777" w:rsidR="00A77CB9" w:rsidRPr="00F2052E" w:rsidRDefault="00A77CB9" w:rsidP="00A77CB9">
            <w:pPr>
              <w:spacing w:after="0" w:line="240" w:lineRule="auto"/>
              <w:jc w:val="right"/>
              <w:rPr>
                <w:rFonts w:ascii="Arial" w:hAnsi="Arial" w:cs="Arial"/>
                <w:sz w:val="16"/>
                <w:szCs w:val="16"/>
              </w:rPr>
            </w:pPr>
          </w:p>
        </w:tc>
      </w:tr>
      <w:tr w:rsidR="00A77CB9" w:rsidRPr="00F2052E" w14:paraId="5E551F3D" w14:textId="77777777" w:rsidTr="00B90578">
        <w:trPr>
          <w:trHeight w:val="204"/>
        </w:trPr>
        <w:tc>
          <w:tcPr>
            <w:tcW w:w="1591" w:type="pct"/>
            <w:tcBorders>
              <w:top w:val="nil"/>
              <w:left w:val="nil"/>
              <w:bottom w:val="nil"/>
              <w:right w:val="nil"/>
            </w:tcBorders>
            <w:shd w:val="clear" w:color="auto" w:fill="auto"/>
            <w:vAlign w:val="bottom"/>
            <w:hideMark/>
          </w:tcPr>
          <w:p w14:paraId="450A0781" w14:textId="77777777" w:rsidR="00A77CB9" w:rsidRPr="00F2052E" w:rsidRDefault="00A77CB9" w:rsidP="00A77CB9">
            <w:pPr>
              <w:spacing w:after="0" w:line="240" w:lineRule="auto"/>
              <w:ind w:left="113"/>
              <w:rPr>
                <w:rFonts w:ascii="Arial" w:hAnsi="Arial" w:cs="Arial"/>
                <w:sz w:val="16"/>
                <w:szCs w:val="16"/>
              </w:rPr>
            </w:pPr>
            <w:r w:rsidRPr="00F2052E">
              <w:rPr>
                <w:rFonts w:ascii="Arial" w:hAnsi="Arial" w:cs="Arial"/>
                <w:sz w:val="16"/>
                <w:szCs w:val="16"/>
              </w:rPr>
              <w:t>Departmental payments</w:t>
            </w:r>
          </w:p>
        </w:tc>
        <w:tc>
          <w:tcPr>
            <w:tcW w:w="538" w:type="pct"/>
            <w:tcBorders>
              <w:top w:val="nil"/>
              <w:left w:val="nil"/>
              <w:bottom w:val="nil"/>
              <w:right w:val="nil"/>
            </w:tcBorders>
            <w:shd w:val="clear" w:color="auto" w:fill="auto"/>
            <w:noWrap/>
            <w:vAlign w:val="bottom"/>
            <w:hideMark/>
          </w:tcPr>
          <w:p w14:paraId="2CCEB416" w14:textId="77777777" w:rsidR="00A77CB9" w:rsidRPr="00F2052E" w:rsidRDefault="00A77CB9" w:rsidP="00A77CB9">
            <w:pPr>
              <w:spacing w:after="0" w:line="240" w:lineRule="auto"/>
              <w:ind w:firstLineChars="100" w:firstLine="160"/>
              <w:jc w:val="center"/>
              <w:rPr>
                <w:rFonts w:ascii="Arial" w:hAnsi="Arial" w:cs="Arial"/>
                <w:sz w:val="16"/>
                <w:szCs w:val="16"/>
              </w:rPr>
            </w:pPr>
          </w:p>
        </w:tc>
        <w:tc>
          <w:tcPr>
            <w:tcW w:w="577" w:type="pct"/>
            <w:tcBorders>
              <w:top w:val="nil"/>
              <w:left w:val="nil"/>
              <w:bottom w:val="nil"/>
              <w:right w:val="nil"/>
            </w:tcBorders>
            <w:shd w:val="clear" w:color="000000" w:fill="E6E6E6"/>
            <w:noWrap/>
            <w:vAlign w:val="bottom"/>
            <w:hideMark/>
          </w:tcPr>
          <w:p w14:paraId="10DF69C4" w14:textId="002CC149" w:rsidR="00A77CB9" w:rsidRPr="00F2052E" w:rsidRDefault="00A77CB9" w:rsidP="00A77CB9">
            <w:pPr>
              <w:spacing w:after="0" w:line="240" w:lineRule="auto"/>
              <w:jc w:val="right"/>
              <w:rPr>
                <w:rFonts w:ascii="Arial" w:hAnsi="Arial" w:cs="Arial"/>
                <w:sz w:val="16"/>
                <w:szCs w:val="16"/>
              </w:rPr>
            </w:pPr>
            <w:r w:rsidRPr="00F2052E">
              <w:rPr>
                <w:rFonts w:ascii="Arial" w:hAnsi="Arial" w:cs="Arial"/>
                <w:sz w:val="16"/>
                <w:szCs w:val="16"/>
              </w:rPr>
              <w:t>-</w:t>
            </w:r>
          </w:p>
        </w:tc>
        <w:tc>
          <w:tcPr>
            <w:tcW w:w="573" w:type="pct"/>
            <w:tcBorders>
              <w:top w:val="nil"/>
              <w:left w:val="nil"/>
              <w:bottom w:val="nil"/>
              <w:right w:val="nil"/>
            </w:tcBorders>
            <w:shd w:val="clear" w:color="000000" w:fill="FFFFFF"/>
            <w:noWrap/>
            <w:vAlign w:val="bottom"/>
            <w:hideMark/>
          </w:tcPr>
          <w:p w14:paraId="65E93966" w14:textId="401DF2F2" w:rsidR="00A77CB9" w:rsidRPr="00F2052E" w:rsidRDefault="00A77CB9" w:rsidP="00A77CB9">
            <w:pPr>
              <w:spacing w:after="0" w:line="240" w:lineRule="auto"/>
              <w:jc w:val="right"/>
              <w:rPr>
                <w:rFonts w:ascii="Arial" w:hAnsi="Arial" w:cs="Arial"/>
                <w:sz w:val="16"/>
                <w:szCs w:val="16"/>
              </w:rPr>
            </w:pPr>
            <w:r w:rsidRPr="00F2052E">
              <w:rPr>
                <w:rFonts w:ascii="Arial" w:hAnsi="Arial" w:cs="Arial"/>
                <w:sz w:val="16"/>
                <w:szCs w:val="16"/>
              </w:rPr>
              <w:t>275</w:t>
            </w:r>
          </w:p>
        </w:tc>
        <w:tc>
          <w:tcPr>
            <w:tcW w:w="573" w:type="pct"/>
            <w:tcBorders>
              <w:top w:val="nil"/>
              <w:left w:val="nil"/>
              <w:bottom w:val="nil"/>
              <w:right w:val="nil"/>
            </w:tcBorders>
            <w:shd w:val="clear" w:color="000000" w:fill="E6E6E6"/>
            <w:noWrap/>
            <w:vAlign w:val="bottom"/>
            <w:hideMark/>
          </w:tcPr>
          <w:p w14:paraId="3F4BFCE9" w14:textId="2D5EF564" w:rsidR="00A77CB9" w:rsidRPr="00F2052E" w:rsidRDefault="00A77CB9" w:rsidP="00A77CB9">
            <w:pPr>
              <w:spacing w:after="0" w:line="240" w:lineRule="auto"/>
              <w:jc w:val="right"/>
              <w:rPr>
                <w:rFonts w:ascii="Arial" w:hAnsi="Arial" w:cs="Arial"/>
                <w:sz w:val="16"/>
                <w:szCs w:val="16"/>
              </w:rPr>
            </w:pPr>
            <w:r w:rsidRPr="00F2052E">
              <w:rPr>
                <w:rFonts w:ascii="Arial" w:hAnsi="Arial" w:cs="Arial"/>
                <w:sz w:val="16"/>
                <w:szCs w:val="16"/>
              </w:rPr>
              <w:t>-</w:t>
            </w:r>
          </w:p>
        </w:tc>
        <w:tc>
          <w:tcPr>
            <w:tcW w:w="573" w:type="pct"/>
            <w:tcBorders>
              <w:top w:val="nil"/>
              <w:left w:val="nil"/>
              <w:bottom w:val="nil"/>
              <w:right w:val="nil"/>
            </w:tcBorders>
            <w:shd w:val="clear" w:color="000000" w:fill="FFFFFF"/>
            <w:noWrap/>
            <w:vAlign w:val="bottom"/>
            <w:hideMark/>
          </w:tcPr>
          <w:p w14:paraId="61323DF9" w14:textId="40E5FA35" w:rsidR="00A77CB9" w:rsidRPr="00F2052E" w:rsidRDefault="00A77CB9" w:rsidP="00A77CB9">
            <w:pPr>
              <w:spacing w:after="0" w:line="240" w:lineRule="auto"/>
              <w:jc w:val="right"/>
              <w:rPr>
                <w:rFonts w:ascii="Arial" w:hAnsi="Arial" w:cs="Arial"/>
                <w:b/>
                <w:bCs/>
                <w:sz w:val="16"/>
                <w:szCs w:val="16"/>
              </w:rPr>
            </w:pPr>
            <w:r w:rsidRPr="00F2052E">
              <w:rPr>
                <w:rFonts w:ascii="Arial" w:hAnsi="Arial" w:cs="Arial"/>
                <w:b/>
                <w:bCs/>
                <w:sz w:val="16"/>
                <w:szCs w:val="16"/>
              </w:rPr>
              <w:t>-</w:t>
            </w:r>
          </w:p>
        </w:tc>
        <w:tc>
          <w:tcPr>
            <w:tcW w:w="573" w:type="pct"/>
            <w:tcBorders>
              <w:top w:val="nil"/>
              <w:left w:val="nil"/>
              <w:bottom w:val="nil"/>
              <w:right w:val="nil"/>
            </w:tcBorders>
            <w:shd w:val="clear" w:color="000000" w:fill="E6E6E6"/>
            <w:noWrap/>
            <w:vAlign w:val="bottom"/>
            <w:hideMark/>
          </w:tcPr>
          <w:p w14:paraId="5F8076A9" w14:textId="71E0A27F" w:rsidR="00A77CB9" w:rsidRPr="00F2052E" w:rsidRDefault="00A77CB9" w:rsidP="00A77CB9">
            <w:pPr>
              <w:spacing w:after="0" w:line="240" w:lineRule="auto"/>
              <w:jc w:val="right"/>
              <w:rPr>
                <w:rFonts w:ascii="Arial" w:hAnsi="Arial" w:cs="Arial"/>
                <w:sz w:val="16"/>
                <w:szCs w:val="16"/>
              </w:rPr>
            </w:pPr>
            <w:r w:rsidRPr="00F2052E">
              <w:rPr>
                <w:rFonts w:ascii="Arial" w:hAnsi="Arial" w:cs="Arial"/>
                <w:sz w:val="16"/>
                <w:szCs w:val="16"/>
              </w:rPr>
              <w:t>-</w:t>
            </w:r>
          </w:p>
        </w:tc>
      </w:tr>
      <w:tr w:rsidR="00A77CB9" w:rsidRPr="00F2052E" w14:paraId="0AA36777" w14:textId="77777777" w:rsidTr="00B90578">
        <w:trPr>
          <w:trHeight w:val="204"/>
        </w:trPr>
        <w:tc>
          <w:tcPr>
            <w:tcW w:w="1591" w:type="pct"/>
            <w:tcBorders>
              <w:top w:val="nil"/>
              <w:left w:val="nil"/>
              <w:bottom w:val="nil"/>
              <w:right w:val="nil"/>
            </w:tcBorders>
            <w:shd w:val="clear" w:color="auto" w:fill="auto"/>
            <w:noWrap/>
            <w:vAlign w:val="bottom"/>
            <w:hideMark/>
          </w:tcPr>
          <w:p w14:paraId="029C4BF1" w14:textId="77777777" w:rsidR="00A77CB9" w:rsidRPr="00F2052E" w:rsidRDefault="00A77CB9" w:rsidP="00A77CB9">
            <w:pPr>
              <w:spacing w:after="0" w:line="240" w:lineRule="auto"/>
              <w:rPr>
                <w:rFonts w:ascii="Arial" w:hAnsi="Arial" w:cs="Arial"/>
                <w:b/>
                <w:bCs/>
                <w:sz w:val="16"/>
                <w:szCs w:val="16"/>
              </w:rPr>
            </w:pPr>
            <w:r w:rsidRPr="00F2052E">
              <w:rPr>
                <w:rFonts w:ascii="Arial" w:hAnsi="Arial" w:cs="Arial"/>
                <w:b/>
                <w:bCs/>
                <w:sz w:val="16"/>
                <w:szCs w:val="16"/>
              </w:rPr>
              <w:t xml:space="preserve">Total </w:t>
            </w:r>
          </w:p>
        </w:tc>
        <w:tc>
          <w:tcPr>
            <w:tcW w:w="538" w:type="pct"/>
            <w:tcBorders>
              <w:top w:val="nil"/>
              <w:left w:val="nil"/>
              <w:bottom w:val="nil"/>
              <w:right w:val="nil"/>
            </w:tcBorders>
            <w:shd w:val="clear" w:color="auto" w:fill="auto"/>
            <w:noWrap/>
            <w:vAlign w:val="bottom"/>
            <w:hideMark/>
          </w:tcPr>
          <w:p w14:paraId="411A1BCA" w14:textId="77777777" w:rsidR="00A77CB9" w:rsidRPr="00F2052E" w:rsidRDefault="00A77CB9" w:rsidP="00A77CB9">
            <w:pPr>
              <w:spacing w:after="0" w:line="240" w:lineRule="auto"/>
              <w:jc w:val="center"/>
              <w:rPr>
                <w:rFonts w:ascii="Arial" w:hAnsi="Arial" w:cs="Arial"/>
                <w:b/>
                <w:bCs/>
                <w:sz w:val="16"/>
                <w:szCs w:val="16"/>
              </w:rPr>
            </w:pPr>
          </w:p>
        </w:tc>
        <w:tc>
          <w:tcPr>
            <w:tcW w:w="577" w:type="pct"/>
            <w:tcBorders>
              <w:top w:val="nil"/>
              <w:left w:val="nil"/>
              <w:bottom w:val="nil"/>
              <w:right w:val="nil"/>
            </w:tcBorders>
            <w:shd w:val="clear" w:color="000000" w:fill="E6E6E6"/>
            <w:noWrap/>
            <w:vAlign w:val="bottom"/>
            <w:hideMark/>
          </w:tcPr>
          <w:p w14:paraId="21A8F9EA" w14:textId="5C5E082B" w:rsidR="00A77CB9" w:rsidRPr="00F2052E" w:rsidRDefault="00A77CB9" w:rsidP="00A77CB9">
            <w:pPr>
              <w:spacing w:after="0" w:line="240" w:lineRule="auto"/>
              <w:jc w:val="right"/>
              <w:rPr>
                <w:rFonts w:ascii="Arial" w:hAnsi="Arial" w:cs="Arial"/>
                <w:b/>
                <w:bCs/>
                <w:sz w:val="16"/>
                <w:szCs w:val="16"/>
              </w:rPr>
            </w:pPr>
            <w:r w:rsidRPr="00F2052E">
              <w:rPr>
                <w:rFonts w:ascii="Arial" w:hAnsi="Arial" w:cs="Arial"/>
                <w:b/>
                <w:bCs/>
                <w:sz w:val="16"/>
                <w:szCs w:val="16"/>
              </w:rPr>
              <w:t>-</w:t>
            </w:r>
          </w:p>
        </w:tc>
        <w:tc>
          <w:tcPr>
            <w:tcW w:w="573" w:type="pct"/>
            <w:tcBorders>
              <w:top w:val="nil"/>
              <w:left w:val="nil"/>
              <w:bottom w:val="nil"/>
              <w:right w:val="nil"/>
            </w:tcBorders>
            <w:shd w:val="clear" w:color="000000" w:fill="FFFFFF"/>
            <w:noWrap/>
            <w:vAlign w:val="bottom"/>
            <w:hideMark/>
          </w:tcPr>
          <w:p w14:paraId="6A885534" w14:textId="54E362BC" w:rsidR="00A77CB9" w:rsidRPr="00F2052E" w:rsidRDefault="00A77CB9" w:rsidP="00A77CB9">
            <w:pPr>
              <w:spacing w:after="0" w:line="240" w:lineRule="auto"/>
              <w:jc w:val="right"/>
              <w:rPr>
                <w:rFonts w:ascii="Arial" w:hAnsi="Arial" w:cs="Arial"/>
                <w:b/>
                <w:bCs/>
                <w:sz w:val="16"/>
                <w:szCs w:val="16"/>
              </w:rPr>
            </w:pPr>
            <w:r w:rsidRPr="00F2052E">
              <w:rPr>
                <w:rFonts w:ascii="Arial" w:hAnsi="Arial" w:cs="Arial"/>
                <w:b/>
                <w:bCs/>
                <w:sz w:val="16"/>
                <w:szCs w:val="16"/>
              </w:rPr>
              <w:t>275</w:t>
            </w:r>
          </w:p>
        </w:tc>
        <w:tc>
          <w:tcPr>
            <w:tcW w:w="573" w:type="pct"/>
            <w:tcBorders>
              <w:top w:val="nil"/>
              <w:left w:val="nil"/>
              <w:bottom w:val="nil"/>
              <w:right w:val="nil"/>
            </w:tcBorders>
            <w:shd w:val="clear" w:color="000000" w:fill="E6E6E6"/>
            <w:noWrap/>
            <w:vAlign w:val="bottom"/>
            <w:hideMark/>
          </w:tcPr>
          <w:p w14:paraId="0B39ABDF" w14:textId="22E9254A" w:rsidR="00A77CB9" w:rsidRPr="00F2052E" w:rsidRDefault="00A77CB9" w:rsidP="00A77CB9">
            <w:pPr>
              <w:spacing w:after="0" w:line="240" w:lineRule="auto"/>
              <w:jc w:val="right"/>
              <w:rPr>
                <w:rFonts w:ascii="Arial" w:hAnsi="Arial" w:cs="Arial"/>
                <w:b/>
                <w:bCs/>
                <w:sz w:val="16"/>
                <w:szCs w:val="16"/>
              </w:rPr>
            </w:pPr>
            <w:r w:rsidRPr="00F2052E">
              <w:rPr>
                <w:rFonts w:ascii="Arial" w:hAnsi="Arial" w:cs="Arial"/>
                <w:b/>
                <w:bCs/>
                <w:sz w:val="16"/>
                <w:szCs w:val="16"/>
              </w:rPr>
              <w:t>-</w:t>
            </w:r>
          </w:p>
        </w:tc>
        <w:tc>
          <w:tcPr>
            <w:tcW w:w="573" w:type="pct"/>
            <w:tcBorders>
              <w:top w:val="nil"/>
              <w:left w:val="nil"/>
              <w:bottom w:val="nil"/>
              <w:right w:val="nil"/>
            </w:tcBorders>
            <w:shd w:val="clear" w:color="000000" w:fill="FFFFFF"/>
            <w:noWrap/>
            <w:vAlign w:val="bottom"/>
            <w:hideMark/>
          </w:tcPr>
          <w:p w14:paraId="3E8346C7" w14:textId="33F08A32" w:rsidR="00A77CB9" w:rsidRPr="00F2052E" w:rsidRDefault="00A77CB9" w:rsidP="00A77CB9">
            <w:pPr>
              <w:spacing w:after="0" w:line="240" w:lineRule="auto"/>
              <w:jc w:val="right"/>
              <w:rPr>
                <w:rFonts w:ascii="Arial" w:hAnsi="Arial" w:cs="Arial"/>
                <w:b/>
                <w:bCs/>
                <w:sz w:val="16"/>
                <w:szCs w:val="16"/>
              </w:rPr>
            </w:pPr>
            <w:r w:rsidRPr="00F2052E">
              <w:rPr>
                <w:rFonts w:ascii="Arial" w:hAnsi="Arial" w:cs="Arial"/>
                <w:b/>
                <w:bCs/>
                <w:sz w:val="16"/>
                <w:szCs w:val="16"/>
              </w:rPr>
              <w:t>-</w:t>
            </w:r>
          </w:p>
        </w:tc>
        <w:tc>
          <w:tcPr>
            <w:tcW w:w="573" w:type="pct"/>
            <w:tcBorders>
              <w:top w:val="nil"/>
              <w:left w:val="nil"/>
              <w:bottom w:val="nil"/>
              <w:right w:val="nil"/>
            </w:tcBorders>
            <w:shd w:val="clear" w:color="000000" w:fill="E6E6E6"/>
            <w:noWrap/>
            <w:vAlign w:val="bottom"/>
            <w:hideMark/>
          </w:tcPr>
          <w:p w14:paraId="4D3F260C" w14:textId="6DCB7433" w:rsidR="00A77CB9" w:rsidRPr="00F2052E" w:rsidRDefault="00A77CB9" w:rsidP="00A77CB9">
            <w:pPr>
              <w:spacing w:after="0" w:line="240" w:lineRule="auto"/>
              <w:jc w:val="right"/>
              <w:rPr>
                <w:rFonts w:ascii="Arial" w:hAnsi="Arial" w:cs="Arial"/>
                <w:b/>
                <w:bCs/>
                <w:sz w:val="16"/>
                <w:szCs w:val="16"/>
              </w:rPr>
            </w:pPr>
            <w:r w:rsidRPr="00F2052E">
              <w:rPr>
                <w:rFonts w:ascii="Arial" w:hAnsi="Arial" w:cs="Arial"/>
                <w:b/>
                <w:bCs/>
                <w:sz w:val="16"/>
                <w:szCs w:val="16"/>
              </w:rPr>
              <w:t>-</w:t>
            </w:r>
          </w:p>
        </w:tc>
      </w:tr>
      <w:tr w:rsidR="00A77CB9" w:rsidRPr="00F2052E" w14:paraId="6DEC46DD" w14:textId="77777777" w:rsidTr="00B90578">
        <w:trPr>
          <w:trHeight w:val="204"/>
        </w:trPr>
        <w:tc>
          <w:tcPr>
            <w:tcW w:w="1591" w:type="pct"/>
            <w:tcBorders>
              <w:top w:val="nil"/>
              <w:left w:val="nil"/>
              <w:bottom w:val="nil"/>
              <w:right w:val="nil"/>
            </w:tcBorders>
            <w:shd w:val="clear" w:color="auto" w:fill="auto"/>
            <w:vAlign w:val="bottom"/>
            <w:hideMark/>
          </w:tcPr>
          <w:p w14:paraId="39C4F02F" w14:textId="60B3A56E" w:rsidR="00A77CB9" w:rsidRPr="00F2052E" w:rsidRDefault="00A77CB9" w:rsidP="00A77CB9">
            <w:pPr>
              <w:spacing w:after="0" w:line="240" w:lineRule="auto"/>
              <w:rPr>
                <w:rFonts w:ascii="Arial" w:hAnsi="Arial" w:cs="Arial"/>
                <w:sz w:val="16"/>
                <w:szCs w:val="16"/>
              </w:rPr>
            </w:pPr>
            <w:r w:rsidRPr="00F2052E">
              <w:rPr>
                <w:rFonts w:ascii="Arial" w:hAnsi="Arial" w:cs="Arial"/>
                <w:sz w:val="16"/>
                <w:szCs w:val="16"/>
              </w:rPr>
              <w:t>Better</w:t>
            </w:r>
            <w:r>
              <w:rPr>
                <w:rFonts w:ascii="Arial" w:hAnsi="Arial" w:cs="Arial"/>
                <w:sz w:val="16"/>
                <w:szCs w:val="16"/>
              </w:rPr>
              <w:t>,</w:t>
            </w:r>
            <w:r w:rsidRPr="00F2052E">
              <w:rPr>
                <w:rFonts w:ascii="Arial" w:hAnsi="Arial" w:cs="Arial"/>
                <w:sz w:val="16"/>
                <w:szCs w:val="16"/>
              </w:rPr>
              <w:t xml:space="preserve"> Safer Future </w:t>
            </w:r>
            <w:r>
              <w:rPr>
                <w:rFonts w:ascii="Arial" w:hAnsi="Arial" w:cs="Arial"/>
                <w:sz w:val="16"/>
                <w:szCs w:val="16"/>
              </w:rPr>
              <w:t>for</w:t>
            </w:r>
            <w:r w:rsidRPr="00F2052E">
              <w:rPr>
                <w:rFonts w:ascii="Arial" w:hAnsi="Arial" w:cs="Arial"/>
                <w:sz w:val="16"/>
                <w:szCs w:val="16"/>
              </w:rPr>
              <w:t xml:space="preserve"> Central Australia Plan</w:t>
            </w:r>
            <w:r w:rsidRPr="00F2052E">
              <w:rPr>
                <w:rFonts w:ascii="Arial" w:hAnsi="Arial" w:cs="Arial"/>
                <w:sz w:val="16"/>
                <w:szCs w:val="16"/>
                <w:vertAlign w:val="superscript"/>
              </w:rPr>
              <w:t>(</w:t>
            </w:r>
            <w:r w:rsidR="002C6E3B">
              <w:rPr>
                <w:rFonts w:ascii="Arial" w:hAnsi="Arial" w:cs="Arial"/>
                <w:sz w:val="16"/>
                <w:szCs w:val="16"/>
                <w:vertAlign w:val="superscript"/>
              </w:rPr>
              <w:t>b</w:t>
            </w:r>
            <w:r w:rsidRPr="00F2052E">
              <w:rPr>
                <w:rFonts w:ascii="Arial" w:hAnsi="Arial" w:cs="Arial"/>
                <w:sz w:val="16"/>
                <w:szCs w:val="16"/>
                <w:vertAlign w:val="superscript"/>
              </w:rPr>
              <w:t>)</w:t>
            </w:r>
          </w:p>
        </w:tc>
        <w:tc>
          <w:tcPr>
            <w:tcW w:w="538" w:type="pct"/>
            <w:tcBorders>
              <w:top w:val="nil"/>
              <w:left w:val="nil"/>
              <w:bottom w:val="nil"/>
              <w:right w:val="nil"/>
            </w:tcBorders>
            <w:shd w:val="clear" w:color="auto" w:fill="auto"/>
            <w:noWrap/>
            <w:vAlign w:val="bottom"/>
            <w:hideMark/>
          </w:tcPr>
          <w:p w14:paraId="533F1E81" w14:textId="6405DE11" w:rsidR="00A77CB9" w:rsidRPr="00F2052E" w:rsidRDefault="00A77CB9" w:rsidP="00A77CB9">
            <w:pPr>
              <w:spacing w:after="0" w:line="240" w:lineRule="auto"/>
              <w:jc w:val="center"/>
              <w:rPr>
                <w:rFonts w:ascii="Arial" w:hAnsi="Arial" w:cs="Arial"/>
                <w:sz w:val="16"/>
                <w:szCs w:val="16"/>
              </w:rPr>
            </w:pPr>
            <w:r>
              <w:rPr>
                <w:rFonts w:ascii="Arial" w:hAnsi="Arial" w:cs="Arial"/>
                <w:sz w:val="16"/>
                <w:szCs w:val="16"/>
              </w:rPr>
              <w:t>5.1</w:t>
            </w:r>
          </w:p>
        </w:tc>
        <w:tc>
          <w:tcPr>
            <w:tcW w:w="577" w:type="pct"/>
            <w:tcBorders>
              <w:top w:val="nil"/>
              <w:left w:val="nil"/>
              <w:bottom w:val="nil"/>
              <w:right w:val="nil"/>
            </w:tcBorders>
            <w:shd w:val="clear" w:color="000000" w:fill="E6E6E6"/>
            <w:noWrap/>
            <w:vAlign w:val="bottom"/>
            <w:hideMark/>
          </w:tcPr>
          <w:p w14:paraId="37821620" w14:textId="3135B061" w:rsidR="00A77CB9" w:rsidRPr="00F2052E" w:rsidRDefault="00A77CB9" w:rsidP="00A77CB9">
            <w:pPr>
              <w:spacing w:after="0" w:line="240" w:lineRule="auto"/>
              <w:jc w:val="right"/>
              <w:rPr>
                <w:rFonts w:ascii="Arial" w:hAnsi="Arial" w:cs="Arial"/>
                <w:sz w:val="16"/>
                <w:szCs w:val="16"/>
              </w:rPr>
            </w:pPr>
          </w:p>
        </w:tc>
        <w:tc>
          <w:tcPr>
            <w:tcW w:w="573" w:type="pct"/>
            <w:tcBorders>
              <w:top w:val="nil"/>
              <w:left w:val="nil"/>
              <w:bottom w:val="nil"/>
              <w:right w:val="nil"/>
            </w:tcBorders>
            <w:shd w:val="clear" w:color="000000" w:fill="FFFFFF"/>
            <w:noWrap/>
            <w:vAlign w:val="bottom"/>
            <w:hideMark/>
          </w:tcPr>
          <w:p w14:paraId="1497AC9C" w14:textId="73BC49C9" w:rsidR="00A77CB9" w:rsidRPr="00F2052E" w:rsidRDefault="00A77CB9" w:rsidP="00A77CB9">
            <w:pPr>
              <w:spacing w:after="0" w:line="240" w:lineRule="auto"/>
              <w:jc w:val="right"/>
              <w:rPr>
                <w:rFonts w:ascii="Arial" w:hAnsi="Arial" w:cs="Arial"/>
                <w:sz w:val="16"/>
                <w:szCs w:val="16"/>
              </w:rPr>
            </w:pPr>
          </w:p>
        </w:tc>
        <w:tc>
          <w:tcPr>
            <w:tcW w:w="573" w:type="pct"/>
            <w:tcBorders>
              <w:top w:val="nil"/>
              <w:left w:val="nil"/>
              <w:bottom w:val="nil"/>
              <w:right w:val="nil"/>
            </w:tcBorders>
            <w:shd w:val="clear" w:color="000000" w:fill="E6E6E6"/>
            <w:noWrap/>
            <w:vAlign w:val="bottom"/>
            <w:hideMark/>
          </w:tcPr>
          <w:p w14:paraId="19C58E21" w14:textId="196787FA" w:rsidR="00A77CB9" w:rsidRPr="00F2052E" w:rsidRDefault="00A77CB9" w:rsidP="00A77CB9">
            <w:pPr>
              <w:spacing w:after="0" w:line="240" w:lineRule="auto"/>
              <w:jc w:val="right"/>
              <w:rPr>
                <w:rFonts w:ascii="Arial" w:hAnsi="Arial" w:cs="Arial"/>
                <w:sz w:val="16"/>
                <w:szCs w:val="16"/>
              </w:rPr>
            </w:pPr>
          </w:p>
        </w:tc>
        <w:tc>
          <w:tcPr>
            <w:tcW w:w="573" w:type="pct"/>
            <w:tcBorders>
              <w:top w:val="nil"/>
              <w:left w:val="nil"/>
              <w:bottom w:val="nil"/>
              <w:right w:val="nil"/>
            </w:tcBorders>
            <w:shd w:val="clear" w:color="000000" w:fill="FFFFFF"/>
            <w:noWrap/>
            <w:vAlign w:val="bottom"/>
            <w:hideMark/>
          </w:tcPr>
          <w:p w14:paraId="4AEA36F8" w14:textId="33D84149" w:rsidR="00A77CB9" w:rsidRPr="00F2052E" w:rsidRDefault="00A77CB9" w:rsidP="00A77CB9">
            <w:pPr>
              <w:spacing w:after="0" w:line="240" w:lineRule="auto"/>
              <w:jc w:val="right"/>
              <w:rPr>
                <w:rFonts w:ascii="Arial" w:hAnsi="Arial" w:cs="Arial"/>
                <w:sz w:val="16"/>
                <w:szCs w:val="16"/>
              </w:rPr>
            </w:pPr>
          </w:p>
        </w:tc>
        <w:tc>
          <w:tcPr>
            <w:tcW w:w="573" w:type="pct"/>
            <w:tcBorders>
              <w:top w:val="nil"/>
              <w:left w:val="nil"/>
              <w:bottom w:val="nil"/>
              <w:right w:val="nil"/>
            </w:tcBorders>
            <w:shd w:val="clear" w:color="000000" w:fill="E6E6E6"/>
            <w:noWrap/>
            <w:vAlign w:val="bottom"/>
            <w:hideMark/>
          </w:tcPr>
          <w:p w14:paraId="164B9DAA" w14:textId="0A4D6198" w:rsidR="00A77CB9" w:rsidRPr="00F2052E" w:rsidRDefault="00A77CB9" w:rsidP="00A77CB9">
            <w:pPr>
              <w:spacing w:after="0" w:line="240" w:lineRule="auto"/>
              <w:jc w:val="right"/>
              <w:rPr>
                <w:rFonts w:ascii="Arial" w:hAnsi="Arial" w:cs="Arial"/>
                <w:sz w:val="16"/>
                <w:szCs w:val="16"/>
              </w:rPr>
            </w:pPr>
          </w:p>
        </w:tc>
      </w:tr>
      <w:tr w:rsidR="00A77CB9" w:rsidRPr="00F2052E" w14:paraId="1CC9A726" w14:textId="77777777" w:rsidTr="00B90578">
        <w:trPr>
          <w:trHeight w:val="204"/>
        </w:trPr>
        <w:tc>
          <w:tcPr>
            <w:tcW w:w="1591" w:type="pct"/>
            <w:tcBorders>
              <w:top w:val="nil"/>
              <w:left w:val="nil"/>
              <w:bottom w:val="nil"/>
              <w:right w:val="nil"/>
            </w:tcBorders>
            <w:shd w:val="clear" w:color="auto" w:fill="auto"/>
            <w:vAlign w:val="bottom"/>
            <w:hideMark/>
          </w:tcPr>
          <w:p w14:paraId="1C6790C3" w14:textId="77777777" w:rsidR="00A77CB9" w:rsidRPr="00F2052E" w:rsidRDefault="00A77CB9" w:rsidP="00A77CB9">
            <w:pPr>
              <w:spacing w:after="0" w:line="240" w:lineRule="auto"/>
              <w:ind w:left="113"/>
              <w:rPr>
                <w:rFonts w:ascii="Arial" w:hAnsi="Arial" w:cs="Arial"/>
                <w:sz w:val="16"/>
                <w:szCs w:val="16"/>
              </w:rPr>
            </w:pPr>
            <w:r w:rsidRPr="00F2052E">
              <w:rPr>
                <w:rFonts w:ascii="Arial" w:hAnsi="Arial" w:cs="Arial"/>
                <w:sz w:val="16"/>
                <w:szCs w:val="16"/>
              </w:rPr>
              <w:t>Administered payments</w:t>
            </w:r>
          </w:p>
        </w:tc>
        <w:tc>
          <w:tcPr>
            <w:tcW w:w="538" w:type="pct"/>
            <w:tcBorders>
              <w:top w:val="nil"/>
              <w:left w:val="nil"/>
              <w:bottom w:val="nil"/>
              <w:right w:val="nil"/>
            </w:tcBorders>
            <w:shd w:val="clear" w:color="auto" w:fill="auto"/>
            <w:noWrap/>
            <w:vAlign w:val="bottom"/>
            <w:hideMark/>
          </w:tcPr>
          <w:p w14:paraId="4C2941B6" w14:textId="77777777" w:rsidR="00A77CB9" w:rsidRPr="00F2052E" w:rsidRDefault="00A77CB9" w:rsidP="00A77CB9">
            <w:pPr>
              <w:spacing w:after="0" w:line="240" w:lineRule="auto"/>
              <w:ind w:firstLineChars="100" w:firstLine="160"/>
              <w:jc w:val="center"/>
              <w:rPr>
                <w:rFonts w:ascii="Arial" w:hAnsi="Arial" w:cs="Arial"/>
                <w:sz w:val="16"/>
                <w:szCs w:val="16"/>
              </w:rPr>
            </w:pPr>
          </w:p>
        </w:tc>
        <w:tc>
          <w:tcPr>
            <w:tcW w:w="577" w:type="pct"/>
            <w:tcBorders>
              <w:top w:val="nil"/>
              <w:left w:val="nil"/>
              <w:bottom w:val="nil"/>
              <w:right w:val="nil"/>
            </w:tcBorders>
            <w:shd w:val="clear" w:color="000000" w:fill="E6E6E6"/>
            <w:noWrap/>
            <w:vAlign w:val="bottom"/>
            <w:hideMark/>
          </w:tcPr>
          <w:p w14:paraId="65CAB7C9" w14:textId="550748D2" w:rsidR="00A77CB9" w:rsidRPr="00F2052E" w:rsidRDefault="00A77CB9" w:rsidP="00A77CB9">
            <w:pPr>
              <w:spacing w:after="0" w:line="240" w:lineRule="auto"/>
              <w:jc w:val="right"/>
              <w:rPr>
                <w:rFonts w:ascii="Arial" w:hAnsi="Arial" w:cs="Arial"/>
                <w:sz w:val="16"/>
                <w:szCs w:val="16"/>
              </w:rPr>
            </w:pPr>
            <w:r w:rsidRPr="00F2052E">
              <w:rPr>
                <w:rFonts w:ascii="Arial" w:hAnsi="Arial" w:cs="Arial"/>
                <w:sz w:val="16"/>
                <w:szCs w:val="16"/>
              </w:rPr>
              <w:t>-</w:t>
            </w:r>
          </w:p>
        </w:tc>
        <w:tc>
          <w:tcPr>
            <w:tcW w:w="573" w:type="pct"/>
            <w:tcBorders>
              <w:top w:val="nil"/>
              <w:left w:val="nil"/>
              <w:bottom w:val="nil"/>
              <w:right w:val="nil"/>
            </w:tcBorders>
            <w:shd w:val="clear" w:color="000000" w:fill="FFFFFF"/>
            <w:noWrap/>
            <w:vAlign w:val="bottom"/>
            <w:hideMark/>
          </w:tcPr>
          <w:p w14:paraId="2CF97D9A" w14:textId="412AE456" w:rsidR="00A77CB9" w:rsidRPr="00F2052E" w:rsidRDefault="00A77CB9" w:rsidP="00A77CB9">
            <w:pPr>
              <w:spacing w:after="0" w:line="240" w:lineRule="auto"/>
              <w:jc w:val="right"/>
              <w:rPr>
                <w:rFonts w:ascii="Arial" w:hAnsi="Arial" w:cs="Arial"/>
                <w:sz w:val="16"/>
                <w:szCs w:val="16"/>
              </w:rPr>
            </w:pPr>
            <w:r w:rsidRPr="00F2052E">
              <w:rPr>
                <w:rFonts w:ascii="Arial" w:hAnsi="Arial" w:cs="Arial"/>
                <w:sz w:val="16"/>
                <w:szCs w:val="16"/>
              </w:rPr>
              <w:t>-</w:t>
            </w:r>
          </w:p>
        </w:tc>
        <w:tc>
          <w:tcPr>
            <w:tcW w:w="573" w:type="pct"/>
            <w:tcBorders>
              <w:top w:val="nil"/>
              <w:left w:val="nil"/>
              <w:bottom w:val="nil"/>
              <w:right w:val="nil"/>
            </w:tcBorders>
            <w:shd w:val="clear" w:color="000000" w:fill="E6E6E6"/>
            <w:noWrap/>
            <w:vAlign w:val="bottom"/>
            <w:hideMark/>
          </w:tcPr>
          <w:p w14:paraId="7A543FC7" w14:textId="7D1A38BF" w:rsidR="00A77CB9" w:rsidRPr="00F2052E" w:rsidRDefault="00A77CB9" w:rsidP="00A77CB9">
            <w:pPr>
              <w:spacing w:after="0" w:line="240" w:lineRule="auto"/>
              <w:jc w:val="right"/>
              <w:rPr>
                <w:rFonts w:ascii="Arial" w:hAnsi="Arial" w:cs="Arial"/>
                <w:sz w:val="16"/>
                <w:szCs w:val="16"/>
              </w:rPr>
            </w:pPr>
            <w:r w:rsidRPr="00F2052E">
              <w:rPr>
                <w:rFonts w:ascii="Arial" w:hAnsi="Arial" w:cs="Arial"/>
                <w:sz w:val="16"/>
                <w:szCs w:val="16"/>
              </w:rPr>
              <w:t>-</w:t>
            </w:r>
          </w:p>
        </w:tc>
        <w:tc>
          <w:tcPr>
            <w:tcW w:w="573" w:type="pct"/>
            <w:tcBorders>
              <w:top w:val="nil"/>
              <w:left w:val="nil"/>
              <w:bottom w:val="nil"/>
              <w:right w:val="nil"/>
            </w:tcBorders>
            <w:shd w:val="clear" w:color="000000" w:fill="FFFFFF"/>
            <w:noWrap/>
            <w:vAlign w:val="bottom"/>
            <w:hideMark/>
          </w:tcPr>
          <w:p w14:paraId="0D1FB666" w14:textId="36DEBFE4" w:rsidR="00A77CB9" w:rsidRPr="00F2052E" w:rsidRDefault="00A77CB9" w:rsidP="00A77CB9">
            <w:pPr>
              <w:spacing w:after="0" w:line="240" w:lineRule="auto"/>
              <w:jc w:val="right"/>
              <w:rPr>
                <w:rFonts w:ascii="Arial" w:hAnsi="Arial" w:cs="Arial"/>
                <w:sz w:val="16"/>
                <w:szCs w:val="16"/>
              </w:rPr>
            </w:pPr>
            <w:r w:rsidRPr="00F2052E">
              <w:rPr>
                <w:rFonts w:ascii="Arial" w:hAnsi="Arial" w:cs="Arial"/>
                <w:sz w:val="16"/>
                <w:szCs w:val="16"/>
              </w:rPr>
              <w:t>-</w:t>
            </w:r>
          </w:p>
        </w:tc>
        <w:tc>
          <w:tcPr>
            <w:tcW w:w="573" w:type="pct"/>
            <w:tcBorders>
              <w:top w:val="nil"/>
              <w:left w:val="nil"/>
              <w:bottom w:val="nil"/>
              <w:right w:val="nil"/>
            </w:tcBorders>
            <w:shd w:val="clear" w:color="000000" w:fill="E6E6E6"/>
            <w:noWrap/>
            <w:vAlign w:val="bottom"/>
            <w:hideMark/>
          </w:tcPr>
          <w:p w14:paraId="14A51956" w14:textId="7543D235" w:rsidR="00A77CB9" w:rsidRPr="00F2052E" w:rsidRDefault="00A77CB9" w:rsidP="00A77CB9">
            <w:pPr>
              <w:spacing w:after="0" w:line="240" w:lineRule="auto"/>
              <w:jc w:val="right"/>
              <w:rPr>
                <w:rFonts w:ascii="Arial" w:hAnsi="Arial" w:cs="Arial"/>
                <w:sz w:val="16"/>
                <w:szCs w:val="16"/>
              </w:rPr>
            </w:pPr>
            <w:r w:rsidRPr="00F2052E">
              <w:rPr>
                <w:rFonts w:ascii="Arial" w:hAnsi="Arial" w:cs="Arial"/>
                <w:sz w:val="16"/>
                <w:szCs w:val="16"/>
              </w:rPr>
              <w:t>-</w:t>
            </w:r>
          </w:p>
        </w:tc>
      </w:tr>
      <w:tr w:rsidR="00A77CB9" w:rsidRPr="00F2052E" w14:paraId="5E984179" w14:textId="77777777" w:rsidTr="00B90578">
        <w:trPr>
          <w:trHeight w:val="204"/>
        </w:trPr>
        <w:tc>
          <w:tcPr>
            <w:tcW w:w="1591" w:type="pct"/>
            <w:tcBorders>
              <w:top w:val="nil"/>
              <w:left w:val="nil"/>
              <w:bottom w:val="nil"/>
              <w:right w:val="nil"/>
            </w:tcBorders>
            <w:shd w:val="clear" w:color="auto" w:fill="auto"/>
            <w:noWrap/>
            <w:vAlign w:val="bottom"/>
            <w:hideMark/>
          </w:tcPr>
          <w:p w14:paraId="7F1E2B67" w14:textId="77777777" w:rsidR="00A77CB9" w:rsidRPr="00F2052E" w:rsidRDefault="00A77CB9" w:rsidP="00A77CB9">
            <w:pPr>
              <w:spacing w:after="0" w:line="240" w:lineRule="auto"/>
              <w:rPr>
                <w:rFonts w:ascii="Arial" w:hAnsi="Arial" w:cs="Arial"/>
                <w:b/>
                <w:bCs/>
                <w:sz w:val="16"/>
                <w:szCs w:val="16"/>
              </w:rPr>
            </w:pPr>
            <w:r w:rsidRPr="00F2052E">
              <w:rPr>
                <w:rFonts w:ascii="Arial" w:hAnsi="Arial" w:cs="Arial"/>
                <w:b/>
                <w:bCs/>
                <w:sz w:val="16"/>
                <w:szCs w:val="16"/>
              </w:rPr>
              <w:t xml:space="preserve">Total </w:t>
            </w:r>
          </w:p>
        </w:tc>
        <w:tc>
          <w:tcPr>
            <w:tcW w:w="538" w:type="pct"/>
            <w:tcBorders>
              <w:top w:val="nil"/>
              <w:left w:val="nil"/>
              <w:bottom w:val="nil"/>
              <w:right w:val="nil"/>
            </w:tcBorders>
            <w:shd w:val="clear" w:color="auto" w:fill="auto"/>
            <w:noWrap/>
            <w:vAlign w:val="bottom"/>
            <w:hideMark/>
          </w:tcPr>
          <w:p w14:paraId="4373FD03" w14:textId="77777777" w:rsidR="00A77CB9" w:rsidRPr="00F2052E" w:rsidRDefault="00A77CB9" w:rsidP="00A77CB9">
            <w:pPr>
              <w:spacing w:after="0" w:line="240" w:lineRule="auto"/>
              <w:jc w:val="center"/>
              <w:rPr>
                <w:rFonts w:ascii="Arial" w:hAnsi="Arial" w:cs="Arial"/>
                <w:b/>
                <w:bCs/>
                <w:sz w:val="16"/>
                <w:szCs w:val="16"/>
              </w:rPr>
            </w:pPr>
          </w:p>
        </w:tc>
        <w:tc>
          <w:tcPr>
            <w:tcW w:w="577" w:type="pct"/>
            <w:tcBorders>
              <w:top w:val="nil"/>
              <w:left w:val="nil"/>
              <w:bottom w:val="nil"/>
              <w:right w:val="nil"/>
            </w:tcBorders>
            <w:shd w:val="clear" w:color="000000" w:fill="E6E6E6"/>
            <w:noWrap/>
            <w:vAlign w:val="bottom"/>
            <w:hideMark/>
          </w:tcPr>
          <w:p w14:paraId="53BE39D3" w14:textId="3AF38F77" w:rsidR="00A77CB9" w:rsidRPr="00F2052E" w:rsidRDefault="00A77CB9" w:rsidP="00A77CB9">
            <w:pPr>
              <w:spacing w:after="0" w:line="240" w:lineRule="auto"/>
              <w:jc w:val="right"/>
              <w:rPr>
                <w:rFonts w:ascii="Arial" w:hAnsi="Arial" w:cs="Arial"/>
                <w:b/>
                <w:bCs/>
                <w:sz w:val="16"/>
                <w:szCs w:val="16"/>
              </w:rPr>
            </w:pPr>
            <w:r w:rsidRPr="00F2052E">
              <w:rPr>
                <w:rFonts w:ascii="Arial" w:hAnsi="Arial" w:cs="Arial"/>
                <w:b/>
                <w:bCs/>
                <w:sz w:val="16"/>
                <w:szCs w:val="16"/>
              </w:rPr>
              <w:t>-</w:t>
            </w:r>
          </w:p>
        </w:tc>
        <w:tc>
          <w:tcPr>
            <w:tcW w:w="573" w:type="pct"/>
            <w:tcBorders>
              <w:top w:val="nil"/>
              <w:left w:val="nil"/>
              <w:bottom w:val="nil"/>
              <w:right w:val="nil"/>
            </w:tcBorders>
            <w:shd w:val="clear" w:color="000000" w:fill="FFFFFF"/>
            <w:noWrap/>
            <w:vAlign w:val="bottom"/>
            <w:hideMark/>
          </w:tcPr>
          <w:p w14:paraId="43BD3668" w14:textId="5182483E" w:rsidR="00A77CB9" w:rsidRPr="00F2052E" w:rsidRDefault="00A77CB9" w:rsidP="00A77CB9">
            <w:pPr>
              <w:spacing w:after="0" w:line="240" w:lineRule="auto"/>
              <w:jc w:val="right"/>
              <w:rPr>
                <w:rFonts w:ascii="Arial" w:hAnsi="Arial" w:cs="Arial"/>
                <w:b/>
                <w:bCs/>
                <w:sz w:val="16"/>
                <w:szCs w:val="16"/>
              </w:rPr>
            </w:pPr>
            <w:r w:rsidRPr="00F2052E">
              <w:rPr>
                <w:rFonts w:ascii="Arial" w:hAnsi="Arial" w:cs="Arial"/>
                <w:b/>
                <w:bCs/>
                <w:sz w:val="16"/>
                <w:szCs w:val="16"/>
              </w:rPr>
              <w:t>-</w:t>
            </w:r>
          </w:p>
        </w:tc>
        <w:tc>
          <w:tcPr>
            <w:tcW w:w="573" w:type="pct"/>
            <w:tcBorders>
              <w:top w:val="nil"/>
              <w:left w:val="nil"/>
              <w:bottom w:val="nil"/>
              <w:right w:val="nil"/>
            </w:tcBorders>
            <w:shd w:val="clear" w:color="000000" w:fill="E6E6E6"/>
            <w:noWrap/>
            <w:vAlign w:val="bottom"/>
            <w:hideMark/>
          </w:tcPr>
          <w:p w14:paraId="4CDD1D0E" w14:textId="4B46ABAA" w:rsidR="00A77CB9" w:rsidRPr="00F2052E" w:rsidRDefault="00A77CB9" w:rsidP="00A77CB9">
            <w:pPr>
              <w:spacing w:after="0" w:line="240" w:lineRule="auto"/>
              <w:jc w:val="right"/>
              <w:rPr>
                <w:rFonts w:ascii="Arial" w:hAnsi="Arial" w:cs="Arial"/>
                <w:b/>
                <w:bCs/>
                <w:sz w:val="16"/>
                <w:szCs w:val="16"/>
              </w:rPr>
            </w:pPr>
            <w:r w:rsidRPr="00F2052E">
              <w:rPr>
                <w:rFonts w:ascii="Arial" w:hAnsi="Arial" w:cs="Arial"/>
                <w:b/>
                <w:bCs/>
                <w:sz w:val="16"/>
                <w:szCs w:val="16"/>
              </w:rPr>
              <w:t>-</w:t>
            </w:r>
          </w:p>
        </w:tc>
        <w:tc>
          <w:tcPr>
            <w:tcW w:w="573" w:type="pct"/>
            <w:tcBorders>
              <w:top w:val="nil"/>
              <w:left w:val="nil"/>
              <w:bottom w:val="nil"/>
              <w:right w:val="nil"/>
            </w:tcBorders>
            <w:shd w:val="clear" w:color="000000" w:fill="FFFFFF"/>
            <w:noWrap/>
            <w:vAlign w:val="bottom"/>
            <w:hideMark/>
          </w:tcPr>
          <w:p w14:paraId="59B083CB" w14:textId="03CD06A6" w:rsidR="00A77CB9" w:rsidRPr="00F2052E" w:rsidRDefault="00A77CB9" w:rsidP="00A77CB9">
            <w:pPr>
              <w:spacing w:after="0" w:line="240" w:lineRule="auto"/>
              <w:jc w:val="right"/>
              <w:rPr>
                <w:rFonts w:ascii="Arial" w:hAnsi="Arial" w:cs="Arial"/>
                <w:b/>
                <w:bCs/>
                <w:sz w:val="16"/>
                <w:szCs w:val="16"/>
              </w:rPr>
            </w:pPr>
            <w:r w:rsidRPr="00F2052E">
              <w:rPr>
                <w:rFonts w:ascii="Arial" w:hAnsi="Arial" w:cs="Arial"/>
                <w:b/>
                <w:bCs/>
                <w:sz w:val="16"/>
                <w:szCs w:val="16"/>
              </w:rPr>
              <w:t>-</w:t>
            </w:r>
          </w:p>
        </w:tc>
        <w:tc>
          <w:tcPr>
            <w:tcW w:w="573" w:type="pct"/>
            <w:tcBorders>
              <w:top w:val="nil"/>
              <w:left w:val="nil"/>
              <w:bottom w:val="nil"/>
              <w:right w:val="nil"/>
            </w:tcBorders>
            <w:shd w:val="clear" w:color="000000" w:fill="E6E6E6"/>
            <w:noWrap/>
            <w:vAlign w:val="bottom"/>
            <w:hideMark/>
          </w:tcPr>
          <w:p w14:paraId="63BCD730" w14:textId="23B3E00A" w:rsidR="00A77CB9" w:rsidRPr="00F2052E" w:rsidRDefault="00A77CB9" w:rsidP="00A77CB9">
            <w:pPr>
              <w:spacing w:after="0" w:line="240" w:lineRule="auto"/>
              <w:jc w:val="right"/>
              <w:rPr>
                <w:rFonts w:ascii="Arial" w:hAnsi="Arial" w:cs="Arial"/>
                <w:b/>
                <w:bCs/>
                <w:sz w:val="16"/>
                <w:szCs w:val="16"/>
              </w:rPr>
            </w:pPr>
            <w:r w:rsidRPr="00F2052E">
              <w:rPr>
                <w:rFonts w:ascii="Arial" w:hAnsi="Arial" w:cs="Arial"/>
                <w:b/>
                <w:bCs/>
                <w:sz w:val="16"/>
                <w:szCs w:val="16"/>
              </w:rPr>
              <w:t>-</w:t>
            </w:r>
          </w:p>
        </w:tc>
      </w:tr>
      <w:tr w:rsidR="00A77CB9" w:rsidRPr="00F2052E" w14:paraId="3F6F97B0" w14:textId="77777777" w:rsidTr="00B90578">
        <w:trPr>
          <w:trHeight w:val="204"/>
        </w:trPr>
        <w:tc>
          <w:tcPr>
            <w:tcW w:w="1591" w:type="pct"/>
            <w:tcBorders>
              <w:top w:val="nil"/>
              <w:left w:val="nil"/>
              <w:bottom w:val="nil"/>
              <w:right w:val="nil"/>
            </w:tcBorders>
            <w:shd w:val="clear" w:color="auto" w:fill="auto"/>
            <w:vAlign w:val="bottom"/>
            <w:hideMark/>
          </w:tcPr>
          <w:p w14:paraId="1214B486" w14:textId="615922B1" w:rsidR="00A77CB9" w:rsidRPr="00F2052E" w:rsidRDefault="00A77CB9" w:rsidP="00A77CB9">
            <w:pPr>
              <w:spacing w:after="0" w:line="240" w:lineRule="auto"/>
              <w:rPr>
                <w:rFonts w:ascii="Arial" w:hAnsi="Arial" w:cs="Arial"/>
                <w:sz w:val="16"/>
                <w:szCs w:val="16"/>
              </w:rPr>
            </w:pPr>
            <w:r w:rsidRPr="00F2052E">
              <w:rPr>
                <w:rFonts w:ascii="Arial" w:hAnsi="Arial" w:cs="Arial"/>
                <w:sz w:val="16"/>
                <w:szCs w:val="16"/>
              </w:rPr>
              <w:t>Building a Better Future Through Considered Infrastructure Investment</w:t>
            </w:r>
            <w:r w:rsidRPr="00F2052E">
              <w:rPr>
                <w:rFonts w:ascii="Arial" w:hAnsi="Arial" w:cs="Arial"/>
                <w:sz w:val="16"/>
                <w:szCs w:val="16"/>
                <w:vertAlign w:val="superscript"/>
              </w:rPr>
              <w:t>(</w:t>
            </w:r>
            <w:r w:rsidR="002C6E3B">
              <w:rPr>
                <w:rFonts w:ascii="Arial" w:hAnsi="Arial" w:cs="Arial"/>
                <w:sz w:val="16"/>
                <w:szCs w:val="16"/>
                <w:vertAlign w:val="superscript"/>
              </w:rPr>
              <w:t>a</w:t>
            </w:r>
            <w:r w:rsidRPr="00F2052E">
              <w:rPr>
                <w:rFonts w:ascii="Arial" w:hAnsi="Arial" w:cs="Arial"/>
                <w:sz w:val="16"/>
                <w:szCs w:val="16"/>
                <w:vertAlign w:val="superscript"/>
              </w:rPr>
              <w:t>)</w:t>
            </w:r>
          </w:p>
        </w:tc>
        <w:tc>
          <w:tcPr>
            <w:tcW w:w="538" w:type="pct"/>
            <w:tcBorders>
              <w:top w:val="nil"/>
              <w:left w:val="nil"/>
              <w:bottom w:val="nil"/>
              <w:right w:val="nil"/>
            </w:tcBorders>
            <w:shd w:val="clear" w:color="auto" w:fill="auto"/>
            <w:vAlign w:val="bottom"/>
            <w:hideMark/>
          </w:tcPr>
          <w:p w14:paraId="3F5E2BEE" w14:textId="6C815900" w:rsidR="00A77CB9" w:rsidRPr="00F2052E" w:rsidRDefault="00A77CB9" w:rsidP="00A77CB9">
            <w:pPr>
              <w:spacing w:after="0" w:line="240" w:lineRule="auto"/>
              <w:jc w:val="center"/>
              <w:rPr>
                <w:rFonts w:ascii="Arial" w:hAnsi="Arial" w:cs="Arial"/>
                <w:sz w:val="16"/>
                <w:szCs w:val="16"/>
              </w:rPr>
            </w:pPr>
            <w:r w:rsidRPr="00F2052E">
              <w:rPr>
                <w:rFonts w:ascii="Arial" w:hAnsi="Arial" w:cs="Arial"/>
                <w:sz w:val="16"/>
                <w:szCs w:val="16"/>
              </w:rPr>
              <w:t>1.1,</w:t>
            </w:r>
            <w:r>
              <w:rPr>
                <w:rFonts w:ascii="Arial" w:hAnsi="Arial" w:cs="Arial"/>
                <w:sz w:val="16"/>
                <w:szCs w:val="16"/>
              </w:rPr>
              <w:t xml:space="preserve"> </w:t>
            </w:r>
            <w:r w:rsidRPr="00F2052E">
              <w:rPr>
                <w:rFonts w:ascii="Arial" w:hAnsi="Arial" w:cs="Arial"/>
                <w:sz w:val="16"/>
                <w:szCs w:val="16"/>
              </w:rPr>
              <w:t>2.1,</w:t>
            </w:r>
            <w:r>
              <w:rPr>
                <w:rFonts w:ascii="Arial" w:hAnsi="Arial" w:cs="Arial"/>
                <w:sz w:val="16"/>
                <w:szCs w:val="16"/>
              </w:rPr>
              <w:t xml:space="preserve"> </w:t>
            </w:r>
            <w:r w:rsidRPr="00F2052E">
              <w:rPr>
                <w:rFonts w:ascii="Arial" w:hAnsi="Arial" w:cs="Arial"/>
                <w:sz w:val="16"/>
                <w:szCs w:val="16"/>
              </w:rPr>
              <w:t>2.2,</w:t>
            </w:r>
            <w:r>
              <w:rPr>
                <w:rFonts w:ascii="Arial" w:hAnsi="Arial" w:cs="Arial"/>
                <w:sz w:val="16"/>
                <w:szCs w:val="16"/>
              </w:rPr>
              <w:t xml:space="preserve"> </w:t>
            </w:r>
            <w:r w:rsidRPr="00F2052E">
              <w:rPr>
                <w:rFonts w:ascii="Arial" w:hAnsi="Arial" w:cs="Arial"/>
                <w:sz w:val="16"/>
                <w:szCs w:val="16"/>
              </w:rPr>
              <w:t>3.2</w:t>
            </w:r>
          </w:p>
        </w:tc>
        <w:tc>
          <w:tcPr>
            <w:tcW w:w="577" w:type="pct"/>
            <w:tcBorders>
              <w:top w:val="nil"/>
              <w:left w:val="nil"/>
              <w:bottom w:val="nil"/>
              <w:right w:val="nil"/>
            </w:tcBorders>
            <w:shd w:val="clear" w:color="000000" w:fill="E6E6E6"/>
            <w:noWrap/>
            <w:vAlign w:val="bottom"/>
            <w:hideMark/>
          </w:tcPr>
          <w:p w14:paraId="1AC82C98" w14:textId="6E0611EE" w:rsidR="00A77CB9" w:rsidRPr="00F2052E" w:rsidRDefault="00A77CB9" w:rsidP="00A77CB9">
            <w:pPr>
              <w:spacing w:after="0" w:line="240" w:lineRule="auto"/>
              <w:jc w:val="right"/>
              <w:rPr>
                <w:rFonts w:ascii="Arial" w:hAnsi="Arial" w:cs="Arial"/>
                <w:sz w:val="16"/>
                <w:szCs w:val="16"/>
              </w:rPr>
            </w:pPr>
          </w:p>
        </w:tc>
        <w:tc>
          <w:tcPr>
            <w:tcW w:w="573" w:type="pct"/>
            <w:tcBorders>
              <w:top w:val="nil"/>
              <w:left w:val="nil"/>
              <w:bottom w:val="nil"/>
              <w:right w:val="nil"/>
            </w:tcBorders>
            <w:shd w:val="clear" w:color="000000" w:fill="FFFFFF"/>
            <w:noWrap/>
            <w:vAlign w:val="bottom"/>
            <w:hideMark/>
          </w:tcPr>
          <w:p w14:paraId="0C63829D" w14:textId="79EABE7C" w:rsidR="00A77CB9" w:rsidRPr="00F2052E" w:rsidRDefault="00A77CB9" w:rsidP="00A77CB9">
            <w:pPr>
              <w:spacing w:after="0" w:line="240" w:lineRule="auto"/>
              <w:jc w:val="right"/>
              <w:rPr>
                <w:rFonts w:ascii="Arial" w:hAnsi="Arial" w:cs="Arial"/>
                <w:sz w:val="16"/>
                <w:szCs w:val="16"/>
              </w:rPr>
            </w:pPr>
          </w:p>
        </w:tc>
        <w:tc>
          <w:tcPr>
            <w:tcW w:w="573" w:type="pct"/>
            <w:tcBorders>
              <w:top w:val="nil"/>
              <w:left w:val="nil"/>
              <w:bottom w:val="nil"/>
              <w:right w:val="nil"/>
            </w:tcBorders>
            <w:shd w:val="clear" w:color="000000" w:fill="E6E6E6"/>
            <w:noWrap/>
            <w:vAlign w:val="bottom"/>
            <w:hideMark/>
          </w:tcPr>
          <w:p w14:paraId="609667C5" w14:textId="3D9A91F5" w:rsidR="00A77CB9" w:rsidRPr="00F2052E" w:rsidRDefault="00A77CB9" w:rsidP="00A77CB9">
            <w:pPr>
              <w:spacing w:after="0" w:line="240" w:lineRule="auto"/>
              <w:jc w:val="right"/>
              <w:rPr>
                <w:rFonts w:ascii="Arial" w:hAnsi="Arial" w:cs="Arial"/>
                <w:sz w:val="16"/>
                <w:szCs w:val="16"/>
              </w:rPr>
            </w:pPr>
          </w:p>
        </w:tc>
        <w:tc>
          <w:tcPr>
            <w:tcW w:w="573" w:type="pct"/>
            <w:tcBorders>
              <w:top w:val="nil"/>
              <w:left w:val="nil"/>
              <w:bottom w:val="nil"/>
              <w:right w:val="nil"/>
            </w:tcBorders>
            <w:shd w:val="clear" w:color="000000" w:fill="FFFFFF"/>
            <w:noWrap/>
            <w:vAlign w:val="bottom"/>
            <w:hideMark/>
          </w:tcPr>
          <w:p w14:paraId="0517ED40" w14:textId="6DDE4808" w:rsidR="00A77CB9" w:rsidRPr="00F2052E" w:rsidRDefault="00A77CB9" w:rsidP="00A77CB9">
            <w:pPr>
              <w:spacing w:after="0" w:line="240" w:lineRule="auto"/>
              <w:jc w:val="right"/>
              <w:rPr>
                <w:rFonts w:ascii="Arial" w:hAnsi="Arial" w:cs="Arial"/>
                <w:b/>
                <w:bCs/>
                <w:sz w:val="16"/>
                <w:szCs w:val="16"/>
              </w:rPr>
            </w:pPr>
          </w:p>
        </w:tc>
        <w:tc>
          <w:tcPr>
            <w:tcW w:w="573" w:type="pct"/>
            <w:tcBorders>
              <w:top w:val="nil"/>
              <w:left w:val="nil"/>
              <w:bottom w:val="nil"/>
              <w:right w:val="nil"/>
            </w:tcBorders>
            <w:shd w:val="clear" w:color="000000" w:fill="E6E6E6"/>
            <w:noWrap/>
            <w:vAlign w:val="bottom"/>
            <w:hideMark/>
          </w:tcPr>
          <w:p w14:paraId="01F56D52" w14:textId="037E478E" w:rsidR="00A77CB9" w:rsidRPr="00F2052E" w:rsidRDefault="00A77CB9" w:rsidP="00A77CB9">
            <w:pPr>
              <w:spacing w:after="0" w:line="240" w:lineRule="auto"/>
              <w:jc w:val="right"/>
              <w:rPr>
                <w:rFonts w:ascii="Arial" w:hAnsi="Arial" w:cs="Arial"/>
                <w:sz w:val="16"/>
                <w:szCs w:val="16"/>
              </w:rPr>
            </w:pPr>
          </w:p>
        </w:tc>
      </w:tr>
      <w:tr w:rsidR="00A77CB9" w:rsidRPr="00F2052E" w14:paraId="5C6D22C4" w14:textId="77777777" w:rsidTr="00B90578">
        <w:trPr>
          <w:trHeight w:val="204"/>
        </w:trPr>
        <w:tc>
          <w:tcPr>
            <w:tcW w:w="1591" w:type="pct"/>
            <w:tcBorders>
              <w:top w:val="nil"/>
              <w:left w:val="nil"/>
              <w:bottom w:val="nil"/>
              <w:right w:val="nil"/>
            </w:tcBorders>
            <w:shd w:val="clear" w:color="auto" w:fill="auto"/>
            <w:vAlign w:val="bottom"/>
            <w:hideMark/>
          </w:tcPr>
          <w:p w14:paraId="371B1DEC" w14:textId="77777777" w:rsidR="00A77CB9" w:rsidRPr="00F2052E" w:rsidRDefault="00A77CB9" w:rsidP="00A77CB9">
            <w:pPr>
              <w:spacing w:after="0" w:line="240" w:lineRule="auto"/>
              <w:ind w:left="113"/>
              <w:rPr>
                <w:rFonts w:ascii="Arial" w:hAnsi="Arial" w:cs="Arial"/>
                <w:sz w:val="16"/>
                <w:szCs w:val="16"/>
              </w:rPr>
            </w:pPr>
            <w:r w:rsidRPr="00F2052E">
              <w:rPr>
                <w:rFonts w:ascii="Arial" w:hAnsi="Arial" w:cs="Arial"/>
                <w:sz w:val="16"/>
                <w:szCs w:val="16"/>
              </w:rPr>
              <w:t>Administered payments</w:t>
            </w:r>
          </w:p>
        </w:tc>
        <w:tc>
          <w:tcPr>
            <w:tcW w:w="538" w:type="pct"/>
            <w:tcBorders>
              <w:top w:val="nil"/>
              <w:left w:val="nil"/>
              <w:bottom w:val="nil"/>
              <w:right w:val="nil"/>
            </w:tcBorders>
            <w:shd w:val="clear" w:color="auto" w:fill="auto"/>
            <w:noWrap/>
            <w:vAlign w:val="bottom"/>
            <w:hideMark/>
          </w:tcPr>
          <w:p w14:paraId="2657AF31" w14:textId="77777777" w:rsidR="00A77CB9" w:rsidRPr="00F2052E" w:rsidRDefault="00A77CB9" w:rsidP="00A77CB9">
            <w:pPr>
              <w:spacing w:after="0" w:line="240" w:lineRule="auto"/>
              <w:ind w:firstLineChars="100" w:firstLine="160"/>
              <w:jc w:val="center"/>
              <w:rPr>
                <w:rFonts w:ascii="Arial" w:hAnsi="Arial" w:cs="Arial"/>
                <w:sz w:val="16"/>
                <w:szCs w:val="16"/>
              </w:rPr>
            </w:pPr>
          </w:p>
        </w:tc>
        <w:tc>
          <w:tcPr>
            <w:tcW w:w="577" w:type="pct"/>
            <w:tcBorders>
              <w:top w:val="nil"/>
              <w:left w:val="nil"/>
              <w:bottom w:val="nil"/>
              <w:right w:val="nil"/>
            </w:tcBorders>
            <w:shd w:val="clear" w:color="000000" w:fill="E6E6E6"/>
            <w:noWrap/>
            <w:vAlign w:val="bottom"/>
            <w:hideMark/>
          </w:tcPr>
          <w:p w14:paraId="0CE8B715" w14:textId="69AC867D" w:rsidR="00A77CB9" w:rsidRPr="00F2052E" w:rsidRDefault="00A77CB9" w:rsidP="00A77CB9">
            <w:pPr>
              <w:spacing w:after="0" w:line="240" w:lineRule="auto"/>
              <w:jc w:val="right"/>
              <w:rPr>
                <w:rFonts w:ascii="Arial" w:hAnsi="Arial" w:cs="Arial"/>
                <w:sz w:val="16"/>
                <w:szCs w:val="16"/>
              </w:rPr>
            </w:pPr>
            <w:r w:rsidRPr="00F2052E">
              <w:rPr>
                <w:rFonts w:ascii="Arial" w:hAnsi="Arial" w:cs="Arial"/>
                <w:sz w:val="16"/>
                <w:szCs w:val="16"/>
              </w:rPr>
              <w:t>-</w:t>
            </w:r>
          </w:p>
        </w:tc>
        <w:tc>
          <w:tcPr>
            <w:tcW w:w="573" w:type="pct"/>
            <w:tcBorders>
              <w:top w:val="nil"/>
              <w:left w:val="nil"/>
              <w:bottom w:val="nil"/>
              <w:right w:val="nil"/>
            </w:tcBorders>
            <w:shd w:val="clear" w:color="000000" w:fill="FFFFFF"/>
            <w:noWrap/>
            <w:vAlign w:val="bottom"/>
            <w:hideMark/>
          </w:tcPr>
          <w:p w14:paraId="56C450A8" w14:textId="592CCDD7" w:rsidR="00A77CB9" w:rsidRPr="00F2052E" w:rsidRDefault="00A77CB9" w:rsidP="00A77CB9">
            <w:pPr>
              <w:spacing w:after="0" w:line="240" w:lineRule="auto"/>
              <w:jc w:val="right"/>
              <w:rPr>
                <w:rFonts w:ascii="Arial" w:hAnsi="Arial" w:cs="Arial"/>
                <w:sz w:val="16"/>
                <w:szCs w:val="16"/>
              </w:rPr>
            </w:pPr>
            <w:r w:rsidRPr="00F2052E">
              <w:rPr>
                <w:rFonts w:ascii="Arial" w:hAnsi="Arial" w:cs="Arial"/>
                <w:sz w:val="16"/>
                <w:szCs w:val="16"/>
              </w:rPr>
              <w:t>20,000</w:t>
            </w:r>
          </w:p>
        </w:tc>
        <w:tc>
          <w:tcPr>
            <w:tcW w:w="573" w:type="pct"/>
            <w:tcBorders>
              <w:top w:val="nil"/>
              <w:left w:val="nil"/>
              <w:bottom w:val="nil"/>
              <w:right w:val="nil"/>
            </w:tcBorders>
            <w:shd w:val="clear" w:color="000000" w:fill="E6E6E6"/>
            <w:noWrap/>
            <w:vAlign w:val="bottom"/>
            <w:hideMark/>
          </w:tcPr>
          <w:p w14:paraId="4457276E" w14:textId="4CD3F3E2" w:rsidR="00A77CB9" w:rsidRPr="00F2052E" w:rsidRDefault="00A77CB9" w:rsidP="00A77CB9">
            <w:pPr>
              <w:spacing w:after="0" w:line="240" w:lineRule="auto"/>
              <w:jc w:val="right"/>
              <w:rPr>
                <w:rFonts w:ascii="Arial" w:hAnsi="Arial" w:cs="Arial"/>
                <w:sz w:val="16"/>
                <w:szCs w:val="16"/>
              </w:rPr>
            </w:pPr>
            <w:r w:rsidRPr="00F2052E">
              <w:rPr>
                <w:rFonts w:ascii="Arial" w:hAnsi="Arial" w:cs="Arial"/>
                <w:sz w:val="16"/>
                <w:szCs w:val="16"/>
              </w:rPr>
              <w:t>20,000</w:t>
            </w:r>
          </w:p>
        </w:tc>
        <w:tc>
          <w:tcPr>
            <w:tcW w:w="573" w:type="pct"/>
            <w:tcBorders>
              <w:top w:val="nil"/>
              <w:left w:val="nil"/>
              <w:bottom w:val="nil"/>
              <w:right w:val="nil"/>
            </w:tcBorders>
            <w:shd w:val="clear" w:color="000000" w:fill="FFFFFF"/>
            <w:noWrap/>
            <w:vAlign w:val="bottom"/>
            <w:hideMark/>
          </w:tcPr>
          <w:p w14:paraId="5E907E1A" w14:textId="7EC5A66A" w:rsidR="00A77CB9" w:rsidRPr="00F2052E" w:rsidRDefault="00A77CB9" w:rsidP="00A77CB9">
            <w:pPr>
              <w:spacing w:after="0" w:line="240" w:lineRule="auto"/>
              <w:jc w:val="right"/>
              <w:rPr>
                <w:rFonts w:ascii="Arial" w:hAnsi="Arial" w:cs="Arial"/>
                <w:sz w:val="16"/>
                <w:szCs w:val="16"/>
              </w:rPr>
            </w:pPr>
            <w:r w:rsidRPr="00F2052E">
              <w:rPr>
                <w:rFonts w:ascii="Arial" w:hAnsi="Arial" w:cs="Arial"/>
                <w:sz w:val="16"/>
                <w:szCs w:val="16"/>
              </w:rPr>
              <w:t>20,000</w:t>
            </w:r>
          </w:p>
        </w:tc>
        <w:tc>
          <w:tcPr>
            <w:tcW w:w="573" w:type="pct"/>
            <w:tcBorders>
              <w:top w:val="nil"/>
              <w:left w:val="nil"/>
              <w:bottom w:val="nil"/>
              <w:right w:val="nil"/>
            </w:tcBorders>
            <w:shd w:val="clear" w:color="000000" w:fill="E6E6E6"/>
            <w:noWrap/>
            <w:vAlign w:val="bottom"/>
            <w:hideMark/>
          </w:tcPr>
          <w:p w14:paraId="68428ECC" w14:textId="4E4DA909" w:rsidR="00A77CB9" w:rsidRPr="00F2052E" w:rsidRDefault="00A77CB9" w:rsidP="00A77CB9">
            <w:pPr>
              <w:spacing w:after="0" w:line="240" w:lineRule="auto"/>
              <w:jc w:val="right"/>
              <w:rPr>
                <w:rFonts w:ascii="Arial" w:hAnsi="Arial" w:cs="Arial"/>
                <w:sz w:val="16"/>
                <w:szCs w:val="16"/>
              </w:rPr>
            </w:pPr>
            <w:r w:rsidRPr="00F2052E">
              <w:rPr>
                <w:rFonts w:ascii="Arial" w:hAnsi="Arial" w:cs="Arial"/>
                <w:sz w:val="16"/>
                <w:szCs w:val="16"/>
              </w:rPr>
              <w:t>-</w:t>
            </w:r>
          </w:p>
        </w:tc>
      </w:tr>
      <w:tr w:rsidR="00A77CB9" w:rsidRPr="00F2052E" w14:paraId="54F681E7" w14:textId="77777777" w:rsidTr="00B90578">
        <w:trPr>
          <w:trHeight w:val="204"/>
        </w:trPr>
        <w:tc>
          <w:tcPr>
            <w:tcW w:w="1591" w:type="pct"/>
            <w:tcBorders>
              <w:top w:val="nil"/>
              <w:left w:val="nil"/>
              <w:bottom w:val="nil"/>
              <w:right w:val="nil"/>
            </w:tcBorders>
            <w:shd w:val="clear" w:color="auto" w:fill="auto"/>
            <w:noWrap/>
            <w:vAlign w:val="bottom"/>
            <w:hideMark/>
          </w:tcPr>
          <w:p w14:paraId="61DBA04D" w14:textId="77777777" w:rsidR="00A77CB9" w:rsidRPr="00F2052E" w:rsidRDefault="00A77CB9" w:rsidP="00A77CB9">
            <w:pPr>
              <w:spacing w:after="0" w:line="240" w:lineRule="auto"/>
              <w:rPr>
                <w:rFonts w:ascii="Arial" w:hAnsi="Arial" w:cs="Arial"/>
                <w:b/>
                <w:bCs/>
                <w:sz w:val="16"/>
                <w:szCs w:val="16"/>
              </w:rPr>
            </w:pPr>
            <w:r w:rsidRPr="00F2052E">
              <w:rPr>
                <w:rFonts w:ascii="Arial" w:hAnsi="Arial" w:cs="Arial"/>
                <w:b/>
                <w:bCs/>
                <w:sz w:val="16"/>
                <w:szCs w:val="16"/>
              </w:rPr>
              <w:t xml:space="preserve">Total </w:t>
            </w:r>
          </w:p>
        </w:tc>
        <w:tc>
          <w:tcPr>
            <w:tcW w:w="538" w:type="pct"/>
            <w:tcBorders>
              <w:top w:val="nil"/>
              <w:left w:val="nil"/>
              <w:bottom w:val="nil"/>
              <w:right w:val="nil"/>
            </w:tcBorders>
            <w:shd w:val="clear" w:color="auto" w:fill="auto"/>
            <w:noWrap/>
            <w:vAlign w:val="bottom"/>
            <w:hideMark/>
          </w:tcPr>
          <w:p w14:paraId="41A1A7C7" w14:textId="77777777" w:rsidR="00A77CB9" w:rsidRPr="00F2052E" w:rsidRDefault="00A77CB9" w:rsidP="00A77CB9">
            <w:pPr>
              <w:spacing w:after="0" w:line="240" w:lineRule="auto"/>
              <w:jc w:val="center"/>
              <w:rPr>
                <w:rFonts w:ascii="Arial" w:hAnsi="Arial" w:cs="Arial"/>
                <w:b/>
                <w:bCs/>
                <w:sz w:val="16"/>
                <w:szCs w:val="16"/>
              </w:rPr>
            </w:pPr>
          </w:p>
        </w:tc>
        <w:tc>
          <w:tcPr>
            <w:tcW w:w="577" w:type="pct"/>
            <w:tcBorders>
              <w:top w:val="nil"/>
              <w:left w:val="nil"/>
              <w:bottom w:val="nil"/>
              <w:right w:val="nil"/>
            </w:tcBorders>
            <w:shd w:val="clear" w:color="000000" w:fill="E6E6E6"/>
            <w:noWrap/>
            <w:vAlign w:val="bottom"/>
            <w:hideMark/>
          </w:tcPr>
          <w:p w14:paraId="71AE5628" w14:textId="3C97EC97" w:rsidR="00A77CB9" w:rsidRPr="00F2052E" w:rsidRDefault="00A77CB9" w:rsidP="00A77CB9">
            <w:pPr>
              <w:spacing w:after="0" w:line="240" w:lineRule="auto"/>
              <w:jc w:val="right"/>
              <w:rPr>
                <w:rFonts w:ascii="Arial" w:hAnsi="Arial" w:cs="Arial"/>
                <w:b/>
                <w:bCs/>
                <w:sz w:val="16"/>
                <w:szCs w:val="16"/>
              </w:rPr>
            </w:pPr>
            <w:r w:rsidRPr="00F2052E">
              <w:rPr>
                <w:rFonts w:ascii="Arial" w:hAnsi="Arial" w:cs="Arial"/>
                <w:b/>
                <w:bCs/>
                <w:sz w:val="16"/>
                <w:szCs w:val="16"/>
              </w:rPr>
              <w:t>-</w:t>
            </w:r>
          </w:p>
        </w:tc>
        <w:tc>
          <w:tcPr>
            <w:tcW w:w="573" w:type="pct"/>
            <w:tcBorders>
              <w:top w:val="nil"/>
              <w:left w:val="nil"/>
              <w:bottom w:val="nil"/>
              <w:right w:val="nil"/>
            </w:tcBorders>
            <w:shd w:val="clear" w:color="000000" w:fill="FFFFFF"/>
            <w:noWrap/>
            <w:vAlign w:val="bottom"/>
            <w:hideMark/>
          </w:tcPr>
          <w:p w14:paraId="482C26B4" w14:textId="730DB0AE" w:rsidR="00A77CB9" w:rsidRPr="00F2052E" w:rsidRDefault="00A77CB9" w:rsidP="00A77CB9">
            <w:pPr>
              <w:spacing w:after="0" w:line="240" w:lineRule="auto"/>
              <w:jc w:val="right"/>
              <w:rPr>
                <w:rFonts w:ascii="Arial" w:hAnsi="Arial" w:cs="Arial"/>
                <w:b/>
                <w:bCs/>
                <w:sz w:val="16"/>
                <w:szCs w:val="16"/>
              </w:rPr>
            </w:pPr>
            <w:r w:rsidRPr="00F2052E">
              <w:rPr>
                <w:rFonts w:ascii="Arial" w:hAnsi="Arial" w:cs="Arial"/>
                <w:b/>
                <w:bCs/>
                <w:sz w:val="16"/>
                <w:szCs w:val="16"/>
              </w:rPr>
              <w:t>20,000</w:t>
            </w:r>
          </w:p>
        </w:tc>
        <w:tc>
          <w:tcPr>
            <w:tcW w:w="573" w:type="pct"/>
            <w:tcBorders>
              <w:top w:val="nil"/>
              <w:left w:val="nil"/>
              <w:bottom w:val="nil"/>
              <w:right w:val="nil"/>
            </w:tcBorders>
            <w:shd w:val="clear" w:color="000000" w:fill="E6E6E6"/>
            <w:noWrap/>
            <w:vAlign w:val="bottom"/>
            <w:hideMark/>
          </w:tcPr>
          <w:p w14:paraId="60D5B010" w14:textId="68B89583" w:rsidR="00A77CB9" w:rsidRPr="00F2052E" w:rsidRDefault="00A77CB9" w:rsidP="00A77CB9">
            <w:pPr>
              <w:spacing w:after="0" w:line="240" w:lineRule="auto"/>
              <w:jc w:val="right"/>
              <w:rPr>
                <w:rFonts w:ascii="Arial" w:hAnsi="Arial" w:cs="Arial"/>
                <w:b/>
                <w:bCs/>
                <w:sz w:val="16"/>
                <w:szCs w:val="16"/>
              </w:rPr>
            </w:pPr>
            <w:r w:rsidRPr="00F2052E">
              <w:rPr>
                <w:rFonts w:ascii="Arial" w:hAnsi="Arial" w:cs="Arial"/>
                <w:b/>
                <w:bCs/>
                <w:sz w:val="16"/>
                <w:szCs w:val="16"/>
              </w:rPr>
              <w:t>20,000</w:t>
            </w:r>
          </w:p>
        </w:tc>
        <w:tc>
          <w:tcPr>
            <w:tcW w:w="573" w:type="pct"/>
            <w:tcBorders>
              <w:top w:val="nil"/>
              <w:left w:val="nil"/>
              <w:bottom w:val="nil"/>
              <w:right w:val="nil"/>
            </w:tcBorders>
            <w:shd w:val="clear" w:color="000000" w:fill="FFFFFF"/>
            <w:noWrap/>
            <w:vAlign w:val="bottom"/>
            <w:hideMark/>
          </w:tcPr>
          <w:p w14:paraId="00D04C81" w14:textId="1BB4CD23" w:rsidR="00A77CB9" w:rsidRPr="00F2052E" w:rsidRDefault="00A77CB9" w:rsidP="00A77CB9">
            <w:pPr>
              <w:spacing w:after="0" w:line="240" w:lineRule="auto"/>
              <w:jc w:val="right"/>
              <w:rPr>
                <w:rFonts w:ascii="Arial" w:hAnsi="Arial" w:cs="Arial"/>
                <w:b/>
                <w:bCs/>
                <w:sz w:val="16"/>
                <w:szCs w:val="16"/>
              </w:rPr>
            </w:pPr>
            <w:r w:rsidRPr="00F2052E">
              <w:rPr>
                <w:rFonts w:ascii="Arial" w:hAnsi="Arial" w:cs="Arial"/>
                <w:b/>
                <w:bCs/>
                <w:sz w:val="16"/>
                <w:szCs w:val="16"/>
              </w:rPr>
              <w:t>20,000</w:t>
            </w:r>
          </w:p>
        </w:tc>
        <w:tc>
          <w:tcPr>
            <w:tcW w:w="573" w:type="pct"/>
            <w:tcBorders>
              <w:top w:val="nil"/>
              <w:left w:val="nil"/>
              <w:bottom w:val="nil"/>
              <w:right w:val="nil"/>
            </w:tcBorders>
            <w:shd w:val="clear" w:color="000000" w:fill="E6E6E6"/>
            <w:noWrap/>
            <w:vAlign w:val="bottom"/>
            <w:hideMark/>
          </w:tcPr>
          <w:p w14:paraId="5213998C" w14:textId="16416E63" w:rsidR="00A77CB9" w:rsidRPr="00F2052E" w:rsidRDefault="00A77CB9" w:rsidP="00A77CB9">
            <w:pPr>
              <w:spacing w:after="0" w:line="240" w:lineRule="auto"/>
              <w:jc w:val="right"/>
              <w:rPr>
                <w:rFonts w:ascii="Arial" w:hAnsi="Arial" w:cs="Arial"/>
                <w:b/>
                <w:bCs/>
                <w:sz w:val="16"/>
                <w:szCs w:val="16"/>
              </w:rPr>
            </w:pPr>
            <w:r w:rsidRPr="00F2052E">
              <w:rPr>
                <w:rFonts w:ascii="Arial" w:hAnsi="Arial" w:cs="Arial"/>
                <w:b/>
                <w:bCs/>
                <w:sz w:val="16"/>
                <w:szCs w:val="16"/>
              </w:rPr>
              <w:t>-</w:t>
            </w:r>
          </w:p>
        </w:tc>
      </w:tr>
      <w:tr w:rsidR="00A77CB9" w:rsidRPr="00F2052E" w14:paraId="132832A0" w14:textId="77777777" w:rsidTr="00B90578">
        <w:trPr>
          <w:trHeight w:val="204"/>
        </w:trPr>
        <w:tc>
          <w:tcPr>
            <w:tcW w:w="1591" w:type="pct"/>
            <w:tcBorders>
              <w:top w:val="nil"/>
              <w:left w:val="nil"/>
              <w:bottom w:val="nil"/>
              <w:right w:val="nil"/>
            </w:tcBorders>
            <w:shd w:val="clear" w:color="auto" w:fill="auto"/>
            <w:vAlign w:val="bottom"/>
            <w:hideMark/>
          </w:tcPr>
          <w:p w14:paraId="66A45424" w14:textId="73BF25AE" w:rsidR="00A77CB9" w:rsidRPr="00F2052E" w:rsidRDefault="00A77CB9" w:rsidP="00A77CB9">
            <w:pPr>
              <w:spacing w:after="0" w:line="240" w:lineRule="auto"/>
              <w:rPr>
                <w:rFonts w:ascii="Arial" w:hAnsi="Arial" w:cs="Arial"/>
                <w:sz w:val="16"/>
                <w:szCs w:val="16"/>
              </w:rPr>
            </w:pPr>
            <w:r w:rsidRPr="00F2052E">
              <w:rPr>
                <w:rFonts w:ascii="Arial" w:hAnsi="Arial" w:cs="Arial"/>
                <w:sz w:val="16"/>
                <w:szCs w:val="16"/>
              </w:rPr>
              <w:t>Disaster Support</w:t>
            </w:r>
            <w:r w:rsidRPr="00F2052E">
              <w:rPr>
                <w:rFonts w:ascii="Arial" w:hAnsi="Arial" w:cs="Arial"/>
                <w:sz w:val="16"/>
                <w:szCs w:val="16"/>
                <w:vertAlign w:val="superscript"/>
              </w:rPr>
              <w:t>(c)(d)</w:t>
            </w:r>
          </w:p>
        </w:tc>
        <w:tc>
          <w:tcPr>
            <w:tcW w:w="538" w:type="pct"/>
            <w:tcBorders>
              <w:top w:val="nil"/>
              <w:left w:val="nil"/>
              <w:bottom w:val="nil"/>
              <w:right w:val="nil"/>
            </w:tcBorders>
            <w:shd w:val="clear" w:color="auto" w:fill="auto"/>
            <w:noWrap/>
            <w:vAlign w:val="bottom"/>
            <w:hideMark/>
          </w:tcPr>
          <w:p w14:paraId="493CDAE5" w14:textId="20A86EF4" w:rsidR="00A77CB9" w:rsidRPr="00F2052E" w:rsidRDefault="00A77CB9" w:rsidP="00A77CB9">
            <w:pPr>
              <w:spacing w:after="0" w:line="240" w:lineRule="auto"/>
              <w:jc w:val="center"/>
              <w:rPr>
                <w:rFonts w:ascii="Arial" w:hAnsi="Arial" w:cs="Arial"/>
                <w:sz w:val="16"/>
                <w:szCs w:val="16"/>
              </w:rPr>
            </w:pPr>
            <w:r w:rsidRPr="00F2052E">
              <w:rPr>
                <w:rFonts w:ascii="Arial" w:hAnsi="Arial" w:cs="Arial"/>
                <w:sz w:val="16"/>
                <w:szCs w:val="16"/>
              </w:rPr>
              <w:t>5.1,</w:t>
            </w:r>
            <w:r>
              <w:rPr>
                <w:rFonts w:ascii="Arial" w:hAnsi="Arial" w:cs="Arial"/>
                <w:sz w:val="16"/>
                <w:szCs w:val="16"/>
              </w:rPr>
              <w:t xml:space="preserve"> </w:t>
            </w:r>
            <w:r w:rsidRPr="00F2052E">
              <w:rPr>
                <w:rFonts w:ascii="Arial" w:hAnsi="Arial" w:cs="Arial"/>
                <w:sz w:val="16"/>
                <w:szCs w:val="16"/>
              </w:rPr>
              <w:t>5.2</w:t>
            </w:r>
          </w:p>
        </w:tc>
        <w:tc>
          <w:tcPr>
            <w:tcW w:w="577" w:type="pct"/>
            <w:tcBorders>
              <w:top w:val="nil"/>
              <w:left w:val="nil"/>
              <w:bottom w:val="nil"/>
              <w:right w:val="nil"/>
            </w:tcBorders>
            <w:shd w:val="clear" w:color="000000" w:fill="E6E6E6"/>
            <w:noWrap/>
            <w:vAlign w:val="bottom"/>
            <w:hideMark/>
          </w:tcPr>
          <w:p w14:paraId="3EA659A9" w14:textId="309F060D" w:rsidR="00A77CB9" w:rsidRPr="00F2052E" w:rsidRDefault="00A77CB9" w:rsidP="00A77CB9">
            <w:pPr>
              <w:spacing w:after="0" w:line="240" w:lineRule="auto"/>
              <w:jc w:val="right"/>
              <w:rPr>
                <w:rFonts w:ascii="Arial" w:hAnsi="Arial" w:cs="Arial"/>
                <w:sz w:val="16"/>
                <w:szCs w:val="16"/>
              </w:rPr>
            </w:pPr>
          </w:p>
        </w:tc>
        <w:tc>
          <w:tcPr>
            <w:tcW w:w="573" w:type="pct"/>
            <w:tcBorders>
              <w:top w:val="nil"/>
              <w:left w:val="nil"/>
              <w:bottom w:val="nil"/>
              <w:right w:val="nil"/>
            </w:tcBorders>
            <w:shd w:val="clear" w:color="000000" w:fill="FFFFFF"/>
            <w:noWrap/>
            <w:vAlign w:val="bottom"/>
            <w:hideMark/>
          </w:tcPr>
          <w:p w14:paraId="0ECA7367" w14:textId="5FB7E282" w:rsidR="00A77CB9" w:rsidRPr="00F2052E" w:rsidRDefault="00A77CB9" w:rsidP="00A77CB9">
            <w:pPr>
              <w:spacing w:after="0" w:line="240" w:lineRule="auto"/>
              <w:jc w:val="right"/>
              <w:rPr>
                <w:rFonts w:ascii="Arial" w:hAnsi="Arial" w:cs="Arial"/>
                <w:b/>
                <w:bCs/>
                <w:sz w:val="16"/>
                <w:szCs w:val="16"/>
              </w:rPr>
            </w:pPr>
          </w:p>
        </w:tc>
        <w:tc>
          <w:tcPr>
            <w:tcW w:w="573" w:type="pct"/>
            <w:tcBorders>
              <w:top w:val="nil"/>
              <w:left w:val="nil"/>
              <w:bottom w:val="nil"/>
              <w:right w:val="nil"/>
            </w:tcBorders>
            <w:shd w:val="clear" w:color="000000" w:fill="E6E6E6"/>
            <w:noWrap/>
            <w:vAlign w:val="bottom"/>
            <w:hideMark/>
          </w:tcPr>
          <w:p w14:paraId="07B9E314" w14:textId="2C798180" w:rsidR="00A77CB9" w:rsidRPr="00F2052E" w:rsidRDefault="00A77CB9" w:rsidP="00A77CB9">
            <w:pPr>
              <w:spacing w:after="0" w:line="240" w:lineRule="auto"/>
              <w:jc w:val="right"/>
              <w:rPr>
                <w:rFonts w:ascii="Arial" w:hAnsi="Arial" w:cs="Arial"/>
                <w:sz w:val="16"/>
                <w:szCs w:val="16"/>
              </w:rPr>
            </w:pPr>
          </w:p>
        </w:tc>
        <w:tc>
          <w:tcPr>
            <w:tcW w:w="573" w:type="pct"/>
            <w:tcBorders>
              <w:top w:val="nil"/>
              <w:left w:val="nil"/>
              <w:bottom w:val="nil"/>
              <w:right w:val="nil"/>
            </w:tcBorders>
            <w:shd w:val="clear" w:color="000000" w:fill="FFFFFF"/>
            <w:noWrap/>
            <w:vAlign w:val="bottom"/>
            <w:hideMark/>
          </w:tcPr>
          <w:p w14:paraId="014933A3" w14:textId="4C69D108" w:rsidR="00A77CB9" w:rsidRPr="00F2052E" w:rsidRDefault="00A77CB9" w:rsidP="00A77CB9">
            <w:pPr>
              <w:spacing w:after="0" w:line="240" w:lineRule="auto"/>
              <w:jc w:val="right"/>
              <w:rPr>
                <w:rFonts w:ascii="Arial" w:hAnsi="Arial" w:cs="Arial"/>
                <w:b/>
                <w:bCs/>
                <w:sz w:val="16"/>
                <w:szCs w:val="16"/>
              </w:rPr>
            </w:pPr>
          </w:p>
        </w:tc>
        <w:tc>
          <w:tcPr>
            <w:tcW w:w="573" w:type="pct"/>
            <w:tcBorders>
              <w:top w:val="nil"/>
              <w:left w:val="nil"/>
              <w:bottom w:val="nil"/>
              <w:right w:val="nil"/>
            </w:tcBorders>
            <w:shd w:val="clear" w:color="000000" w:fill="E6E6E6"/>
            <w:noWrap/>
            <w:vAlign w:val="bottom"/>
            <w:hideMark/>
          </w:tcPr>
          <w:p w14:paraId="704E9E9F" w14:textId="12850F54" w:rsidR="00A77CB9" w:rsidRPr="00F2052E" w:rsidRDefault="00A77CB9" w:rsidP="00A77CB9">
            <w:pPr>
              <w:spacing w:after="0" w:line="240" w:lineRule="auto"/>
              <w:jc w:val="right"/>
              <w:rPr>
                <w:rFonts w:ascii="Arial" w:hAnsi="Arial" w:cs="Arial"/>
                <w:sz w:val="16"/>
                <w:szCs w:val="16"/>
              </w:rPr>
            </w:pPr>
          </w:p>
        </w:tc>
      </w:tr>
      <w:tr w:rsidR="00A77CB9" w:rsidRPr="00F2052E" w14:paraId="23F9833B" w14:textId="77777777" w:rsidTr="00B90578">
        <w:trPr>
          <w:trHeight w:val="204"/>
        </w:trPr>
        <w:tc>
          <w:tcPr>
            <w:tcW w:w="1591" w:type="pct"/>
            <w:tcBorders>
              <w:top w:val="nil"/>
              <w:left w:val="nil"/>
              <w:bottom w:val="nil"/>
              <w:right w:val="nil"/>
            </w:tcBorders>
            <w:shd w:val="clear" w:color="auto" w:fill="auto"/>
            <w:vAlign w:val="bottom"/>
            <w:hideMark/>
          </w:tcPr>
          <w:p w14:paraId="082AE2B2" w14:textId="47544DA0" w:rsidR="00A77CB9" w:rsidRPr="00F2052E" w:rsidRDefault="00A77CB9" w:rsidP="00A77CB9">
            <w:pPr>
              <w:spacing w:after="0" w:line="240" w:lineRule="auto"/>
              <w:ind w:left="113"/>
              <w:rPr>
                <w:rFonts w:ascii="Arial" w:hAnsi="Arial" w:cs="Arial"/>
                <w:sz w:val="16"/>
                <w:szCs w:val="16"/>
              </w:rPr>
            </w:pPr>
            <w:r w:rsidRPr="00F2052E">
              <w:rPr>
                <w:rFonts w:ascii="Arial" w:hAnsi="Arial" w:cs="Arial"/>
                <w:sz w:val="16"/>
                <w:szCs w:val="16"/>
              </w:rPr>
              <w:t>Administered payment</w:t>
            </w:r>
            <w:r>
              <w:rPr>
                <w:rFonts w:ascii="Arial" w:hAnsi="Arial" w:cs="Arial"/>
                <w:sz w:val="16"/>
                <w:szCs w:val="16"/>
              </w:rPr>
              <w:t>s</w:t>
            </w:r>
          </w:p>
        </w:tc>
        <w:tc>
          <w:tcPr>
            <w:tcW w:w="538" w:type="pct"/>
            <w:tcBorders>
              <w:top w:val="nil"/>
              <w:left w:val="nil"/>
              <w:bottom w:val="nil"/>
              <w:right w:val="nil"/>
            </w:tcBorders>
            <w:shd w:val="clear" w:color="auto" w:fill="auto"/>
            <w:noWrap/>
            <w:vAlign w:val="bottom"/>
            <w:hideMark/>
          </w:tcPr>
          <w:p w14:paraId="70476D79" w14:textId="77777777" w:rsidR="00A77CB9" w:rsidRPr="00F2052E" w:rsidRDefault="00A77CB9" w:rsidP="00A77CB9">
            <w:pPr>
              <w:spacing w:after="0" w:line="240" w:lineRule="auto"/>
              <w:ind w:firstLineChars="100" w:firstLine="160"/>
              <w:jc w:val="center"/>
              <w:rPr>
                <w:rFonts w:ascii="Arial" w:hAnsi="Arial" w:cs="Arial"/>
                <w:sz w:val="16"/>
                <w:szCs w:val="16"/>
              </w:rPr>
            </w:pPr>
          </w:p>
        </w:tc>
        <w:tc>
          <w:tcPr>
            <w:tcW w:w="577" w:type="pct"/>
            <w:tcBorders>
              <w:top w:val="nil"/>
              <w:left w:val="nil"/>
              <w:bottom w:val="nil"/>
              <w:right w:val="nil"/>
            </w:tcBorders>
            <w:shd w:val="clear" w:color="000000" w:fill="E6E6E6"/>
            <w:noWrap/>
            <w:vAlign w:val="bottom"/>
            <w:hideMark/>
          </w:tcPr>
          <w:p w14:paraId="7F3FBE9A" w14:textId="2C56C75A" w:rsidR="00A77CB9" w:rsidRPr="00F2052E" w:rsidRDefault="00A77CB9" w:rsidP="00A77CB9">
            <w:pPr>
              <w:spacing w:after="0" w:line="240" w:lineRule="auto"/>
              <w:jc w:val="right"/>
              <w:rPr>
                <w:rFonts w:ascii="Arial" w:hAnsi="Arial" w:cs="Arial"/>
                <w:sz w:val="16"/>
                <w:szCs w:val="16"/>
              </w:rPr>
            </w:pPr>
            <w:r w:rsidRPr="00F2052E">
              <w:rPr>
                <w:rFonts w:ascii="Arial" w:hAnsi="Arial" w:cs="Arial"/>
                <w:sz w:val="16"/>
                <w:szCs w:val="16"/>
              </w:rPr>
              <w:t>-</w:t>
            </w:r>
          </w:p>
        </w:tc>
        <w:tc>
          <w:tcPr>
            <w:tcW w:w="573" w:type="pct"/>
            <w:tcBorders>
              <w:top w:val="nil"/>
              <w:left w:val="nil"/>
              <w:bottom w:val="nil"/>
              <w:right w:val="nil"/>
            </w:tcBorders>
            <w:shd w:val="clear" w:color="000000" w:fill="FFFFFF"/>
            <w:noWrap/>
            <w:vAlign w:val="bottom"/>
            <w:hideMark/>
          </w:tcPr>
          <w:p w14:paraId="4B801FB1" w14:textId="33B256E7" w:rsidR="00A77CB9" w:rsidRPr="00F2052E" w:rsidRDefault="00A77CB9" w:rsidP="00A77CB9">
            <w:pPr>
              <w:spacing w:after="0" w:line="240" w:lineRule="auto"/>
              <w:jc w:val="right"/>
              <w:rPr>
                <w:rFonts w:ascii="Arial" w:hAnsi="Arial" w:cs="Arial"/>
                <w:sz w:val="16"/>
                <w:szCs w:val="16"/>
              </w:rPr>
            </w:pPr>
            <w:r w:rsidRPr="00F2052E">
              <w:rPr>
                <w:rFonts w:ascii="Arial" w:hAnsi="Arial" w:cs="Arial"/>
                <w:sz w:val="16"/>
                <w:szCs w:val="16"/>
              </w:rPr>
              <w:t>nfp</w:t>
            </w:r>
          </w:p>
        </w:tc>
        <w:tc>
          <w:tcPr>
            <w:tcW w:w="573" w:type="pct"/>
            <w:tcBorders>
              <w:top w:val="nil"/>
              <w:left w:val="nil"/>
              <w:bottom w:val="nil"/>
              <w:right w:val="nil"/>
            </w:tcBorders>
            <w:shd w:val="clear" w:color="000000" w:fill="E6E6E6"/>
            <w:noWrap/>
            <w:vAlign w:val="bottom"/>
            <w:hideMark/>
          </w:tcPr>
          <w:p w14:paraId="0D4CABFC" w14:textId="714DC861" w:rsidR="00A77CB9" w:rsidRPr="00F2052E" w:rsidRDefault="00A77CB9" w:rsidP="00A77CB9">
            <w:pPr>
              <w:spacing w:after="0" w:line="240" w:lineRule="auto"/>
              <w:jc w:val="right"/>
              <w:rPr>
                <w:rFonts w:ascii="Arial" w:hAnsi="Arial" w:cs="Arial"/>
                <w:sz w:val="16"/>
                <w:szCs w:val="16"/>
              </w:rPr>
            </w:pPr>
            <w:r w:rsidRPr="00F2052E">
              <w:rPr>
                <w:rFonts w:ascii="Arial" w:hAnsi="Arial" w:cs="Arial"/>
                <w:sz w:val="16"/>
                <w:szCs w:val="16"/>
              </w:rPr>
              <w:t>nfp</w:t>
            </w:r>
          </w:p>
        </w:tc>
        <w:tc>
          <w:tcPr>
            <w:tcW w:w="573" w:type="pct"/>
            <w:tcBorders>
              <w:top w:val="nil"/>
              <w:left w:val="nil"/>
              <w:bottom w:val="nil"/>
              <w:right w:val="nil"/>
            </w:tcBorders>
            <w:shd w:val="clear" w:color="000000" w:fill="FFFFFF"/>
            <w:noWrap/>
            <w:vAlign w:val="bottom"/>
            <w:hideMark/>
          </w:tcPr>
          <w:p w14:paraId="516E9E7D" w14:textId="19D9DDED" w:rsidR="00A77CB9" w:rsidRPr="00F2052E" w:rsidRDefault="00A77CB9" w:rsidP="00A77CB9">
            <w:pPr>
              <w:spacing w:after="0" w:line="240" w:lineRule="auto"/>
              <w:jc w:val="right"/>
              <w:rPr>
                <w:rFonts w:ascii="Arial" w:hAnsi="Arial" w:cs="Arial"/>
                <w:sz w:val="16"/>
                <w:szCs w:val="16"/>
              </w:rPr>
            </w:pPr>
            <w:r w:rsidRPr="00F2052E">
              <w:rPr>
                <w:rFonts w:ascii="Arial" w:hAnsi="Arial" w:cs="Arial"/>
                <w:sz w:val="16"/>
                <w:szCs w:val="16"/>
              </w:rPr>
              <w:t>nfp</w:t>
            </w:r>
          </w:p>
        </w:tc>
        <w:tc>
          <w:tcPr>
            <w:tcW w:w="573" w:type="pct"/>
            <w:tcBorders>
              <w:top w:val="nil"/>
              <w:left w:val="nil"/>
              <w:bottom w:val="nil"/>
              <w:right w:val="nil"/>
            </w:tcBorders>
            <w:shd w:val="clear" w:color="000000" w:fill="E6E6E6"/>
            <w:noWrap/>
            <w:vAlign w:val="bottom"/>
            <w:hideMark/>
          </w:tcPr>
          <w:p w14:paraId="1BC3073E" w14:textId="2C2D8BE2" w:rsidR="00A77CB9" w:rsidRPr="00F2052E" w:rsidRDefault="00A77CB9" w:rsidP="00A77CB9">
            <w:pPr>
              <w:spacing w:after="0" w:line="240" w:lineRule="auto"/>
              <w:jc w:val="right"/>
              <w:rPr>
                <w:rFonts w:ascii="Arial" w:hAnsi="Arial" w:cs="Arial"/>
                <w:sz w:val="16"/>
                <w:szCs w:val="16"/>
              </w:rPr>
            </w:pPr>
            <w:r w:rsidRPr="00F2052E">
              <w:rPr>
                <w:rFonts w:ascii="Arial" w:hAnsi="Arial" w:cs="Arial"/>
                <w:sz w:val="16"/>
                <w:szCs w:val="16"/>
              </w:rPr>
              <w:t>nfp</w:t>
            </w:r>
          </w:p>
        </w:tc>
      </w:tr>
      <w:tr w:rsidR="00A77CB9" w:rsidRPr="00F2052E" w14:paraId="66A0CEFD" w14:textId="77777777" w:rsidTr="00B90578">
        <w:trPr>
          <w:trHeight w:val="204"/>
        </w:trPr>
        <w:tc>
          <w:tcPr>
            <w:tcW w:w="1591" w:type="pct"/>
            <w:tcBorders>
              <w:top w:val="nil"/>
              <w:left w:val="nil"/>
              <w:bottom w:val="nil"/>
              <w:right w:val="nil"/>
            </w:tcBorders>
            <w:shd w:val="clear" w:color="auto" w:fill="auto"/>
            <w:vAlign w:val="bottom"/>
            <w:hideMark/>
          </w:tcPr>
          <w:p w14:paraId="362C40A1" w14:textId="224EA482" w:rsidR="00A77CB9" w:rsidRPr="00F2052E" w:rsidRDefault="00A77CB9" w:rsidP="00A77CB9">
            <w:pPr>
              <w:spacing w:after="0" w:line="240" w:lineRule="auto"/>
              <w:ind w:left="113"/>
              <w:rPr>
                <w:rFonts w:ascii="Arial" w:hAnsi="Arial" w:cs="Arial"/>
                <w:sz w:val="16"/>
                <w:szCs w:val="16"/>
              </w:rPr>
            </w:pPr>
            <w:r w:rsidRPr="00F2052E">
              <w:rPr>
                <w:rFonts w:ascii="Arial" w:hAnsi="Arial" w:cs="Arial"/>
                <w:sz w:val="16"/>
                <w:szCs w:val="16"/>
              </w:rPr>
              <w:t>Departmental payment</w:t>
            </w:r>
            <w:r>
              <w:rPr>
                <w:rFonts w:ascii="Arial" w:hAnsi="Arial" w:cs="Arial"/>
                <w:sz w:val="16"/>
                <w:szCs w:val="16"/>
              </w:rPr>
              <w:t>s</w:t>
            </w:r>
          </w:p>
        </w:tc>
        <w:tc>
          <w:tcPr>
            <w:tcW w:w="538" w:type="pct"/>
            <w:tcBorders>
              <w:top w:val="nil"/>
              <w:left w:val="nil"/>
              <w:bottom w:val="nil"/>
              <w:right w:val="nil"/>
            </w:tcBorders>
            <w:shd w:val="clear" w:color="auto" w:fill="auto"/>
            <w:noWrap/>
            <w:vAlign w:val="bottom"/>
            <w:hideMark/>
          </w:tcPr>
          <w:p w14:paraId="5AB8444B" w14:textId="77777777" w:rsidR="00A77CB9" w:rsidRPr="00F2052E" w:rsidRDefault="00A77CB9" w:rsidP="00A77CB9">
            <w:pPr>
              <w:spacing w:after="0" w:line="240" w:lineRule="auto"/>
              <w:ind w:firstLineChars="100" w:firstLine="160"/>
              <w:jc w:val="center"/>
              <w:rPr>
                <w:rFonts w:ascii="Arial" w:hAnsi="Arial" w:cs="Arial"/>
                <w:sz w:val="16"/>
                <w:szCs w:val="16"/>
              </w:rPr>
            </w:pPr>
          </w:p>
        </w:tc>
        <w:tc>
          <w:tcPr>
            <w:tcW w:w="577" w:type="pct"/>
            <w:tcBorders>
              <w:top w:val="nil"/>
              <w:left w:val="nil"/>
              <w:bottom w:val="nil"/>
              <w:right w:val="nil"/>
            </w:tcBorders>
            <w:shd w:val="clear" w:color="000000" w:fill="E6E6E6"/>
            <w:noWrap/>
            <w:vAlign w:val="bottom"/>
            <w:hideMark/>
          </w:tcPr>
          <w:p w14:paraId="6A20C8FC" w14:textId="3AFA113E" w:rsidR="00A77CB9" w:rsidRPr="00F2052E" w:rsidRDefault="00A77CB9" w:rsidP="00A77CB9">
            <w:pPr>
              <w:spacing w:after="0" w:line="240" w:lineRule="auto"/>
              <w:jc w:val="right"/>
              <w:rPr>
                <w:rFonts w:ascii="Arial" w:hAnsi="Arial" w:cs="Arial"/>
                <w:sz w:val="16"/>
                <w:szCs w:val="16"/>
              </w:rPr>
            </w:pPr>
            <w:r w:rsidRPr="00F2052E">
              <w:rPr>
                <w:rFonts w:ascii="Arial" w:hAnsi="Arial" w:cs="Arial"/>
                <w:sz w:val="16"/>
                <w:szCs w:val="16"/>
              </w:rPr>
              <w:t>-</w:t>
            </w:r>
          </w:p>
        </w:tc>
        <w:tc>
          <w:tcPr>
            <w:tcW w:w="573" w:type="pct"/>
            <w:tcBorders>
              <w:top w:val="nil"/>
              <w:left w:val="nil"/>
              <w:bottom w:val="nil"/>
              <w:right w:val="nil"/>
            </w:tcBorders>
            <w:shd w:val="clear" w:color="000000" w:fill="FFFFFF"/>
            <w:noWrap/>
            <w:vAlign w:val="bottom"/>
            <w:hideMark/>
          </w:tcPr>
          <w:p w14:paraId="06CB604A" w14:textId="57902C63" w:rsidR="00A77CB9" w:rsidRPr="00F2052E" w:rsidRDefault="00A77CB9" w:rsidP="00A77CB9">
            <w:pPr>
              <w:spacing w:after="0" w:line="240" w:lineRule="auto"/>
              <w:jc w:val="right"/>
              <w:rPr>
                <w:rFonts w:ascii="Arial" w:hAnsi="Arial" w:cs="Arial"/>
                <w:sz w:val="16"/>
                <w:szCs w:val="16"/>
              </w:rPr>
            </w:pPr>
            <w:r w:rsidRPr="00F2052E">
              <w:rPr>
                <w:rFonts w:ascii="Arial" w:hAnsi="Arial" w:cs="Arial"/>
                <w:sz w:val="16"/>
                <w:szCs w:val="16"/>
              </w:rPr>
              <w:t>nfp</w:t>
            </w:r>
          </w:p>
        </w:tc>
        <w:tc>
          <w:tcPr>
            <w:tcW w:w="573" w:type="pct"/>
            <w:tcBorders>
              <w:top w:val="nil"/>
              <w:left w:val="nil"/>
              <w:bottom w:val="nil"/>
              <w:right w:val="nil"/>
            </w:tcBorders>
            <w:shd w:val="clear" w:color="000000" w:fill="E6E6E6"/>
            <w:noWrap/>
            <w:vAlign w:val="bottom"/>
            <w:hideMark/>
          </w:tcPr>
          <w:p w14:paraId="4339AA35" w14:textId="166F7DAA" w:rsidR="00A77CB9" w:rsidRPr="00F2052E" w:rsidRDefault="00A77CB9" w:rsidP="00A77CB9">
            <w:pPr>
              <w:spacing w:after="0" w:line="240" w:lineRule="auto"/>
              <w:jc w:val="right"/>
              <w:rPr>
                <w:rFonts w:ascii="Arial" w:hAnsi="Arial" w:cs="Arial"/>
                <w:sz w:val="16"/>
                <w:szCs w:val="16"/>
              </w:rPr>
            </w:pPr>
            <w:r w:rsidRPr="00F2052E">
              <w:rPr>
                <w:rFonts w:ascii="Arial" w:hAnsi="Arial" w:cs="Arial"/>
                <w:sz w:val="16"/>
                <w:szCs w:val="16"/>
              </w:rPr>
              <w:t>nfp</w:t>
            </w:r>
          </w:p>
        </w:tc>
        <w:tc>
          <w:tcPr>
            <w:tcW w:w="573" w:type="pct"/>
            <w:tcBorders>
              <w:top w:val="nil"/>
              <w:left w:val="nil"/>
              <w:bottom w:val="nil"/>
              <w:right w:val="nil"/>
            </w:tcBorders>
            <w:shd w:val="clear" w:color="000000" w:fill="FFFFFF"/>
            <w:noWrap/>
            <w:vAlign w:val="bottom"/>
            <w:hideMark/>
          </w:tcPr>
          <w:p w14:paraId="16439D5B" w14:textId="6EE28B27" w:rsidR="00A77CB9" w:rsidRPr="00F2052E" w:rsidRDefault="00A77CB9" w:rsidP="00A77CB9">
            <w:pPr>
              <w:spacing w:after="0" w:line="240" w:lineRule="auto"/>
              <w:jc w:val="right"/>
              <w:rPr>
                <w:rFonts w:ascii="Arial" w:hAnsi="Arial" w:cs="Arial"/>
                <w:sz w:val="16"/>
                <w:szCs w:val="16"/>
              </w:rPr>
            </w:pPr>
            <w:r w:rsidRPr="00F2052E">
              <w:rPr>
                <w:rFonts w:ascii="Arial" w:hAnsi="Arial" w:cs="Arial"/>
                <w:sz w:val="16"/>
                <w:szCs w:val="16"/>
              </w:rPr>
              <w:t>nfp</w:t>
            </w:r>
          </w:p>
        </w:tc>
        <w:tc>
          <w:tcPr>
            <w:tcW w:w="573" w:type="pct"/>
            <w:tcBorders>
              <w:top w:val="nil"/>
              <w:left w:val="nil"/>
              <w:bottom w:val="nil"/>
              <w:right w:val="nil"/>
            </w:tcBorders>
            <w:shd w:val="clear" w:color="000000" w:fill="E6E6E6"/>
            <w:noWrap/>
            <w:vAlign w:val="bottom"/>
            <w:hideMark/>
          </w:tcPr>
          <w:p w14:paraId="3AF86754" w14:textId="3E4E99A0" w:rsidR="00A77CB9" w:rsidRPr="00F2052E" w:rsidRDefault="00A77CB9" w:rsidP="00A77CB9">
            <w:pPr>
              <w:spacing w:after="0" w:line="240" w:lineRule="auto"/>
              <w:jc w:val="right"/>
              <w:rPr>
                <w:rFonts w:ascii="Arial" w:hAnsi="Arial" w:cs="Arial"/>
                <w:sz w:val="16"/>
                <w:szCs w:val="16"/>
              </w:rPr>
            </w:pPr>
            <w:r w:rsidRPr="00F2052E">
              <w:rPr>
                <w:rFonts w:ascii="Arial" w:hAnsi="Arial" w:cs="Arial"/>
                <w:sz w:val="16"/>
                <w:szCs w:val="16"/>
              </w:rPr>
              <w:t>nfp</w:t>
            </w:r>
          </w:p>
        </w:tc>
      </w:tr>
      <w:tr w:rsidR="00A77CB9" w:rsidRPr="00F2052E" w14:paraId="3AEB6E4F" w14:textId="77777777" w:rsidTr="00B90578">
        <w:trPr>
          <w:trHeight w:val="204"/>
        </w:trPr>
        <w:tc>
          <w:tcPr>
            <w:tcW w:w="1591" w:type="pct"/>
            <w:tcBorders>
              <w:top w:val="nil"/>
              <w:left w:val="nil"/>
              <w:bottom w:val="nil"/>
              <w:right w:val="nil"/>
            </w:tcBorders>
            <w:shd w:val="clear" w:color="auto" w:fill="auto"/>
            <w:noWrap/>
            <w:vAlign w:val="bottom"/>
            <w:hideMark/>
          </w:tcPr>
          <w:p w14:paraId="4231B912" w14:textId="77777777" w:rsidR="00A77CB9" w:rsidRPr="00F2052E" w:rsidRDefault="00A77CB9" w:rsidP="00A77CB9">
            <w:pPr>
              <w:spacing w:after="0" w:line="240" w:lineRule="auto"/>
              <w:rPr>
                <w:rFonts w:ascii="Arial" w:hAnsi="Arial" w:cs="Arial"/>
                <w:b/>
                <w:bCs/>
                <w:sz w:val="16"/>
                <w:szCs w:val="16"/>
              </w:rPr>
            </w:pPr>
            <w:r w:rsidRPr="00F2052E">
              <w:rPr>
                <w:rFonts w:ascii="Arial" w:hAnsi="Arial" w:cs="Arial"/>
                <w:b/>
                <w:bCs/>
                <w:sz w:val="16"/>
                <w:szCs w:val="16"/>
              </w:rPr>
              <w:t xml:space="preserve">Total </w:t>
            </w:r>
          </w:p>
        </w:tc>
        <w:tc>
          <w:tcPr>
            <w:tcW w:w="538" w:type="pct"/>
            <w:tcBorders>
              <w:top w:val="nil"/>
              <w:left w:val="nil"/>
              <w:bottom w:val="nil"/>
              <w:right w:val="nil"/>
            </w:tcBorders>
            <w:shd w:val="clear" w:color="auto" w:fill="auto"/>
            <w:noWrap/>
            <w:vAlign w:val="bottom"/>
            <w:hideMark/>
          </w:tcPr>
          <w:p w14:paraId="0895B65E" w14:textId="77777777" w:rsidR="00A77CB9" w:rsidRPr="00F2052E" w:rsidRDefault="00A77CB9" w:rsidP="00A77CB9">
            <w:pPr>
              <w:spacing w:after="0" w:line="240" w:lineRule="auto"/>
              <w:jc w:val="center"/>
              <w:rPr>
                <w:rFonts w:ascii="Arial" w:hAnsi="Arial" w:cs="Arial"/>
                <w:b/>
                <w:bCs/>
                <w:sz w:val="16"/>
                <w:szCs w:val="16"/>
              </w:rPr>
            </w:pPr>
          </w:p>
        </w:tc>
        <w:tc>
          <w:tcPr>
            <w:tcW w:w="577" w:type="pct"/>
            <w:tcBorders>
              <w:top w:val="nil"/>
              <w:left w:val="nil"/>
              <w:bottom w:val="nil"/>
              <w:right w:val="nil"/>
            </w:tcBorders>
            <w:shd w:val="clear" w:color="000000" w:fill="E6E6E6"/>
            <w:noWrap/>
            <w:vAlign w:val="bottom"/>
            <w:hideMark/>
          </w:tcPr>
          <w:p w14:paraId="7281EAEB" w14:textId="1BE5EAE7" w:rsidR="00A77CB9" w:rsidRPr="00F2052E" w:rsidRDefault="00A77CB9" w:rsidP="00A77CB9">
            <w:pPr>
              <w:spacing w:after="0" w:line="240" w:lineRule="auto"/>
              <w:jc w:val="right"/>
              <w:rPr>
                <w:rFonts w:ascii="Arial" w:hAnsi="Arial" w:cs="Arial"/>
                <w:b/>
                <w:bCs/>
                <w:sz w:val="16"/>
                <w:szCs w:val="16"/>
              </w:rPr>
            </w:pPr>
            <w:r w:rsidRPr="00F2052E">
              <w:rPr>
                <w:rFonts w:ascii="Arial" w:hAnsi="Arial" w:cs="Arial"/>
                <w:b/>
                <w:bCs/>
                <w:sz w:val="16"/>
                <w:szCs w:val="16"/>
              </w:rPr>
              <w:t>-</w:t>
            </w:r>
          </w:p>
        </w:tc>
        <w:tc>
          <w:tcPr>
            <w:tcW w:w="573" w:type="pct"/>
            <w:tcBorders>
              <w:top w:val="nil"/>
              <w:left w:val="nil"/>
              <w:bottom w:val="nil"/>
              <w:right w:val="nil"/>
            </w:tcBorders>
            <w:shd w:val="clear" w:color="000000" w:fill="FFFFFF"/>
            <w:noWrap/>
            <w:vAlign w:val="bottom"/>
            <w:hideMark/>
          </w:tcPr>
          <w:p w14:paraId="7D1E311A" w14:textId="3D25F507" w:rsidR="00A77CB9" w:rsidRPr="00F2052E" w:rsidRDefault="00A77CB9" w:rsidP="00A77CB9">
            <w:pPr>
              <w:spacing w:after="0" w:line="240" w:lineRule="auto"/>
              <w:jc w:val="right"/>
              <w:rPr>
                <w:rFonts w:ascii="Arial" w:hAnsi="Arial" w:cs="Arial"/>
                <w:b/>
                <w:bCs/>
                <w:sz w:val="16"/>
                <w:szCs w:val="16"/>
              </w:rPr>
            </w:pPr>
            <w:r w:rsidRPr="00F2052E">
              <w:rPr>
                <w:rFonts w:ascii="Arial" w:hAnsi="Arial" w:cs="Arial"/>
                <w:b/>
                <w:bCs/>
                <w:sz w:val="16"/>
                <w:szCs w:val="16"/>
              </w:rPr>
              <w:t>nfp</w:t>
            </w:r>
          </w:p>
        </w:tc>
        <w:tc>
          <w:tcPr>
            <w:tcW w:w="573" w:type="pct"/>
            <w:tcBorders>
              <w:top w:val="nil"/>
              <w:left w:val="nil"/>
              <w:bottom w:val="nil"/>
              <w:right w:val="nil"/>
            </w:tcBorders>
            <w:shd w:val="clear" w:color="000000" w:fill="E6E6E6"/>
            <w:noWrap/>
            <w:vAlign w:val="bottom"/>
            <w:hideMark/>
          </w:tcPr>
          <w:p w14:paraId="0A4EBCD7" w14:textId="51651E82" w:rsidR="00A77CB9" w:rsidRPr="00F2052E" w:rsidRDefault="00A77CB9" w:rsidP="00A77CB9">
            <w:pPr>
              <w:spacing w:after="0" w:line="240" w:lineRule="auto"/>
              <w:jc w:val="right"/>
              <w:rPr>
                <w:rFonts w:ascii="Arial" w:hAnsi="Arial" w:cs="Arial"/>
                <w:b/>
                <w:bCs/>
                <w:sz w:val="16"/>
                <w:szCs w:val="16"/>
              </w:rPr>
            </w:pPr>
            <w:r w:rsidRPr="00F2052E">
              <w:rPr>
                <w:rFonts w:ascii="Arial" w:hAnsi="Arial" w:cs="Arial"/>
                <w:b/>
                <w:bCs/>
                <w:sz w:val="16"/>
                <w:szCs w:val="16"/>
              </w:rPr>
              <w:t>nfp</w:t>
            </w:r>
          </w:p>
        </w:tc>
        <w:tc>
          <w:tcPr>
            <w:tcW w:w="573" w:type="pct"/>
            <w:tcBorders>
              <w:top w:val="nil"/>
              <w:left w:val="nil"/>
              <w:bottom w:val="nil"/>
              <w:right w:val="nil"/>
            </w:tcBorders>
            <w:shd w:val="clear" w:color="000000" w:fill="FFFFFF"/>
            <w:noWrap/>
            <w:vAlign w:val="bottom"/>
            <w:hideMark/>
          </w:tcPr>
          <w:p w14:paraId="09AF4A77" w14:textId="0A8C6684" w:rsidR="00A77CB9" w:rsidRPr="00F2052E" w:rsidRDefault="00A77CB9" w:rsidP="00A77CB9">
            <w:pPr>
              <w:spacing w:after="0" w:line="240" w:lineRule="auto"/>
              <w:jc w:val="right"/>
              <w:rPr>
                <w:rFonts w:ascii="Arial" w:hAnsi="Arial" w:cs="Arial"/>
                <w:b/>
                <w:bCs/>
                <w:sz w:val="16"/>
                <w:szCs w:val="16"/>
              </w:rPr>
            </w:pPr>
            <w:r w:rsidRPr="00F2052E">
              <w:rPr>
                <w:rFonts w:ascii="Arial" w:hAnsi="Arial" w:cs="Arial"/>
                <w:b/>
                <w:bCs/>
                <w:sz w:val="16"/>
                <w:szCs w:val="16"/>
              </w:rPr>
              <w:t>nfp</w:t>
            </w:r>
          </w:p>
        </w:tc>
        <w:tc>
          <w:tcPr>
            <w:tcW w:w="573" w:type="pct"/>
            <w:tcBorders>
              <w:top w:val="nil"/>
              <w:left w:val="nil"/>
              <w:bottom w:val="nil"/>
              <w:right w:val="nil"/>
            </w:tcBorders>
            <w:shd w:val="clear" w:color="000000" w:fill="E6E6E6"/>
            <w:noWrap/>
            <w:vAlign w:val="bottom"/>
            <w:hideMark/>
          </w:tcPr>
          <w:p w14:paraId="24C88036" w14:textId="5190B450" w:rsidR="00A77CB9" w:rsidRPr="00F2052E" w:rsidRDefault="00A77CB9" w:rsidP="00A77CB9">
            <w:pPr>
              <w:spacing w:after="0" w:line="240" w:lineRule="auto"/>
              <w:jc w:val="right"/>
              <w:rPr>
                <w:rFonts w:ascii="Arial" w:hAnsi="Arial" w:cs="Arial"/>
                <w:b/>
                <w:bCs/>
                <w:sz w:val="16"/>
                <w:szCs w:val="16"/>
              </w:rPr>
            </w:pPr>
            <w:r w:rsidRPr="00F2052E">
              <w:rPr>
                <w:rFonts w:ascii="Arial" w:hAnsi="Arial" w:cs="Arial"/>
                <w:b/>
                <w:bCs/>
                <w:sz w:val="16"/>
                <w:szCs w:val="16"/>
              </w:rPr>
              <w:t>nfp</w:t>
            </w:r>
          </w:p>
        </w:tc>
      </w:tr>
      <w:tr w:rsidR="00A77CB9" w:rsidRPr="00F2052E" w14:paraId="457101DF" w14:textId="77777777" w:rsidTr="00B90578">
        <w:trPr>
          <w:trHeight w:val="204"/>
        </w:trPr>
        <w:tc>
          <w:tcPr>
            <w:tcW w:w="1591" w:type="pct"/>
            <w:tcBorders>
              <w:top w:val="nil"/>
              <w:left w:val="nil"/>
              <w:bottom w:val="nil"/>
              <w:right w:val="nil"/>
            </w:tcBorders>
            <w:shd w:val="clear" w:color="auto" w:fill="auto"/>
            <w:vAlign w:val="bottom"/>
            <w:hideMark/>
          </w:tcPr>
          <w:p w14:paraId="5AE3EC03" w14:textId="47D843C8" w:rsidR="00A77CB9" w:rsidRPr="00F2052E" w:rsidRDefault="00A77CB9" w:rsidP="00A77CB9">
            <w:pPr>
              <w:spacing w:after="0" w:line="240" w:lineRule="auto"/>
              <w:rPr>
                <w:rFonts w:ascii="Arial" w:hAnsi="Arial" w:cs="Arial"/>
                <w:sz w:val="16"/>
                <w:szCs w:val="16"/>
              </w:rPr>
            </w:pPr>
            <w:r>
              <w:rPr>
                <w:rFonts w:ascii="Arial" w:hAnsi="Arial" w:cs="Arial"/>
                <w:sz w:val="16"/>
                <w:szCs w:val="16"/>
              </w:rPr>
              <w:t xml:space="preserve">Enhancing </w:t>
            </w:r>
            <w:r w:rsidRPr="00D00BA9">
              <w:rPr>
                <w:rFonts w:ascii="Arial" w:hAnsi="Arial" w:cs="Arial"/>
                <w:sz w:val="16"/>
                <w:szCs w:val="16"/>
              </w:rPr>
              <w:t xml:space="preserve">Pacific </w:t>
            </w:r>
            <w:r>
              <w:rPr>
                <w:rFonts w:ascii="Arial" w:hAnsi="Arial" w:cs="Arial"/>
                <w:sz w:val="16"/>
                <w:szCs w:val="16"/>
              </w:rPr>
              <w:t>Engagement</w:t>
            </w:r>
            <w:r w:rsidRPr="00F2052E">
              <w:rPr>
                <w:rFonts w:ascii="Arial" w:hAnsi="Arial" w:cs="Arial"/>
                <w:sz w:val="16"/>
                <w:szCs w:val="16"/>
                <w:vertAlign w:val="superscript"/>
              </w:rPr>
              <w:t>(</w:t>
            </w:r>
            <w:r w:rsidR="002C6E3B">
              <w:rPr>
                <w:rFonts w:ascii="Arial" w:hAnsi="Arial" w:cs="Arial"/>
                <w:sz w:val="16"/>
                <w:szCs w:val="16"/>
                <w:vertAlign w:val="superscript"/>
              </w:rPr>
              <w:t>e</w:t>
            </w:r>
            <w:r w:rsidRPr="00F2052E">
              <w:rPr>
                <w:rFonts w:ascii="Arial" w:hAnsi="Arial" w:cs="Arial"/>
                <w:sz w:val="16"/>
                <w:szCs w:val="16"/>
                <w:vertAlign w:val="superscript"/>
              </w:rPr>
              <w:t>)</w:t>
            </w:r>
          </w:p>
        </w:tc>
        <w:tc>
          <w:tcPr>
            <w:tcW w:w="538" w:type="pct"/>
            <w:tcBorders>
              <w:top w:val="nil"/>
              <w:left w:val="nil"/>
              <w:bottom w:val="nil"/>
              <w:right w:val="nil"/>
            </w:tcBorders>
            <w:shd w:val="clear" w:color="auto" w:fill="auto"/>
            <w:noWrap/>
            <w:vAlign w:val="bottom"/>
            <w:hideMark/>
          </w:tcPr>
          <w:p w14:paraId="74E22540" w14:textId="77777777" w:rsidR="00A77CB9" w:rsidRPr="00F2052E" w:rsidRDefault="00A77CB9" w:rsidP="00A77CB9">
            <w:pPr>
              <w:spacing w:after="0" w:line="240" w:lineRule="auto"/>
              <w:jc w:val="center"/>
              <w:rPr>
                <w:rFonts w:ascii="Arial" w:hAnsi="Arial" w:cs="Arial"/>
                <w:sz w:val="16"/>
                <w:szCs w:val="16"/>
              </w:rPr>
            </w:pPr>
            <w:r w:rsidRPr="00F2052E">
              <w:rPr>
                <w:rFonts w:ascii="Arial" w:hAnsi="Arial" w:cs="Arial"/>
                <w:sz w:val="16"/>
                <w:szCs w:val="16"/>
              </w:rPr>
              <w:t>5.1, 5.2</w:t>
            </w:r>
          </w:p>
        </w:tc>
        <w:tc>
          <w:tcPr>
            <w:tcW w:w="577" w:type="pct"/>
            <w:tcBorders>
              <w:top w:val="nil"/>
              <w:left w:val="nil"/>
              <w:bottom w:val="nil"/>
              <w:right w:val="nil"/>
            </w:tcBorders>
            <w:shd w:val="clear" w:color="000000" w:fill="E6E6E6"/>
            <w:noWrap/>
            <w:vAlign w:val="bottom"/>
            <w:hideMark/>
          </w:tcPr>
          <w:p w14:paraId="22BBF340" w14:textId="77777777" w:rsidR="00A77CB9" w:rsidRPr="00F2052E" w:rsidRDefault="00A77CB9" w:rsidP="00A77CB9">
            <w:pPr>
              <w:spacing w:after="0" w:line="240" w:lineRule="auto"/>
              <w:jc w:val="right"/>
              <w:rPr>
                <w:rFonts w:ascii="Arial" w:hAnsi="Arial" w:cs="Arial"/>
                <w:sz w:val="16"/>
                <w:szCs w:val="16"/>
              </w:rPr>
            </w:pPr>
          </w:p>
        </w:tc>
        <w:tc>
          <w:tcPr>
            <w:tcW w:w="573" w:type="pct"/>
            <w:tcBorders>
              <w:top w:val="nil"/>
              <w:left w:val="nil"/>
              <w:bottom w:val="nil"/>
              <w:right w:val="nil"/>
            </w:tcBorders>
            <w:shd w:val="clear" w:color="000000" w:fill="FFFFFF"/>
            <w:noWrap/>
            <w:vAlign w:val="bottom"/>
            <w:hideMark/>
          </w:tcPr>
          <w:p w14:paraId="1F6FA06A" w14:textId="77777777" w:rsidR="00A77CB9" w:rsidRPr="00F2052E" w:rsidRDefault="00A77CB9" w:rsidP="00A77CB9">
            <w:pPr>
              <w:spacing w:after="0" w:line="240" w:lineRule="auto"/>
              <w:jc w:val="right"/>
              <w:rPr>
                <w:rFonts w:ascii="Arial" w:hAnsi="Arial" w:cs="Arial"/>
                <w:sz w:val="16"/>
                <w:szCs w:val="16"/>
              </w:rPr>
            </w:pPr>
          </w:p>
        </w:tc>
        <w:tc>
          <w:tcPr>
            <w:tcW w:w="573" w:type="pct"/>
            <w:tcBorders>
              <w:top w:val="nil"/>
              <w:left w:val="nil"/>
              <w:bottom w:val="nil"/>
              <w:right w:val="nil"/>
            </w:tcBorders>
            <w:shd w:val="clear" w:color="000000" w:fill="E6E6E6"/>
            <w:noWrap/>
            <w:vAlign w:val="bottom"/>
            <w:hideMark/>
          </w:tcPr>
          <w:p w14:paraId="1869C4E6" w14:textId="77777777" w:rsidR="00A77CB9" w:rsidRPr="00F2052E" w:rsidRDefault="00A77CB9" w:rsidP="00A77CB9">
            <w:pPr>
              <w:spacing w:after="0" w:line="240" w:lineRule="auto"/>
              <w:jc w:val="right"/>
              <w:rPr>
                <w:rFonts w:ascii="Arial" w:hAnsi="Arial" w:cs="Arial"/>
                <w:sz w:val="16"/>
                <w:szCs w:val="16"/>
              </w:rPr>
            </w:pPr>
          </w:p>
        </w:tc>
        <w:tc>
          <w:tcPr>
            <w:tcW w:w="573" w:type="pct"/>
            <w:tcBorders>
              <w:top w:val="nil"/>
              <w:left w:val="nil"/>
              <w:bottom w:val="nil"/>
              <w:right w:val="nil"/>
            </w:tcBorders>
            <w:shd w:val="clear" w:color="000000" w:fill="FFFFFF"/>
            <w:noWrap/>
            <w:vAlign w:val="bottom"/>
            <w:hideMark/>
          </w:tcPr>
          <w:p w14:paraId="2CB35C7C" w14:textId="77777777" w:rsidR="00A77CB9" w:rsidRPr="00F2052E" w:rsidRDefault="00A77CB9" w:rsidP="00A77CB9">
            <w:pPr>
              <w:spacing w:after="0" w:line="240" w:lineRule="auto"/>
              <w:jc w:val="right"/>
              <w:rPr>
                <w:rFonts w:ascii="Arial" w:hAnsi="Arial" w:cs="Arial"/>
                <w:sz w:val="16"/>
                <w:szCs w:val="16"/>
              </w:rPr>
            </w:pPr>
          </w:p>
        </w:tc>
        <w:tc>
          <w:tcPr>
            <w:tcW w:w="573" w:type="pct"/>
            <w:tcBorders>
              <w:top w:val="nil"/>
              <w:left w:val="nil"/>
              <w:bottom w:val="nil"/>
              <w:right w:val="nil"/>
            </w:tcBorders>
            <w:shd w:val="clear" w:color="000000" w:fill="E6E6E6"/>
            <w:noWrap/>
            <w:vAlign w:val="bottom"/>
            <w:hideMark/>
          </w:tcPr>
          <w:p w14:paraId="77EFCBF9" w14:textId="77777777" w:rsidR="00A77CB9" w:rsidRPr="00F2052E" w:rsidRDefault="00A77CB9" w:rsidP="00A77CB9">
            <w:pPr>
              <w:spacing w:after="0" w:line="240" w:lineRule="auto"/>
              <w:jc w:val="right"/>
              <w:rPr>
                <w:rFonts w:ascii="Arial" w:hAnsi="Arial" w:cs="Arial"/>
                <w:sz w:val="16"/>
                <w:szCs w:val="16"/>
              </w:rPr>
            </w:pPr>
          </w:p>
        </w:tc>
      </w:tr>
      <w:tr w:rsidR="00A77CB9" w:rsidRPr="00F2052E" w14:paraId="3067B7E9" w14:textId="77777777" w:rsidTr="00B90578">
        <w:trPr>
          <w:trHeight w:val="204"/>
        </w:trPr>
        <w:tc>
          <w:tcPr>
            <w:tcW w:w="1591" w:type="pct"/>
            <w:tcBorders>
              <w:top w:val="nil"/>
              <w:left w:val="nil"/>
              <w:bottom w:val="nil"/>
              <w:right w:val="nil"/>
            </w:tcBorders>
            <w:shd w:val="clear" w:color="auto" w:fill="auto"/>
            <w:vAlign w:val="bottom"/>
            <w:hideMark/>
          </w:tcPr>
          <w:p w14:paraId="1B61AFF1" w14:textId="77777777" w:rsidR="00A77CB9" w:rsidRPr="00F2052E" w:rsidRDefault="00A77CB9" w:rsidP="00A77CB9">
            <w:pPr>
              <w:spacing w:after="0" w:line="240" w:lineRule="auto"/>
              <w:ind w:left="113"/>
              <w:rPr>
                <w:rFonts w:ascii="Arial" w:hAnsi="Arial" w:cs="Arial"/>
                <w:sz w:val="16"/>
                <w:szCs w:val="16"/>
              </w:rPr>
            </w:pPr>
            <w:r w:rsidRPr="00F2052E">
              <w:rPr>
                <w:rFonts w:ascii="Arial" w:hAnsi="Arial" w:cs="Arial"/>
                <w:sz w:val="16"/>
                <w:szCs w:val="16"/>
              </w:rPr>
              <w:t>Administered payments</w:t>
            </w:r>
          </w:p>
        </w:tc>
        <w:tc>
          <w:tcPr>
            <w:tcW w:w="538" w:type="pct"/>
            <w:tcBorders>
              <w:top w:val="nil"/>
              <w:left w:val="nil"/>
              <w:bottom w:val="nil"/>
              <w:right w:val="nil"/>
            </w:tcBorders>
            <w:shd w:val="clear" w:color="auto" w:fill="auto"/>
            <w:noWrap/>
            <w:vAlign w:val="bottom"/>
            <w:hideMark/>
          </w:tcPr>
          <w:p w14:paraId="0DA7618F" w14:textId="77777777" w:rsidR="00A77CB9" w:rsidRPr="00F2052E" w:rsidRDefault="00A77CB9" w:rsidP="00A77CB9">
            <w:pPr>
              <w:spacing w:after="0" w:line="240" w:lineRule="auto"/>
              <w:ind w:firstLineChars="100" w:firstLine="160"/>
              <w:jc w:val="center"/>
              <w:rPr>
                <w:rFonts w:ascii="Arial" w:hAnsi="Arial" w:cs="Arial"/>
                <w:sz w:val="16"/>
                <w:szCs w:val="16"/>
              </w:rPr>
            </w:pPr>
          </w:p>
        </w:tc>
        <w:tc>
          <w:tcPr>
            <w:tcW w:w="577" w:type="pct"/>
            <w:tcBorders>
              <w:top w:val="nil"/>
              <w:left w:val="nil"/>
              <w:bottom w:val="nil"/>
              <w:right w:val="nil"/>
            </w:tcBorders>
            <w:shd w:val="clear" w:color="000000" w:fill="E6E6E6"/>
            <w:noWrap/>
            <w:vAlign w:val="bottom"/>
            <w:hideMark/>
          </w:tcPr>
          <w:p w14:paraId="6956567B" w14:textId="77777777" w:rsidR="00A77CB9" w:rsidRPr="00F2052E" w:rsidRDefault="00A77CB9" w:rsidP="00A77CB9">
            <w:pPr>
              <w:spacing w:after="0" w:line="240" w:lineRule="auto"/>
              <w:jc w:val="right"/>
              <w:rPr>
                <w:rFonts w:ascii="Arial" w:hAnsi="Arial" w:cs="Arial"/>
                <w:sz w:val="16"/>
                <w:szCs w:val="16"/>
              </w:rPr>
            </w:pPr>
            <w:r w:rsidRPr="00F2052E">
              <w:rPr>
                <w:rFonts w:ascii="Arial" w:hAnsi="Arial" w:cs="Arial"/>
                <w:sz w:val="16"/>
                <w:szCs w:val="16"/>
              </w:rPr>
              <w:t>-</w:t>
            </w:r>
          </w:p>
        </w:tc>
        <w:tc>
          <w:tcPr>
            <w:tcW w:w="573" w:type="pct"/>
            <w:tcBorders>
              <w:top w:val="nil"/>
              <w:left w:val="nil"/>
              <w:bottom w:val="nil"/>
              <w:right w:val="nil"/>
            </w:tcBorders>
            <w:shd w:val="clear" w:color="000000" w:fill="FFFFFF"/>
            <w:noWrap/>
            <w:vAlign w:val="bottom"/>
            <w:hideMark/>
          </w:tcPr>
          <w:p w14:paraId="30409AFB" w14:textId="77777777" w:rsidR="00A77CB9" w:rsidRPr="00F2052E" w:rsidRDefault="00A77CB9" w:rsidP="00A77CB9">
            <w:pPr>
              <w:spacing w:after="0" w:line="240" w:lineRule="auto"/>
              <w:jc w:val="right"/>
              <w:rPr>
                <w:rFonts w:ascii="Arial" w:hAnsi="Arial" w:cs="Arial"/>
                <w:sz w:val="16"/>
                <w:szCs w:val="16"/>
              </w:rPr>
            </w:pPr>
            <w:r w:rsidRPr="00F2052E">
              <w:rPr>
                <w:rFonts w:ascii="Arial" w:hAnsi="Arial" w:cs="Arial"/>
                <w:sz w:val="16"/>
                <w:szCs w:val="16"/>
              </w:rPr>
              <w:t>5,675</w:t>
            </w:r>
          </w:p>
        </w:tc>
        <w:tc>
          <w:tcPr>
            <w:tcW w:w="573" w:type="pct"/>
            <w:tcBorders>
              <w:top w:val="nil"/>
              <w:left w:val="nil"/>
              <w:bottom w:val="nil"/>
              <w:right w:val="nil"/>
            </w:tcBorders>
            <w:shd w:val="clear" w:color="000000" w:fill="E6E6E6"/>
            <w:noWrap/>
            <w:vAlign w:val="bottom"/>
            <w:hideMark/>
          </w:tcPr>
          <w:p w14:paraId="3986510C" w14:textId="77777777" w:rsidR="00A77CB9" w:rsidRPr="00F2052E" w:rsidRDefault="00A77CB9" w:rsidP="00A77CB9">
            <w:pPr>
              <w:spacing w:after="0" w:line="240" w:lineRule="auto"/>
              <w:jc w:val="right"/>
              <w:rPr>
                <w:rFonts w:ascii="Arial" w:hAnsi="Arial" w:cs="Arial"/>
                <w:sz w:val="16"/>
                <w:szCs w:val="16"/>
              </w:rPr>
            </w:pPr>
            <w:r w:rsidRPr="00F2052E">
              <w:rPr>
                <w:rFonts w:ascii="Arial" w:hAnsi="Arial" w:cs="Arial"/>
                <w:sz w:val="16"/>
                <w:szCs w:val="16"/>
              </w:rPr>
              <w:t>5,675</w:t>
            </w:r>
          </w:p>
        </w:tc>
        <w:tc>
          <w:tcPr>
            <w:tcW w:w="573" w:type="pct"/>
            <w:tcBorders>
              <w:top w:val="nil"/>
              <w:left w:val="nil"/>
              <w:bottom w:val="nil"/>
              <w:right w:val="nil"/>
            </w:tcBorders>
            <w:shd w:val="clear" w:color="000000" w:fill="FFFFFF"/>
            <w:noWrap/>
            <w:vAlign w:val="bottom"/>
            <w:hideMark/>
          </w:tcPr>
          <w:p w14:paraId="70E0063C" w14:textId="77777777" w:rsidR="00A77CB9" w:rsidRPr="00F2052E" w:rsidRDefault="00A77CB9" w:rsidP="00A77CB9">
            <w:pPr>
              <w:spacing w:after="0" w:line="240" w:lineRule="auto"/>
              <w:jc w:val="right"/>
              <w:rPr>
                <w:rFonts w:ascii="Arial" w:hAnsi="Arial" w:cs="Arial"/>
                <w:sz w:val="16"/>
                <w:szCs w:val="16"/>
              </w:rPr>
            </w:pPr>
            <w:r w:rsidRPr="00F2052E">
              <w:rPr>
                <w:rFonts w:ascii="Arial" w:hAnsi="Arial" w:cs="Arial"/>
                <w:sz w:val="16"/>
                <w:szCs w:val="16"/>
              </w:rPr>
              <w:t>5,675</w:t>
            </w:r>
          </w:p>
        </w:tc>
        <w:tc>
          <w:tcPr>
            <w:tcW w:w="573" w:type="pct"/>
            <w:tcBorders>
              <w:top w:val="nil"/>
              <w:left w:val="nil"/>
              <w:bottom w:val="nil"/>
              <w:right w:val="nil"/>
            </w:tcBorders>
            <w:shd w:val="clear" w:color="000000" w:fill="E6E6E6"/>
            <w:noWrap/>
            <w:vAlign w:val="bottom"/>
            <w:hideMark/>
          </w:tcPr>
          <w:p w14:paraId="5D5C1392" w14:textId="77777777" w:rsidR="00A77CB9" w:rsidRPr="00F2052E" w:rsidRDefault="00A77CB9" w:rsidP="00A77CB9">
            <w:pPr>
              <w:spacing w:after="0" w:line="240" w:lineRule="auto"/>
              <w:jc w:val="right"/>
              <w:rPr>
                <w:rFonts w:ascii="Arial" w:hAnsi="Arial" w:cs="Arial"/>
                <w:sz w:val="16"/>
                <w:szCs w:val="16"/>
              </w:rPr>
            </w:pPr>
            <w:r w:rsidRPr="00F2052E">
              <w:rPr>
                <w:rFonts w:ascii="Arial" w:hAnsi="Arial" w:cs="Arial"/>
                <w:sz w:val="16"/>
                <w:szCs w:val="16"/>
              </w:rPr>
              <w:t>5,675</w:t>
            </w:r>
          </w:p>
        </w:tc>
      </w:tr>
      <w:tr w:rsidR="00A77CB9" w:rsidRPr="00F2052E" w14:paraId="38CB9CC3" w14:textId="77777777" w:rsidTr="00B90578">
        <w:trPr>
          <w:trHeight w:val="204"/>
        </w:trPr>
        <w:tc>
          <w:tcPr>
            <w:tcW w:w="1591" w:type="pct"/>
            <w:tcBorders>
              <w:top w:val="nil"/>
              <w:left w:val="nil"/>
              <w:bottom w:val="nil"/>
              <w:right w:val="nil"/>
            </w:tcBorders>
            <w:shd w:val="clear" w:color="auto" w:fill="auto"/>
            <w:vAlign w:val="bottom"/>
            <w:hideMark/>
          </w:tcPr>
          <w:p w14:paraId="16072064" w14:textId="77777777" w:rsidR="00A77CB9" w:rsidRPr="00F2052E" w:rsidRDefault="00A77CB9" w:rsidP="00A77CB9">
            <w:pPr>
              <w:spacing w:after="0" w:line="240" w:lineRule="auto"/>
              <w:ind w:left="113"/>
              <w:rPr>
                <w:rFonts w:ascii="Arial" w:hAnsi="Arial" w:cs="Arial"/>
                <w:sz w:val="16"/>
                <w:szCs w:val="16"/>
              </w:rPr>
            </w:pPr>
            <w:r w:rsidRPr="00F2052E">
              <w:rPr>
                <w:rFonts w:ascii="Arial" w:hAnsi="Arial" w:cs="Arial"/>
                <w:sz w:val="16"/>
                <w:szCs w:val="16"/>
              </w:rPr>
              <w:t>Departmental payments</w:t>
            </w:r>
          </w:p>
        </w:tc>
        <w:tc>
          <w:tcPr>
            <w:tcW w:w="538" w:type="pct"/>
            <w:tcBorders>
              <w:top w:val="nil"/>
              <w:left w:val="nil"/>
              <w:bottom w:val="nil"/>
              <w:right w:val="nil"/>
            </w:tcBorders>
            <w:shd w:val="clear" w:color="auto" w:fill="auto"/>
            <w:noWrap/>
            <w:vAlign w:val="bottom"/>
            <w:hideMark/>
          </w:tcPr>
          <w:p w14:paraId="2A725F64" w14:textId="77777777" w:rsidR="00A77CB9" w:rsidRPr="00F2052E" w:rsidRDefault="00A77CB9" w:rsidP="00A77CB9">
            <w:pPr>
              <w:spacing w:after="0" w:line="240" w:lineRule="auto"/>
              <w:ind w:firstLineChars="100" w:firstLine="160"/>
              <w:jc w:val="center"/>
              <w:rPr>
                <w:rFonts w:ascii="Arial" w:hAnsi="Arial" w:cs="Arial"/>
                <w:sz w:val="16"/>
                <w:szCs w:val="16"/>
              </w:rPr>
            </w:pPr>
          </w:p>
        </w:tc>
        <w:tc>
          <w:tcPr>
            <w:tcW w:w="577" w:type="pct"/>
            <w:tcBorders>
              <w:top w:val="nil"/>
              <w:left w:val="nil"/>
              <w:bottom w:val="nil"/>
              <w:right w:val="nil"/>
            </w:tcBorders>
            <w:shd w:val="clear" w:color="000000" w:fill="E6E6E6"/>
            <w:noWrap/>
            <w:vAlign w:val="bottom"/>
            <w:hideMark/>
          </w:tcPr>
          <w:p w14:paraId="00C2489D" w14:textId="77777777" w:rsidR="00A77CB9" w:rsidRPr="00F2052E" w:rsidRDefault="00A77CB9" w:rsidP="00A77CB9">
            <w:pPr>
              <w:spacing w:after="0" w:line="240" w:lineRule="auto"/>
              <w:jc w:val="right"/>
              <w:rPr>
                <w:rFonts w:ascii="Arial" w:hAnsi="Arial" w:cs="Arial"/>
                <w:sz w:val="16"/>
                <w:szCs w:val="16"/>
              </w:rPr>
            </w:pPr>
            <w:r w:rsidRPr="00F2052E">
              <w:rPr>
                <w:rFonts w:ascii="Arial" w:hAnsi="Arial" w:cs="Arial"/>
                <w:sz w:val="16"/>
                <w:szCs w:val="16"/>
              </w:rPr>
              <w:t>-</w:t>
            </w:r>
          </w:p>
        </w:tc>
        <w:tc>
          <w:tcPr>
            <w:tcW w:w="573" w:type="pct"/>
            <w:tcBorders>
              <w:top w:val="nil"/>
              <w:left w:val="nil"/>
              <w:bottom w:val="nil"/>
              <w:right w:val="nil"/>
            </w:tcBorders>
            <w:shd w:val="clear" w:color="000000" w:fill="FFFFFF"/>
            <w:noWrap/>
            <w:vAlign w:val="bottom"/>
            <w:hideMark/>
          </w:tcPr>
          <w:p w14:paraId="386854E0" w14:textId="77777777" w:rsidR="00A77CB9" w:rsidRPr="00F2052E" w:rsidRDefault="00A77CB9" w:rsidP="00A77CB9">
            <w:pPr>
              <w:spacing w:after="0" w:line="240" w:lineRule="auto"/>
              <w:jc w:val="right"/>
              <w:rPr>
                <w:rFonts w:ascii="Arial" w:hAnsi="Arial" w:cs="Arial"/>
                <w:sz w:val="16"/>
                <w:szCs w:val="16"/>
              </w:rPr>
            </w:pPr>
            <w:r w:rsidRPr="00F2052E">
              <w:rPr>
                <w:rFonts w:ascii="Arial" w:hAnsi="Arial" w:cs="Arial"/>
                <w:sz w:val="16"/>
                <w:szCs w:val="16"/>
              </w:rPr>
              <w:t>76</w:t>
            </w:r>
          </w:p>
        </w:tc>
        <w:tc>
          <w:tcPr>
            <w:tcW w:w="573" w:type="pct"/>
            <w:tcBorders>
              <w:top w:val="nil"/>
              <w:left w:val="nil"/>
              <w:bottom w:val="nil"/>
              <w:right w:val="nil"/>
            </w:tcBorders>
            <w:shd w:val="clear" w:color="000000" w:fill="E6E6E6"/>
            <w:noWrap/>
            <w:vAlign w:val="bottom"/>
            <w:hideMark/>
          </w:tcPr>
          <w:p w14:paraId="158CE4CE" w14:textId="77777777" w:rsidR="00A77CB9" w:rsidRPr="00F2052E" w:rsidRDefault="00A77CB9" w:rsidP="00A77CB9">
            <w:pPr>
              <w:spacing w:after="0" w:line="240" w:lineRule="auto"/>
              <w:jc w:val="right"/>
              <w:rPr>
                <w:rFonts w:ascii="Arial" w:hAnsi="Arial" w:cs="Arial"/>
                <w:sz w:val="16"/>
                <w:szCs w:val="16"/>
              </w:rPr>
            </w:pPr>
            <w:r w:rsidRPr="00F2052E">
              <w:rPr>
                <w:rFonts w:ascii="Arial" w:hAnsi="Arial" w:cs="Arial"/>
                <w:sz w:val="16"/>
                <w:szCs w:val="16"/>
              </w:rPr>
              <w:t>78</w:t>
            </w:r>
          </w:p>
        </w:tc>
        <w:tc>
          <w:tcPr>
            <w:tcW w:w="573" w:type="pct"/>
            <w:tcBorders>
              <w:top w:val="nil"/>
              <w:left w:val="nil"/>
              <w:bottom w:val="nil"/>
              <w:right w:val="nil"/>
            </w:tcBorders>
            <w:shd w:val="clear" w:color="000000" w:fill="FFFFFF"/>
            <w:noWrap/>
            <w:vAlign w:val="bottom"/>
            <w:hideMark/>
          </w:tcPr>
          <w:p w14:paraId="59326017" w14:textId="77777777" w:rsidR="00A77CB9" w:rsidRPr="00F2052E" w:rsidRDefault="00A77CB9" w:rsidP="00A77CB9">
            <w:pPr>
              <w:spacing w:after="0" w:line="240" w:lineRule="auto"/>
              <w:jc w:val="right"/>
              <w:rPr>
                <w:rFonts w:ascii="Arial" w:hAnsi="Arial" w:cs="Arial"/>
                <w:sz w:val="16"/>
                <w:szCs w:val="16"/>
              </w:rPr>
            </w:pPr>
            <w:r w:rsidRPr="00F2052E">
              <w:rPr>
                <w:rFonts w:ascii="Arial" w:hAnsi="Arial" w:cs="Arial"/>
                <w:sz w:val="16"/>
                <w:szCs w:val="16"/>
              </w:rPr>
              <w:t>78</w:t>
            </w:r>
          </w:p>
        </w:tc>
        <w:tc>
          <w:tcPr>
            <w:tcW w:w="573" w:type="pct"/>
            <w:tcBorders>
              <w:top w:val="nil"/>
              <w:left w:val="nil"/>
              <w:bottom w:val="nil"/>
              <w:right w:val="nil"/>
            </w:tcBorders>
            <w:shd w:val="clear" w:color="000000" w:fill="E6E6E6"/>
            <w:noWrap/>
            <w:vAlign w:val="bottom"/>
            <w:hideMark/>
          </w:tcPr>
          <w:p w14:paraId="7C9D4777" w14:textId="77777777" w:rsidR="00A77CB9" w:rsidRPr="00F2052E" w:rsidRDefault="00A77CB9" w:rsidP="00A77CB9">
            <w:pPr>
              <w:spacing w:after="0" w:line="240" w:lineRule="auto"/>
              <w:jc w:val="right"/>
              <w:rPr>
                <w:rFonts w:ascii="Arial" w:hAnsi="Arial" w:cs="Arial"/>
                <w:sz w:val="16"/>
                <w:szCs w:val="16"/>
              </w:rPr>
            </w:pPr>
            <w:r w:rsidRPr="00F2052E">
              <w:rPr>
                <w:rFonts w:ascii="Arial" w:hAnsi="Arial" w:cs="Arial"/>
                <w:sz w:val="16"/>
                <w:szCs w:val="16"/>
              </w:rPr>
              <w:t>79</w:t>
            </w:r>
          </w:p>
        </w:tc>
      </w:tr>
      <w:tr w:rsidR="00A77CB9" w:rsidRPr="00F2052E" w14:paraId="2A3335CD" w14:textId="77777777" w:rsidTr="00B90578">
        <w:trPr>
          <w:trHeight w:val="204"/>
        </w:trPr>
        <w:tc>
          <w:tcPr>
            <w:tcW w:w="1591" w:type="pct"/>
            <w:tcBorders>
              <w:top w:val="nil"/>
              <w:left w:val="nil"/>
              <w:bottom w:val="nil"/>
              <w:right w:val="nil"/>
            </w:tcBorders>
            <w:shd w:val="clear" w:color="auto" w:fill="auto"/>
            <w:noWrap/>
            <w:vAlign w:val="bottom"/>
            <w:hideMark/>
          </w:tcPr>
          <w:p w14:paraId="7649BA7B" w14:textId="77777777" w:rsidR="00A77CB9" w:rsidRPr="00F2052E" w:rsidRDefault="00A77CB9" w:rsidP="00A77CB9">
            <w:pPr>
              <w:spacing w:after="0" w:line="240" w:lineRule="auto"/>
              <w:rPr>
                <w:rFonts w:ascii="Arial" w:hAnsi="Arial" w:cs="Arial"/>
                <w:b/>
                <w:bCs/>
                <w:sz w:val="16"/>
                <w:szCs w:val="16"/>
              </w:rPr>
            </w:pPr>
            <w:r w:rsidRPr="00F2052E">
              <w:rPr>
                <w:rFonts w:ascii="Arial" w:hAnsi="Arial" w:cs="Arial"/>
                <w:b/>
                <w:bCs/>
                <w:sz w:val="16"/>
                <w:szCs w:val="16"/>
              </w:rPr>
              <w:t xml:space="preserve">Total </w:t>
            </w:r>
          </w:p>
        </w:tc>
        <w:tc>
          <w:tcPr>
            <w:tcW w:w="538" w:type="pct"/>
            <w:tcBorders>
              <w:top w:val="nil"/>
              <w:left w:val="nil"/>
              <w:bottom w:val="nil"/>
              <w:right w:val="nil"/>
            </w:tcBorders>
            <w:shd w:val="clear" w:color="auto" w:fill="auto"/>
            <w:noWrap/>
            <w:vAlign w:val="bottom"/>
            <w:hideMark/>
          </w:tcPr>
          <w:p w14:paraId="0583F221" w14:textId="77777777" w:rsidR="00A77CB9" w:rsidRPr="00F2052E" w:rsidRDefault="00A77CB9" w:rsidP="00A77CB9">
            <w:pPr>
              <w:spacing w:after="0" w:line="240" w:lineRule="auto"/>
              <w:jc w:val="center"/>
              <w:rPr>
                <w:rFonts w:ascii="Arial" w:hAnsi="Arial" w:cs="Arial"/>
                <w:b/>
                <w:bCs/>
                <w:sz w:val="16"/>
                <w:szCs w:val="16"/>
              </w:rPr>
            </w:pPr>
          </w:p>
        </w:tc>
        <w:tc>
          <w:tcPr>
            <w:tcW w:w="577" w:type="pct"/>
            <w:tcBorders>
              <w:top w:val="nil"/>
              <w:left w:val="nil"/>
              <w:bottom w:val="nil"/>
              <w:right w:val="nil"/>
            </w:tcBorders>
            <w:shd w:val="clear" w:color="000000" w:fill="E6E6E6"/>
            <w:noWrap/>
            <w:vAlign w:val="bottom"/>
            <w:hideMark/>
          </w:tcPr>
          <w:p w14:paraId="31EC8FC4" w14:textId="77777777" w:rsidR="00A77CB9" w:rsidRPr="00F2052E" w:rsidRDefault="00A77CB9" w:rsidP="00A77CB9">
            <w:pPr>
              <w:spacing w:after="0" w:line="240" w:lineRule="auto"/>
              <w:jc w:val="right"/>
              <w:rPr>
                <w:rFonts w:ascii="Arial" w:hAnsi="Arial" w:cs="Arial"/>
                <w:b/>
                <w:bCs/>
                <w:sz w:val="16"/>
                <w:szCs w:val="16"/>
              </w:rPr>
            </w:pPr>
            <w:r w:rsidRPr="00F2052E">
              <w:rPr>
                <w:rFonts w:ascii="Arial" w:hAnsi="Arial" w:cs="Arial"/>
                <w:b/>
                <w:bCs/>
                <w:sz w:val="16"/>
                <w:szCs w:val="16"/>
              </w:rPr>
              <w:t>-</w:t>
            </w:r>
          </w:p>
        </w:tc>
        <w:tc>
          <w:tcPr>
            <w:tcW w:w="573" w:type="pct"/>
            <w:tcBorders>
              <w:top w:val="nil"/>
              <w:left w:val="nil"/>
              <w:bottom w:val="nil"/>
              <w:right w:val="nil"/>
            </w:tcBorders>
            <w:shd w:val="clear" w:color="000000" w:fill="FFFFFF"/>
            <w:noWrap/>
            <w:vAlign w:val="bottom"/>
            <w:hideMark/>
          </w:tcPr>
          <w:p w14:paraId="5B541962" w14:textId="77777777" w:rsidR="00A77CB9" w:rsidRPr="00F2052E" w:rsidRDefault="00A77CB9" w:rsidP="00A77CB9">
            <w:pPr>
              <w:spacing w:after="0" w:line="240" w:lineRule="auto"/>
              <w:jc w:val="right"/>
              <w:rPr>
                <w:rFonts w:ascii="Arial" w:hAnsi="Arial" w:cs="Arial"/>
                <w:b/>
                <w:bCs/>
                <w:sz w:val="16"/>
                <w:szCs w:val="16"/>
              </w:rPr>
            </w:pPr>
            <w:r w:rsidRPr="00F2052E">
              <w:rPr>
                <w:rFonts w:ascii="Arial" w:hAnsi="Arial" w:cs="Arial"/>
                <w:b/>
                <w:bCs/>
                <w:sz w:val="16"/>
                <w:szCs w:val="16"/>
              </w:rPr>
              <w:t>5,751</w:t>
            </w:r>
          </w:p>
        </w:tc>
        <w:tc>
          <w:tcPr>
            <w:tcW w:w="573" w:type="pct"/>
            <w:tcBorders>
              <w:top w:val="nil"/>
              <w:left w:val="nil"/>
              <w:bottom w:val="nil"/>
              <w:right w:val="nil"/>
            </w:tcBorders>
            <w:shd w:val="clear" w:color="000000" w:fill="E6E6E6"/>
            <w:noWrap/>
            <w:vAlign w:val="bottom"/>
            <w:hideMark/>
          </w:tcPr>
          <w:p w14:paraId="445EB3DF" w14:textId="77777777" w:rsidR="00A77CB9" w:rsidRPr="00F2052E" w:rsidRDefault="00A77CB9" w:rsidP="00A77CB9">
            <w:pPr>
              <w:spacing w:after="0" w:line="240" w:lineRule="auto"/>
              <w:jc w:val="right"/>
              <w:rPr>
                <w:rFonts w:ascii="Arial" w:hAnsi="Arial" w:cs="Arial"/>
                <w:b/>
                <w:bCs/>
                <w:sz w:val="16"/>
                <w:szCs w:val="16"/>
              </w:rPr>
            </w:pPr>
            <w:r w:rsidRPr="00F2052E">
              <w:rPr>
                <w:rFonts w:ascii="Arial" w:hAnsi="Arial" w:cs="Arial"/>
                <w:b/>
                <w:bCs/>
                <w:sz w:val="16"/>
                <w:szCs w:val="16"/>
              </w:rPr>
              <w:t>5,753</w:t>
            </w:r>
          </w:p>
        </w:tc>
        <w:tc>
          <w:tcPr>
            <w:tcW w:w="573" w:type="pct"/>
            <w:tcBorders>
              <w:top w:val="nil"/>
              <w:left w:val="nil"/>
              <w:bottom w:val="nil"/>
              <w:right w:val="nil"/>
            </w:tcBorders>
            <w:shd w:val="clear" w:color="000000" w:fill="FFFFFF"/>
            <w:noWrap/>
            <w:vAlign w:val="bottom"/>
            <w:hideMark/>
          </w:tcPr>
          <w:p w14:paraId="002741BD" w14:textId="77777777" w:rsidR="00A77CB9" w:rsidRPr="00F2052E" w:rsidRDefault="00A77CB9" w:rsidP="00A77CB9">
            <w:pPr>
              <w:spacing w:after="0" w:line="240" w:lineRule="auto"/>
              <w:jc w:val="right"/>
              <w:rPr>
                <w:rFonts w:ascii="Arial" w:hAnsi="Arial" w:cs="Arial"/>
                <w:b/>
                <w:bCs/>
                <w:sz w:val="16"/>
                <w:szCs w:val="16"/>
              </w:rPr>
            </w:pPr>
            <w:r w:rsidRPr="00F2052E">
              <w:rPr>
                <w:rFonts w:ascii="Arial" w:hAnsi="Arial" w:cs="Arial"/>
                <w:b/>
                <w:bCs/>
                <w:sz w:val="16"/>
                <w:szCs w:val="16"/>
              </w:rPr>
              <w:t>5,753</w:t>
            </w:r>
          </w:p>
        </w:tc>
        <w:tc>
          <w:tcPr>
            <w:tcW w:w="573" w:type="pct"/>
            <w:tcBorders>
              <w:top w:val="nil"/>
              <w:left w:val="nil"/>
              <w:bottom w:val="nil"/>
              <w:right w:val="nil"/>
            </w:tcBorders>
            <w:shd w:val="clear" w:color="000000" w:fill="E6E6E6"/>
            <w:noWrap/>
            <w:vAlign w:val="bottom"/>
            <w:hideMark/>
          </w:tcPr>
          <w:p w14:paraId="7D11AD53" w14:textId="77777777" w:rsidR="00A77CB9" w:rsidRPr="00F2052E" w:rsidRDefault="00A77CB9" w:rsidP="00A77CB9">
            <w:pPr>
              <w:spacing w:after="0" w:line="240" w:lineRule="auto"/>
              <w:jc w:val="right"/>
              <w:rPr>
                <w:rFonts w:ascii="Arial" w:hAnsi="Arial" w:cs="Arial"/>
                <w:b/>
                <w:bCs/>
                <w:sz w:val="16"/>
                <w:szCs w:val="16"/>
              </w:rPr>
            </w:pPr>
            <w:r w:rsidRPr="00F2052E">
              <w:rPr>
                <w:rFonts w:ascii="Arial" w:hAnsi="Arial" w:cs="Arial"/>
                <w:b/>
                <w:bCs/>
                <w:sz w:val="16"/>
                <w:szCs w:val="16"/>
              </w:rPr>
              <w:t>5,754</w:t>
            </w:r>
          </w:p>
        </w:tc>
      </w:tr>
      <w:tr w:rsidR="00A77CB9" w:rsidRPr="00F2052E" w14:paraId="09AD6668" w14:textId="77777777" w:rsidTr="00B90578">
        <w:trPr>
          <w:trHeight w:val="204"/>
        </w:trPr>
        <w:tc>
          <w:tcPr>
            <w:tcW w:w="1591" w:type="pct"/>
            <w:tcBorders>
              <w:top w:val="nil"/>
              <w:left w:val="nil"/>
              <w:bottom w:val="nil"/>
              <w:right w:val="nil"/>
            </w:tcBorders>
            <w:shd w:val="clear" w:color="auto" w:fill="auto"/>
            <w:vAlign w:val="bottom"/>
            <w:hideMark/>
          </w:tcPr>
          <w:p w14:paraId="74F3AC9B" w14:textId="2E7E8F62" w:rsidR="00A77CB9" w:rsidRPr="00F2052E" w:rsidRDefault="00A77CB9" w:rsidP="00A77CB9">
            <w:pPr>
              <w:spacing w:after="0" w:line="240" w:lineRule="auto"/>
              <w:rPr>
                <w:rFonts w:ascii="Arial" w:hAnsi="Arial" w:cs="Arial"/>
                <w:sz w:val="16"/>
                <w:szCs w:val="16"/>
              </w:rPr>
            </w:pPr>
            <w:r w:rsidRPr="00F2052E">
              <w:rPr>
                <w:rFonts w:ascii="Arial" w:hAnsi="Arial" w:cs="Arial"/>
                <w:sz w:val="16"/>
                <w:szCs w:val="16"/>
              </w:rPr>
              <w:t>Fighting Scams</w:t>
            </w:r>
            <w:r w:rsidRPr="00F2052E">
              <w:rPr>
                <w:rFonts w:ascii="Arial" w:hAnsi="Arial" w:cs="Arial"/>
                <w:sz w:val="16"/>
                <w:szCs w:val="16"/>
                <w:vertAlign w:val="superscript"/>
              </w:rPr>
              <w:t>(</w:t>
            </w:r>
            <w:r w:rsidR="002C6E3B">
              <w:rPr>
                <w:rFonts w:ascii="Arial" w:hAnsi="Arial" w:cs="Arial"/>
                <w:sz w:val="16"/>
                <w:szCs w:val="16"/>
                <w:vertAlign w:val="superscript"/>
              </w:rPr>
              <w:t>f</w:t>
            </w:r>
            <w:r w:rsidRPr="00F2052E">
              <w:rPr>
                <w:rFonts w:ascii="Arial" w:hAnsi="Arial" w:cs="Arial"/>
                <w:sz w:val="16"/>
                <w:szCs w:val="16"/>
                <w:vertAlign w:val="superscript"/>
              </w:rPr>
              <w:t>)</w:t>
            </w:r>
          </w:p>
        </w:tc>
        <w:tc>
          <w:tcPr>
            <w:tcW w:w="538" w:type="pct"/>
            <w:tcBorders>
              <w:top w:val="nil"/>
              <w:left w:val="nil"/>
              <w:bottom w:val="nil"/>
              <w:right w:val="nil"/>
            </w:tcBorders>
            <w:shd w:val="clear" w:color="auto" w:fill="auto"/>
            <w:noWrap/>
            <w:vAlign w:val="bottom"/>
            <w:hideMark/>
          </w:tcPr>
          <w:p w14:paraId="4331A354" w14:textId="77777777" w:rsidR="00A77CB9" w:rsidRPr="00F2052E" w:rsidRDefault="00A77CB9" w:rsidP="00A77CB9">
            <w:pPr>
              <w:spacing w:after="0" w:line="240" w:lineRule="auto"/>
              <w:jc w:val="center"/>
              <w:rPr>
                <w:rFonts w:ascii="Arial" w:hAnsi="Arial" w:cs="Arial"/>
                <w:sz w:val="16"/>
                <w:szCs w:val="16"/>
              </w:rPr>
            </w:pPr>
            <w:r w:rsidRPr="00F2052E">
              <w:rPr>
                <w:rFonts w:ascii="Arial" w:hAnsi="Arial" w:cs="Arial"/>
                <w:sz w:val="16"/>
                <w:szCs w:val="16"/>
              </w:rPr>
              <w:t>5.2</w:t>
            </w:r>
          </w:p>
        </w:tc>
        <w:tc>
          <w:tcPr>
            <w:tcW w:w="577" w:type="pct"/>
            <w:tcBorders>
              <w:top w:val="nil"/>
              <w:left w:val="nil"/>
              <w:bottom w:val="nil"/>
              <w:right w:val="nil"/>
            </w:tcBorders>
            <w:shd w:val="clear" w:color="000000" w:fill="E6E6E6"/>
            <w:noWrap/>
            <w:vAlign w:val="bottom"/>
            <w:hideMark/>
          </w:tcPr>
          <w:p w14:paraId="6253B271" w14:textId="35185D94" w:rsidR="00A77CB9" w:rsidRPr="00F2052E" w:rsidRDefault="00A77CB9" w:rsidP="00A77CB9">
            <w:pPr>
              <w:spacing w:after="0" w:line="240" w:lineRule="auto"/>
              <w:jc w:val="right"/>
              <w:rPr>
                <w:rFonts w:ascii="Arial" w:hAnsi="Arial" w:cs="Arial"/>
                <w:sz w:val="16"/>
                <w:szCs w:val="16"/>
              </w:rPr>
            </w:pPr>
          </w:p>
        </w:tc>
        <w:tc>
          <w:tcPr>
            <w:tcW w:w="573" w:type="pct"/>
            <w:tcBorders>
              <w:top w:val="nil"/>
              <w:left w:val="nil"/>
              <w:bottom w:val="nil"/>
              <w:right w:val="nil"/>
            </w:tcBorders>
            <w:shd w:val="clear" w:color="000000" w:fill="FFFFFF"/>
            <w:noWrap/>
            <w:vAlign w:val="bottom"/>
            <w:hideMark/>
          </w:tcPr>
          <w:p w14:paraId="3FF18C97" w14:textId="02CAC97E" w:rsidR="00A77CB9" w:rsidRPr="00F2052E" w:rsidRDefault="00A77CB9" w:rsidP="00A77CB9">
            <w:pPr>
              <w:spacing w:after="0" w:line="240" w:lineRule="auto"/>
              <w:jc w:val="right"/>
              <w:rPr>
                <w:rFonts w:ascii="Arial" w:hAnsi="Arial" w:cs="Arial"/>
                <w:sz w:val="16"/>
                <w:szCs w:val="16"/>
              </w:rPr>
            </w:pPr>
          </w:p>
        </w:tc>
        <w:tc>
          <w:tcPr>
            <w:tcW w:w="573" w:type="pct"/>
            <w:tcBorders>
              <w:top w:val="nil"/>
              <w:left w:val="nil"/>
              <w:bottom w:val="nil"/>
              <w:right w:val="nil"/>
            </w:tcBorders>
            <w:shd w:val="clear" w:color="000000" w:fill="E6E6E6"/>
            <w:noWrap/>
            <w:vAlign w:val="bottom"/>
            <w:hideMark/>
          </w:tcPr>
          <w:p w14:paraId="30AB5A24" w14:textId="38A08844" w:rsidR="00A77CB9" w:rsidRPr="00F2052E" w:rsidRDefault="00A77CB9" w:rsidP="00A77CB9">
            <w:pPr>
              <w:spacing w:after="0" w:line="240" w:lineRule="auto"/>
              <w:jc w:val="right"/>
              <w:rPr>
                <w:rFonts w:ascii="Arial" w:hAnsi="Arial" w:cs="Arial"/>
                <w:sz w:val="16"/>
                <w:szCs w:val="16"/>
              </w:rPr>
            </w:pPr>
          </w:p>
        </w:tc>
        <w:tc>
          <w:tcPr>
            <w:tcW w:w="573" w:type="pct"/>
            <w:tcBorders>
              <w:top w:val="nil"/>
              <w:left w:val="nil"/>
              <w:bottom w:val="nil"/>
              <w:right w:val="nil"/>
            </w:tcBorders>
            <w:shd w:val="clear" w:color="000000" w:fill="FFFFFF"/>
            <w:noWrap/>
            <w:vAlign w:val="bottom"/>
            <w:hideMark/>
          </w:tcPr>
          <w:p w14:paraId="38ADF663" w14:textId="019879F7" w:rsidR="00A77CB9" w:rsidRPr="00F2052E" w:rsidRDefault="00A77CB9" w:rsidP="00A77CB9">
            <w:pPr>
              <w:spacing w:after="0" w:line="240" w:lineRule="auto"/>
              <w:jc w:val="right"/>
              <w:rPr>
                <w:rFonts w:ascii="Arial" w:hAnsi="Arial" w:cs="Arial"/>
                <w:sz w:val="16"/>
                <w:szCs w:val="16"/>
              </w:rPr>
            </w:pPr>
          </w:p>
        </w:tc>
        <w:tc>
          <w:tcPr>
            <w:tcW w:w="573" w:type="pct"/>
            <w:tcBorders>
              <w:top w:val="nil"/>
              <w:left w:val="nil"/>
              <w:bottom w:val="nil"/>
              <w:right w:val="nil"/>
            </w:tcBorders>
            <w:shd w:val="clear" w:color="000000" w:fill="E6E6E6"/>
            <w:noWrap/>
            <w:vAlign w:val="bottom"/>
            <w:hideMark/>
          </w:tcPr>
          <w:p w14:paraId="04D20F9B" w14:textId="518BBA5E" w:rsidR="00A77CB9" w:rsidRPr="00F2052E" w:rsidRDefault="00A77CB9" w:rsidP="00A77CB9">
            <w:pPr>
              <w:spacing w:after="0" w:line="240" w:lineRule="auto"/>
              <w:jc w:val="right"/>
              <w:rPr>
                <w:rFonts w:ascii="Arial" w:hAnsi="Arial" w:cs="Arial"/>
                <w:sz w:val="16"/>
                <w:szCs w:val="16"/>
              </w:rPr>
            </w:pPr>
          </w:p>
        </w:tc>
      </w:tr>
      <w:tr w:rsidR="00A77CB9" w:rsidRPr="00F2052E" w14:paraId="6DD68DBE" w14:textId="77777777" w:rsidTr="00B90578">
        <w:trPr>
          <w:trHeight w:val="204"/>
        </w:trPr>
        <w:tc>
          <w:tcPr>
            <w:tcW w:w="1591" w:type="pct"/>
            <w:tcBorders>
              <w:top w:val="nil"/>
              <w:left w:val="nil"/>
              <w:bottom w:val="nil"/>
              <w:right w:val="nil"/>
            </w:tcBorders>
            <w:shd w:val="clear" w:color="auto" w:fill="auto"/>
            <w:vAlign w:val="bottom"/>
            <w:hideMark/>
          </w:tcPr>
          <w:p w14:paraId="5C3E66FE" w14:textId="77777777" w:rsidR="00A77CB9" w:rsidRPr="00F2052E" w:rsidRDefault="00A77CB9" w:rsidP="00A77CB9">
            <w:pPr>
              <w:spacing w:after="0" w:line="240" w:lineRule="auto"/>
              <w:ind w:left="113"/>
              <w:rPr>
                <w:rFonts w:ascii="Arial" w:hAnsi="Arial" w:cs="Arial"/>
                <w:sz w:val="16"/>
                <w:szCs w:val="16"/>
              </w:rPr>
            </w:pPr>
            <w:r w:rsidRPr="00F2052E">
              <w:rPr>
                <w:rFonts w:ascii="Arial" w:hAnsi="Arial" w:cs="Arial"/>
                <w:sz w:val="16"/>
                <w:szCs w:val="16"/>
              </w:rPr>
              <w:t>Departmental payments</w:t>
            </w:r>
          </w:p>
        </w:tc>
        <w:tc>
          <w:tcPr>
            <w:tcW w:w="538" w:type="pct"/>
            <w:tcBorders>
              <w:top w:val="nil"/>
              <w:left w:val="nil"/>
              <w:bottom w:val="nil"/>
              <w:right w:val="nil"/>
            </w:tcBorders>
            <w:shd w:val="clear" w:color="auto" w:fill="auto"/>
            <w:noWrap/>
            <w:vAlign w:val="bottom"/>
            <w:hideMark/>
          </w:tcPr>
          <w:p w14:paraId="6101F57D" w14:textId="77777777" w:rsidR="00A77CB9" w:rsidRPr="00F2052E" w:rsidRDefault="00A77CB9" w:rsidP="00A77CB9">
            <w:pPr>
              <w:spacing w:after="0" w:line="240" w:lineRule="auto"/>
              <w:ind w:firstLineChars="100" w:firstLine="160"/>
              <w:jc w:val="center"/>
              <w:rPr>
                <w:rFonts w:ascii="Arial" w:hAnsi="Arial" w:cs="Arial"/>
                <w:sz w:val="16"/>
                <w:szCs w:val="16"/>
              </w:rPr>
            </w:pPr>
          </w:p>
        </w:tc>
        <w:tc>
          <w:tcPr>
            <w:tcW w:w="577" w:type="pct"/>
            <w:tcBorders>
              <w:top w:val="nil"/>
              <w:left w:val="nil"/>
              <w:bottom w:val="nil"/>
              <w:right w:val="nil"/>
            </w:tcBorders>
            <w:shd w:val="clear" w:color="000000" w:fill="E6E6E6"/>
            <w:noWrap/>
            <w:vAlign w:val="bottom"/>
            <w:hideMark/>
          </w:tcPr>
          <w:p w14:paraId="2333A6BC" w14:textId="38B3254E" w:rsidR="00A77CB9" w:rsidRPr="00F2052E" w:rsidRDefault="00A77CB9" w:rsidP="00A77CB9">
            <w:pPr>
              <w:spacing w:after="0" w:line="240" w:lineRule="auto"/>
              <w:jc w:val="right"/>
              <w:rPr>
                <w:rFonts w:ascii="Arial" w:hAnsi="Arial" w:cs="Arial"/>
                <w:sz w:val="16"/>
                <w:szCs w:val="16"/>
              </w:rPr>
            </w:pPr>
            <w:r w:rsidRPr="00F2052E">
              <w:rPr>
                <w:rFonts w:ascii="Arial" w:hAnsi="Arial" w:cs="Arial"/>
                <w:sz w:val="16"/>
                <w:szCs w:val="16"/>
              </w:rPr>
              <w:t>-</w:t>
            </w:r>
          </w:p>
        </w:tc>
        <w:tc>
          <w:tcPr>
            <w:tcW w:w="573" w:type="pct"/>
            <w:tcBorders>
              <w:top w:val="nil"/>
              <w:left w:val="nil"/>
              <w:bottom w:val="nil"/>
              <w:right w:val="nil"/>
            </w:tcBorders>
            <w:shd w:val="clear" w:color="000000" w:fill="FFFFFF"/>
            <w:noWrap/>
            <w:vAlign w:val="bottom"/>
            <w:hideMark/>
          </w:tcPr>
          <w:p w14:paraId="0F904A79" w14:textId="037998C2" w:rsidR="00A77CB9" w:rsidRPr="00F2052E" w:rsidRDefault="00A77CB9" w:rsidP="00A77CB9">
            <w:pPr>
              <w:spacing w:after="0" w:line="240" w:lineRule="auto"/>
              <w:jc w:val="right"/>
              <w:rPr>
                <w:rFonts w:ascii="Arial" w:hAnsi="Arial" w:cs="Arial"/>
                <w:sz w:val="16"/>
                <w:szCs w:val="16"/>
              </w:rPr>
            </w:pPr>
            <w:r w:rsidRPr="00F2052E">
              <w:rPr>
                <w:rFonts w:ascii="Arial" w:hAnsi="Arial" w:cs="Arial"/>
                <w:sz w:val="16"/>
                <w:szCs w:val="16"/>
              </w:rPr>
              <w:t>181</w:t>
            </w:r>
          </w:p>
        </w:tc>
        <w:tc>
          <w:tcPr>
            <w:tcW w:w="573" w:type="pct"/>
            <w:tcBorders>
              <w:top w:val="nil"/>
              <w:left w:val="nil"/>
              <w:bottom w:val="nil"/>
              <w:right w:val="nil"/>
            </w:tcBorders>
            <w:shd w:val="clear" w:color="000000" w:fill="E6E6E6"/>
            <w:noWrap/>
            <w:vAlign w:val="bottom"/>
            <w:hideMark/>
          </w:tcPr>
          <w:p w14:paraId="2D85C512" w14:textId="17777271" w:rsidR="00A77CB9" w:rsidRPr="00F2052E" w:rsidRDefault="00A77CB9" w:rsidP="00A77CB9">
            <w:pPr>
              <w:spacing w:after="0" w:line="240" w:lineRule="auto"/>
              <w:jc w:val="right"/>
              <w:rPr>
                <w:rFonts w:ascii="Arial" w:hAnsi="Arial" w:cs="Arial"/>
                <w:sz w:val="16"/>
                <w:szCs w:val="16"/>
              </w:rPr>
            </w:pPr>
            <w:r w:rsidRPr="00F2052E">
              <w:rPr>
                <w:rFonts w:ascii="Arial" w:hAnsi="Arial" w:cs="Arial"/>
                <w:sz w:val="16"/>
                <w:szCs w:val="16"/>
              </w:rPr>
              <w:t>74</w:t>
            </w:r>
          </w:p>
        </w:tc>
        <w:tc>
          <w:tcPr>
            <w:tcW w:w="573" w:type="pct"/>
            <w:tcBorders>
              <w:top w:val="nil"/>
              <w:left w:val="nil"/>
              <w:bottom w:val="nil"/>
              <w:right w:val="nil"/>
            </w:tcBorders>
            <w:shd w:val="clear" w:color="000000" w:fill="FFFFFF"/>
            <w:noWrap/>
            <w:vAlign w:val="bottom"/>
            <w:hideMark/>
          </w:tcPr>
          <w:p w14:paraId="7FE61775" w14:textId="26482E46" w:rsidR="00A77CB9" w:rsidRPr="00F2052E" w:rsidRDefault="00A77CB9" w:rsidP="00A77CB9">
            <w:pPr>
              <w:spacing w:after="0" w:line="240" w:lineRule="auto"/>
              <w:jc w:val="right"/>
              <w:rPr>
                <w:rFonts w:ascii="Arial" w:hAnsi="Arial" w:cs="Arial"/>
                <w:b/>
                <w:bCs/>
                <w:sz w:val="16"/>
                <w:szCs w:val="16"/>
              </w:rPr>
            </w:pPr>
            <w:r w:rsidRPr="00F2052E">
              <w:rPr>
                <w:rFonts w:ascii="Arial" w:hAnsi="Arial" w:cs="Arial"/>
                <w:b/>
                <w:bCs/>
                <w:sz w:val="16"/>
                <w:szCs w:val="16"/>
              </w:rPr>
              <w:t>75</w:t>
            </w:r>
          </w:p>
        </w:tc>
        <w:tc>
          <w:tcPr>
            <w:tcW w:w="573" w:type="pct"/>
            <w:tcBorders>
              <w:top w:val="nil"/>
              <w:left w:val="nil"/>
              <w:bottom w:val="nil"/>
              <w:right w:val="nil"/>
            </w:tcBorders>
            <w:shd w:val="clear" w:color="000000" w:fill="E6E6E6"/>
            <w:noWrap/>
            <w:vAlign w:val="bottom"/>
            <w:hideMark/>
          </w:tcPr>
          <w:p w14:paraId="391ECE21" w14:textId="159134A2" w:rsidR="00A77CB9" w:rsidRPr="00F2052E" w:rsidRDefault="00A77CB9" w:rsidP="00A77CB9">
            <w:pPr>
              <w:spacing w:after="0" w:line="240" w:lineRule="auto"/>
              <w:jc w:val="right"/>
              <w:rPr>
                <w:rFonts w:ascii="Arial" w:hAnsi="Arial" w:cs="Arial"/>
                <w:sz w:val="16"/>
                <w:szCs w:val="16"/>
              </w:rPr>
            </w:pPr>
            <w:r w:rsidRPr="00F2052E">
              <w:rPr>
                <w:rFonts w:ascii="Arial" w:hAnsi="Arial" w:cs="Arial"/>
                <w:sz w:val="16"/>
                <w:szCs w:val="16"/>
              </w:rPr>
              <w:t>75</w:t>
            </w:r>
          </w:p>
        </w:tc>
      </w:tr>
      <w:tr w:rsidR="00A77CB9" w:rsidRPr="00F2052E" w14:paraId="0B7007FC" w14:textId="77777777" w:rsidTr="00B90578">
        <w:trPr>
          <w:trHeight w:val="204"/>
        </w:trPr>
        <w:tc>
          <w:tcPr>
            <w:tcW w:w="1591" w:type="pct"/>
            <w:tcBorders>
              <w:top w:val="nil"/>
              <w:left w:val="nil"/>
              <w:bottom w:val="nil"/>
              <w:right w:val="nil"/>
            </w:tcBorders>
            <w:shd w:val="clear" w:color="auto" w:fill="auto"/>
            <w:noWrap/>
            <w:vAlign w:val="bottom"/>
            <w:hideMark/>
          </w:tcPr>
          <w:p w14:paraId="5B08B658" w14:textId="77777777" w:rsidR="00A77CB9" w:rsidRPr="00F2052E" w:rsidRDefault="00A77CB9" w:rsidP="00A77CB9">
            <w:pPr>
              <w:spacing w:after="0" w:line="240" w:lineRule="auto"/>
              <w:rPr>
                <w:rFonts w:ascii="Arial" w:hAnsi="Arial" w:cs="Arial"/>
                <w:b/>
                <w:bCs/>
                <w:sz w:val="16"/>
                <w:szCs w:val="16"/>
              </w:rPr>
            </w:pPr>
            <w:r w:rsidRPr="00F2052E">
              <w:rPr>
                <w:rFonts w:ascii="Arial" w:hAnsi="Arial" w:cs="Arial"/>
                <w:b/>
                <w:bCs/>
                <w:sz w:val="16"/>
                <w:szCs w:val="16"/>
              </w:rPr>
              <w:t xml:space="preserve">Total </w:t>
            </w:r>
          </w:p>
        </w:tc>
        <w:tc>
          <w:tcPr>
            <w:tcW w:w="538" w:type="pct"/>
            <w:tcBorders>
              <w:top w:val="nil"/>
              <w:left w:val="nil"/>
              <w:bottom w:val="nil"/>
              <w:right w:val="nil"/>
            </w:tcBorders>
            <w:shd w:val="clear" w:color="auto" w:fill="auto"/>
            <w:noWrap/>
            <w:vAlign w:val="bottom"/>
            <w:hideMark/>
          </w:tcPr>
          <w:p w14:paraId="784845C7" w14:textId="77777777" w:rsidR="00A77CB9" w:rsidRPr="00F2052E" w:rsidRDefault="00A77CB9" w:rsidP="00A77CB9">
            <w:pPr>
              <w:spacing w:after="0" w:line="240" w:lineRule="auto"/>
              <w:jc w:val="center"/>
              <w:rPr>
                <w:rFonts w:ascii="Arial" w:hAnsi="Arial" w:cs="Arial"/>
                <w:b/>
                <w:bCs/>
                <w:sz w:val="16"/>
                <w:szCs w:val="16"/>
              </w:rPr>
            </w:pPr>
          </w:p>
        </w:tc>
        <w:tc>
          <w:tcPr>
            <w:tcW w:w="577" w:type="pct"/>
            <w:tcBorders>
              <w:top w:val="nil"/>
              <w:left w:val="nil"/>
              <w:bottom w:val="nil"/>
              <w:right w:val="nil"/>
            </w:tcBorders>
            <w:shd w:val="clear" w:color="000000" w:fill="E6E6E6"/>
            <w:noWrap/>
            <w:vAlign w:val="bottom"/>
            <w:hideMark/>
          </w:tcPr>
          <w:p w14:paraId="07A9CE25" w14:textId="60A3E461" w:rsidR="00A77CB9" w:rsidRPr="00F2052E" w:rsidRDefault="00A77CB9" w:rsidP="00A77CB9">
            <w:pPr>
              <w:spacing w:after="0" w:line="240" w:lineRule="auto"/>
              <w:jc w:val="right"/>
              <w:rPr>
                <w:rFonts w:ascii="Arial" w:hAnsi="Arial" w:cs="Arial"/>
                <w:b/>
                <w:bCs/>
                <w:sz w:val="16"/>
                <w:szCs w:val="16"/>
              </w:rPr>
            </w:pPr>
            <w:r w:rsidRPr="00F2052E">
              <w:rPr>
                <w:rFonts w:ascii="Arial" w:hAnsi="Arial" w:cs="Arial"/>
                <w:b/>
                <w:bCs/>
                <w:sz w:val="16"/>
                <w:szCs w:val="16"/>
              </w:rPr>
              <w:t>-</w:t>
            </w:r>
          </w:p>
        </w:tc>
        <w:tc>
          <w:tcPr>
            <w:tcW w:w="573" w:type="pct"/>
            <w:tcBorders>
              <w:top w:val="nil"/>
              <w:left w:val="nil"/>
              <w:bottom w:val="nil"/>
              <w:right w:val="nil"/>
            </w:tcBorders>
            <w:shd w:val="clear" w:color="000000" w:fill="FFFFFF"/>
            <w:noWrap/>
            <w:vAlign w:val="bottom"/>
            <w:hideMark/>
          </w:tcPr>
          <w:p w14:paraId="185615D2" w14:textId="3EC41C9E" w:rsidR="00A77CB9" w:rsidRPr="00F2052E" w:rsidRDefault="00A77CB9" w:rsidP="00A77CB9">
            <w:pPr>
              <w:spacing w:after="0" w:line="240" w:lineRule="auto"/>
              <w:jc w:val="right"/>
              <w:rPr>
                <w:rFonts w:ascii="Arial" w:hAnsi="Arial" w:cs="Arial"/>
                <w:b/>
                <w:bCs/>
                <w:sz w:val="16"/>
                <w:szCs w:val="16"/>
              </w:rPr>
            </w:pPr>
            <w:r w:rsidRPr="00F2052E">
              <w:rPr>
                <w:rFonts w:ascii="Arial" w:hAnsi="Arial" w:cs="Arial"/>
                <w:b/>
                <w:bCs/>
                <w:sz w:val="16"/>
                <w:szCs w:val="16"/>
              </w:rPr>
              <w:t>181</w:t>
            </w:r>
          </w:p>
        </w:tc>
        <w:tc>
          <w:tcPr>
            <w:tcW w:w="573" w:type="pct"/>
            <w:tcBorders>
              <w:top w:val="nil"/>
              <w:left w:val="nil"/>
              <w:bottom w:val="nil"/>
              <w:right w:val="nil"/>
            </w:tcBorders>
            <w:shd w:val="clear" w:color="000000" w:fill="E6E6E6"/>
            <w:noWrap/>
            <w:vAlign w:val="bottom"/>
            <w:hideMark/>
          </w:tcPr>
          <w:p w14:paraId="398FCB7E" w14:textId="38AFF495" w:rsidR="00A77CB9" w:rsidRPr="00F2052E" w:rsidRDefault="00A77CB9" w:rsidP="00A77CB9">
            <w:pPr>
              <w:spacing w:after="0" w:line="240" w:lineRule="auto"/>
              <w:jc w:val="right"/>
              <w:rPr>
                <w:rFonts w:ascii="Arial" w:hAnsi="Arial" w:cs="Arial"/>
                <w:b/>
                <w:bCs/>
                <w:sz w:val="16"/>
                <w:szCs w:val="16"/>
              </w:rPr>
            </w:pPr>
            <w:r w:rsidRPr="00F2052E">
              <w:rPr>
                <w:rFonts w:ascii="Arial" w:hAnsi="Arial" w:cs="Arial"/>
                <w:b/>
                <w:bCs/>
                <w:sz w:val="16"/>
                <w:szCs w:val="16"/>
              </w:rPr>
              <w:t>74</w:t>
            </w:r>
          </w:p>
        </w:tc>
        <w:tc>
          <w:tcPr>
            <w:tcW w:w="573" w:type="pct"/>
            <w:tcBorders>
              <w:top w:val="nil"/>
              <w:left w:val="nil"/>
              <w:bottom w:val="nil"/>
              <w:right w:val="nil"/>
            </w:tcBorders>
            <w:shd w:val="clear" w:color="000000" w:fill="FFFFFF"/>
            <w:noWrap/>
            <w:vAlign w:val="bottom"/>
            <w:hideMark/>
          </w:tcPr>
          <w:p w14:paraId="5C7E6F12" w14:textId="77A5FB6C" w:rsidR="00A77CB9" w:rsidRPr="00F2052E" w:rsidRDefault="00A77CB9" w:rsidP="00A77CB9">
            <w:pPr>
              <w:spacing w:after="0" w:line="240" w:lineRule="auto"/>
              <w:jc w:val="right"/>
              <w:rPr>
                <w:rFonts w:ascii="Arial" w:hAnsi="Arial" w:cs="Arial"/>
                <w:b/>
                <w:bCs/>
                <w:sz w:val="16"/>
                <w:szCs w:val="16"/>
              </w:rPr>
            </w:pPr>
            <w:r w:rsidRPr="00F2052E">
              <w:rPr>
                <w:rFonts w:ascii="Arial" w:hAnsi="Arial" w:cs="Arial"/>
                <w:b/>
                <w:bCs/>
                <w:sz w:val="16"/>
                <w:szCs w:val="16"/>
              </w:rPr>
              <w:t>75</w:t>
            </w:r>
          </w:p>
        </w:tc>
        <w:tc>
          <w:tcPr>
            <w:tcW w:w="573" w:type="pct"/>
            <w:tcBorders>
              <w:top w:val="nil"/>
              <w:left w:val="nil"/>
              <w:bottom w:val="nil"/>
              <w:right w:val="nil"/>
            </w:tcBorders>
            <w:shd w:val="clear" w:color="000000" w:fill="E6E6E6"/>
            <w:noWrap/>
            <w:vAlign w:val="bottom"/>
            <w:hideMark/>
          </w:tcPr>
          <w:p w14:paraId="7977FE9F" w14:textId="00409BA5" w:rsidR="00A77CB9" w:rsidRPr="00F2052E" w:rsidRDefault="00A77CB9" w:rsidP="00A77CB9">
            <w:pPr>
              <w:spacing w:after="0" w:line="240" w:lineRule="auto"/>
              <w:jc w:val="right"/>
              <w:rPr>
                <w:rFonts w:ascii="Arial" w:hAnsi="Arial" w:cs="Arial"/>
                <w:b/>
                <w:bCs/>
                <w:sz w:val="16"/>
                <w:szCs w:val="16"/>
              </w:rPr>
            </w:pPr>
            <w:r w:rsidRPr="00F2052E">
              <w:rPr>
                <w:rFonts w:ascii="Arial" w:hAnsi="Arial" w:cs="Arial"/>
                <w:b/>
                <w:bCs/>
                <w:sz w:val="16"/>
                <w:szCs w:val="16"/>
              </w:rPr>
              <w:t>75</w:t>
            </w:r>
          </w:p>
        </w:tc>
      </w:tr>
      <w:tr w:rsidR="00A77CB9" w:rsidRPr="00F2052E" w14:paraId="194ABE36" w14:textId="77777777" w:rsidTr="00B90578">
        <w:trPr>
          <w:trHeight w:val="204"/>
        </w:trPr>
        <w:tc>
          <w:tcPr>
            <w:tcW w:w="1591" w:type="pct"/>
            <w:tcBorders>
              <w:top w:val="nil"/>
              <w:left w:val="nil"/>
              <w:bottom w:val="nil"/>
              <w:right w:val="nil"/>
            </w:tcBorders>
            <w:shd w:val="clear" w:color="auto" w:fill="auto"/>
            <w:vAlign w:val="bottom"/>
            <w:hideMark/>
          </w:tcPr>
          <w:p w14:paraId="63EF0983" w14:textId="77777777" w:rsidR="00A77CB9" w:rsidRPr="00F2052E" w:rsidRDefault="00A77CB9" w:rsidP="00A77CB9">
            <w:pPr>
              <w:spacing w:after="0" w:line="240" w:lineRule="auto"/>
              <w:rPr>
                <w:rFonts w:ascii="Arial" w:hAnsi="Arial" w:cs="Arial"/>
                <w:sz w:val="16"/>
                <w:szCs w:val="16"/>
              </w:rPr>
            </w:pPr>
            <w:r w:rsidRPr="00F2052E">
              <w:rPr>
                <w:rFonts w:ascii="Arial" w:hAnsi="Arial" w:cs="Arial"/>
                <w:sz w:val="16"/>
                <w:szCs w:val="16"/>
              </w:rPr>
              <w:t>Funding for Territories</w:t>
            </w:r>
          </w:p>
        </w:tc>
        <w:tc>
          <w:tcPr>
            <w:tcW w:w="538" w:type="pct"/>
            <w:tcBorders>
              <w:top w:val="nil"/>
              <w:left w:val="nil"/>
              <w:bottom w:val="nil"/>
              <w:right w:val="nil"/>
            </w:tcBorders>
            <w:shd w:val="clear" w:color="auto" w:fill="auto"/>
            <w:noWrap/>
            <w:vAlign w:val="bottom"/>
            <w:hideMark/>
          </w:tcPr>
          <w:p w14:paraId="644CE4EB" w14:textId="38E48BA7" w:rsidR="00A77CB9" w:rsidRPr="00F2052E" w:rsidRDefault="00A77CB9" w:rsidP="00A77CB9">
            <w:pPr>
              <w:spacing w:after="0" w:line="240" w:lineRule="auto"/>
              <w:jc w:val="center"/>
              <w:rPr>
                <w:rFonts w:ascii="Arial" w:hAnsi="Arial" w:cs="Arial"/>
                <w:sz w:val="16"/>
                <w:szCs w:val="16"/>
              </w:rPr>
            </w:pPr>
            <w:r w:rsidRPr="00F2052E">
              <w:rPr>
                <w:rFonts w:ascii="Arial" w:hAnsi="Arial" w:cs="Arial"/>
                <w:sz w:val="16"/>
                <w:szCs w:val="16"/>
              </w:rPr>
              <w:t>4.1,</w:t>
            </w:r>
            <w:r>
              <w:rPr>
                <w:rFonts w:ascii="Arial" w:hAnsi="Arial" w:cs="Arial"/>
                <w:sz w:val="16"/>
                <w:szCs w:val="16"/>
              </w:rPr>
              <w:t xml:space="preserve"> </w:t>
            </w:r>
            <w:r w:rsidRPr="00F2052E">
              <w:rPr>
                <w:rFonts w:ascii="Arial" w:hAnsi="Arial" w:cs="Arial"/>
                <w:sz w:val="16"/>
                <w:szCs w:val="16"/>
              </w:rPr>
              <w:t>4.2</w:t>
            </w:r>
          </w:p>
        </w:tc>
        <w:tc>
          <w:tcPr>
            <w:tcW w:w="577" w:type="pct"/>
            <w:tcBorders>
              <w:top w:val="nil"/>
              <w:left w:val="nil"/>
              <w:bottom w:val="nil"/>
              <w:right w:val="nil"/>
            </w:tcBorders>
            <w:shd w:val="clear" w:color="000000" w:fill="E6E6E6"/>
            <w:noWrap/>
            <w:vAlign w:val="bottom"/>
            <w:hideMark/>
          </w:tcPr>
          <w:p w14:paraId="74F6EEA6" w14:textId="11AFD3AA" w:rsidR="00A77CB9" w:rsidRPr="00F2052E" w:rsidRDefault="00A77CB9" w:rsidP="00A77CB9">
            <w:pPr>
              <w:spacing w:after="0" w:line="240" w:lineRule="auto"/>
              <w:jc w:val="right"/>
              <w:rPr>
                <w:rFonts w:ascii="Arial" w:hAnsi="Arial" w:cs="Arial"/>
                <w:sz w:val="16"/>
                <w:szCs w:val="16"/>
              </w:rPr>
            </w:pPr>
          </w:p>
        </w:tc>
        <w:tc>
          <w:tcPr>
            <w:tcW w:w="573" w:type="pct"/>
            <w:tcBorders>
              <w:top w:val="nil"/>
              <w:left w:val="nil"/>
              <w:bottom w:val="nil"/>
              <w:right w:val="nil"/>
            </w:tcBorders>
            <w:shd w:val="clear" w:color="000000" w:fill="FFFFFF"/>
            <w:noWrap/>
            <w:vAlign w:val="bottom"/>
            <w:hideMark/>
          </w:tcPr>
          <w:p w14:paraId="402E49FF" w14:textId="2157EE50" w:rsidR="00A77CB9" w:rsidRPr="00F2052E" w:rsidRDefault="00A77CB9" w:rsidP="00A77CB9">
            <w:pPr>
              <w:spacing w:after="0" w:line="240" w:lineRule="auto"/>
              <w:jc w:val="right"/>
              <w:rPr>
                <w:rFonts w:ascii="Arial" w:hAnsi="Arial" w:cs="Arial"/>
                <w:sz w:val="16"/>
                <w:szCs w:val="16"/>
              </w:rPr>
            </w:pPr>
          </w:p>
        </w:tc>
        <w:tc>
          <w:tcPr>
            <w:tcW w:w="573" w:type="pct"/>
            <w:tcBorders>
              <w:top w:val="nil"/>
              <w:left w:val="nil"/>
              <w:bottom w:val="nil"/>
              <w:right w:val="nil"/>
            </w:tcBorders>
            <w:shd w:val="clear" w:color="000000" w:fill="E6E6E6"/>
            <w:noWrap/>
            <w:vAlign w:val="bottom"/>
            <w:hideMark/>
          </w:tcPr>
          <w:p w14:paraId="4AD9807F" w14:textId="455E2677" w:rsidR="00A77CB9" w:rsidRPr="00F2052E" w:rsidRDefault="00A77CB9" w:rsidP="00A77CB9">
            <w:pPr>
              <w:spacing w:after="0" w:line="240" w:lineRule="auto"/>
              <w:jc w:val="right"/>
              <w:rPr>
                <w:rFonts w:ascii="Arial" w:hAnsi="Arial" w:cs="Arial"/>
                <w:sz w:val="16"/>
                <w:szCs w:val="16"/>
              </w:rPr>
            </w:pPr>
          </w:p>
        </w:tc>
        <w:tc>
          <w:tcPr>
            <w:tcW w:w="573" w:type="pct"/>
            <w:tcBorders>
              <w:top w:val="nil"/>
              <w:left w:val="nil"/>
              <w:bottom w:val="nil"/>
              <w:right w:val="nil"/>
            </w:tcBorders>
            <w:shd w:val="clear" w:color="000000" w:fill="FFFFFF"/>
            <w:noWrap/>
            <w:vAlign w:val="bottom"/>
            <w:hideMark/>
          </w:tcPr>
          <w:p w14:paraId="15235F35" w14:textId="47F66DEF" w:rsidR="00A77CB9" w:rsidRPr="00F2052E" w:rsidRDefault="00A77CB9" w:rsidP="00A77CB9">
            <w:pPr>
              <w:spacing w:after="0" w:line="240" w:lineRule="auto"/>
              <w:jc w:val="right"/>
              <w:rPr>
                <w:rFonts w:ascii="Arial" w:hAnsi="Arial" w:cs="Arial"/>
                <w:sz w:val="16"/>
                <w:szCs w:val="16"/>
              </w:rPr>
            </w:pPr>
          </w:p>
        </w:tc>
        <w:tc>
          <w:tcPr>
            <w:tcW w:w="573" w:type="pct"/>
            <w:tcBorders>
              <w:top w:val="nil"/>
              <w:left w:val="nil"/>
              <w:bottom w:val="nil"/>
              <w:right w:val="nil"/>
            </w:tcBorders>
            <w:shd w:val="clear" w:color="000000" w:fill="E6E6E6"/>
            <w:noWrap/>
            <w:vAlign w:val="bottom"/>
            <w:hideMark/>
          </w:tcPr>
          <w:p w14:paraId="09082A48" w14:textId="53E44755" w:rsidR="00A77CB9" w:rsidRPr="00F2052E" w:rsidRDefault="00A77CB9" w:rsidP="00A77CB9">
            <w:pPr>
              <w:spacing w:after="0" w:line="240" w:lineRule="auto"/>
              <w:jc w:val="right"/>
              <w:rPr>
                <w:rFonts w:ascii="Arial" w:hAnsi="Arial" w:cs="Arial"/>
                <w:sz w:val="16"/>
                <w:szCs w:val="16"/>
              </w:rPr>
            </w:pPr>
          </w:p>
        </w:tc>
      </w:tr>
      <w:tr w:rsidR="00A77CB9" w:rsidRPr="00F2052E" w14:paraId="562AEB26" w14:textId="77777777" w:rsidTr="00B90578">
        <w:trPr>
          <w:trHeight w:val="204"/>
        </w:trPr>
        <w:tc>
          <w:tcPr>
            <w:tcW w:w="1591" w:type="pct"/>
            <w:tcBorders>
              <w:top w:val="nil"/>
              <w:left w:val="nil"/>
              <w:bottom w:val="nil"/>
              <w:right w:val="nil"/>
            </w:tcBorders>
            <w:shd w:val="clear" w:color="auto" w:fill="auto"/>
            <w:vAlign w:val="bottom"/>
            <w:hideMark/>
          </w:tcPr>
          <w:p w14:paraId="636FDDFB" w14:textId="77777777" w:rsidR="00A77CB9" w:rsidRPr="00F2052E" w:rsidRDefault="00A77CB9" w:rsidP="00A77CB9">
            <w:pPr>
              <w:spacing w:after="0" w:line="240" w:lineRule="auto"/>
              <w:ind w:left="113"/>
              <w:rPr>
                <w:rFonts w:ascii="Arial" w:hAnsi="Arial" w:cs="Arial"/>
                <w:sz w:val="16"/>
                <w:szCs w:val="16"/>
              </w:rPr>
            </w:pPr>
            <w:r w:rsidRPr="00F2052E">
              <w:rPr>
                <w:rFonts w:ascii="Arial" w:hAnsi="Arial" w:cs="Arial"/>
                <w:sz w:val="16"/>
                <w:szCs w:val="16"/>
              </w:rPr>
              <w:t>Administered payments</w:t>
            </w:r>
          </w:p>
        </w:tc>
        <w:tc>
          <w:tcPr>
            <w:tcW w:w="538" w:type="pct"/>
            <w:tcBorders>
              <w:top w:val="nil"/>
              <w:left w:val="nil"/>
              <w:bottom w:val="nil"/>
              <w:right w:val="nil"/>
            </w:tcBorders>
            <w:shd w:val="clear" w:color="auto" w:fill="auto"/>
            <w:noWrap/>
            <w:vAlign w:val="bottom"/>
            <w:hideMark/>
          </w:tcPr>
          <w:p w14:paraId="55A3C125" w14:textId="77777777" w:rsidR="00A77CB9" w:rsidRPr="00F2052E" w:rsidRDefault="00A77CB9" w:rsidP="00A77CB9">
            <w:pPr>
              <w:spacing w:after="0" w:line="240" w:lineRule="auto"/>
              <w:ind w:firstLineChars="100" w:firstLine="160"/>
              <w:jc w:val="center"/>
              <w:rPr>
                <w:rFonts w:ascii="Arial" w:hAnsi="Arial" w:cs="Arial"/>
                <w:sz w:val="16"/>
                <w:szCs w:val="16"/>
              </w:rPr>
            </w:pPr>
          </w:p>
        </w:tc>
        <w:tc>
          <w:tcPr>
            <w:tcW w:w="577" w:type="pct"/>
            <w:tcBorders>
              <w:top w:val="nil"/>
              <w:left w:val="nil"/>
              <w:bottom w:val="nil"/>
              <w:right w:val="nil"/>
            </w:tcBorders>
            <w:shd w:val="clear" w:color="000000" w:fill="E6E6E6"/>
            <w:noWrap/>
            <w:vAlign w:val="bottom"/>
            <w:hideMark/>
          </w:tcPr>
          <w:p w14:paraId="063595EA" w14:textId="5A8D3B52" w:rsidR="00A77CB9" w:rsidRPr="00F2052E" w:rsidRDefault="00A77CB9" w:rsidP="00A77CB9">
            <w:pPr>
              <w:spacing w:after="0" w:line="240" w:lineRule="auto"/>
              <w:jc w:val="right"/>
              <w:rPr>
                <w:rFonts w:ascii="Arial" w:hAnsi="Arial" w:cs="Arial"/>
                <w:sz w:val="16"/>
                <w:szCs w:val="16"/>
              </w:rPr>
            </w:pPr>
            <w:r w:rsidRPr="00F2052E">
              <w:rPr>
                <w:rFonts w:ascii="Arial" w:hAnsi="Arial" w:cs="Arial"/>
                <w:sz w:val="16"/>
                <w:szCs w:val="16"/>
              </w:rPr>
              <w:t>-</w:t>
            </w:r>
          </w:p>
        </w:tc>
        <w:tc>
          <w:tcPr>
            <w:tcW w:w="573" w:type="pct"/>
            <w:tcBorders>
              <w:top w:val="nil"/>
              <w:left w:val="nil"/>
              <w:bottom w:val="nil"/>
              <w:right w:val="nil"/>
            </w:tcBorders>
            <w:shd w:val="clear" w:color="000000" w:fill="FFFFFF"/>
            <w:noWrap/>
            <w:vAlign w:val="bottom"/>
            <w:hideMark/>
          </w:tcPr>
          <w:p w14:paraId="50C4F3F2" w14:textId="2EC7BC8D" w:rsidR="00A77CB9" w:rsidRPr="00F2052E" w:rsidRDefault="00A77CB9" w:rsidP="00A77CB9">
            <w:pPr>
              <w:spacing w:after="0" w:line="240" w:lineRule="auto"/>
              <w:jc w:val="right"/>
              <w:rPr>
                <w:rFonts w:ascii="Arial" w:hAnsi="Arial" w:cs="Arial"/>
                <w:sz w:val="16"/>
                <w:szCs w:val="16"/>
              </w:rPr>
            </w:pPr>
            <w:r w:rsidRPr="00F2052E">
              <w:rPr>
                <w:rFonts w:ascii="Arial" w:hAnsi="Arial" w:cs="Arial"/>
                <w:sz w:val="16"/>
                <w:szCs w:val="16"/>
              </w:rPr>
              <w:t>1,325</w:t>
            </w:r>
          </w:p>
        </w:tc>
        <w:tc>
          <w:tcPr>
            <w:tcW w:w="573" w:type="pct"/>
            <w:tcBorders>
              <w:top w:val="nil"/>
              <w:left w:val="nil"/>
              <w:bottom w:val="nil"/>
              <w:right w:val="nil"/>
            </w:tcBorders>
            <w:shd w:val="clear" w:color="000000" w:fill="E6E6E6"/>
            <w:noWrap/>
            <w:vAlign w:val="bottom"/>
            <w:hideMark/>
          </w:tcPr>
          <w:p w14:paraId="2ECF5EC3" w14:textId="0624BD96" w:rsidR="00A77CB9" w:rsidRPr="00F2052E" w:rsidRDefault="00A77CB9" w:rsidP="00A77CB9">
            <w:pPr>
              <w:spacing w:after="0" w:line="240" w:lineRule="auto"/>
              <w:jc w:val="right"/>
              <w:rPr>
                <w:rFonts w:ascii="Arial" w:hAnsi="Arial" w:cs="Arial"/>
                <w:sz w:val="16"/>
                <w:szCs w:val="16"/>
              </w:rPr>
            </w:pPr>
            <w:r w:rsidRPr="00F2052E">
              <w:rPr>
                <w:rFonts w:ascii="Arial" w:hAnsi="Arial" w:cs="Arial"/>
                <w:sz w:val="16"/>
                <w:szCs w:val="16"/>
              </w:rPr>
              <w:t>1,869</w:t>
            </w:r>
          </w:p>
        </w:tc>
        <w:tc>
          <w:tcPr>
            <w:tcW w:w="573" w:type="pct"/>
            <w:tcBorders>
              <w:top w:val="nil"/>
              <w:left w:val="nil"/>
              <w:bottom w:val="nil"/>
              <w:right w:val="nil"/>
            </w:tcBorders>
            <w:shd w:val="clear" w:color="000000" w:fill="FFFFFF"/>
            <w:noWrap/>
            <w:vAlign w:val="bottom"/>
            <w:hideMark/>
          </w:tcPr>
          <w:p w14:paraId="64731C21" w14:textId="05E82CFD" w:rsidR="00A77CB9" w:rsidRPr="00F2052E" w:rsidRDefault="00A77CB9" w:rsidP="00A77CB9">
            <w:pPr>
              <w:spacing w:after="0" w:line="240" w:lineRule="auto"/>
              <w:jc w:val="right"/>
              <w:rPr>
                <w:rFonts w:ascii="Arial" w:hAnsi="Arial" w:cs="Arial"/>
                <w:sz w:val="16"/>
                <w:szCs w:val="16"/>
              </w:rPr>
            </w:pPr>
            <w:r w:rsidRPr="00F2052E">
              <w:rPr>
                <w:rFonts w:ascii="Arial" w:hAnsi="Arial" w:cs="Arial"/>
                <w:sz w:val="16"/>
                <w:szCs w:val="16"/>
              </w:rPr>
              <w:t>19,980</w:t>
            </w:r>
          </w:p>
        </w:tc>
        <w:tc>
          <w:tcPr>
            <w:tcW w:w="573" w:type="pct"/>
            <w:tcBorders>
              <w:top w:val="nil"/>
              <w:left w:val="nil"/>
              <w:bottom w:val="nil"/>
              <w:right w:val="nil"/>
            </w:tcBorders>
            <w:shd w:val="clear" w:color="000000" w:fill="E6E6E6"/>
            <w:noWrap/>
            <w:vAlign w:val="bottom"/>
            <w:hideMark/>
          </w:tcPr>
          <w:p w14:paraId="2F0B0E28" w14:textId="49CD1836" w:rsidR="00A77CB9" w:rsidRPr="00F2052E" w:rsidRDefault="00A77CB9" w:rsidP="00A77CB9">
            <w:pPr>
              <w:spacing w:after="0" w:line="240" w:lineRule="auto"/>
              <w:jc w:val="right"/>
              <w:rPr>
                <w:rFonts w:ascii="Arial" w:hAnsi="Arial" w:cs="Arial"/>
                <w:sz w:val="16"/>
                <w:szCs w:val="16"/>
              </w:rPr>
            </w:pPr>
            <w:r w:rsidRPr="00F2052E">
              <w:rPr>
                <w:rFonts w:ascii="Arial" w:hAnsi="Arial" w:cs="Arial"/>
                <w:sz w:val="16"/>
                <w:szCs w:val="16"/>
              </w:rPr>
              <w:t>188</w:t>
            </w:r>
          </w:p>
        </w:tc>
      </w:tr>
      <w:tr w:rsidR="00A77CB9" w:rsidRPr="00F2052E" w14:paraId="20973CDE" w14:textId="77777777" w:rsidTr="00B90578">
        <w:trPr>
          <w:trHeight w:val="204"/>
        </w:trPr>
        <w:tc>
          <w:tcPr>
            <w:tcW w:w="1591" w:type="pct"/>
            <w:tcBorders>
              <w:top w:val="nil"/>
              <w:left w:val="nil"/>
              <w:bottom w:val="nil"/>
              <w:right w:val="nil"/>
            </w:tcBorders>
            <w:shd w:val="clear" w:color="auto" w:fill="auto"/>
            <w:vAlign w:val="bottom"/>
            <w:hideMark/>
          </w:tcPr>
          <w:p w14:paraId="478BE9BF" w14:textId="77777777" w:rsidR="00A77CB9" w:rsidRPr="00F2052E" w:rsidRDefault="00A77CB9" w:rsidP="00A77CB9">
            <w:pPr>
              <w:spacing w:after="0" w:line="240" w:lineRule="auto"/>
              <w:ind w:left="113"/>
              <w:rPr>
                <w:rFonts w:ascii="Arial" w:hAnsi="Arial" w:cs="Arial"/>
                <w:sz w:val="16"/>
                <w:szCs w:val="16"/>
              </w:rPr>
            </w:pPr>
            <w:r w:rsidRPr="00F2052E">
              <w:rPr>
                <w:rFonts w:ascii="Arial" w:hAnsi="Arial" w:cs="Arial"/>
                <w:sz w:val="16"/>
                <w:szCs w:val="16"/>
              </w:rPr>
              <w:t>Departmental payments</w:t>
            </w:r>
          </w:p>
        </w:tc>
        <w:tc>
          <w:tcPr>
            <w:tcW w:w="538" w:type="pct"/>
            <w:tcBorders>
              <w:top w:val="nil"/>
              <w:left w:val="nil"/>
              <w:bottom w:val="nil"/>
              <w:right w:val="nil"/>
            </w:tcBorders>
            <w:shd w:val="clear" w:color="auto" w:fill="auto"/>
            <w:noWrap/>
            <w:vAlign w:val="bottom"/>
            <w:hideMark/>
          </w:tcPr>
          <w:p w14:paraId="5D930F2A" w14:textId="77777777" w:rsidR="00A77CB9" w:rsidRPr="00F2052E" w:rsidRDefault="00A77CB9" w:rsidP="00A77CB9">
            <w:pPr>
              <w:spacing w:after="0" w:line="240" w:lineRule="auto"/>
              <w:ind w:firstLineChars="100" w:firstLine="160"/>
              <w:jc w:val="center"/>
              <w:rPr>
                <w:rFonts w:ascii="Arial" w:hAnsi="Arial" w:cs="Arial"/>
                <w:sz w:val="16"/>
                <w:szCs w:val="16"/>
              </w:rPr>
            </w:pPr>
          </w:p>
        </w:tc>
        <w:tc>
          <w:tcPr>
            <w:tcW w:w="577" w:type="pct"/>
            <w:tcBorders>
              <w:top w:val="nil"/>
              <w:left w:val="nil"/>
              <w:bottom w:val="nil"/>
              <w:right w:val="nil"/>
            </w:tcBorders>
            <w:shd w:val="clear" w:color="000000" w:fill="E6E6E6"/>
            <w:noWrap/>
            <w:vAlign w:val="bottom"/>
            <w:hideMark/>
          </w:tcPr>
          <w:p w14:paraId="6DB9A2BC" w14:textId="48E60D74" w:rsidR="00A77CB9" w:rsidRPr="00F2052E" w:rsidRDefault="00A77CB9" w:rsidP="00A77CB9">
            <w:pPr>
              <w:spacing w:after="0" w:line="240" w:lineRule="auto"/>
              <w:jc w:val="right"/>
              <w:rPr>
                <w:rFonts w:ascii="Arial" w:hAnsi="Arial" w:cs="Arial"/>
                <w:sz w:val="16"/>
                <w:szCs w:val="16"/>
              </w:rPr>
            </w:pPr>
            <w:r w:rsidRPr="00F2052E">
              <w:rPr>
                <w:rFonts w:ascii="Arial" w:hAnsi="Arial" w:cs="Arial"/>
                <w:sz w:val="16"/>
                <w:szCs w:val="16"/>
              </w:rPr>
              <w:t>-</w:t>
            </w:r>
          </w:p>
        </w:tc>
        <w:tc>
          <w:tcPr>
            <w:tcW w:w="573" w:type="pct"/>
            <w:tcBorders>
              <w:top w:val="nil"/>
              <w:left w:val="nil"/>
              <w:bottom w:val="nil"/>
              <w:right w:val="nil"/>
            </w:tcBorders>
            <w:shd w:val="clear" w:color="000000" w:fill="FFFFFF"/>
            <w:noWrap/>
            <w:vAlign w:val="bottom"/>
            <w:hideMark/>
          </w:tcPr>
          <w:p w14:paraId="05A4F665" w14:textId="710FC5A7" w:rsidR="00A77CB9" w:rsidRPr="00F2052E" w:rsidRDefault="00A77CB9" w:rsidP="00A77CB9">
            <w:pPr>
              <w:spacing w:after="0" w:line="240" w:lineRule="auto"/>
              <w:jc w:val="right"/>
              <w:rPr>
                <w:rFonts w:ascii="Arial" w:hAnsi="Arial" w:cs="Arial"/>
                <w:sz w:val="16"/>
                <w:szCs w:val="16"/>
              </w:rPr>
            </w:pPr>
            <w:r w:rsidRPr="00F2052E">
              <w:rPr>
                <w:rFonts w:ascii="Arial" w:hAnsi="Arial" w:cs="Arial"/>
                <w:sz w:val="16"/>
                <w:szCs w:val="16"/>
              </w:rPr>
              <w:t>3,246</w:t>
            </w:r>
          </w:p>
        </w:tc>
        <w:tc>
          <w:tcPr>
            <w:tcW w:w="573" w:type="pct"/>
            <w:tcBorders>
              <w:top w:val="nil"/>
              <w:left w:val="nil"/>
              <w:bottom w:val="nil"/>
              <w:right w:val="nil"/>
            </w:tcBorders>
            <w:shd w:val="clear" w:color="000000" w:fill="E6E6E6"/>
            <w:noWrap/>
            <w:vAlign w:val="bottom"/>
            <w:hideMark/>
          </w:tcPr>
          <w:p w14:paraId="248D29FB" w14:textId="32F4D416" w:rsidR="00A77CB9" w:rsidRPr="00F2052E" w:rsidRDefault="00A77CB9" w:rsidP="00A77CB9">
            <w:pPr>
              <w:spacing w:after="0" w:line="240" w:lineRule="auto"/>
              <w:jc w:val="right"/>
              <w:rPr>
                <w:rFonts w:ascii="Arial" w:hAnsi="Arial" w:cs="Arial"/>
                <w:sz w:val="16"/>
                <w:szCs w:val="16"/>
              </w:rPr>
            </w:pPr>
            <w:r w:rsidRPr="00F2052E">
              <w:rPr>
                <w:rFonts w:ascii="Arial" w:hAnsi="Arial" w:cs="Arial"/>
                <w:sz w:val="16"/>
                <w:szCs w:val="16"/>
              </w:rPr>
              <w:t>2,245</w:t>
            </w:r>
          </w:p>
        </w:tc>
        <w:tc>
          <w:tcPr>
            <w:tcW w:w="573" w:type="pct"/>
            <w:tcBorders>
              <w:top w:val="nil"/>
              <w:left w:val="nil"/>
              <w:bottom w:val="nil"/>
              <w:right w:val="nil"/>
            </w:tcBorders>
            <w:shd w:val="clear" w:color="000000" w:fill="FFFFFF"/>
            <w:noWrap/>
            <w:vAlign w:val="bottom"/>
            <w:hideMark/>
          </w:tcPr>
          <w:p w14:paraId="569038E1" w14:textId="7C3E220A" w:rsidR="00A77CB9" w:rsidRPr="00F2052E" w:rsidRDefault="00A77CB9" w:rsidP="00A77CB9">
            <w:pPr>
              <w:spacing w:after="0" w:line="240" w:lineRule="auto"/>
              <w:jc w:val="right"/>
              <w:rPr>
                <w:rFonts w:ascii="Arial" w:hAnsi="Arial" w:cs="Arial"/>
                <w:sz w:val="16"/>
                <w:szCs w:val="16"/>
              </w:rPr>
            </w:pPr>
            <w:r w:rsidRPr="00F2052E">
              <w:rPr>
                <w:rFonts w:ascii="Arial" w:hAnsi="Arial" w:cs="Arial"/>
                <w:sz w:val="16"/>
                <w:szCs w:val="16"/>
              </w:rPr>
              <w:t>1,759</w:t>
            </w:r>
          </w:p>
        </w:tc>
        <w:tc>
          <w:tcPr>
            <w:tcW w:w="573" w:type="pct"/>
            <w:tcBorders>
              <w:top w:val="nil"/>
              <w:left w:val="nil"/>
              <w:bottom w:val="nil"/>
              <w:right w:val="nil"/>
            </w:tcBorders>
            <w:shd w:val="clear" w:color="000000" w:fill="E6E6E6"/>
            <w:noWrap/>
            <w:vAlign w:val="bottom"/>
            <w:hideMark/>
          </w:tcPr>
          <w:p w14:paraId="75E30081" w14:textId="22E7BCFE" w:rsidR="00A77CB9" w:rsidRPr="00F2052E" w:rsidRDefault="00A77CB9" w:rsidP="00A77CB9">
            <w:pPr>
              <w:spacing w:after="0" w:line="240" w:lineRule="auto"/>
              <w:jc w:val="right"/>
              <w:rPr>
                <w:rFonts w:ascii="Arial" w:hAnsi="Arial" w:cs="Arial"/>
                <w:sz w:val="16"/>
                <w:szCs w:val="16"/>
              </w:rPr>
            </w:pPr>
            <w:r w:rsidRPr="00F2052E">
              <w:rPr>
                <w:rFonts w:ascii="Arial" w:hAnsi="Arial" w:cs="Arial"/>
                <w:sz w:val="16"/>
                <w:szCs w:val="16"/>
              </w:rPr>
              <w:t>1,179</w:t>
            </w:r>
          </w:p>
        </w:tc>
      </w:tr>
      <w:tr w:rsidR="00A77CB9" w:rsidRPr="00F2052E" w14:paraId="01B66B2A" w14:textId="77777777" w:rsidTr="00B90578">
        <w:trPr>
          <w:trHeight w:val="204"/>
        </w:trPr>
        <w:tc>
          <w:tcPr>
            <w:tcW w:w="1591" w:type="pct"/>
            <w:tcBorders>
              <w:top w:val="nil"/>
              <w:left w:val="nil"/>
              <w:bottom w:val="nil"/>
              <w:right w:val="nil"/>
            </w:tcBorders>
            <w:shd w:val="clear" w:color="auto" w:fill="auto"/>
            <w:noWrap/>
            <w:vAlign w:val="bottom"/>
            <w:hideMark/>
          </w:tcPr>
          <w:p w14:paraId="6506C89E" w14:textId="77777777" w:rsidR="00A77CB9" w:rsidRPr="00F2052E" w:rsidRDefault="00A77CB9" w:rsidP="00A77CB9">
            <w:pPr>
              <w:spacing w:after="0" w:line="240" w:lineRule="auto"/>
              <w:rPr>
                <w:rFonts w:ascii="Arial" w:hAnsi="Arial" w:cs="Arial"/>
                <w:b/>
                <w:bCs/>
                <w:sz w:val="16"/>
                <w:szCs w:val="16"/>
              </w:rPr>
            </w:pPr>
            <w:r w:rsidRPr="00F2052E">
              <w:rPr>
                <w:rFonts w:ascii="Arial" w:hAnsi="Arial" w:cs="Arial"/>
                <w:b/>
                <w:bCs/>
                <w:sz w:val="16"/>
                <w:szCs w:val="16"/>
              </w:rPr>
              <w:t xml:space="preserve">Total </w:t>
            </w:r>
          </w:p>
        </w:tc>
        <w:tc>
          <w:tcPr>
            <w:tcW w:w="538" w:type="pct"/>
            <w:tcBorders>
              <w:top w:val="nil"/>
              <w:left w:val="nil"/>
              <w:bottom w:val="nil"/>
              <w:right w:val="nil"/>
            </w:tcBorders>
            <w:shd w:val="clear" w:color="auto" w:fill="auto"/>
            <w:noWrap/>
            <w:vAlign w:val="bottom"/>
            <w:hideMark/>
          </w:tcPr>
          <w:p w14:paraId="504B4989" w14:textId="77777777" w:rsidR="00A77CB9" w:rsidRPr="00F2052E" w:rsidRDefault="00A77CB9" w:rsidP="00A77CB9">
            <w:pPr>
              <w:spacing w:after="0" w:line="240" w:lineRule="auto"/>
              <w:jc w:val="center"/>
              <w:rPr>
                <w:rFonts w:ascii="Arial" w:hAnsi="Arial" w:cs="Arial"/>
                <w:b/>
                <w:bCs/>
                <w:sz w:val="16"/>
                <w:szCs w:val="16"/>
              </w:rPr>
            </w:pPr>
          </w:p>
        </w:tc>
        <w:tc>
          <w:tcPr>
            <w:tcW w:w="577" w:type="pct"/>
            <w:tcBorders>
              <w:top w:val="nil"/>
              <w:left w:val="nil"/>
              <w:bottom w:val="nil"/>
              <w:right w:val="nil"/>
            </w:tcBorders>
            <w:shd w:val="clear" w:color="000000" w:fill="E6E6E6"/>
            <w:noWrap/>
            <w:vAlign w:val="bottom"/>
            <w:hideMark/>
          </w:tcPr>
          <w:p w14:paraId="7350FB70" w14:textId="47493C23" w:rsidR="00A77CB9" w:rsidRPr="00F2052E" w:rsidRDefault="00A77CB9" w:rsidP="00A77CB9">
            <w:pPr>
              <w:spacing w:after="0" w:line="240" w:lineRule="auto"/>
              <w:jc w:val="right"/>
              <w:rPr>
                <w:rFonts w:ascii="Arial" w:hAnsi="Arial" w:cs="Arial"/>
                <w:b/>
                <w:bCs/>
                <w:sz w:val="16"/>
                <w:szCs w:val="16"/>
              </w:rPr>
            </w:pPr>
            <w:r w:rsidRPr="00F2052E">
              <w:rPr>
                <w:rFonts w:ascii="Arial" w:hAnsi="Arial" w:cs="Arial"/>
                <w:b/>
                <w:bCs/>
                <w:sz w:val="16"/>
                <w:szCs w:val="16"/>
              </w:rPr>
              <w:t>-</w:t>
            </w:r>
          </w:p>
        </w:tc>
        <w:tc>
          <w:tcPr>
            <w:tcW w:w="573" w:type="pct"/>
            <w:tcBorders>
              <w:top w:val="nil"/>
              <w:left w:val="nil"/>
              <w:bottom w:val="nil"/>
              <w:right w:val="nil"/>
            </w:tcBorders>
            <w:shd w:val="clear" w:color="000000" w:fill="FFFFFF"/>
            <w:noWrap/>
            <w:vAlign w:val="bottom"/>
            <w:hideMark/>
          </w:tcPr>
          <w:p w14:paraId="04CADC65" w14:textId="3DC0AFC5" w:rsidR="00A77CB9" w:rsidRPr="00F2052E" w:rsidRDefault="00A77CB9" w:rsidP="00A77CB9">
            <w:pPr>
              <w:spacing w:after="0" w:line="240" w:lineRule="auto"/>
              <w:jc w:val="right"/>
              <w:rPr>
                <w:rFonts w:ascii="Arial" w:hAnsi="Arial" w:cs="Arial"/>
                <w:b/>
                <w:bCs/>
                <w:sz w:val="16"/>
                <w:szCs w:val="16"/>
              </w:rPr>
            </w:pPr>
            <w:r w:rsidRPr="00F2052E">
              <w:rPr>
                <w:rFonts w:ascii="Arial" w:hAnsi="Arial" w:cs="Arial"/>
                <w:b/>
                <w:bCs/>
                <w:sz w:val="16"/>
                <w:szCs w:val="16"/>
              </w:rPr>
              <w:t>4,571</w:t>
            </w:r>
          </w:p>
        </w:tc>
        <w:tc>
          <w:tcPr>
            <w:tcW w:w="573" w:type="pct"/>
            <w:tcBorders>
              <w:top w:val="nil"/>
              <w:left w:val="nil"/>
              <w:bottom w:val="nil"/>
              <w:right w:val="nil"/>
            </w:tcBorders>
            <w:shd w:val="clear" w:color="000000" w:fill="E6E6E6"/>
            <w:noWrap/>
            <w:vAlign w:val="bottom"/>
            <w:hideMark/>
          </w:tcPr>
          <w:p w14:paraId="7575C6F6" w14:textId="45DB5E7A" w:rsidR="00A77CB9" w:rsidRPr="00F2052E" w:rsidRDefault="00A77CB9" w:rsidP="00A77CB9">
            <w:pPr>
              <w:spacing w:after="0" w:line="240" w:lineRule="auto"/>
              <w:jc w:val="right"/>
              <w:rPr>
                <w:rFonts w:ascii="Arial" w:hAnsi="Arial" w:cs="Arial"/>
                <w:b/>
                <w:bCs/>
                <w:sz w:val="16"/>
                <w:szCs w:val="16"/>
              </w:rPr>
            </w:pPr>
            <w:r w:rsidRPr="00F2052E">
              <w:rPr>
                <w:rFonts w:ascii="Arial" w:hAnsi="Arial" w:cs="Arial"/>
                <w:b/>
                <w:bCs/>
                <w:sz w:val="16"/>
                <w:szCs w:val="16"/>
              </w:rPr>
              <w:t>4,114</w:t>
            </w:r>
          </w:p>
        </w:tc>
        <w:tc>
          <w:tcPr>
            <w:tcW w:w="573" w:type="pct"/>
            <w:tcBorders>
              <w:top w:val="nil"/>
              <w:left w:val="nil"/>
              <w:bottom w:val="nil"/>
              <w:right w:val="nil"/>
            </w:tcBorders>
            <w:shd w:val="clear" w:color="000000" w:fill="FFFFFF"/>
            <w:noWrap/>
            <w:vAlign w:val="bottom"/>
            <w:hideMark/>
          </w:tcPr>
          <w:p w14:paraId="425EB504" w14:textId="345EFCDD" w:rsidR="00A77CB9" w:rsidRPr="00F2052E" w:rsidRDefault="00A77CB9" w:rsidP="00A77CB9">
            <w:pPr>
              <w:spacing w:after="0" w:line="240" w:lineRule="auto"/>
              <w:jc w:val="right"/>
              <w:rPr>
                <w:rFonts w:ascii="Arial" w:hAnsi="Arial" w:cs="Arial"/>
                <w:b/>
                <w:bCs/>
                <w:sz w:val="16"/>
                <w:szCs w:val="16"/>
              </w:rPr>
            </w:pPr>
            <w:r w:rsidRPr="00F2052E">
              <w:rPr>
                <w:rFonts w:ascii="Arial" w:hAnsi="Arial" w:cs="Arial"/>
                <w:b/>
                <w:bCs/>
                <w:sz w:val="16"/>
                <w:szCs w:val="16"/>
              </w:rPr>
              <w:t>21,739</w:t>
            </w:r>
          </w:p>
        </w:tc>
        <w:tc>
          <w:tcPr>
            <w:tcW w:w="573" w:type="pct"/>
            <w:tcBorders>
              <w:top w:val="nil"/>
              <w:left w:val="nil"/>
              <w:bottom w:val="nil"/>
              <w:right w:val="nil"/>
            </w:tcBorders>
            <w:shd w:val="clear" w:color="000000" w:fill="E6E6E6"/>
            <w:noWrap/>
            <w:vAlign w:val="bottom"/>
            <w:hideMark/>
          </w:tcPr>
          <w:p w14:paraId="465338CA" w14:textId="6674118F" w:rsidR="00A77CB9" w:rsidRPr="00F2052E" w:rsidRDefault="00A77CB9" w:rsidP="00A77CB9">
            <w:pPr>
              <w:spacing w:after="0" w:line="240" w:lineRule="auto"/>
              <w:jc w:val="right"/>
              <w:rPr>
                <w:rFonts w:ascii="Arial" w:hAnsi="Arial" w:cs="Arial"/>
                <w:b/>
                <w:bCs/>
                <w:sz w:val="16"/>
                <w:szCs w:val="16"/>
              </w:rPr>
            </w:pPr>
            <w:r w:rsidRPr="00F2052E">
              <w:rPr>
                <w:rFonts w:ascii="Arial" w:hAnsi="Arial" w:cs="Arial"/>
                <w:b/>
                <w:bCs/>
                <w:sz w:val="16"/>
                <w:szCs w:val="16"/>
              </w:rPr>
              <w:t>1,367</w:t>
            </w:r>
          </w:p>
        </w:tc>
      </w:tr>
      <w:tr w:rsidR="00B90578" w:rsidRPr="00F2052E" w14:paraId="506A8E19" w14:textId="77777777" w:rsidTr="00B90578">
        <w:trPr>
          <w:trHeight w:val="204"/>
        </w:trPr>
        <w:tc>
          <w:tcPr>
            <w:tcW w:w="1591" w:type="pct"/>
            <w:tcBorders>
              <w:top w:val="nil"/>
              <w:left w:val="nil"/>
              <w:bottom w:val="nil"/>
              <w:right w:val="nil"/>
            </w:tcBorders>
            <w:shd w:val="clear" w:color="auto" w:fill="auto"/>
            <w:vAlign w:val="bottom"/>
            <w:hideMark/>
          </w:tcPr>
          <w:p w14:paraId="412D1785" w14:textId="77777777" w:rsidR="00B90578" w:rsidRDefault="00B90578" w:rsidP="00B90578">
            <w:pPr>
              <w:spacing w:after="0" w:line="240" w:lineRule="auto"/>
              <w:rPr>
                <w:rFonts w:ascii="Arial" w:hAnsi="Arial" w:cs="Arial"/>
                <w:sz w:val="16"/>
                <w:szCs w:val="16"/>
              </w:rPr>
            </w:pPr>
            <w:r>
              <w:rPr>
                <w:rFonts w:ascii="Arial" w:hAnsi="Arial" w:cs="Arial"/>
                <w:sz w:val="16"/>
                <w:szCs w:val="16"/>
              </w:rPr>
              <w:t xml:space="preserve">Heavy Vehicle </w:t>
            </w:r>
            <w:r w:rsidRPr="00F2052E">
              <w:rPr>
                <w:rFonts w:ascii="Arial" w:hAnsi="Arial" w:cs="Arial"/>
                <w:sz w:val="16"/>
                <w:szCs w:val="16"/>
              </w:rPr>
              <w:t xml:space="preserve">Road User </w:t>
            </w:r>
          </w:p>
          <w:p w14:paraId="4E39CC33" w14:textId="79EC29BF" w:rsidR="00B90578" w:rsidRPr="00F2052E" w:rsidRDefault="00B90578" w:rsidP="00B90578">
            <w:pPr>
              <w:spacing w:after="0" w:line="240" w:lineRule="auto"/>
              <w:rPr>
                <w:rFonts w:ascii="Arial" w:hAnsi="Arial" w:cs="Arial"/>
                <w:sz w:val="16"/>
                <w:szCs w:val="16"/>
              </w:rPr>
            </w:pPr>
            <w:r w:rsidRPr="00F2052E">
              <w:rPr>
                <w:rFonts w:ascii="Arial" w:hAnsi="Arial" w:cs="Arial"/>
                <w:sz w:val="16"/>
                <w:szCs w:val="16"/>
              </w:rPr>
              <w:t>Charge</w:t>
            </w:r>
            <w:r>
              <w:rPr>
                <w:rFonts w:ascii="Arial" w:hAnsi="Arial" w:cs="Arial"/>
                <w:sz w:val="16"/>
                <w:szCs w:val="16"/>
              </w:rPr>
              <w:t xml:space="preserve"> –</w:t>
            </w:r>
            <w:r w:rsidRPr="00F2052E">
              <w:rPr>
                <w:rFonts w:ascii="Arial" w:hAnsi="Arial" w:cs="Arial"/>
                <w:sz w:val="16"/>
                <w:szCs w:val="16"/>
              </w:rPr>
              <w:t xml:space="preserve"> inc</w:t>
            </w:r>
            <w:r>
              <w:rPr>
                <w:rFonts w:ascii="Arial" w:hAnsi="Arial" w:cs="Arial"/>
                <w:sz w:val="16"/>
                <w:szCs w:val="16"/>
              </w:rPr>
              <w:t>r</w:t>
            </w:r>
            <w:r w:rsidRPr="00F2052E">
              <w:rPr>
                <w:rFonts w:ascii="Arial" w:hAnsi="Arial" w:cs="Arial"/>
                <w:sz w:val="16"/>
                <w:szCs w:val="16"/>
              </w:rPr>
              <w:t>ease</w:t>
            </w:r>
            <w:r w:rsidRPr="00091B78">
              <w:rPr>
                <w:rFonts w:ascii="Arial" w:hAnsi="Arial" w:cs="Arial"/>
                <w:sz w:val="16"/>
                <w:szCs w:val="16"/>
                <w:vertAlign w:val="superscript"/>
              </w:rPr>
              <w:t>(g)</w:t>
            </w:r>
          </w:p>
        </w:tc>
        <w:tc>
          <w:tcPr>
            <w:tcW w:w="538" w:type="pct"/>
            <w:tcBorders>
              <w:top w:val="nil"/>
              <w:left w:val="nil"/>
              <w:bottom w:val="nil"/>
              <w:right w:val="nil"/>
            </w:tcBorders>
            <w:shd w:val="clear" w:color="auto" w:fill="auto"/>
            <w:noWrap/>
            <w:vAlign w:val="bottom"/>
            <w:hideMark/>
          </w:tcPr>
          <w:p w14:paraId="1A5BA53C" w14:textId="52F4E1F2" w:rsidR="00B90578" w:rsidRPr="00F2052E" w:rsidRDefault="00B90578" w:rsidP="00B90578">
            <w:pPr>
              <w:spacing w:after="0" w:line="240" w:lineRule="auto"/>
              <w:jc w:val="center"/>
              <w:rPr>
                <w:rFonts w:ascii="Arial" w:hAnsi="Arial" w:cs="Arial"/>
                <w:sz w:val="16"/>
                <w:szCs w:val="16"/>
              </w:rPr>
            </w:pPr>
            <w:r w:rsidRPr="00F2052E">
              <w:rPr>
                <w:rFonts w:ascii="Arial" w:hAnsi="Arial" w:cs="Arial"/>
                <w:sz w:val="16"/>
                <w:szCs w:val="16"/>
              </w:rPr>
              <w:t>2.4</w:t>
            </w:r>
          </w:p>
        </w:tc>
        <w:tc>
          <w:tcPr>
            <w:tcW w:w="577" w:type="pct"/>
            <w:tcBorders>
              <w:top w:val="nil"/>
              <w:left w:val="nil"/>
              <w:bottom w:val="nil"/>
              <w:right w:val="nil"/>
            </w:tcBorders>
            <w:shd w:val="clear" w:color="000000" w:fill="E6E6E6"/>
            <w:noWrap/>
            <w:vAlign w:val="bottom"/>
            <w:hideMark/>
          </w:tcPr>
          <w:p w14:paraId="48DEBE12" w14:textId="0DD285E0" w:rsidR="00B90578" w:rsidRPr="00F2052E" w:rsidRDefault="00B90578" w:rsidP="00B90578">
            <w:pPr>
              <w:spacing w:after="0" w:line="240" w:lineRule="auto"/>
              <w:jc w:val="right"/>
              <w:rPr>
                <w:rFonts w:ascii="Arial" w:hAnsi="Arial" w:cs="Arial"/>
                <w:sz w:val="16"/>
                <w:szCs w:val="16"/>
              </w:rPr>
            </w:pPr>
          </w:p>
        </w:tc>
        <w:tc>
          <w:tcPr>
            <w:tcW w:w="573" w:type="pct"/>
            <w:tcBorders>
              <w:top w:val="nil"/>
              <w:left w:val="nil"/>
              <w:bottom w:val="nil"/>
              <w:right w:val="nil"/>
            </w:tcBorders>
            <w:shd w:val="clear" w:color="000000" w:fill="FFFFFF"/>
            <w:noWrap/>
            <w:vAlign w:val="bottom"/>
            <w:hideMark/>
          </w:tcPr>
          <w:p w14:paraId="242E9920" w14:textId="60669D91" w:rsidR="00B90578" w:rsidRPr="00F2052E" w:rsidRDefault="00B90578" w:rsidP="00B90578">
            <w:pPr>
              <w:spacing w:after="0" w:line="240" w:lineRule="auto"/>
              <w:jc w:val="right"/>
              <w:rPr>
                <w:rFonts w:ascii="Arial" w:hAnsi="Arial" w:cs="Arial"/>
                <w:sz w:val="16"/>
                <w:szCs w:val="16"/>
              </w:rPr>
            </w:pPr>
          </w:p>
        </w:tc>
        <w:tc>
          <w:tcPr>
            <w:tcW w:w="573" w:type="pct"/>
            <w:tcBorders>
              <w:top w:val="nil"/>
              <w:left w:val="nil"/>
              <w:bottom w:val="nil"/>
              <w:right w:val="nil"/>
            </w:tcBorders>
            <w:shd w:val="clear" w:color="000000" w:fill="E6E6E6"/>
            <w:noWrap/>
            <w:vAlign w:val="bottom"/>
            <w:hideMark/>
          </w:tcPr>
          <w:p w14:paraId="2AB51946" w14:textId="5BB7B08C" w:rsidR="00B90578" w:rsidRPr="00F2052E" w:rsidRDefault="00B90578" w:rsidP="00B90578">
            <w:pPr>
              <w:spacing w:after="0" w:line="240" w:lineRule="auto"/>
              <w:jc w:val="right"/>
              <w:rPr>
                <w:rFonts w:ascii="Arial" w:hAnsi="Arial" w:cs="Arial"/>
                <w:sz w:val="16"/>
                <w:szCs w:val="16"/>
              </w:rPr>
            </w:pPr>
          </w:p>
        </w:tc>
        <w:tc>
          <w:tcPr>
            <w:tcW w:w="573" w:type="pct"/>
            <w:tcBorders>
              <w:top w:val="nil"/>
              <w:left w:val="nil"/>
              <w:bottom w:val="nil"/>
              <w:right w:val="nil"/>
            </w:tcBorders>
            <w:shd w:val="clear" w:color="000000" w:fill="FFFFFF"/>
            <w:noWrap/>
            <w:vAlign w:val="bottom"/>
            <w:hideMark/>
          </w:tcPr>
          <w:p w14:paraId="00975233" w14:textId="30FCC1C7" w:rsidR="00B90578" w:rsidRPr="00F2052E" w:rsidRDefault="00B90578" w:rsidP="00B90578">
            <w:pPr>
              <w:spacing w:after="0" w:line="240" w:lineRule="auto"/>
              <w:jc w:val="right"/>
              <w:rPr>
                <w:rFonts w:ascii="Arial" w:hAnsi="Arial" w:cs="Arial"/>
                <w:sz w:val="16"/>
                <w:szCs w:val="16"/>
              </w:rPr>
            </w:pPr>
          </w:p>
        </w:tc>
        <w:tc>
          <w:tcPr>
            <w:tcW w:w="573" w:type="pct"/>
            <w:tcBorders>
              <w:top w:val="nil"/>
              <w:left w:val="nil"/>
              <w:bottom w:val="nil"/>
              <w:right w:val="nil"/>
            </w:tcBorders>
            <w:shd w:val="clear" w:color="000000" w:fill="E6E6E6"/>
            <w:noWrap/>
            <w:vAlign w:val="bottom"/>
            <w:hideMark/>
          </w:tcPr>
          <w:p w14:paraId="483911BE" w14:textId="6BA2BDBE" w:rsidR="00B90578" w:rsidRPr="00F2052E" w:rsidRDefault="00B90578" w:rsidP="00B90578">
            <w:pPr>
              <w:spacing w:after="0" w:line="240" w:lineRule="auto"/>
              <w:jc w:val="right"/>
              <w:rPr>
                <w:rFonts w:ascii="Arial" w:hAnsi="Arial" w:cs="Arial"/>
                <w:sz w:val="16"/>
                <w:szCs w:val="16"/>
              </w:rPr>
            </w:pPr>
          </w:p>
        </w:tc>
      </w:tr>
      <w:tr w:rsidR="00B90578" w:rsidRPr="00F2052E" w14:paraId="050D8D3D" w14:textId="77777777" w:rsidTr="00B90578">
        <w:trPr>
          <w:trHeight w:val="204"/>
        </w:trPr>
        <w:tc>
          <w:tcPr>
            <w:tcW w:w="1591" w:type="pct"/>
            <w:tcBorders>
              <w:top w:val="nil"/>
              <w:left w:val="nil"/>
              <w:right w:val="nil"/>
            </w:tcBorders>
            <w:shd w:val="clear" w:color="auto" w:fill="auto"/>
            <w:vAlign w:val="bottom"/>
            <w:hideMark/>
          </w:tcPr>
          <w:p w14:paraId="22DA45DA" w14:textId="13715B9D" w:rsidR="00B90578" w:rsidRPr="00F2052E" w:rsidRDefault="00B90578" w:rsidP="00B90578">
            <w:pPr>
              <w:spacing w:after="0" w:line="240" w:lineRule="auto"/>
              <w:ind w:left="113"/>
              <w:rPr>
                <w:rFonts w:ascii="Arial" w:hAnsi="Arial" w:cs="Arial"/>
                <w:sz w:val="16"/>
                <w:szCs w:val="16"/>
              </w:rPr>
            </w:pPr>
            <w:r w:rsidRPr="00F2052E">
              <w:rPr>
                <w:rFonts w:ascii="Arial" w:hAnsi="Arial" w:cs="Arial"/>
                <w:sz w:val="16"/>
                <w:szCs w:val="16"/>
              </w:rPr>
              <w:t>Departmental payments</w:t>
            </w:r>
          </w:p>
        </w:tc>
        <w:tc>
          <w:tcPr>
            <w:tcW w:w="538" w:type="pct"/>
            <w:tcBorders>
              <w:top w:val="nil"/>
              <w:left w:val="nil"/>
              <w:right w:val="nil"/>
            </w:tcBorders>
            <w:shd w:val="clear" w:color="auto" w:fill="auto"/>
            <w:noWrap/>
            <w:vAlign w:val="bottom"/>
            <w:hideMark/>
          </w:tcPr>
          <w:p w14:paraId="2AB67DD6" w14:textId="77777777" w:rsidR="00B90578" w:rsidRPr="00F2052E" w:rsidRDefault="00B90578" w:rsidP="00B90578">
            <w:pPr>
              <w:spacing w:after="0" w:line="240" w:lineRule="auto"/>
              <w:ind w:firstLineChars="100" w:firstLine="160"/>
              <w:jc w:val="center"/>
              <w:rPr>
                <w:rFonts w:ascii="Arial" w:hAnsi="Arial" w:cs="Arial"/>
                <w:sz w:val="16"/>
                <w:szCs w:val="16"/>
              </w:rPr>
            </w:pPr>
          </w:p>
        </w:tc>
        <w:tc>
          <w:tcPr>
            <w:tcW w:w="577" w:type="pct"/>
            <w:tcBorders>
              <w:top w:val="nil"/>
              <w:left w:val="nil"/>
              <w:right w:val="nil"/>
            </w:tcBorders>
            <w:shd w:val="clear" w:color="000000" w:fill="E6E6E6"/>
            <w:noWrap/>
            <w:vAlign w:val="bottom"/>
            <w:hideMark/>
          </w:tcPr>
          <w:p w14:paraId="360632B7" w14:textId="32682901" w:rsidR="00B90578" w:rsidRPr="00F2052E" w:rsidRDefault="00B90578" w:rsidP="00B90578">
            <w:pPr>
              <w:spacing w:after="0" w:line="240" w:lineRule="auto"/>
              <w:jc w:val="right"/>
              <w:rPr>
                <w:rFonts w:ascii="Arial" w:hAnsi="Arial" w:cs="Arial"/>
                <w:sz w:val="16"/>
                <w:szCs w:val="16"/>
              </w:rPr>
            </w:pPr>
            <w:r w:rsidRPr="00F2052E">
              <w:rPr>
                <w:rFonts w:ascii="Arial" w:hAnsi="Arial" w:cs="Arial"/>
                <w:sz w:val="16"/>
                <w:szCs w:val="16"/>
              </w:rPr>
              <w:t>-</w:t>
            </w:r>
          </w:p>
        </w:tc>
        <w:tc>
          <w:tcPr>
            <w:tcW w:w="573" w:type="pct"/>
            <w:tcBorders>
              <w:top w:val="nil"/>
              <w:left w:val="nil"/>
              <w:right w:val="nil"/>
            </w:tcBorders>
            <w:shd w:val="clear" w:color="000000" w:fill="FFFFFF"/>
            <w:noWrap/>
            <w:vAlign w:val="bottom"/>
            <w:hideMark/>
          </w:tcPr>
          <w:p w14:paraId="26D46442" w14:textId="69E6FB15" w:rsidR="00B90578" w:rsidRPr="00F2052E" w:rsidRDefault="00B90578" w:rsidP="00B90578">
            <w:pPr>
              <w:spacing w:after="0" w:line="240" w:lineRule="auto"/>
              <w:jc w:val="right"/>
              <w:rPr>
                <w:rFonts w:ascii="Arial" w:hAnsi="Arial" w:cs="Arial"/>
                <w:sz w:val="16"/>
                <w:szCs w:val="16"/>
              </w:rPr>
            </w:pPr>
            <w:r w:rsidRPr="00F2052E">
              <w:rPr>
                <w:rFonts w:ascii="Arial" w:hAnsi="Arial" w:cs="Arial"/>
                <w:sz w:val="16"/>
                <w:szCs w:val="16"/>
              </w:rPr>
              <w:t>-</w:t>
            </w:r>
          </w:p>
        </w:tc>
        <w:tc>
          <w:tcPr>
            <w:tcW w:w="573" w:type="pct"/>
            <w:tcBorders>
              <w:top w:val="nil"/>
              <w:left w:val="nil"/>
              <w:right w:val="nil"/>
            </w:tcBorders>
            <w:shd w:val="clear" w:color="000000" w:fill="E6E6E6"/>
            <w:noWrap/>
            <w:vAlign w:val="bottom"/>
            <w:hideMark/>
          </w:tcPr>
          <w:p w14:paraId="3D170048" w14:textId="470D0E3E" w:rsidR="00B90578" w:rsidRPr="00F2052E" w:rsidRDefault="00B90578" w:rsidP="00B90578">
            <w:pPr>
              <w:spacing w:after="0" w:line="240" w:lineRule="auto"/>
              <w:jc w:val="right"/>
              <w:rPr>
                <w:rFonts w:ascii="Arial" w:hAnsi="Arial" w:cs="Arial"/>
                <w:sz w:val="16"/>
                <w:szCs w:val="16"/>
              </w:rPr>
            </w:pPr>
            <w:r w:rsidRPr="00F2052E">
              <w:rPr>
                <w:rFonts w:ascii="Arial" w:hAnsi="Arial" w:cs="Arial"/>
                <w:sz w:val="16"/>
                <w:szCs w:val="16"/>
              </w:rPr>
              <w:t>-</w:t>
            </w:r>
          </w:p>
        </w:tc>
        <w:tc>
          <w:tcPr>
            <w:tcW w:w="573" w:type="pct"/>
            <w:tcBorders>
              <w:top w:val="nil"/>
              <w:left w:val="nil"/>
              <w:right w:val="nil"/>
            </w:tcBorders>
            <w:shd w:val="clear" w:color="000000" w:fill="FFFFFF"/>
            <w:noWrap/>
            <w:vAlign w:val="bottom"/>
            <w:hideMark/>
          </w:tcPr>
          <w:p w14:paraId="3672AEDC" w14:textId="19C35715" w:rsidR="00B90578" w:rsidRPr="00F2052E" w:rsidRDefault="00B90578" w:rsidP="00B90578">
            <w:pPr>
              <w:spacing w:after="0" w:line="240" w:lineRule="auto"/>
              <w:jc w:val="right"/>
              <w:rPr>
                <w:rFonts w:ascii="Arial" w:hAnsi="Arial" w:cs="Arial"/>
                <w:sz w:val="16"/>
                <w:szCs w:val="16"/>
              </w:rPr>
            </w:pPr>
            <w:r w:rsidRPr="00F2052E">
              <w:rPr>
                <w:rFonts w:ascii="Arial" w:hAnsi="Arial" w:cs="Arial"/>
                <w:b/>
                <w:bCs/>
                <w:sz w:val="16"/>
                <w:szCs w:val="16"/>
              </w:rPr>
              <w:t>-</w:t>
            </w:r>
          </w:p>
        </w:tc>
        <w:tc>
          <w:tcPr>
            <w:tcW w:w="573" w:type="pct"/>
            <w:tcBorders>
              <w:top w:val="nil"/>
              <w:left w:val="nil"/>
              <w:right w:val="nil"/>
            </w:tcBorders>
            <w:shd w:val="clear" w:color="000000" w:fill="E6E6E6"/>
            <w:noWrap/>
            <w:vAlign w:val="bottom"/>
            <w:hideMark/>
          </w:tcPr>
          <w:p w14:paraId="68AB0C8E" w14:textId="249D41BE" w:rsidR="00B90578" w:rsidRPr="00F2052E" w:rsidRDefault="00B90578" w:rsidP="00B90578">
            <w:pPr>
              <w:spacing w:after="0" w:line="240" w:lineRule="auto"/>
              <w:jc w:val="right"/>
              <w:rPr>
                <w:rFonts w:ascii="Arial" w:hAnsi="Arial" w:cs="Arial"/>
                <w:sz w:val="16"/>
                <w:szCs w:val="16"/>
              </w:rPr>
            </w:pPr>
            <w:r w:rsidRPr="00F2052E">
              <w:rPr>
                <w:rFonts w:ascii="Arial" w:hAnsi="Arial" w:cs="Arial"/>
                <w:sz w:val="16"/>
                <w:szCs w:val="16"/>
              </w:rPr>
              <w:t>-</w:t>
            </w:r>
          </w:p>
        </w:tc>
      </w:tr>
      <w:tr w:rsidR="00B90578" w:rsidRPr="00F2052E" w14:paraId="5FD10551" w14:textId="77777777" w:rsidTr="00B90578">
        <w:trPr>
          <w:trHeight w:val="204"/>
        </w:trPr>
        <w:tc>
          <w:tcPr>
            <w:tcW w:w="1591" w:type="pct"/>
            <w:tcBorders>
              <w:top w:val="nil"/>
              <w:left w:val="nil"/>
              <w:bottom w:val="single" w:sz="4" w:space="0" w:color="auto"/>
              <w:right w:val="nil"/>
            </w:tcBorders>
            <w:shd w:val="clear" w:color="auto" w:fill="auto"/>
            <w:noWrap/>
            <w:vAlign w:val="bottom"/>
            <w:hideMark/>
          </w:tcPr>
          <w:p w14:paraId="73F014FB" w14:textId="6E3CF7B8" w:rsidR="00B90578" w:rsidRPr="00F2052E" w:rsidRDefault="00B90578" w:rsidP="00B90578">
            <w:pPr>
              <w:spacing w:after="0" w:line="240" w:lineRule="auto"/>
              <w:rPr>
                <w:rFonts w:ascii="Arial" w:hAnsi="Arial" w:cs="Arial"/>
                <w:b/>
                <w:bCs/>
                <w:sz w:val="16"/>
                <w:szCs w:val="16"/>
              </w:rPr>
            </w:pPr>
            <w:r w:rsidRPr="00F2052E">
              <w:rPr>
                <w:rFonts w:ascii="Arial" w:hAnsi="Arial" w:cs="Arial"/>
                <w:b/>
                <w:bCs/>
                <w:sz w:val="16"/>
                <w:szCs w:val="16"/>
              </w:rPr>
              <w:t>Total</w:t>
            </w:r>
          </w:p>
        </w:tc>
        <w:tc>
          <w:tcPr>
            <w:tcW w:w="538" w:type="pct"/>
            <w:tcBorders>
              <w:top w:val="nil"/>
              <w:left w:val="nil"/>
              <w:bottom w:val="single" w:sz="4" w:space="0" w:color="auto"/>
              <w:right w:val="nil"/>
            </w:tcBorders>
            <w:shd w:val="clear" w:color="auto" w:fill="auto"/>
            <w:noWrap/>
            <w:vAlign w:val="bottom"/>
            <w:hideMark/>
          </w:tcPr>
          <w:p w14:paraId="5C61C762" w14:textId="77777777" w:rsidR="00B90578" w:rsidRPr="00F2052E" w:rsidRDefault="00B90578" w:rsidP="00B90578">
            <w:pPr>
              <w:spacing w:after="0" w:line="240" w:lineRule="auto"/>
              <w:jc w:val="center"/>
              <w:rPr>
                <w:rFonts w:ascii="Arial" w:hAnsi="Arial" w:cs="Arial"/>
                <w:b/>
                <w:bCs/>
                <w:sz w:val="16"/>
                <w:szCs w:val="16"/>
              </w:rPr>
            </w:pPr>
          </w:p>
        </w:tc>
        <w:tc>
          <w:tcPr>
            <w:tcW w:w="577" w:type="pct"/>
            <w:tcBorders>
              <w:top w:val="nil"/>
              <w:left w:val="nil"/>
              <w:bottom w:val="single" w:sz="4" w:space="0" w:color="auto"/>
              <w:right w:val="nil"/>
            </w:tcBorders>
            <w:shd w:val="clear" w:color="000000" w:fill="E6E6E6"/>
            <w:noWrap/>
            <w:vAlign w:val="bottom"/>
            <w:hideMark/>
          </w:tcPr>
          <w:p w14:paraId="2E2AF184" w14:textId="56C8C043" w:rsidR="00B90578" w:rsidRPr="00F2052E" w:rsidRDefault="00B90578" w:rsidP="00B90578">
            <w:pPr>
              <w:spacing w:after="0" w:line="240" w:lineRule="auto"/>
              <w:jc w:val="right"/>
              <w:rPr>
                <w:rFonts w:ascii="Arial" w:hAnsi="Arial" w:cs="Arial"/>
                <w:b/>
                <w:bCs/>
                <w:sz w:val="16"/>
                <w:szCs w:val="16"/>
              </w:rPr>
            </w:pPr>
            <w:r w:rsidRPr="00F2052E">
              <w:rPr>
                <w:rFonts w:ascii="Arial" w:hAnsi="Arial" w:cs="Arial"/>
                <w:sz w:val="16"/>
                <w:szCs w:val="16"/>
              </w:rPr>
              <w:t>-</w:t>
            </w:r>
          </w:p>
        </w:tc>
        <w:tc>
          <w:tcPr>
            <w:tcW w:w="573" w:type="pct"/>
            <w:tcBorders>
              <w:top w:val="nil"/>
              <w:left w:val="nil"/>
              <w:bottom w:val="single" w:sz="4" w:space="0" w:color="auto"/>
              <w:right w:val="nil"/>
            </w:tcBorders>
            <w:shd w:val="clear" w:color="000000" w:fill="FFFFFF"/>
            <w:noWrap/>
            <w:vAlign w:val="bottom"/>
            <w:hideMark/>
          </w:tcPr>
          <w:p w14:paraId="4080128B" w14:textId="732518AA" w:rsidR="00B90578" w:rsidRPr="00F2052E" w:rsidRDefault="00B90578" w:rsidP="00B90578">
            <w:pPr>
              <w:spacing w:after="0" w:line="240" w:lineRule="auto"/>
              <w:jc w:val="right"/>
              <w:rPr>
                <w:rFonts w:ascii="Arial" w:hAnsi="Arial" w:cs="Arial"/>
                <w:b/>
                <w:bCs/>
                <w:sz w:val="16"/>
                <w:szCs w:val="16"/>
              </w:rPr>
            </w:pPr>
            <w:r w:rsidRPr="00F2052E">
              <w:rPr>
                <w:rFonts w:ascii="Arial" w:hAnsi="Arial" w:cs="Arial"/>
                <w:sz w:val="16"/>
                <w:szCs w:val="16"/>
              </w:rPr>
              <w:t>-</w:t>
            </w:r>
          </w:p>
        </w:tc>
        <w:tc>
          <w:tcPr>
            <w:tcW w:w="573" w:type="pct"/>
            <w:tcBorders>
              <w:top w:val="nil"/>
              <w:left w:val="nil"/>
              <w:bottom w:val="single" w:sz="4" w:space="0" w:color="auto"/>
              <w:right w:val="nil"/>
            </w:tcBorders>
            <w:shd w:val="clear" w:color="000000" w:fill="E6E6E6"/>
            <w:noWrap/>
            <w:vAlign w:val="bottom"/>
            <w:hideMark/>
          </w:tcPr>
          <w:p w14:paraId="0C54442D" w14:textId="5CCC2C39" w:rsidR="00B90578" w:rsidRPr="00F2052E" w:rsidRDefault="00B90578" w:rsidP="00B90578">
            <w:pPr>
              <w:spacing w:after="0" w:line="240" w:lineRule="auto"/>
              <w:jc w:val="right"/>
              <w:rPr>
                <w:rFonts w:ascii="Arial" w:hAnsi="Arial" w:cs="Arial"/>
                <w:b/>
                <w:bCs/>
                <w:sz w:val="16"/>
                <w:szCs w:val="16"/>
              </w:rPr>
            </w:pPr>
            <w:r w:rsidRPr="00F2052E">
              <w:rPr>
                <w:rFonts w:ascii="Arial" w:hAnsi="Arial" w:cs="Arial"/>
                <w:sz w:val="16"/>
                <w:szCs w:val="16"/>
              </w:rPr>
              <w:t>-</w:t>
            </w:r>
          </w:p>
        </w:tc>
        <w:tc>
          <w:tcPr>
            <w:tcW w:w="573" w:type="pct"/>
            <w:tcBorders>
              <w:top w:val="nil"/>
              <w:left w:val="nil"/>
              <w:bottom w:val="single" w:sz="4" w:space="0" w:color="auto"/>
              <w:right w:val="nil"/>
            </w:tcBorders>
            <w:shd w:val="clear" w:color="000000" w:fill="FFFFFF"/>
            <w:noWrap/>
            <w:vAlign w:val="bottom"/>
            <w:hideMark/>
          </w:tcPr>
          <w:p w14:paraId="17C8387C" w14:textId="0C4D23BE" w:rsidR="00B90578" w:rsidRPr="00F2052E" w:rsidRDefault="00B90578" w:rsidP="00B90578">
            <w:pPr>
              <w:spacing w:after="0" w:line="240" w:lineRule="auto"/>
              <w:jc w:val="right"/>
              <w:rPr>
                <w:rFonts w:ascii="Arial" w:hAnsi="Arial" w:cs="Arial"/>
                <w:b/>
                <w:bCs/>
                <w:sz w:val="16"/>
                <w:szCs w:val="16"/>
              </w:rPr>
            </w:pPr>
            <w:r w:rsidRPr="00F2052E">
              <w:rPr>
                <w:rFonts w:ascii="Arial" w:hAnsi="Arial" w:cs="Arial"/>
                <w:b/>
                <w:bCs/>
                <w:sz w:val="16"/>
                <w:szCs w:val="16"/>
              </w:rPr>
              <w:t>-</w:t>
            </w:r>
          </w:p>
        </w:tc>
        <w:tc>
          <w:tcPr>
            <w:tcW w:w="573" w:type="pct"/>
            <w:tcBorders>
              <w:top w:val="nil"/>
              <w:left w:val="nil"/>
              <w:bottom w:val="single" w:sz="4" w:space="0" w:color="auto"/>
              <w:right w:val="nil"/>
            </w:tcBorders>
            <w:shd w:val="clear" w:color="000000" w:fill="E6E6E6"/>
            <w:noWrap/>
            <w:vAlign w:val="bottom"/>
            <w:hideMark/>
          </w:tcPr>
          <w:p w14:paraId="772BA11E" w14:textId="4C32CC1F" w:rsidR="00B90578" w:rsidRPr="00F2052E" w:rsidRDefault="00B90578" w:rsidP="00B90578">
            <w:pPr>
              <w:spacing w:after="0" w:line="240" w:lineRule="auto"/>
              <w:jc w:val="right"/>
              <w:rPr>
                <w:rFonts w:ascii="Arial" w:hAnsi="Arial" w:cs="Arial"/>
                <w:b/>
                <w:bCs/>
                <w:sz w:val="16"/>
                <w:szCs w:val="16"/>
              </w:rPr>
            </w:pPr>
            <w:r w:rsidRPr="00F2052E">
              <w:rPr>
                <w:rFonts w:ascii="Arial" w:hAnsi="Arial" w:cs="Arial"/>
                <w:sz w:val="16"/>
                <w:szCs w:val="16"/>
              </w:rPr>
              <w:t>-</w:t>
            </w:r>
          </w:p>
        </w:tc>
      </w:tr>
    </w:tbl>
    <w:p w14:paraId="3746BE92" w14:textId="68BFDFF8" w:rsidR="00F2052E" w:rsidRDefault="00F2052E"/>
    <w:p w14:paraId="4F9D9F86" w14:textId="77777777" w:rsidR="008110B8" w:rsidRDefault="008110B8" w:rsidP="00761ED4">
      <w:pPr>
        <w:pStyle w:val="TableHeading"/>
      </w:pPr>
    </w:p>
    <w:p w14:paraId="7694521B" w14:textId="4D54F73C" w:rsidR="00E215B7" w:rsidRPr="009A40DD" w:rsidRDefault="00B706C8" w:rsidP="00761ED4">
      <w:pPr>
        <w:pStyle w:val="TableHeading"/>
      </w:pPr>
      <w:r w:rsidRPr="009A40DD">
        <w:t xml:space="preserve">Table 1.2: </w:t>
      </w:r>
      <w:r>
        <w:t>Department of Infrastructure, Transport, Regional Development, Communications and the Arts</w:t>
      </w:r>
      <w:r w:rsidRPr="009A40DD">
        <w:t xml:space="preserve"> </w:t>
      </w:r>
      <w:r w:rsidR="00E215B7">
        <w:rPr>
          <w:rFonts w:cs="Arial"/>
        </w:rPr>
        <w:t>2023-24 Budget measures</w:t>
      </w:r>
    </w:p>
    <w:p w14:paraId="331EC9B9" w14:textId="3F155F2A" w:rsidR="00E215B7" w:rsidRDefault="00E215B7" w:rsidP="00E215B7">
      <w:pPr>
        <w:pStyle w:val="TableGraphic"/>
        <w:rPr>
          <w:rFonts w:ascii="Arial Bold" w:hAnsi="Arial Bold"/>
          <w:b/>
        </w:rPr>
      </w:pPr>
      <w:r>
        <w:rPr>
          <w:rFonts w:ascii="Arial Bold" w:hAnsi="Arial Bold"/>
          <w:b/>
        </w:rPr>
        <w:t xml:space="preserve">Part 1: </w:t>
      </w:r>
      <w:r w:rsidRPr="007F6CAD">
        <w:rPr>
          <w:rFonts w:ascii="Arial Bold" w:hAnsi="Arial Bold"/>
          <w:b/>
        </w:rPr>
        <w:t xml:space="preserve">Measures announced </w:t>
      </w:r>
      <w:r w:rsidRPr="00E215B7">
        <w:rPr>
          <w:rFonts w:ascii="Arial Bold" w:hAnsi="Arial Bold"/>
          <w:b/>
        </w:rPr>
        <w:t>since the 2022-23 October Budget</w:t>
      </w:r>
      <w:r>
        <w:rPr>
          <w:rFonts w:ascii="Arial Bold" w:hAnsi="Arial Bold"/>
          <w:b/>
        </w:rPr>
        <w:t xml:space="preserve"> (continued)</w:t>
      </w:r>
    </w:p>
    <w:tbl>
      <w:tblPr>
        <w:tblW w:w="5000" w:type="pct"/>
        <w:tblLook w:val="04A0" w:firstRow="1" w:lastRow="0" w:firstColumn="1" w:lastColumn="0" w:noHBand="0" w:noVBand="1"/>
      </w:tblPr>
      <w:tblGrid>
        <w:gridCol w:w="2411"/>
        <w:gridCol w:w="21"/>
        <w:gridCol w:w="817"/>
        <w:gridCol w:w="901"/>
        <w:gridCol w:w="891"/>
        <w:gridCol w:w="891"/>
        <w:gridCol w:w="891"/>
        <w:gridCol w:w="887"/>
      </w:tblGrid>
      <w:tr w:rsidR="00F2052E" w:rsidRPr="00F2052E" w14:paraId="0250A0A0" w14:textId="77777777" w:rsidTr="00B90578">
        <w:trPr>
          <w:trHeight w:val="204"/>
        </w:trPr>
        <w:tc>
          <w:tcPr>
            <w:tcW w:w="1564" w:type="pct"/>
            <w:tcBorders>
              <w:top w:val="single" w:sz="4" w:space="0" w:color="auto"/>
              <w:left w:val="nil"/>
              <w:bottom w:val="nil"/>
              <w:right w:val="nil"/>
            </w:tcBorders>
            <w:shd w:val="clear" w:color="auto" w:fill="auto"/>
            <w:noWrap/>
            <w:vAlign w:val="bottom"/>
            <w:hideMark/>
          </w:tcPr>
          <w:p w14:paraId="3DA052CE" w14:textId="77777777" w:rsidR="00F2052E" w:rsidRPr="00F2052E" w:rsidRDefault="00F2052E" w:rsidP="002276B4">
            <w:pPr>
              <w:spacing w:after="0" w:line="240" w:lineRule="auto"/>
              <w:rPr>
                <w:rFonts w:ascii="Arial" w:hAnsi="Arial" w:cs="Arial"/>
                <w:sz w:val="16"/>
                <w:szCs w:val="16"/>
              </w:rPr>
            </w:pPr>
            <w:r w:rsidRPr="00F2052E">
              <w:rPr>
                <w:rFonts w:ascii="Arial" w:hAnsi="Arial" w:cs="Arial"/>
                <w:sz w:val="16"/>
                <w:szCs w:val="16"/>
              </w:rPr>
              <w:t> </w:t>
            </w:r>
          </w:p>
        </w:tc>
        <w:tc>
          <w:tcPr>
            <w:tcW w:w="543" w:type="pct"/>
            <w:gridSpan w:val="2"/>
            <w:tcBorders>
              <w:top w:val="single" w:sz="4" w:space="0" w:color="auto"/>
              <w:left w:val="nil"/>
              <w:bottom w:val="single" w:sz="4" w:space="0" w:color="auto"/>
              <w:right w:val="nil"/>
            </w:tcBorders>
            <w:shd w:val="clear" w:color="auto" w:fill="auto"/>
            <w:noWrap/>
            <w:vAlign w:val="bottom"/>
            <w:hideMark/>
          </w:tcPr>
          <w:p w14:paraId="4A95854C" w14:textId="77777777" w:rsidR="00F2052E" w:rsidRPr="00F2052E" w:rsidRDefault="00F2052E" w:rsidP="002276B4">
            <w:pPr>
              <w:spacing w:after="0" w:line="240" w:lineRule="auto"/>
              <w:rPr>
                <w:rFonts w:ascii="Arial" w:hAnsi="Arial" w:cs="Arial"/>
                <w:sz w:val="16"/>
                <w:szCs w:val="16"/>
              </w:rPr>
            </w:pPr>
            <w:r w:rsidRPr="00F2052E">
              <w:rPr>
                <w:rFonts w:ascii="Arial" w:hAnsi="Arial" w:cs="Arial"/>
                <w:sz w:val="16"/>
                <w:szCs w:val="16"/>
              </w:rPr>
              <w:t>Program</w:t>
            </w:r>
          </w:p>
        </w:tc>
        <w:tc>
          <w:tcPr>
            <w:tcW w:w="584" w:type="pct"/>
            <w:tcBorders>
              <w:top w:val="single" w:sz="4" w:space="0" w:color="auto"/>
              <w:left w:val="nil"/>
              <w:bottom w:val="single" w:sz="4" w:space="0" w:color="auto"/>
              <w:right w:val="nil"/>
            </w:tcBorders>
            <w:shd w:val="clear" w:color="000000" w:fill="E6E6E6"/>
            <w:vAlign w:val="bottom"/>
            <w:hideMark/>
          </w:tcPr>
          <w:p w14:paraId="652793FE" w14:textId="77777777" w:rsidR="00F2052E" w:rsidRPr="00F2052E" w:rsidRDefault="00F2052E" w:rsidP="002276B4">
            <w:pPr>
              <w:spacing w:after="0" w:line="240" w:lineRule="auto"/>
              <w:jc w:val="right"/>
              <w:rPr>
                <w:rFonts w:ascii="Arial" w:hAnsi="Arial" w:cs="Arial"/>
                <w:sz w:val="16"/>
                <w:szCs w:val="16"/>
              </w:rPr>
            </w:pPr>
            <w:r w:rsidRPr="00F2052E">
              <w:rPr>
                <w:rFonts w:ascii="Arial" w:hAnsi="Arial" w:cs="Arial"/>
                <w:sz w:val="16"/>
                <w:szCs w:val="16"/>
              </w:rPr>
              <w:t>2022-23</w:t>
            </w:r>
            <w:r w:rsidRPr="00F2052E">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auto" w:fill="auto"/>
            <w:vAlign w:val="bottom"/>
            <w:hideMark/>
          </w:tcPr>
          <w:p w14:paraId="3A6559E1" w14:textId="77777777" w:rsidR="00F2052E" w:rsidRPr="00F2052E" w:rsidRDefault="00F2052E" w:rsidP="002276B4">
            <w:pPr>
              <w:spacing w:after="0" w:line="240" w:lineRule="auto"/>
              <w:jc w:val="right"/>
              <w:rPr>
                <w:rFonts w:ascii="Arial" w:hAnsi="Arial" w:cs="Arial"/>
                <w:sz w:val="16"/>
                <w:szCs w:val="16"/>
              </w:rPr>
            </w:pPr>
            <w:r w:rsidRPr="00F2052E">
              <w:rPr>
                <w:rFonts w:ascii="Arial" w:hAnsi="Arial" w:cs="Arial"/>
                <w:sz w:val="16"/>
                <w:szCs w:val="16"/>
              </w:rPr>
              <w:t>2023-24</w:t>
            </w:r>
            <w:r w:rsidRPr="00F2052E">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000000" w:fill="E6E6E6"/>
            <w:vAlign w:val="bottom"/>
            <w:hideMark/>
          </w:tcPr>
          <w:p w14:paraId="5D35E813" w14:textId="77777777" w:rsidR="00F2052E" w:rsidRPr="00F2052E" w:rsidRDefault="00F2052E" w:rsidP="002276B4">
            <w:pPr>
              <w:spacing w:after="0" w:line="240" w:lineRule="auto"/>
              <w:jc w:val="right"/>
              <w:rPr>
                <w:rFonts w:ascii="Arial" w:hAnsi="Arial" w:cs="Arial"/>
                <w:sz w:val="16"/>
                <w:szCs w:val="16"/>
              </w:rPr>
            </w:pPr>
            <w:r w:rsidRPr="00F2052E">
              <w:rPr>
                <w:rFonts w:ascii="Arial" w:hAnsi="Arial" w:cs="Arial"/>
                <w:sz w:val="16"/>
                <w:szCs w:val="16"/>
              </w:rPr>
              <w:t>2024-25</w:t>
            </w:r>
            <w:r w:rsidRPr="00F2052E">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auto" w:fill="auto"/>
            <w:vAlign w:val="bottom"/>
            <w:hideMark/>
          </w:tcPr>
          <w:p w14:paraId="78150AD9" w14:textId="77777777" w:rsidR="00F2052E" w:rsidRPr="00F2052E" w:rsidRDefault="00F2052E" w:rsidP="002276B4">
            <w:pPr>
              <w:spacing w:after="0" w:line="240" w:lineRule="auto"/>
              <w:jc w:val="right"/>
              <w:rPr>
                <w:rFonts w:ascii="Arial" w:hAnsi="Arial" w:cs="Arial"/>
                <w:sz w:val="16"/>
                <w:szCs w:val="16"/>
              </w:rPr>
            </w:pPr>
            <w:r w:rsidRPr="00F2052E">
              <w:rPr>
                <w:rFonts w:ascii="Arial" w:hAnsi="Arial" w:cs="Arial"/>
                <w:sz w:val="16"/>
                <w:szCs w:val="16"/>
              </w:rPr>
              <w:t>2025-26</w:t>
            </w:r>
            <w:r w:rsidRPr="00F2052E">
              <w:rPr>
                <w:rFonts w:ascii="Arial" w:hAnsi="Arial" w:cs="Arial"/>
                <w:sz w:val="16"/>
                <w:szCs w:val="16"/>
              </w:rPr>
              <w:br/>
              <w:t>$'000</w:t>
            </w:r>
          </w:p>
        </w:tc>
        <w:tc>
          <w:tcPr>
            <w:tcW w:w="575" w:type="pct"/>
            <w:tcBorders>
              <w:top w:val="single" w:sz="4" w:space="0" w:color="auto"/>
              <w:left w:val="nil"/>
              <w:bottom w:val="single" w:sz="4" w:space="0" w:color="auto"/>
              <w:right w:val="nil"/>
            </w:tcBorders>
            <w:shd w:val="clear" w:color="000000" w:fill="E6E6E6"/>
            <w:vAlign w:val="bottom"/>
            <w:hideMark/>
          </w:tcPr>
          <w:p w14:paraId="5A4E20E4" w14:textId="77777777" w:rsidR="00F2052E" w:rsidRPr="00F2052E" w:rsidRDefault="00F2052E" w:rsidP="002276B4">
            <w:pPr>
              <w:spacing w:after="0" w:line="240" w:lineRule="auto"/>
              <w:jc w:val="right"/>
              <w:rPr>
                <w:rFonts w:ascii="Arial" w:hAnsi="Arial" w:cs="Arial"/>
                <w:sz w:val="16"/>
                <w:szCs w:val="16"/>
              </w:rPr>
            </w:pPr>
            <w:r w:rsidRPr="00F2052E">
              <w:rPr>
                <w:rFonts w:ascii="Arial" w:hAnsi="Arial" w:cs="Arial"/>
                <w:sz w:val="16"/>
                <w:szCs w:val="16"/>
              </w:rPr>
              <w:t>2026-27</w:t>
            </w:r>
            <w:r w:rsidRPr="00F2052E">
              <w:rPr>
                <w:rFonts w:ascii="Arial" w:hAnsi="Arial" w:cs="Arial"/>
                <w:sz w:val="16"/>
                <w:szCs w:val="16"/>
              </w:rPr>
              <w:br/>
              <w:t>$'000</w:t>
            </w:r>
          </w:p>
        </w:tc>
      </w:tr>
      <w:tr w:rsidR="00F2052E" w:rsidRPr="00F2052E" w14:paraId="364FA4AC" w14:textId="77777777" w:rsidTr="00B90578">
        <w:trPr>
          <w:trHeight w:val="204"/>
        </w:trPr>
        <w:tc>
          <w:tcPr>
            <w:tcW w:w="1564" w:type="pct"/>
            <w:tcBorders>
              <w:left w:val="nil"/>
              <w:bottom w:val="nil"/>
              <w:right w:val="nil"/>
            </w:tcBorders>
            <w:shd w:val="clear" w:color="auto" w:fill="auto"/>
            <w:vAlign w:val="bottom"/>
            <w:hideMark/>
          </w:tcPr>
          <w:p w14:paraId="06119409" w14:textId="116D7AC9" w:rsidR="00F2052E" w:rsidRPr="00F2052E" w:rsidRDefault="00F2052E" w:rsidP="002276B4">
            <w:pPr>
              <w:spacing w:after="0" w:line="240" w:lineRule="auto"/>
              <w:rPr>
                <w:rFonts w:ascii="Arial" w:hAnsi="Arial" w:cs="Arial"/>
                <w:sz w:val="16"/>
                <w:szCs w:val="16"/>
              </w:rPr>
            </w:pPr>
            <w:r w:rsidRPr="00F2052E">
              <w:rPr>
                <w:rFonts w:ascii="Arial" w:hAnsi="Arial" w:cs="Arial"/>
                <w:sz w:val="16"/>
                <w:szCs w:val="16"/>
              </w:rPr>
              <w:t>National Approach for Sustainable Urban Development</w:t>
            </w:r>
            <w:r w:rsidRPr="00F2052E">
              <w:rPr>
                <w:rFonts w:ascii="Arial" w:hAnsi="Arial" w:cs="Arial"/>
                <w:sz w:val="16"/>
                <w:szCs w:val="16"/>
                <w:vertAlign w:val="superscript"/>
              </w:rPr>
              <w:t>(</w:t>
            </w:r>
            <w:r w:rsidR="002C6E3B">
              <w:rPr>
                <w:rFonts w:ascii="Arial" w:hAnsi="Arial" w:cs="Arial"/>
                <w:sz w:val="16"/>
                <w:szCs w:val="16"/>
                <w:vertAlign w:val="superscript"/>
              </w:rPr>
              <w:t>a</w:t>
            </w:r>
            <w:r w:rsidRPr="00F2052E">
              <w:rPr>
                <w:rFonts w:ascii="Arial" w:hAnsi="Arial" w:cs="Arial"/>
                <w:sz w:val="16"/>
                <w:szCs w:val="16"/>
                <w:vertAlign w:val="superscript"/>
              </w:rPr>
              <w:t>)</w:t>
            </w:r>
          </w:p>
        </w:tc>
        <w:tc>
          <w:tcPr>
            <w:tcW w:w="543" w:type="pct"/>
            <w:gridSpan w:val="2"/>
            <w:tcBorders>
              <w:left w:val="nil"/>
              <w:bottom w:val="nil"/>
              <w:right w:val="nil"/>
            </w:tcBorders>
            <w:shd w:val="clear" w:color="auto" w:fill="auto"/>
            <w:vAlign w:val="bottom"/>
            <w:hideMark/>
          </w:tcPr>
          <w:p w14:paraId="6B68CA13" w14:textId="77777777" w:rsidR="00F2052E" w:rsidRPr="00F2052E" w:rsidRDefault="00F2052E" w:rsidP="00F2052E">
            <w:pPr>
              <w:spacing w:after="0" w:line="240" w:lineRule="auto"/>
              <w:jc w:val="center"/>
              <w:rPr>
                <w:rFonts w:ascii="Arial" w:hAnsi="Arial" w:cs="Arial"/>
                <w:sz w:val="16"/>
                <w:szCs w:val="16"/>
              </w:rPr>
            </w:pPr>
            <w:r w:rsidRPr="00F2052E">
              <w:rPr>
                <w:rFonts w:ascii="Arial" w:hAnsi="Arial" w:cs="Arial"/>
                <w:sz w:val="16"/>
                <w:szCs w:val="16"/>
              </w:rPr>
              <w:t>3.1, 3.3, 3.5</w:t>
            </w:r>
          </w:p>
        </w:tc>
        <w:tc>
          <w:tcPr>
            <w:tcW w:w="584" w:type="pct"/>
            <w:tcBorders>
              <w:left w:val="nil"/>
              <w:bottom w:val="nil"/>
              <w:right w:val="nil"/>
            </w:tcBorders>
            <w:shd w:val="clear" w:color="000000" w:fill="E6E6E6"/>
            <w:noWrap/>
            <w:vAlign w:val="bottom"/>
            <w:hideMark/>
          </w:tcPr>
          <w:p w14:paraId="2E1D2C92" w14:textId="4D0B0F6A" w:rsidR="00F2052E" w:rsidRPr="00F2052E" w:rsidRDefault="00F2052E" w:rsidP="00F2052E">
            <w:pPr>
              <w:spacing w:after="0" w:line="240" w:lineRule="auto"/>
              <w:jc w:val="right"/>
              <w:rPr>
                <w:rFonts w:ascii="Arial" w:hAnsi="Arial" w:cs="Arial"/>
                <w:sz w:val="16"/>
                <w:szCs w:val="16"/>
              </w:rPr>
            </w:pPr>
          </w:p>
        </w:tc>
        <w:tc>
          <w:tcPr>
            <w:tcW w:w="578" w:type="pct"/>
            <w:tcBorders>
              <w:left w:val="nil"/>
              <w:bottom w:val="nil"/>
              <w:right w:val="nil"/>
            </w:tcBorders>
            <w:shd w:val="clear" w:color="000000" w:fill="FFFFFF"/>
            <w:noWrap/>
            <w:vAlign w:val="bottom"/>
            <w:hideMark/>
          </w:tcPr>
          <w:p w14:paraId="3043A5A5" w14:textId="3C5B4620" w:rsidR="00F2052E" w:rsidRPr="00F2052E" w:rsidRDefault="00F2052E" w:rsidP="00F2052E">
            <w:pPr>
              <w:spacing w:after="0" w:line="240" w:lineRule="auto"/>
              <w:jc w:val="right"/>
              <w:rPr>
                <w:rFonts w:ascii="Arial" w:hAnsi="Arial" w:cs="Arial"/>
                <w:sz w:val="16"/>
                <w:szCs w:val="16"/>
              </w:rPr>
            </w:pPr>
          </w:p>
        </w:tc>
        <w:tc>
          <w:tcPr>
            <w:tcW w:w="578" w:type="pct"/>
            <w:tcBorders>
              <w:left w:val="nil"/>
              <w:bottom w:val="nil"/>
              <w:right w:val="nil"/>
            </w:tcBorders>
            <w:shd w:val="clear" w:color="000000" w:fill="E6E6E6"/>
            <w:noWrap/>
            <w:vAlign w:val="bottom"/>
            <w:hideMark/>
          </w:tcPr>
          <w:p w14:paraId="2E368528" w14:textId="149E13B1" w:rsidR="00F2052E" w:rsidRPr="00F2052E" w:rsidRDefault="00F2052E" w:rsidP="00F2052E">
            <w:pPr>
              <w:spacing w:after="0" w:line="240" w:lineRule="auto"/>
              <w:jc w:val="right"/>
              <w:rPr>
                <w:rFonts w:ascii="Arial" w:hAnsi="Arial" w:cs="Arial"/>
                <w:sz w:val="16"/>
                <w:szCs w:val="16"/>
              </w:rPr>
            </w:pPr>
          </w:p>
        </w:tc>
        <w:tc>
          <w:tcPr>
            <w:tcW w:w="578" w:type="pct"/>
            <w:tcBorders>
              <w:left w:val="nil"/>
              <w:bottom w:val="nil"/>
              <w:right w:val="nil"/>
            </w:tcBorders>
            <w:shd w:val="clear" w:color="000000" w:fill="FFFFFF"/>
            <w:noWrap/>
            <w:vAlign w:val="bottom"/>
            <w:hideMark/>
          </w:tcPr>
          <w:p w14:paraId="7C9F1DAE" w14:textId="0F662D85" w:rsidR="00F2052E" w:rsidRPr="00F2052E" w:rsidRDefault="00F2052E" w:rsidP="00F2052E">
            <w:pPr>
              <w:spacing w:after="0" w:line="240" w:lineRule="auto"/>
              <w:jc w:val="right"/>
              <w:rPr>
                <w:rFonts w:ascii="Arial" w:hAnsi="Arial" w:cs="Arial"/>
                <w:sz w:val="16"/>
                <w:szCs w:val="16"/>
              </w:rPr>
            </w:pPr>
          </w:p>
        </w:tc>
        <w:tc>
          <w:tcPr>
            <w:tcW w:w="575" w:type="pct"/>
            <w:tcBorders>
              <w:left w:val="nil"/>
              <w:bottom w:val="nil"/>
              <w:right w:val="nil"/>
            </w:tcBorders>
            <w:shd w:val="clear" w:color="000000" w:fill="E6E6E6"/>
            <w:noWrap/>
            <w:vAlign w:val="bottom"/>
            <w:hideMark/>
          </w:tcPr>
          <w:p w14:paraId="7F42875B" w14:textId="5DECEDFA" w:rsidR="00F2052E" w:rsidRPr="00F2052E" w:rsidRDefault="00F2052E" w:rsidP="00F2052E">
            <w:pPr>
              <w:spacing w:after="0" w:line="240" w:lineRule="auto"/>
              <w:jc w:val="right"/>
              <w:rPr>
                <w:rFonts w:ascii="Arial" w:hAnsi="Arial" w:cs="Arial"/>
                <w:sz w:val="16"/>
                <w:szCs w:val="16"/>
              </w:rPr>
            </w:pPr>
          </w:p>
        </w:tc>
      </w:tr>
      <w:tr w:rsidR="00F2052E" w:rsidRPr="00F2052E" w14:paraId="26BB629B" w14:textId="77777777" w:rsidTr="00B90578">
        <w:trPr>
          <w:trHeight w:val="204"/>
        </w:trPr>
        <w:tc>
          <w:tcPr>
            <w:tcW w:w="1564" w:type="pct"/>
            <w:tcBorders>
              <w:top w:val="nil"/>
              <w:left w:val="nil"/>
              <w:bottom w:val="nil"/>
              <w:right w:val="nil"/>
            </w:tcBorders>
            <w:shd w:val="clear" w:color="auto" w:fill="auto"/>
            <w:vAlign w:val="bottom"/>
            <w:hideMark/>
          </w:tcPr>
          <w:p w14:paraId="286D22A4" w14:textId="77777777" w:rsidR="00F2052E" w:rsidRPr="00F2052E" w:rsidRDefault="00F2052E" w:rsidP="00F2052E">
            <w:pPr>
              <w:spacing w:after="0" w:line="240" w:lineRule="auto"/>
              <w:ind w:left="113"/>
              <w:rPr>
                <w:rFonts w:ascii="Arial" w:hAnsi="Arial" w:cs="Arial"/>
                <w:sz w:val="16"/>
                <w:szCs w:val="16"/>
              </w:rPr>
            </w:pPr>
            <w:r w:rsidRPr="00F2052E">
              <w:rPr>
                <w:rFonts w:ascii="Arial" w:hAnsi="Arial" w:cs="Arial"/>
                <w:sz w:val="16"/>
                <w:szCs w:val="16"/>
              </w:rPr>
              <w:t>Administered payments</w:t>
            </w:r>
          </w:p>
        </w:tc>
        <w:tc>
          <w:tcPr>
            <w:tcW w:w="543" w:type="pct"/>
            <w:gridSpan w:val="2"/>
            <w:tcBorders>
              <w:top w:val="nil"/>
              <w:left w:val="nil"/>
              <w:bottom w:val="nil"/>
              <w:right w:val="nil"/>
            </w:tcBorders>
            <w:shd w:val="clear" w:color="auto" w:fill="auto"/>
            <w:noWrap/>
            <w:vAlign w:val="bottom"/>
            <w:hideMark/>
          </w:tcPr>
          <w:p w14:paraId="7DD6C457" w14:textId="77777777" w:rsidR="00F2052E" w:rsidRPr="00F2052E" w:rsidRDefault="00F2052E" w:rsidP="00F2052E">
            <w:pPr>
              <w:spacing w:after="0" w:line="240" w:lineRule="auto"/>
              <w:ind w:firstLineChars="100" w:firstLine="160"/>
              <w:jc w:val="center"/>
              <w:rPr>
                <w:rFonts w:ascii="Arial" w:hAnsi="Arial" w:cs="Arial"/>
                <w:sz w:val="16"/>
                <w:szCs w:val="16"/>
              </w:rPr>
            </w:pPr>
          </w:p>
        </w:tc>
        <w:tc>
          <w:tcPr>
            <w:tcW w:w="584" w:type="pct"/>
            <w:tcBorders>
              <w:top w:val="nil"/>
              <w:left w:val="nil"/>
              <w:bottom w:val="nil"/>
              <w:right w:val="nil"/>
            </w:tcBorders>
            <w:shd w:val="clear" w:color="000000" w:fill="E6E6E6"/>
            <w:noWrap/>
            <w:vAlign w:val="bottom"/>
            <w:hideMark/>
          </w:tcPr>
          <w:p w14:paraId="33374AD9" w14:textId="0124DF69"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(9,339)</w:t>
            </w:r>
          </w:p>
        </w:tc>
        <w:tc>
          <w:tcPr>
            <w:tcW w:w="578" w:type="pct"/>
            <w:tcBorders>
              <w:top w:val="nil"/>
              <w:left w:val="nil"/>
              <w:bottom w:val="nil"/>
              <w:right w:val="nil"/>
            </w:tcBorders>
            <w:shd w:val="clear" w:color="000000" w:fill="FFFFFF"/>
            <w:noWrap/>
            <w:vAlign w:val="bottom"/>
            <w:hideMark/>
          </w:tcPr>
          <w:p w14:paraId="6B3F2971" w14:textId="49B586FE"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w:t>
            </w:r>
          </w:p>
        </w:tc>
        <w:tc>
          <w:tcPr>
            <w:tcW w:w="578" w:type="pct"/>
            <w:tcBorders>
              <w:top w:val="nil"/>
              <w:left w:val="nil"/>
              <w:bottom w:val="nil"/>
              <w:right w:val="nil"/>
            </w:tcBorders>
            <w:shd w:val="clear" w:color="000000" w:fill="E6E6E6"/>
            <w:noWrap/>
            <w:vAlign w:val="bottom"/>
            <w:hideMark/>
          </w:tcPr>
          <w:p w14:paraId="7125C03F" w14:textId="7284F044"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130,000</w:t>
            </w:r>
          </w:p>
        </w:tc>
        <w:tc>
          <w:tcPr>
            <w:tcW w:w="578" w:type="pct"/>
            <w:tcBorders>
              <w:top w:val="nil"/>
              <w:left w:val="nil"/>
              <w:bottom w:val="nil"/>
              <w:right w:val="nil"/>
            </w:tcBorders>
            <w:shd w:val="clear" w:color="000000" w:fill="FFFFFF"/>
            <w:noWrap/>
            <w:vAlign w:val="bottom"/>
            <w:hideMark/>
          </w:tcPr>
          <w:p w14:paraId="504D15D1" w14:textId="09B68830"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170,000</w:t>
            </w:r>
          </w:p>
        </w:tc>
        <w:tc>
          <w:tcPr>
            <w:tcW w:w="575" w:type="pct"/>
            <w:tcBorders>
              <w:top w:val="nil"/>
              <w:left w:val="nil"/>
              <w:bottom w:val="nil"/>
              <w:right w:val="nil"/>
            </w:tcBorders>
            <w:shd w:val="clear" w:color="000000" w:fill="E6E6E6"/>
            <w:noWrap/>
            <w:vAlign w:val="bottom"/>
            <w:hideMark/>
          </w:tcPr>
          <w:p w14:paraId="384AC02D" w14:textId="713160E1"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50,000</w:t>
            </w:r>
          </w:p>
        </w:tc>
      </w:tr>
      <w:tr w:rsidR="00F2052E" w:rsidRPr="00F2052E" w14:paraId="0F668083" w14:textId="77777777" w:rsidTr="00B90578">
        <w:trPr>
          <w:trHeight w:val="204"/>
        </w:trPr>
        <w:tc>
          <w:tcPr>
            <w:tcW w:w="1564" w:type="pct"/>
            <w:tcBorders>
              <w:top w:val="nil"/>
              <w:left w:val="nil"/>
              <w:bottom w:val="nil"/>
              <w:right w:val="nil"/>
            </w:tcBorders>
            <w:shd w:val="clear" w:color="auto" w:fill="auto"/>
            <w:vAlign w:val="bottom"/>
            <w:hideMark/>
          </w:tcPr>
          <w:p w14:paraId="7DC28921" w14:textId="77777777" w:rsidR="00F2052E" w:rsidRPr="00F2052E" w:rsidRDefault="00F2052E" w:rsidP="00F2052E">
            <w:pPr>
              <w:spacing w:after="0" w:line="240" w:lineRule="auto"/>
              <w:ind w:left="113"/>
              <w:rPr>
                <w:rFonts w:ascii="Arial" w:hAnsi="Arial" w:cs="Arial"/>
                <w:sz w:val="16"/>
                <w:szCs w:val="16"/>
              </w:rPr>
            </w:pPr>
            <w:r w:rsidRPr="00F2052E">
              <w:rPr>
                <w:rFonts w:ascii="Arial" w:hAnsi="Arial" w:cs="Arial"/>
                <w:sz w:val="16"/>
                <w:szCs w:val="16"/>
              </w:rPr>
              <w:t>Departmental payments</w:t>
            </w:r>
          </w:p>
        </w:tc>
        <w:tc>
          <w:tcPr>
            <w:tcW w:w="543" w:type="pct"/>
            <w:gridSpan w:val="2"/>
            <w:tcBorders>
              <w:top w:val="nil"/>
              <w:left w:val="nil"/>
              <w:bottom w:val="nil"/>
              <w:right w:val="nil"/>
            </w:tcBorders>
            <w:shd w:val="clear" w:color="auto" w:fill="auto"/>
            <w:noWrap/>
            <w:vAlign w:val="bottom"/>
            <w:hideMark/>
          </w:tcPr>
          <w:p w14:paraId="2B13B95D" w14:textId="77777777" w:rsidR="00F2052E" w:rsidRPr="00F2052E" w:rsidRDefault="00F2052E" w:rsidP="00F2052E">
            <w:pPr>
              <w:spacing w:after="0" w:line="240" w:lineRule="auto"/>
              <w:ind w:firstLineChars="100" w:firstLine="160"/>
              <w:jc w:val="center"/>
              <w:rPr>
                <w:rFonts w:ascii="Arial" w:hAnsi="Arial" w:cs="Arial"/>
                <w:sz w:val="16"/>
                <w:szCs w:val="16"/>
              </w:rPr>
            </w:pPr>
          </w:p>
        </w:tc>
        <w:tc>
          <w:tcPr>
            <w:tcW w:w="584" w:type="pct"/>
            <w:tcBorders>
              <w:top w:val="nil"/>
              <w:left w:val="nil"/>
              <w:bottom w:val="nil"/>
              <w:right w:val="nil"/>
            </w:tcBorders>
            <w:shd w:val="clear" w:color="000000" w:fill="E6E6E6"/>
            <w:noWrap/>
            <w:vAlign w:val="bottom"/>
            <w:hideMark/>
          </w:tcPr>
          <w:p w14:paraId="2EBB00B9" w14:textId="563D3C13"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w:t>
            </w:r>
          </w:p>
        </w:tc>
        <w:tc>
          <w:tcPr>
            <w:tcW w:w="578" w:type="pct"/>
            <w:tcBorders>
              <w:top w:val="nil"/>
              <w:left w:val="nil"/>
              <w:bottom w:val="nil"/>
              <w:right w:val="nil"/>
            </w:tcBorders>
            <w:shd w:val="clear" w:color="000000" w:fill="FFFFFF"/>
            <w:noWrap/>
            <w:vAlign w:val="bottom"/>
            <w:hideMark/>
          </w:tcPr>
          <w:p w14:paraId="57178E2D" w14:textId="4C6C16EE"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16,362</w:t>
            </w:r>
          </w:p>
        </w:tc>
        <w:tc>
          <w:tcPr>
            <w:tcW w:w="578" w:type="pct"/>
            <w:tcBorders>
              <w:top w:val="nil"/>
              <w:left w:val="nil"/>
              <w:bottom w:val="nil"/>
              <w:right w:val="nil"/>
            </w:tcBorders>
            <w:shd w:val="clear" w:color="000000" w:fill="E6E6E6"/>
            <w:noWrap/>
            <w:vAlign w:val="bottom"/>
            <w:hideMark/>
          </w:tcPr>
          <w:p w14:paraId="3DB62D70" w14:textId="247E8E8B"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14,071</w:t>
            </w:r>
          </w:p>
        </w:tc>
        <w:tc>
          <w:tcPr>
            <w:tcW w:w="578" w:type="pct"/>
            <w:tcBorders>
              <w:top w:val="nil"/>
              <w:left w:val="nil"/>
              <w:bottom w:val="nil"/>
              <w:right w:val="nil"/>
            </w:tcBorders>
            <w:shd w:val="clear" w:color="000000" w:fill="FFFFFF"/>
            <w:noWrap/>
            <w:vAlign w:val="bottom"/>
            <w:hideMark/>
          </w:tcPr>
          <w:p w14:paraId="10F9FA68" w14:textId="1F95FFA8"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7,710</w:t>
            </w:r>
          </w:p>
        </w:tc>
        <w:tc>
          <w:tcPr>
            <w:tcW w:w="575" w:type="pct"/>
            <w:tcBorders>
              <w:top w:val="nil"/>
              <w:left w:val="nil"/>
              <w:bottom w:val="nil"/>
              <w:right w:val="nil"/>
            </w:tcBorders>
            <w:shd w:val="clear" w:color="000000" w:fill="E6E6E6"/>
            <w:noWrap/>
            <w:vAlign w:val="bottom"/>
            <w:hideMark/>
          </w:tcPr>
          <w:p w14:paraId="61081DA7" w14:textId="35E96FF3"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3,611</w:t>
            </w:r>
          </w:p>
        </w:tc>
      </w:tr>
      <w:tr w:rsidR="00F2052E" w:rsidRPr="00F2052E" w14:paraId="1858CD02" w14:textId="77777777" w:rsidTr="00B90578">
        <w:trPr>
          <w:trHeight w:val="204"/>
        </w:trPr>
        <w:tc>
          <w:tcPr>
            <w:tcW w:w="1564" w:type="pct"/>
            <w:tcBorders>
              <w:top w:val="nil"/>
              <w:left w:val="nil"/>
              <w:bottom w:val="nil"/>
              <w:right w:val="nil"/>
            </w:tcBorders>
            <w:shd w:val="clear" w:color="auto" w:fill="auto"/>
            <w:noWrap/>
            <w:vAlign w:val="bottom"/>
            <w:hideMark/>
          </w:tcPr>
          <w:p w14:paraId="6A5CEA31" w14:textId="77777777" w:rsidR="00F2052E" w:rsidRPr="00F2052E" w:rsidRDefault="00F2052E" w:rsidP="002276B4">
            <w:pPr>
              <w:spacing w:after="0" w:line="240" w:lineRule="auto"/>
              <w:rPr>
                <w:rFonts w:ascii="Arial" w:hAnsi="Arial" w:cs="Arial"/>
                <w:b/>
                <w:bCs/>
                <w:sz w:val="16"/>
                <w:szCs w:val="16"/>
              </w:rPr>
            </w:pPr>
            <w:r w:rsidRPr="00F2052E">
              <w:rPr>
                <w:rFonts w:ascii="Arial" w:hAnsi="Arial" w:cs="Arial"/>
                <w:b/>
                <w:bCs/>
                <w:sz w:val="16"/>
                <w:szCs w:val="16"/>
              </w:rPr>
              <w:t xml:space="preserve">Total </w:t>
            </w:r>
          </w:p>
        </w:tc>
        <w:tc>
          <w:tcPr>
            <w:tcW w:w="543" w:type="pct"/>
            <w:gridSpan w:val="2"/>
            <w:tcBorders>
              <w:top w:val="nil"/>
              <w:left w:val="nil"/>
              <w:bottom w:val="nil"/>
              <w:right w:val="nil"/>
            </w:tcBorders>
            <w:shd w:val="clear" w:color="auto" w:fill="auto"/>
            <w:noWrap/>
            <w:vAlign w:val="bottom"/>
            <w:hideMark/>
          </w:tcPr>
          <w:p w14:paraId="09915A62" w14:textId="77777777" w:rsidR="00F2052E" w:rsidRPr="00F2052E" w:rsidRDefault="00F2052E" w:rsidP="00F2052E">
            <w:pPr>
              <w:spacing w:after="0" w:line="240" w:lineRule="auto"/>
              <w:jc w:val="center"/>
              <w:rPr>
                <w:rFonts w:ascii="Arial" w:hAnsi="Arial" w:cs="Arial"/>
                <w:b/>
                <w:bCs/>
                <w:sz w:val="16"/>
                <w:szCs w:val="16"/>
              </w:rPr>
            </w:pPr>
          </w:p>
        </w:tc>
        <w:tc>
          <w:tcPr>
            <w:tcW w:w="584" w:type="pct"/>
            <w:tcBorders>
              <w:top w:val="nil"/>
              <w:left w:val="nil"/>
              <w:bottom w:val="nil"/>
              <w:right w:val="nil"/>
            </w:tcBorders>
            <w:shd w:val="clear" w:color="000000" w:fill="E6E6E6"/>
            <w:noWrap/>
            <w:vAlign w:val="bottom"/>
            <w:hideMark/>
          </w:tcPr>
          <w:p w14:paraId="28450964" w14:textId="0B05E413" w:rsidR="00F2052E" w:rsidRPr="00F2052E" w:rsidRDefault="00F2052E" w:rsidP="00F2052E">
            <w:pPr>
              <w:spacing w:after="0" w:line="240" w:lineRule="auto"/>
              <w:jc w:val="right"/>
              <w:rPr>
                <w:rFonts w:ascii="Arial" w:hAnsi="Arial" w:cs="Arial"/>
                <w:b/>
                <w:bCs/>
                <w:sz w:val="16"/>
                <w:szCs w:val="16"/>
              </w:rPr>
            </w:pPr>
            <w:r w:rsidRPr="00F2052E">
              <w:rPr>
                <w:rFonts w:ascii="Arial" w:hAnsi="Arial" w:cs="Arial"/>
                <w:b/>
                <w:bCs/>
                <w:sz w:val="16"/>
                <w:szCs w:val="16"/>
              </w:rPr>
              <w:t>(9,339)</w:t>
            </w:r>
          </w:p>
        </w:tc>
        <w:tc>
          <w:tcPr>
            <w:tcW w:w="578" w:type="pct"/>
            <w:tcBorders>
              <w:top w:val="nil"/>
              <w:left w:val="nil"/>
              <w:bottom w:val="nil"/>
              <w:right w:val="nil"/>
            </w:tcBorders>
            <w:shd w:val="clear" w:color="000000" w:fill="FFFFFF"/>
            <w:noWrap/>
            <w:vAlign w:val="bottom"/>
            <w:hideMark/>
          </w:tcPr>
          <w:p w14:paraId="7B86061C" w14:textId="1777FD5C" w:rsidR="00F2052E" w:rsidRPr="00F2052E" w:rsidRDefault="00F2052E" w:rsidP="00F2052E">
            <w:pPr>
              <w:spacing w:after="0" w:line="240" w:lineRule="auto"/>
              <w:jc w:val="right"/>
              <w:rPr>
                <w:rFonts w:ascii="Arial" w:hAnsi="Arial" w:cs="Arial"/>
                <w:b/>
                <w:bCs/>
                <w:sz w:val="16"/>
                <w:szCs w:val="16"/>
              </w:rPr>
            </w:pPr>
            <w:r w:rsidRPr="00F2052E">
              <w:rPr>
                <w:rFonts w:ascii="Arial" w:hAnsi="Arial" w:cs="Arial"/>
                <w:b/>
                <w:bCs/>
                <w:sz w:val="16"/>
                <w:szCs w:val="16"/>
              </w:rPr>
              <w:t>16,362</w:t>
            </w:r>
          </w:p>
        </w:tc>
        <w:tc>
          <w:tcPr>
            <w:tcW w:w="578" w:type="pct"/>
            <w:tcBorders>
              <w:top w:val="nil"/>
              <w:left w:val="nil"/>
              <w:bottom w:val="nil"/>
              <w:right w:val="nil"/>
            </w:tcBorders>
            <w:shd w:val="clear" w:color="000000" w:fill="E6E6E6"/>
            <w:noWrap/>
            <w:vAlign w:val="bottom"/>
            <w:hideMark/>
          </w:tcPr>
          <w:p w14:paraId="5FA556A2" w14:textId="3A15BF59" w:rsidR="00F2052E" w:rsidRPr="00F2052E" w:rsidRDefault="00F2052E" w:rsidP="00F2052E">
            <w:pPr>
              <w:spacing w:after="0" w:line="240" w:lineRule="auto"/>
              <w:jc w:val="right"/>
              <w:rPr>
                <w:rFonts w:ascii="Arial" w:hAnsi="Arial" w:cs="Arial"/>
                <w:b/>
                <w:bCs/>
                <w:sz w:val="16"/>
                <w:szCs w:val="16"/>
              </w:rPr>
            </w:pPr>
            <w:r w:rsidRPr="00F2052E">
              <w:rPr>
                <w:rFonts w:ascii="Arial" w:hAnsi="Arial" w:cs="Arial"/>
                <w:b/>
                <w:bCs/>
                <w:sz w:val="16"/>
                <w:szCs w:val="16"/>
              </w:rPr>
              <w:t>144,071</w:t>
            </w:r>
          </w:p>
        </w:tc>
        <w:tc>
          <w:tcPr>
            <w:tcW w:w="578" w:type="pct"/>
            <w:tcBorders>
              <w:top w:val="nil"/>
              <w:left w:val="nil"/>
              <w:bottom w:val="nil"/>
              <w:right w:val="nil"/>
            </w:tcBorders>
            <w:shd w:val="clear" w:color="000000" w:fill="FFFFFF"/>
            <w:noWrap/>
            <w:vAlign w:val="bottom"/>
            <w:hideMark/>
          </w:tcPr>
          <w:p w14:paraId="64F9656F" w14:textId="254BBF42" w:rsidR="00F2052E" w:rsidRPr="00F2052E" w:rsidRDefault="00F2052E" w:rsidP="00F2052E">
            <w:pPr>
              <w:spacing w:after="0" w:line="240" w:lineRule="auto"/>
              <w:jc w:val="right"/>
              <w:rPr>
                <w:rFonts w:ascii="Arial" w:hAnsi="Arial" w:cs="Arial"/>
                <w:b/>
                <w:bCs/>
                <w:sz w:val="16"/>
                <w:szCs w:val="16"/>
              </w:rPr>
            </w:pPr>
            <w:r w:rsidRPr="00F2052E">
              <w:rPr>
                <w:rFonts w:ascii="Arial" w:hAnsi="Arial" w:cs="Arial"/>
                <w:b/>
                <w:bCs/>
                <w:sz w:val="16"/>
                <w:szCs w:val="16"/>
              </w:rPr>
              <w:t>177,710</w:t>
            </w:r>
          </w:p>
        </w:tc>
        <w:tc>
          <w:tcPr>
            <w:tcW w:w="575" w:type="pct"/>
            <w:tcBorders>
              <w:top w:val="nil"/>
              <w:left w:val="nil"/>
              <w:bottom w:val="nil"/>
              <w:right w:val="nil"/>
            </w:tcBorders>
            <w:shd w:val="clear" w:color="000000" w:fill="E6E6E6"/>
            <w:noWrap/>
            <w:vAlign w:val="bottom"/>
            <w:hideMark/>
          </w:tcPr>
          <w:p w14:paraId="4EB53255" w14:textId="4B8BBDAC" w:rsidR="00F2052E" w:rsidRPr="00F2052E" w:rsidRDefault="00F2052E" w:rsidP="00F2052E">
            <w:pPr>
              <w:spacing w:after="0" w:line="240" w:lineRule="auto"/>
              <w:jc w:val="right"/>
              <w:rPr>
                <w:rFonts w:ascii="Arial" w:hAnsi="Arial" w:cs="Arial"/>
                <w:b/>
                <w:bCs/>
                <w:sz w:val="16"/>
                <w:szCs w:val="16"/>
              </w:rPr>
            </w:pPr>
            <w:r w:rsidRPr="00F2052E">
              <w:rPr>
                <w:rFonts w:ascii="Arial" w:hAnsi="Arial" w:cs="Arial"/>
                <w:b/>
                <w:bCs/>
                <w:sz w:val="16"/>
                <w:szCs w:val="16"/>
              </w:rPr>
              <w:t>53,611</w:t>
            </w:r>
          </w:p>
        </w:tc>
      </w:tr>
      <w:tr w:rsidR="002C712B" w:rsidRPr="00F2052E" w14:paraId="3907275E" w14:textId="77777777" w:rsidTr="002C712B">
        <w:trPr>
          <w:trHeight w:val="204"/>
        </w:trPr>
        <w:tc>
          <w:tcPr>
            <w:tcW w:w="1577" w:type="pct"/>
            <w:gridSpan w:val="2"/>
            <w:tcBorders>
              <w:top w:val="nil"/>
              <w:left w:val="nil"/>
              <w:bottom w:val="nil"/>
              <w:right w:val="nil"/>
            </w:tcBorders>
            <w:shd w:val="clear" w:color="auto" w:fill="auto"/>
            <w:vAlign w:val="bottom"/>
            <w:hideMark/>
          </w:tcPr>
          <w:p w14:paraId="3C78DD4F" w14:textId="37D2B89F" w:rsidR="002C712B" w:rsidRPr="00F2052E" w:rsidRDefault="002C712B" w:rsidP="002C712B">
            <w:pPr>
              <w:spacing w:after="0" w:line="240" w:lineRule="auto"/>
              <w:rPr>
                <w:rFonts w:ascii="Arial" w:hAnsi="Arial" w:cs="Arial"/>
                <w:sz w:val="16"/>
                <w:szCs w:val="16"/>
              </w:rPr>
            </w:pPr>
            <w:r>
              <w:rPr>
                <w:rFonts w:ascii="Arial" w:hAnsi="Arial" w:cs="Arial"/>
                <w:sz w:val="16"/>
                <w:szCs w:val="16"/>
              </w:rPr>
              <w:t>National Cultural Policy –</w:t>
            </w:r>
            <w:r w:rsidRPr="00F2052E">
              <w:rPr>
                <w:rFonts w:ascii="Arial" w:hAnsi="Arial" w:cs="Arial"/>
                <w:sz w:val="16"/>
                <w:szCs w:val="16"/>
              </w:rPr>
              <w:t xml:space="preserve">  National Collecting Institutions</w:t>
            </w:r>
            <w:r>
              <w:rPr>
                <w:rFonts w:ascii="Arial" w:hAnsi="Arial" w:cs="Arial"/>
                <w:sz w:val="16"/>
                <w:szCs w:val="16"/>
              </w:rPr>
              <w:t xml:space="preserve"> – sustainability</w:t>
            </w:r>
          </w:p>
        </w:tc>
        <w:tc>
          <w:tcPr>
            <w:tcW w:w="530" w:type="pct"/>
            <w:tcBorders>
              <w:top w:val="nil"/>
              <w:left w:val="nil"/>
              <w:bottom w:val="nil"/>
              <w:right w:val="nil"/>
            </w:tcBorders>
            <w:shd w:val="clear" w:color="auto" w:fill="auto"/>
            <w:noWrap/>
            <w:vAlign w:val="bottom"/>
            <w:hideMark/>
          </w:tcPr>
          <w:p w14:paraId="03CEEA55" w14:textId="77777777" w:rsidR="002C712B" w:rsidRPr="00F2052E" w:rsidRDefault="002C712B" w:rsidP="002C712B">
            <w:pPr>
              <w:spacing w:after="0" w:line="240" w:lineRule="auto"/>
              <w:jc w:val="center"/>
              <w:rPr>
                <w:rFonts w:ascii="Arial" w:hAnsi="Arial" w:cs="Arial"/>
                <w:sz w:val="16"/>
                <w:szCs w:val="16"/>
              </w:rPr>
            </w:pPr>
            <w:r w:rsidRPr="00F2052E">
              <w:rPr>
                <w:rFonts w:ascii="Arial" w:hAnsi="Arial" w:cs="Arial"/>
                <w:sz w:val="16"/>
                <w:szCs w:val="16"/>
              </w:rPr>
              <w:t>6.1</w:t>
            </w:r>
          </w:p>
        </w:tc>
        <w:tc>
          <w:tcPr>
            <w:tcW w:w="584" w:type="pct"/>
            <w:tcBorders>
              <w:top w:val="nil"/>
              <w:left w:val="nil"/>
              <w:bottom w:val="nil"/>
              <w:right w:val="nil"/>
            </w:tcBorders>
            <w:shd w:val="clear" w:color="000000" w:fill="E6E6E6"/>
            <w:noWrap/>
            <w:vAlign w:val="bottom"/>
            <w:hideMark/>
          </w:tcPr>
          <w:p w14:paraId="34006F0F" w14:textId="77777777" w:rsidR="002C712B" w:rsidRPr="00F2052E" w:rsidRDefault="002C712B" w:rsidP="002C712B">
            <w:pPr>
              <w:spacing w:after="0" w:line="240" w:lineRule="auto"/>
              <w:jc w:val="right"/>
              <w:rPr>
                <w:rFonts w:ascii="Arial" w:hAnsi="Arial" w:cs="Arial"/>
                <w:sz w:val="16"/>
                <w:szCs w:val="16"/>
              </w:rPr>
            </w:pPr>
          </w:p>
        </w:tc>
        <w:tc>
          <w:tcPr>
            <w:tcW w:w="578" w:type="pct"/>
            <w:tcBorders>
              <w:top w:val="nil"/>
              <w:left w:val="nil"/>
              <w:bottom w:val="nil"/>
              <w:right w:val="nil"/>
            </w:tcBorders>
            <w:shd w:val="clear" w:color="000000" w:fill="FFFFFF"/>
            <w:noWrap/>
            <w:vAlign w:val="bottom"/>
            <w:hideMark/>
          </w:tcPr>
          <w:p w14:paraId="0FB1646D" w14:textId="77777777" w:rsidR="002C712B" w:rsidRPr="00F2052E" w:rsidRDefault="002C712B" w:rsidP="002C712B">
            <w:pPr>
              <w:spacing w:after="0" w:line="240" w:lineRule="auto"/>
              <w:jc w:val="right"/>
              <w:rPr>
                <w:rFonts w:ascii="Arial" w:hAnsi="Arial" w:cs="Arial"/>
                <w:sz w:val="16"/>
                <w:szCs w:val="16"/>
              </w:rPr>
            </w:pPr>
          </w:p>
        </w:tc>
        <w:tc>
          <w:tcPr>
            <w:tcW w:w="578" w:type="pct"/>
            <w:tcBorders>
              <w:top w:val="nil"/>
              <w:left w:val="nil"/>
              <w:bottom w:val="nil"/>
              <w:right w:val="nil"/>
            </w:tcBorders>
            <w:shd w:val="clear" w:color="000000" w:fill="E6E6E6"/>
            <w:noWrap/>
            <w:vAlign w:val="bottom"/>
            <w:hideMark/>
          </w:tcPr>
          <w:p w14:paraId="23665223" w14:textId="77777777" w:rsidR="002C712B" w:rsidRPr="00F2052E" w:rsidRDefault="002C712B" w:rsidP="002C712B">
            <w:pPr>
              <w:spacing w:after="0" w:line="240" w:lineRule="auto"/>
              <w:jc w:val="right"/>
              <w:rPr>
                <w:rFonts w:ascii="Arial" w:hAnsi="Arial" w:cs="Arial"/>
                <w:sz w:val="16"/>
                <w:szCs w:val="16"/>
              </w:rPr>
            </w:pPr>
          </w:p>
        </w:tc>
        <w:tc>
          <w:tcPr>
            <w:tcW w:w="578" w:type="pct"/>
            <w:tcBorders>
              <w:top w:val="nil"/>
              <w:left w:val="nil"/>
              <w:bottom w:val="nil"/>
              <w:right w:val="nil"/>
            </w:tcBorders>
            <w:shd w:val="clear" w:color="000000" w:fill="FFFFFF"/>
            <w:noWrap/>
            <w:vAlign w:val="bottom"/>
            <w:hideMark/>
          </w:tcPr>
          <w:p w14:paraId="2769C675" w14:textId="77777777" w:rsidR="002C712B" w:rsidRPr="00F2052E" w:rsidRDefault="002C712B" w:rsidP="002C712B">
            <w:pPr>
              <w:spacing w:after="0" w:line="240" w:lineRule="auto"/>
              <w:jc w:val="right"/>
              <w:rPr>
                <w:rFonts w:ascii="Arial" w:hAnsi="Arial" w:cs="Arial"/>
                <w:sz w:val="16"/>
                <w:szCs w:val="16"/>
              </w:rPr>
            </w:pPr>
          </w:p>
        </w:tc>
        <w:tc>
          <w:tcPr>
            <w:tcW w:w="575" w:type="pct"/>
            <w:tcBorders>
              <w:top w:val="nil"/>
              <w:left w:val="nil"/>
              <w:bottom w:val="nil"/>
              <w:right w:val="nil"/>
            </w:tcBorders>
            <w:shd w:val="clear" w:color="000000" w:fill="E6E6E6"/>
            <w:noWrap/>
            <w:vAlign w:val="bottom"/>
            <w:hideMark/>
          </w:tcPr>
          <w:p w14:paraId="1FEF43C2" w14:textId="77777777" w:rsidR="002C712B" w:rsidRPr="00F2052E" w:rsidRDefault="002C712B" w:rsidP="002C712B">
            <w:pPr>
              <w:spacing w:after="0" w:line="240" w:lineRule="auto"/>
              <w:jc w:val="right"/>
              <w:rPr>
                <w:rFonts w:ascii="Arial" w:hAnsi="Arial" w:cs="Arial"/>
                <w:sz w:val="16"/>
                <w:szCs w:val="16"/>
              </w:rPr>
            </w:pPr>
          </w:p>
        </w:tc>
      </w:tr>
      <w:tr w:rsidR="002C712B" w:rsidRPr="00F2052E" w14:paraId="23369FC7" w14:textId="77777777" w:rsidTr="002C712B">
        <w:trPr>
          <w:trHeight w:val="204"/>
        </w:trPr>
        <w:tc>
          <w:tcPr>
            <w:tcW w:w="1577" w:type="pct"/>
            <w:gridSpan w:val="2"/>
            <w:tcBorders>
              <w:top w:val="nil"/>
              <w:left w:val="nil"/>
              <w:bottom w:val="nil"/>
              <w:right w:val="nil"/>
            </w:tcBorders>
            <w:shd w:val="clear" w:color="auto" w:fill="auto"/>
            <w:vAlign w:val="bottom"/>
            <w:hideMark/>
          </w:tcPr>
          <w:p w14:paraId="627E1C56" w14:textId="77777777" w:rsidR="002C712B" w:rsidRPr="00F2052E" w:rsidRDefault="002C712B" w:rsidP="002C712B">
            <w:pPr>
              <w:spacing w:after="0" w:line="240" w:lineRule="auto"/>
              <w:ind w:left="113"/>
              <w:rPr>
                <w:rFonts w:ascii="Arial" w:hAnsi="Arial" w:cs="Arial"/>
                <w:sz w:val="16"/>
                <w:szCs w:val="16"/>
              </w:rPr>
            </w:pPr>
            <w:r w:rsidRPr="00F2052E">
              <w:rPr>
                <w:rFonts w:ascii="Arial" w:hAnsi="Arial" w:cs="Arial"/>
                <w:sz w:val="16"/>
                <w:szCs w:val="16"/>
              </w:rPr>
              <w:t>Administered payments</w:t>
            </w:r>
          </w:p>
        </w:tc>
        <w:tc>
          <w:tcPr>
            <w:tcW w:w="530" w:type="pct"/>
            <w:tcBorders>
              <w:top w:val="nil"/>
              <w:left w:val="nil"/>
              <w:bottom w:val="nil"/>
              <w:right w:val="nil"/>
            </w:tcBorders>
            <w:shd w:val="clear" w:color="auto" w:fill="auto"/>
            <w:noWrap/>
            <w:vAlign w:val="bottom"/>
            <w:hideMark/>
          </w:tcPr>
          <w:p w14:paraId="1B11EB42" w14:textId="77777777" w:rsidR="002C712B" w:rsidRPr="00F2052E" w:rsidRDefault="002C712B" w:rsidP="002C712B">
            <w:pPr>
              <w:spacing w:after="0" w:line="240" w:lineRule="auto"/>
              <w:ind w:firstLineChars="100" w:firstLine="160"/>
              <w:jc w:val="center"/>
              <w:rPr>
                <w:rFonts w:ascii="Arial" w:hAnsi="Arial" w:cs="Arial"/>
                <w:sz w:val="16"/>
                <w:szCs w:val="16"/>
              </w:rPr>
            </w:pPr>
          </w:p>
        </w:tc>
        <w:tc>
          <w:tcPr>
            <w:tcW w:w="584" w:type="pct"/>
            <w:tcBorders>
              <w:top w:val="nil"/>
              <w:left w:val="nil"/>
              <w:bottom w:val="nil"/>
              <w:right w:val="nil"/>
            </w:tcBorders>
            <w:shd w:val="clear" w:color="000000" w:fill="E6E6E6"/>
            <w:noWrap/>
            <w:vAlign w:val="bottom"/>
            <w:hideMark/>
          </w:tcPr>
          <w:p w14:paraId="197AF88E" w14:textId="77777777" w:rsidR="002C712B" w:rsidRPr="00F2052E" w:rsidRDefault="002C712B" w:rsidP="002C712B">
            <w:pPr>
              <w:spacing w:after="0" w:line="240" w:lineRule="auto"/>
              <w:jc w:val="right"/>
              <w:rPr>
                <w:rFonts w:ascii="Arial" w:hAnsi="Arial" w:cs="Arial"/>
                <w:sz w:val="16"/>
                <w:szCs w:val="16"/>
              </w:rPr>
            </w:pPr>
            <w:r w:rsidRPr="00F2052E">
              <w:rPr>
                <w:rFonts w:ascii="Arial" w:hAnsi="Arial" w:cs="Arial"/>
                <w:sz w:val="16"/>
                <w:szCs w:val="16"/>
              </w:rPr>
              <w:t>-</w:t>
            </w:r>
          </w:p>
        </w:tc>
        <w:tc>
          <w:tcPr>
            <w:tcW w:w="578" w:type="pct"/>
            <w:tcBorders>
              <w:top w:val="nil"/>
              <w:left w:val="nil"/>
              <w:bottom w:val="nil"/>
              <w:right w:val="nil"/>
            </w:tcBorders>
            <w:shd w:val="clear" w:color="000000" w:fill="FFFFFF"/>
            <w:noWrap/>
            <w:vAlign w:val="bottom"/>
            <w:hideMark/>
          </w:tcPr>
          <w:p w14:paraId="1D9E0E32" w14:textId="77777777" w:rsidR="002C712B" w:rsidRPr="00F2052E" w:rsidRDefault="002C712B" w:rsidP="002C712B">
            <w:pPr>
              <w:spacing w:after="0" w:line="240" w:lineRule="auto"/>
              <w:jc w:val="right"/>
              <w:rPr>
                <w:rFonts w:ascii="Arial" w:hAnsi="Arial" w:cs="Arial"/>
                <w:sz w:val="16"/>
                <w:szCs w:val="16"/>
              </w:rPr>
            </w:pPr>
            <w:r w:rsidRPr="00F2052E">
              <w:rPr>
                <w:rFonts w:ascii="Arial" w:hAnsi="Arial" w:cs="Arial"/>
                <w:sz w:val="16"/>
                <w:szCs w:val="16"/>
              </w:rPr>
              <w:t>8,223</w:t>
            </w:r>
          </w:p>
        </w:tc>
        <w:tc>
          <w:tcPr>
            <w:tcW w:w="578" w:type="pct"/>
            <w:tcBorders>
              <w:top w:val="nil"/>
              <w:left w:val="nil"/>
              <w:bottom w:val="nil"/>
              <w:right w:val="nil"/>
            </w:tcBorders>
            <w:shd w:val="clear" w:color="000000" w:fill="E6E6E6"/>
            <w:noWrap/>
            <w:vAlign w:val="bottom"/>
            <w:hideMark/>
          </w:tcPr>
          <w:p w14:paraId="539346E4" w14:textId="77777777" w:rsidR="002C712B" w:rsidRPr="00F2052E" w:rsidRDefault="002C712B" w:rsidP="002C712B">
            <w:pPr>
              <w:spacing w:after="0" w:line="240" w:lineRule="auto"/>
              <w:jc w:val="right"/>
              <w:rPr>
                <w:rFonts w:ascii="Arial" w:hAnsi="Arial" w:cs="Arial"/>
                <w:sz w:val="16"/>
                <w:szCs w:val="16"/>
              </w:rPr>
            </w:pPr>
            <w:r w:rsidRPr="00F2052E">
              <w:rPr>
                <w:rFonts w:ascii="Arial" w:hAnsi="Arial" w:cs="Arial"/>
                <w:sz w:val="16"/>
                <w:szCs w:val="16"/>
              </w:rPr>
              <w:t>8,680</w:t>
            </w:r>
          </w:p>
        </w:tc>
        <w:tc>
          <w:tcPr>
            <w:tcW w:w="578" w:type="pct"/>
            <w:tcBorders>
              <w:top w:val="nil"/>
              <w:left w:val="nil"/>
              <w:bottom w:val="nil"/>
              <w:right w:val="nil"/>
            </w:tcBorders>
            <w:shd w:val="clear" w:color="000000" w:fill="FFFFFF"/>
            <w:noWrap/>
            <w:vAlign w:val="bottom"/>
            <w:hideMark/>
          </w:tcPr>
          <w:p w14:paraId="5413718B" w14:textId="77777777" w:rsidR="002C712B" w:rsidRPr="00F2052E" w:rsidRDefault="002C712B" w:rsidP="002C712B">
            <w:pPr>
              <w:spacing w:after="0" w:line="240" w:lineRule="auto"/>
              <w:jc w:val="right"/>
              <w:rPr>
                <w:rFonts w:ascii="Arial" w:hAnsi="Arial" w:cs="Arial"/>
                <w:sz w:val="16"/>
                <w:szCs w:val="16"/>
              </w:rPr>
            </w:pPr>
            <w:r w:rsidRPr="00F2052E">
              <w:rPr>
                <w:rFonts w:ascii="Arial" w:hAnsi="Arial" w:cs="Arial"/>
                <w:sz w:val="16"/>
                <w:szCs w:val="16"/>
              </w:rPr>
              <w:t>8,302</w:t>
            </w:r>
          </w:p>
        </w:tc>
        <w:tc>
          <w:tcPr>
            <w:tcW w:w="575" w:type="pct"/>
            <w:tcBorders>
              <w:top w:val="nil"/>
              <w:left w:val="nil"/>
              <w:bottom w:val="nil"/>
              <w:right w:val="nil"/>
            </w:tcBorders>
            <w:shd w:val="clear" w:color="000000" w:fill="E6E6E6"/>
            <w:noWrap/>
            <w:vAlign w:val="bottom"/>
            <w:hideMark/>
          </w:tcPr>
          <w:p w14:paraId="08F7BDBD" w14:textId="77777777" w:rsidR="002C712B" w:rsidRPr="00F2052E" w:rsidRDefault="002C712B" w:rsidP="002C712B">
            <w:pPr>
              <w:spacing w:after="0" w:line="240" w:lineRule="auto"/>
              <w:jc w:val="right"/>
              <w:rPr>
                <w:rFonts w:ascii="Arial" w:hAnsi="Arial" w:cs="Arial"/>
                <w:sz w:val="16"/>
                <w:szCs w:val="16"/>
              </w:rPr>
            </w:pPr>
            <w:r w:rsidRPr="00F2052E">
              <w:rPr>
                <w:rFonts w:ascii="Arial" w:hAnsi="Arial" w:cs="Arial"/>
                <w:sz w:val="16"/>
                <w:szCs w:val="16"/>
              </w:rPr>
              <w:t>8,168</w:t>
            </w:r>
          </w:p>
        </w:tc>
      </w:tr>
      <w:tr w:rsidR="002C712B" w:rsidRPr="00F2052E" w14:paraId="4B1C2456" w14:textId="77777777" w:rsidTr="002C712B">
        <w:trPr>
          <w:trHeight w:val="204"/>
        </w:trPr>
        <w:tc>
          <w:tcPr>
            <w:tcW w:w="1577" w:type="pct"/>
            <w:gridSpan w:val="2"/>
            <w:tcBorders>
              <w:top w:val="nil"/>
              <w:left w:val="nil"/>
              <w:bottom w:val="nil"/>
              <w:right w:val="nil"/>
            </w:tcBorders>
            <w:shd w:val="clear" w:color="auto" w:fill="auto"/>
            <w:noWrap/>
            <w:vAlign w:val="bottom"/>
            <w:hideMark/>
          </w:tcPr>
          <w:p w14:paraId="019C5DE7" w14:textId="77777777" w:rsidR="002C712B" w:rsidRPr="00F2052E" w:rsidRDefault="002C712B" w:rsidP="002C712B">
            <w:pPr>
              <w:spacing w:after="0" w:line="240" w:lineRule="auto"/>
              <w:rPr>
                <w:rFonts w:ascii="Arial" w:hAnsi="Arial" w:cs="Arial"/>
                <w:b/>
                <w:bCs/>
                <w:sz w:val="16"/>
                <w:szCs w:val="16"/>
              </w:rPr>
            </w:pPr>
            <w:r w:rsidRPr="00F2052E">
              <w:rPr>
                <w:rFonts w:ascii="Arial" w:hAnsi="Arial" w:cs="Arial"/>
                <w:b/>
                <w:bCs/>
                <w:sz w:val="16"/>
                <w:szCs w:val="16"/>
              </w:rPr>
              <w:t xml:space="preserve">Total </w:t>
            </w:r>
          </w:p>
        </w:tc>
        <w:tc>
          <w:tcPr>
            <w:tcW w:w="530" w:type="pct"/>
            <w:tcBorders>
              <w:top w:val="nil"/>
              <w:left w:val="nil"/>
              <w:bottom w:val="nil"/>
              <w:right w:val="nil"/>
            </w:tcBorders>
            <w:shd w:val="clear" w:color="auto" w:fill="auto"/>
            <w:noWrap/>
            <w:vAlign w:val="bottom"/>
            <w:hideMark/>
          </w:tcPr>
          <w:p w14:paraId="66CB1AC4" w14:textId="77777777" w:rsidR="002C712B" w:rsidRPr="00F2052E" w:rsidRDefault="002C712B" w:rsidP="002C712B">
            <w:pPr>
              <w:spacing w:after="0" w:line="240" w:lineRule="auto"/>
              <w:jc w:val="center"/>
              <w:rPr>
                <w:rFonts w:ascii="Arial" w:hAnsi="Arial" w:cs="Arial"/>
                <w:b/>
                <w:bCs/>
                <w:sz w:val="16"/>
                <w:szCs w:val="16"/>
              </w:rPr>
            </w:pPr>
          </w:p>
        </w:tc>
        <w:tc>
          <w:tcPr>
            <w:tcW w:w="584" w:type="pct"/>
            <w:tcBorders>
              <w:top w:val="nil"/>
              <w:left w:val="nil"/>
              <w:bottom w:val="nil"/>
              <w:right w:val="nil"/>
            </w:tcBorders>
            <w:shd w:val="clear" w:color="000000" w:fill="E6E6E6"/>
            <w:noWrap/>
            <w:vAlign w:val="bottom"/>
            <w:hideMark/>
          </w:tcPr>
          <w:p w14:paraId="18CEC5B8" w14:textId="77777777" w:rsidR="002C712B" w:rsidRPr="00F2052E" w:rsidRDefault="002C712B" w:rsidP="002C712B">
            <w:pPr>
              <w:spacing w:after="0" w:line="240" w:lineRule="auto"/>
              <w:jc w:val="right"/>
              <w:rPr>
                <w:rFonts w:ascii="Arial" w:hAnsi="Arial" w:cs="Arial"/>
                <w:b/>
                <w:bCs/>
                <w:sz w:val="16"/>
                <w:szCs w:val="16"/>
              </w:rPr>
            </w:pPr>
            <w:r w:rsidRPr="00F2052E">
              <w:rPr>
                <w:rFonts w:ascii="Arial" w:hAnsi="Arial" w:cs="Arial"/>
                <w:b/>
                <w:bCs/>
                <w:sz w:val="16"/>
                <w:szCs w:val="16"/>
              </w:rPr>
              <w:t>-</w:t>
            </w:r>
          </w:p>
        </w:tc>
        <w:tc>
          <w:tcPr>
            <w:tcW w:w="578" w:type="pct"/>
            <w:tcBorders>
              <w:top w:val="nil"/>
              <w:left w:val="nil"/>
              <w:bottom w:val="nil"/>
              <w:right w:val="nil"/>
            </w:tcBorders>
            <w:shd w:val="clear" w:color="000000" w:fill="FFFFFF"/>
            <w:noWrap/>
            <w:vAlign w:val="bottom"/>
            <w:hideMark/>
          </w:tcPr>
          <w:p w14:paraId="4F83F417" w14:textId="77777777" w:rsidR="002C712B" w:rsidRPr="00F2052E" w:rsidRDefault="002C712B" w:rsidP="002C712B">
            <w:pPr>
              <w:spacing w:after="0" w:line="240" w:lineRule="auto"/>
              <w:jc w:val="right"/>
              <w:rPr>
                <w:rFonts w:ascii="Arial" w:hAnsi="Arial" w:cs="Arial"/>
                <w:b/>
                <w:bCs/>
                <w:sz w:val="16"/>
                <w:szCs w:val="16"/>
              </w:rPr>
            </w:pPr>
            <w:r w:rsidRPr="00F2052E">
              <w:rPr>
                <w:rFonts w:ascii="Arial" w:hAnsi="Arial" w:cs="Arial"/>
                <w:b/>
                <w:bCs/>
                <w:sz w:val="16"/>
                <w:szCs w:val="16"/>
              </w:rPr>
              <w:t>8,223</w:t>
            </w:r>
          </w:p>
        </w:tc>
        <w:tc>
          <w:tcPr>
            <w:tcW w:w="578" w:type="pct"/>
            <w:tcBorders>
              <w:top w:val="nil"/>
              <w:left w:val="nil"/>
              <w:bottom w:val="nil"/>
              <w:right w:val="nil"/>
            </w:tcBorders>
            <w:shd w:val="clear" w:color="000000" w:fill="E6E6E6"/>
            <w:noWrap/>
            <w:vAlign w:val="bottom"/>
            <w:hideMark/>
          </w:tcPr>
          <w:p w14:paraId="143804CE" w14:textId="77777777" w:rsidR="002C712B" w:rsidRPr="00F2052E" w:rsidRDefault="002C712B" w:rsidP="002C712B">
            <w:pPr>
              <w:spacing w:after="0" w:line="240" w:lineRule="auto"/>
              <w:jc w:val="right"/>
              <w:rPr>
                <w:rFonts w:ascii="Arial" w:hAnsi="Arial" w:cs="Arial"/>
                <w:b/>
                <w:bCs/>
                <w:sz w:val="16"/>
                <w:szCs w:val="16"/>
              </w:rPr>
            </w:pPr>
            <w:r w:rsidRPr="00F2052E">
              <w:rPr>
                <w:rFonts w:ascii="Arial" w:hAnsi="Arial" w:cs="Arial"/>
                <w:b/>
                <w:bCs/>
                <w:sz w:val="16"/>
                <w:szCs w:val="16"/>
              </w:rPr>
              <w:t>8,680</w:t>
            </w:r>
          </w:p>
        </w:tc>
        <w:tc>
          <w:tcPr>
            <w:tcW w:w="578" w:type="pct"/>
            <w:tcBorders>
              <w:top w:val="nil"/>
              <w:left w:val="nil"/>
              <w:bottom w:val="nil"/>
              <w:right w:val="nil"/>
            </w:tcBorders>
            <w:shd w:val="clear" w:color="000000" w:fill="FFFFFF"/>
            <w:noWrap/>
            <w:vAlign w:val="bottom"/>
            <w:hideMark/>
          </w:tcPr>
          <w:p w14:paraId="441CFC45" w14:textId="77777777" w:rsidR="002C712B" w:rsidRPr="00F2052E" w:rsidRDefault="002C712B" w:rsidP="002C712B">
            <w:pPr>
              <w:spacing w:after="0" w:line="240" w:lineRule="auto"/>
              <w:jc w:val="right"/>
              <w:rPr>
                <w:rFonts w:ascii="Arial" w:hAnsi="Arial" w:cs="Arial"/>
                <w:b/>
                <w:bCs/>
                <w:sz w:val="16"/>
                <w:szCs w:val="16"/>
              </w:rPr>
            </w:pPr>
            <w:r w:rsidRPr="00F2052E">
              <w:rPr>
                <w:rFonts w:ascii="Arial" w:hAnsi="Arial" w:cs="Arial"/>
                <w:b/>
                <w:bCs/>
                <w:sz w:val="16"/>
                <w:szCs w:val="16"/>
              </w:rPr>
              <w:t>8,302</w:t>
            </w:r>
          </w:p>
        </w:tc>
        <w:tc>
          <w:tcPr>
            <w:tcW w:w="575" w:type="pct"/>
            <w:tcBorders>
              <w:top w:val="nil"/>
              <w:left w:val="nil"/>
              <w:bottom w:val="nil"/>
              <w:right w:val="nil"/>
            </w:tcBorders>
            <w:shd w:val="clear" w:color="000000" w:fill="E6E6E6"/>
            <w:noWrap/>
            <w:vAlign w:val="bottom"/>
            <w:hideMark/>
          </w:tcPr>
          <w:p w14:paraId="2706CE11" w14:textId="77777777" w:rsidR="002C712B" w:rsidRPr="00F2052E" w:rsidRDefault="002C712B" w:rsidP="002C712B">
            <w:pPr>
              <w:spacing w:after="0" w:line="240" w:lineRule="auto"/>
              <w:jc w:val="right"/>
              <w:rPr>
                <w:rFonts w:ascii="Arial" w:hAnsi="Arial" w:cs="Arial"/>
                <w:b/>
                <w:bCs/>
                <w:sz w:val="16"/>
                <w:szCs w:val="16"/>
              </w:rPr>
            </w:pPr>
            <w:r w:rsidRPr="00F2052E">
              <w:rPr>
                <w:rFonts w:ascii="Arial" w:hAnsi="Arial" w:cs="Arial"/>
                <w:b/>
                <w:bCs/>
                <w:sz w:val="16"/>
                <w:szCs w:val="16"/>
              </w:rPr>
              <w:t>8,168</w:t>
            </w:r>
          </w:p>
        </w:tc>
      </w:tr>
      <w:tr w:rsidR="00F2052E" w:rsidRPr="00F2052E" w14:paraId="7D2E95EA" w14:textId="77777777" w:rsidTr="00B90578">
        <w:trPr>
          <w:trHeight w:val="204"/>
        </w:trPr>
        <w:tc>
          <w:tcPr>
            <w:tcW w:w="1564" w:type="pct"/>
            <w:tcBorders>
              <w:top w:val="nil"/>
              <w:left w:val="nil"/>
              <w:bottom w:val="nil"/>
              <w:right w:val="nil"/>
            </w:tcBorders>
            <w:shd w:val="clear" w:color="auto" w:fill="auto"/>
            <w:vAlign w:val="bottom"/>
            <w:hideMark/>
          </w:tcPr>
          <w:p w14:paraId="21BD8F4F" w14:textId="24182CEB" w:rsidR="00F2052E" w:rsidRPr="00F2052E" w:rsidRDefault="00F2052E" w:rsidP="002276B4">
            <w:pPr>
              <w:spacing w:after="0" w:line="240" w:lineRule="auto"/>
              <w:rPr>
                <w:rFonts w:ascii="Arial" w:hAnsi="Arial" w:cs="Arial"/>
                <w:sz w:val="16"/>
                <w:szCs w:val="16"/>
              </w:rPr>
            </w:pPr>
            <w:r w:rsidRPr="00F2052E">
              <w:rPr>
                <w:rFonts w:ascii="Arial" w:hAnsi="Arial" w:cs="Arial"/>
                <w:sz w:val="16"/>
                <w:szCs w:val="16"/>
              </w:rPr>
              <w:t>Online Safety</w:t>
            </w:r>
          </w:p>
        </w:tc>
        <w:tc>
          <w:tcPr>
            <w:tcW w:w="543" w:type="pct"/>
            <w:gridSpan w:val="2"/>
            <w:tcBorders>
              <w:top w:val="nil"/>
              <w:left w:val="nil"/>
              <w:bottom w:val="nil"/>
              <w:right w:val="nil"/>
            </w:tcBorders>
            <w:shd w:val="clear" w:color="auto" w:fill="auto"/>
            <w:noWrap/>
            <w:vAlign w:val="bottom"/>
            <w:hideMark/>
          </w:tcPr>
          <w:p w14:paraId="002F8B6A" w14:textId="77777777" w:rsidR="00F2052E" w:rsidRPr="00F2052E" w:rsidRDefault="00F2052E" w:rsidP="00F2052E">
            <w:pPr>
              <w:spacing w:after="0" w:line="240" w:lineRule="auto"/>
              <w:jc w:val="center"/>
              <w:rPr>
                <w:rFonts w:ascii="Arial" w:hAnsi="Arial" w:cs="Arial"/>
                <w:sz w:val="16"/>
                <w:szCs w:val="16"/>
              </w:rPr>
            </w:pPr>
            <w:r w:rsidRPr="00F2052E">
              <w:rPr>
                <w:rFonts w:ascii="Arial" w:hAnsi="Arial" w:cs="Arial"/>
                <w:sz w:val="16"/>
                <w:szCs w:val="16"/>
              </w:rPr>
              <w:t>5.2</w:t>
            </w:r>
          </w:p>
        </w:tc>
        <w:tc>
          <w:tcPr>
            <w:tcW w:w="584" w:type="pct"/>
            <w:tcBorders>
              <w:top w:val="nil"/>
              <w:left w:val="nil"/>
              <w:bottom w:val="nil"/>
              <w:right w:val="nil"/>
            </w:tcBorders>
            <w:shd w:val="clear" w:color="000000" w:fill="E6E6E6"/>
            <w:noWrap/>
            <w:vAlign w:val="bottom"/>
            <w:hideMark/>
          </w:tcPr>
          <w:p w14:paraId="3B042073" w14:textId="4AF84773" w:rsidR="00F2052E" w:rsidRPr="00F2052E" w:rsidRDefault="00F2052E" w:rsidP="00F2052E">
            <w:pPr>
              <w:spacing w:after="0" w:line="240" w:lineRule="auto"/>
              <w:jc w:val="right"/>
              <w:rPr>
                <w:rFonts w:ascii="Arial" w:hAnsi="Arial" w:cs="Arial"/>
                <w:sz w:val="16"/>
                <w:szCs w:val="16"/>
              </w:rPr>
            </w:pPr>
          </w:p>
        </w:tc>
        <w:tc>
          <w:tcPr>
            <w:tcW w:w="578" w:type="pct"/>
            <w:tcBorders>
              <w:top w:val="nil"/>
              <w:left w:val="nil"/>
              <w:bottom w:val="nil"/>
              <w:right w:val="nil"/>
            </w:tcBorders>
            <w:shd w:val="clear" w:color="000000" w:fill="FFFFFF"/>
            <w:noWrap/>
            <w:vAlign w:val="bottom"/>
            <w:hideMark/>
          </w:tcPr>
          <w:p w14:paraId="285DA56F" w14:textId="31D9EA0F" w:rsidR="00F2052E" w:rsidRPr="00F2052E" w:rsidRDefault="00F2052E" w:rsidP="00F2052E">
            <w:pPr>
              <w:spacing w:after="0" w:line="240" w:lineRule="auto"/>
              <w:jc w:val="right"/>
              <w:rPr>
                <w:rFonts w:ascii="Arial" w:hAnsi="Arial" w:cs="Arial"/>
                <w:sz w:val="16"/>
                <w:szCs w:val="16"/>
              </w:rPr>
            </w:pPr>
          </w:p>
        </w:tc>
        <w:tc>
          <w:tcPr>
            <w:tcW w:w="578" w:type="pct"/>
            <w:tcBorders>
              <w:top w:val="nil"/>
              <w:left w:val="nil"/>
              <w:bottom w:val="nil"/>
              <w:right w:val="nil"/>
            </w:tcBorders>
            <w:shd w:val="clear" w:color="000000" w:fill="E6E6E6"/>
            <w:noWrap/>
            <w:vAlign w:val="bottom"/>
            <w:hideMark/>
          </w:tcPr>
          <w:p w14:paraId="2BA06A64" w14:textId="0FF50EC7" w:rsidR="00F2052E" w:rsidRPr="00F2052E" w:rsidRDefault="00F2052E" w:rsidP="00F2052E">
            <w:pPr>
              <w:spacing w:after="0" w:line="240" w:lineRule="auto"/>
              <w:jc w:val="right"/>
              <w:rPr>
                <w:rFonts w:ascii="Arial" w:hAnsi="Arial" w:cs="Arial"/>
                <w:sz w:val="16"/>
                <w:szCs w:val="16"/>
              </w:rPr>
            </w:pPr>
          </w:p>
        </w:tc>
        <w:tc>
          <w:tcPr>
            <w:tcW w:w="578" w:type="pct"/>
            <w:tcBorders>
              <w:top w:val="nil"/>
              <w:left w:val="nil"/>
              <w:bottom w:val="nil"/>
              <w:right w:val="nil"/>
            </w:tcBorders>
            <w:shd w:val="clear" w:color="000000" w:fill="FFFFFF"/>
            <w:noWrap/>
            <w:vAlign w:val="bottom"/>
            <w:hideMark/>
          </w:tcPr>
          <w:p w14:paraId="441E5AB7" w14:textId="4744AD27" w:rsidR="00F2052E" w:rsidRPr="00F2052E" w:rsidRDefault="00F2052E" w:rsidP="00F2052E">
            <w:pPr>
              <w:spacing w:after="0" w:line="240" w:lineRule="auto"/>
              <w:jc w:val="right"/>
              <w:rPr>
                <w:rFonts w:ascii="Arial" w:hAnsi="Arial" w:cs="Arial"/>
                <w:sz w:val="16"/>
                <w:szCs w:val="16"/>
              </w:rPr>
            </w:pPr>
          </w:p>
        </w:tc>
        <w:tc>
          <w:tcPr>
            <w:tcW w:w="575" w:type="pct"/>
            <w:tcBorders>
              <w:top w:val="nil"/>
              <w:left w:val="nil"/>
              <w:bottom w:val="nil"/>
              <w:right w:val="nil"/>
            </w:tcBorders>
            <w:shd w:val="clear" w:color="000000" w:fill="E6E6E6"/>
            <w:noWrap/>
            <w:vAlign w:val="bottom"/>
            <w:hideMark/>
          </w:tcPr>
          <w:p w14:paraId="5B8AF6E5" w14:textId="30B3883C" w:rsidR="00F2052E" w:rsidRPr="00F2052E" w:rsidRDefault="00F2052E" w:rsidP="00F2052E">
            <w:pPr>
              <w:spacing w:after="0" w:line="240" w:lineRule="auto"/>
              <w:jc w:val="right"/>
              <w:rPr>
                <w:rFonts w:ascii="Arial" w:hAnsi="Arial" w:cs="Arial"/>
                <w:sz w:val="16"/>
                <w:szCs w:val="16"/>
              </w:rPr>
            </w:pPr>
          </w:p>
        </w:tc>
      </w:tr>
      <w:tr w:rsidR="00F2052E" w:rsidRPr="00F2052E" w14:paraId="2B50B245" w14:textId="77777777" w:rsidTr="00B90578">
        <w:trPr>
          <w:trHeight w:val="204"/>
        </w:trPr>
        <w:tc>
          <w:tcPr>
            <w:tcW w:w="1564" w:type="pct"/>
            <w:tcBorders>
              <w:top w:val="nil"/>
              <w:left w:val="nil"/>
              <w:bottom w:val="nil"/>
              <w:right w:val="nil"/>
            </w:tcBorders>
            <w:shd w:val="clear" w:color="auto" w:fill="auto"/>
            <w:vAlign w:val="bottom"/>
            <w:hideMark/>
          </w:tcPr>
          <w:p w14:paraId="7F3A3355" w14:textId="77777777" w:rsidR="00F2052E" w:rsidRPr="00F2052E" w:rsidRDefault="00F2052E" w:rsidP="00F2052E">
            <w:pPr>
              <w:spacing w:after="0" w:line="240" w:lineRule="auto"/>
              <w:ind w:left="113"/>
              <w:rPr>
                <w:rFonts w:ascii="Arial" w:hAnsi="Arial" w:cs="Arial"/>
                <w:sz w:val="16"/>
                <w:szCs w:val="16"/>
              </w:rPr>
            </w:pPr>
            <w:r w:rsidRPr="00F2052E">
              <w:rPr>
                <w:rFonts w:ascii="Arial" w:hAnsi="Arial" w:cs="Arial"/>
                <w:sz w:val="16"/>
                <w:szCs w:val="16"/>
              </w:rPr>
              <w:t>Departmental payments</w:t>
            </w:r>
          </w:p>
        </w:tc>
        <w:tc>
          <w:tcPr>
            <w:tcW w:w="543" w:type="pct"/>
            <w:gridSpan w:val="2"/>
            <w:tcBorders>
              <w:top w:val="nil"/>
              <w:left w:val="nil"/>
              <w:bottom w:val="nil"/>
              <w:right w:val="nil"/>
            </w:tcBorders>
            <w:shd w:val="clear" w:color="auto" w:fill="auto"/>
            <w:noWrap/>
            <w:vAlign w:val="bottom"/>
            <w:hideMark/>
          </w:tcPr>
          <w:p w14:paraId="76D0317F" w14:textId="77777777" w:rsidR="00F2052E" w:rsidRPr="00F2052E" w:rsidRDefault="00F2052E" w:rsidP="00F2052E">
            <w:pPr>
              <w:spacing w:after="0" w:line="240" w:lineRule="auto"/>
              <w:ind w:firstLineChars="100" w:firstLine="160"/>
              <w:jc w:val="center"/>
              <w:rPr>
                <w:rFonts w:ascii="Arial" w:hAnsi="Arial" w:cs="Arial"/>
                <w:sz w:val="16"/>
                <w:szCs w:val="16"/>
              </w:rPr>
            </w:pPr>
          </w:p>
        </w:tc>
        <w:tc>
          <w:tcPr>
            <w:tcW w:w="584" w:type="pct"/>
            <w:tcBorders>
              <w:top w:val="nil"/>
              <w:left w:val="nil"/>
              <w:bottom w:val="nil"/>
              <w:right w:val="nil"/>
            </w:tcBorders>
            <w:shd w:val="clear" w:color="000000" w:fill="E6E6E6"/>
            <w:noWrap/>
            <w:vAlign w:val="bottom"/>
            <w:hideMark/>
          </w:tcPr>
          <w:p w14:paraId="2C07CB73" w14:textId="1CE143FE"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w:t>
            </w:r>
          </w:p>
        </w:tc>
        <w:tc>
          <w:tcPr>
            <w:tcW w:w="578" w:type="pct"/>
            <w:tcBorders>
              <w:top w:val="nil"/>
              <w:left w:val="nil"/>
              <w:bottom w:val="nil"/>
              <w:right w:val="nil"/>
            </w:tcBorders>
            <w:shd w:val="clear" w:color="000000" w:fill="FFFFFF"/>
            <w:noWrap/>
            <w:vAlign w:val="bottom"/>
            <w:hideMark/>
          </w:tcPr>
          <w:p w14:paraId="4214CD6C" w14:textId="711F67FD" w:rsidR="00F2052E" w:rsidRPr="00F2052E" w:rsidRDefault="00F2052E" w:rsidP="00F2052E">
            <w:pPr>
              <w:spacing w:after="0" w:line="240" w:lineRule="auto"/>
              <w:jc w:val="right"/>
              <w:rPr>
                <w:rFonts w:ascii="Arial" w:hAnsi="Arial" w:cs="Arial"/>
                <w:b/>
                <w:bCs/>
                <w:sz w:val="16"/>
                <w:szCs w:val="16"/>
              </w:rPr>
            </w:pPr>
            <w:r w:rsidRPr="00F2052E">
              <w:rPr>
                <w:rFonts w:ascii="Arial" w:hAnsi="Arial" w:cs="Arial"/>
                <w:b/>
                <w:bCs/>
                <w:sz w:val="16"/>
                <w:szCs w:val="16"/>
              </w:rPr>
              <w:t>-</w:t>
            </w:r>
          </w:p>
        </w:tc>
        <w:tc>
          <w:tcPr>
            <w:tcW w:w="578" w:type="pct"/>
            <w:tcBorders>
              <w:top w:val="nil"/>
              <w:left w:val="nil"/>
              <w:bottom w:val="nil"/>
              <w:right w:val="nil"/>
            </w:tcBorders>
            <w:shd w:val="clear" w:color="000000" w:fill="E6E6E6"/>
            <w:noWrap/>
            <w:vAlign w:val="bottom"/>
            <w:hideMark/>
          </w:tcPr>
          <w:p w14:paraId="33198F7D" w14:textId="27D69943"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w:t>
            </w:r>
          </w:p>
        </w:tc>
        <w:tc>
          <w:tcPr>
            <w:tcW w:w="578" w:type="pct"/>
            <w:tcBorders>
              <w:top w:val="nil"/>
              <w:left w:val="nil"/>
              <w:bottom w:val="nil"/>
              <w:right w:val="nil"/>
            </w:tcBorders>
            <w:shd w:val="clear" w:color="000000" w:fill="FFFFFF"/>
            <w:noWrap/>
            <w:vAlign w:val="bottom"/>
            <w:hideMark/>
          </w:tcPr>
          <w:p w14:paraId="76A26D6C" w14:textId="2492F322" w:rsidR="00F2052E" w:rsidRPr="00F2052E" w:rsidRDefault="00F2052E" w:rsidP="00F2052E">
            <w:pPr>
              <w:spacing w:after="0" w:line="240" w:lineRule="auto"/>
              <w:jc w:val="right"/>
              <w:rPr>
                <w:rFonts w:ascii="Arial" w:hAnsi="Arial" w:cs="Arial"/>
                <w:b/>
                <w:bCs/>
                <w:sz w:val="16"/>
                <w:szCs w:val="16"/>
              </w:rPr>
            </w:pPr>
            <w:r w:rsidRPr="00F2052E">
              <w:rPr>
                <w:rFonts w:ascii="Arial" w:hAnsi="Arial" w:cs="Arial"/>
                <w:b/>
                <w:bCs/>
                <w:sz w:val="16"/>
                <w:szCs w:val="16"/>
              </w:rPr>
              <w:t>-</w:t>
            </w:r>
          </w:p>
        </w:tc>
        <w:tc>
          <w:tcPr>
            <w:tcW w:w="575" w:type="pct"/>
            <w:tcBorders>
              <w:top w:val="nil"/>
              <w:left w:val="nil"/>
              <w:bottom w:val="nil"/>
              <w:right w:val="nil"/>
            </w:tcBorders>
            <w:shd w:val="clear" w:color="000000" w:fill="E6E6E6"/>
            <w:noWrap/>
            <w:vAlign w:val="bottom"/>
            <w:hideMark/>
          </w:tcPr>
          <w:p w14:paraId="504CBF38" w14:textId="575954D8"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w:t>
            </w:r>
          </w:p>
        </w:tc>
      </w:tr>
      <w:tr w:rsidR="00F2052E" w:rsidRPr="00F2052E" w14:paraId="7D6048AA" w14:textId="77777777" w:rsidTr="00B90578">
        <w:trPr>
          <w:trHeight w:val="204"/>
        </w:trPr>
        <w:tc>
          <w:tcPr>
            <w:tcW w:w="1564" w:type="pct"/>
            <w:tcBorders>
              <w:top w:val="nil"/>
              <w:left w:val="nil"/>
              <w:bottom w:val="nil"/>
              <w:right w:val="nil"/>
            </w:tcBorders>
            <w:shd w:val="clear" w:color="auto" w:fill="auto"/>
            <w:noWrap/>
            <w:vAlign w:val="bottom"/>
            <w:hideMark/>
          </w:tcPr>
          <w:p w14:paraId="51D3BC42" w14:textId="77777777" w:rsidR="00F2052E" w:rsidRPr="00F2052E" w:rsidRDefault="00F2052E" w:rsidP="002276B4">
            <w:pPr>
              <w:spacing w:after="0" w:line="240" w:lineRule="auto"/>
              <w:rPr>
                <w:rFonts w:ascii="Arial" w:hAnsi="Arial" w:cs="Arial"/>
                <w:b/>
                <w:bCs/>
                <w:sz w:val="16"/>
                <w:szCs w:val="16"/>
              </w:rPr>
            </w:pPr>
            <w:r w:rsidRPr="00F2052E">
              <w:rPr>
                <w:rFonts w:ascii="Arial" w:hAnsi="Arial" w:cs="Arial"/>
                <w:b/>
                <w:bCs/>
                <w:sz w:val="16"/>
                <w:szCs w:val="16"/>
              </w:rPr>
              <w:t xml:space="preserve">Total </w:t>
            </w:r>
          </w:p>
        </w:tc>
        <w:tc>
          <w:tcPr>
            <w:tcW w:w="543" w:type="pct"/>
            <w:gridSpan w:val="2"/>
            <w:tcBorders>
              <w:top w:val="nil"/>
              <w:left w:val="nil"/>
              <w:bottom w:val="nil"/>
              <w:right w:val="nil"/>
            </w:tcBorders>
            <w:shd w:val="clear" w:color="auto" w:fill="auto"/>
            <w:noWrap/>
            <w:vAlign w:val="bottom"/>
            <w:hideMark/>
          </w:tcPr>
          <w:p w14:paraId="42EA1CD9" w14:textId="77777777" w:rsidR="00F2052E" w:rsidRPr="00F2052E" w:rsidRDefault="00F2052E" w:rsidP="00F2052E">
            <w:pPr>
              <w:spacing w:after="0" w:line="240" w:lineRule="auto"/>
              <w:jc w:val="center"/>
              <w:rPr>
                <w:rFonts w:ascii="Arial" w:hAnsi="Arial" w:cs="Arial"/>
                <w:b/>
                <w:bCs/>
                <w:sz w:val="16"/>
                <w:szCs w:val="16"/>
              </w:rPr>
            </w:pPr>
          </w:p>
        </w:tc>
        <w:tc>
          <w:tcPr>
            <w:tcW w:w="584" w:type="pct"/>
            <w:tcBorders>
              <w:top w:val="nil"/>
              <w:left w:val="nil"/>
              <w:bottom w:val="nil"/>
              <w:right w:val="nil"/>
            </w:tcBorders>
            <w:shd w:val="clear" w:color="000000" w:fill="E6E6E6"/>
            <w:noWrap/>
            <w:vAlign w:val="bottom"/>
            <w:hideMark/>
          </w:tcPr>
          <w:p w14:paraId="2A6187C0" w14:textId="3096F86B" w:rsidR="00F2052E" w:rsidRPr="00F2052E" w:rsidRDefault="00F2052E" w:rsidP="00F2052E">
            <w:pPr>
              <w:spacing w:after="0" w:line="240" w:lineRule="auto"/>
              <w:jc w:val="right"/>
              <w:rPr>
                <w:rFonts w:ascii="Arial" w:hAnsi="Arial" w:cs="Arial"/>
                <w:b/>
                <w:bCs/>
                <w:sz w:val="16"/>
                <w:szCs w:val="16"/>
              </w:rPr>
            </w:pPr>
            <w:r w:rsidRPr="00F2052E">
              <w:rPr>
                <w:rFonts w:ascii="Arial" w:hAnsi="Arial" w:cs="Arial"/>
                <w:b/>
                <w:bCs/>
                <w:sz w:val="16"/>
                <w:szCs w:val="16"/>
              </w:rPr>
              <w:t>-</w:t>
            </w:r>
          </w:p>
        </w:tc>
        <w:tc>
          <w:tcPr>
            <w:tcW w:w="578" w:type="pct"/>
            <w:tcBorders>
              <w:top w:val="nil"/>
              <w:left w:val="nil"/>
              <w:bottom w:val="nil"/>
              <w:right w:val="nil"/>
            </w:tcBorders>
            <w:shd w:val="clear" w:color="000000" w:fill="FFFFFF"/>
            <w:noWrap/>
            <w:vAlign w:val="bottom"/>
            <w:hideMark/>
          </w:tcPr>
          <w:p w14:paraId="7AA19F32" w14:textId="26547A86" w:rsidR="00F2052E" w:rsidRPr="00F2052E" w:rsidRDefault="00F2052E" w:rsidP="00F2052E">
            <w:pPr>
              <w:spacing w:after="0" w:line="240" w:lineRule="auto"/>
              <w:jc w:val="right"/>
              <w:rPr>
                <w:rFonts w:ascii="Arial" w:hAnsi="Arial" w:cs="Arial"/>
                <w:b/>
                <w:bCs/>
                <w:sz w:val="16"/>
                <w:szCs w:val="16"/>
              </w:rPr>
            </w:pPr>
            <w:r w:rsidRPr="00F2052E">
              <w:rPr>
                <w:rFonts w:ascii="Arial" w:hAnsi="Arial" w:cs="Arial"/>
                <w:b/>
                <w:bCs/>
                <w:sz w:val="16"/>
                <w:szCs w:val="16"/>
              </w:rPr>
              <w:t>-</w:t>
            </w:r>
          </w:p>
        </w:tc>
        <w:tc>
          <w:tcPr>
            <w:tcW w:w="578" w:type="pct"/>
            <w:tcBorders>
              <w:top w:val="nil"/>
              <w:left w:val="nil"/>
              <w:bottom w:val="nil"/>
              <w:right w:val="nil"/>
            </w:tcBorders>
            <w:shd w:val="clear" w:color="000000" w:fill="E6E6E6"/>
            <w:noWrap/>
            <w:vAlign w:val="bottom"/>
            <w:hideMark/>
          </w:tcPr>
          <w:p w14:paraId="25654830" w14:textId="44D363B1" w:rsidR="00F2052E" w:rsidRPr="00F2052E" w:rsidRDefault="00F2052E" w:rsidP="00F2052E">
            <w:pPr>
              <w:spacing w:after="0" w:line="240" w:lineRule="auto"/>
              <w:jc w:val="right"/>
              <w:rPr>
                <w:rFonts w:ascii="Arial" w:hAnsi="Arial" w:cs="Arial"/>
                <w:b/>
                <w:bCs/>
                <w:sz w:val="16"/>
                <w:szCs w:val="16"/>
              </w:rPr>
            </w:pPr>
            <w:r w:rsidRPr="00F2052E">
              <w:rPr>
                <w:rFonts w:ascii="Arial" w:hAnsi="Arial" w:cs="Arial"/>
                <w:b/>
                <w:bCs/>
                <w:sz w:val="16"/>
                <w:szCs w:val="16"/>
              </w:rPr>
              <w:t>-</w:t>
            </w:r>
          </w:p>
        </w:tc>
        <w:tc>
          <w:tcPr>
            <w:tcW w:w="578" w:type="pct"/>
            <w:tcBorders>
              <w:top w:val="nil"/>
              <w:left w:val="nil"/>
              <w:bottom w:val="nil"/>
              <w:right w:val="nil"/>
            </w:tcBorders>
            <w:shd w:val="clear" w:color="000000" w:fill="FFFFFF"/>
            <w:noWrap/>
            <w:vAlign w:val="bottom"/>
            <w:hideMark/>
          </w:tcPr>
          <w:p w14:paraId="398F1934" w14:textId="7B3D851D" w:rsidR="00F2052E" w:rsidRPr="00F2052E" w:rsidRDefault="00F2052E" w:rsidP="00F2052E">
            <w:pPr>
              <w:spacing w:after="0" w:line="240" w:lineRule="auto"/>
              <w:jc w:val="right"/>
              <w:rPr>
                <w:rFonts w:ascii="Arial" w:hAnsi="Arial" w:cs="Arial"/>
                <w:b/>
                <w:bCs/>
                <w:sz w:val="16"/>
                <w:szCs w:val="16"/>
              </w:rPr>
            </w:pPr>
            <w:r w:rsidRPr="00F2052E">
              <w:rPr>
                <w:rFonts w:ascii="Arial" w:hAnsi="Arial" w:cs="Arial"/>
                <w:b/>
                <w:bCs/>
                <w:sz w:val="16"/>
                <w:szCs w:val="16"/>
              </w:rPr>
              <w:t>-</w:t>
            </w:r>
          </w:p>
        </w:tc>
        <w:tc>
          <w:tcPr>
            <w:tcW w:w="575" w:type="pct"/>
            <w:tcBorders>
              <w:top w:val="nil"/>
              <w:left w:val="nil"/>
              <w:bottom w:val="nil"/>
              <w:right w:val="nil"/>
            </w:tcBorders>
            <w:shd w:val="clear" w:color="000000" w:fill="E6E6E6"/>
            <w:noWrap/>
            <w:vAlign w:val="bottom"/>
            <w:hideMark/>
          </w:tcPr>
          <w:p w14:paraId="41C6A978" w14:textId="5B53778D" w:rsidR="00F2052E" w:rsidRPr="00F2052E" w:rsidRDefault="00F2052E" w:rsidP="00F2052E">
            <w:pPr>
              <w:spacing w:after="0" w:line="240" w:lineRule="auto"/>
              <w:jc w:val="right"/>
              <w:rPr>
                <w:rFonts w:ascii="Arial" w:hAnsi="Arial" w:cs="Arial"/>
                <w:b/>
                <w:bCs/>
                <w:sz w:val="16"/>
                <w:szCs w:val="16"/>
              </w:rPr>
            </w:pPr>
            <w:r w:rsidRPr="00F2052E">
              <w:rPr>
                <w:rFonts w:ascii="Arial" w:hAnsi="Arial" w:cs="Arial"/>
                <w:b/>
                <w:bCs/>
                <w:sz w:val="16"/>
                <w:szCs w:val="16"/>
              </w:rPr>
              <w:t>-</w:t>
            </w:r>
          </w:p>
        </w:tc>
      </w:tr>
      <w:tr w:rsidR="00F2052E" w:rsidRPr="00F2052E" w14:paraId="3AAADCEE" w14:textId="77777777" w:rsidTr="00B90578">
        <w:trPr>
          <w:trHeight w:val="204"/>
        </w:trPr>
        <w:tc>
          <w:tcPr>
            <w:tcW w:w="1577" w:type="pct"/>
            <w:gridSpan w:val="2"/>
            <w:tcBorders>
              <w:top w:val="nil"/>
              <w:left w:val="nil"/>
              <w:bottom w:val="nil"/>
              <w:right w:val="nil"/>
            </w:tcBorders>
            <w:shd w:val="clear" w:color="auto" w:fill="auto"/>
            <w:vAlign w:val="bottom"/>
            <w:hideMark/>
          </w:tcPr>
          <w:p w14:paraId="48ED5738" w14:textId="741F47D9" w:rsidR="00F2052E" w:rsidRPr="00F2052E" w:rsidRDefault="00F2052E" w:rsidP="00F2052E">
            <w:pPr>
              <w:spacing w:after="0" w:line="240" w:lineRule="auto"/>
              <w:rPr>
                <w:rFonts w:ascii="Arial" w:hAnsi="Arial" w:cs="Arial"/>
                <w:sz w:val="16"/>
                <w:szCs w:val="16"/>
              </w:rPr>
            </w:pPr>
            <w:r w:rsidRPr="00F2052E">
              <w:rPr>
                <w:rFonts w:ascii="Arial" w:hAnsi="Arial" w:cs="Arial"/>
                <w:sz w:val="16"/>
                <w:szCs w:val="16"/>
              </w:rPr>
              <w:t xml:space="preserve">Regulatory Powers to Combat Misinformation and </w:t>
            </w:r>
            <w:r w:rsidR="00B90578">
              <w:rPr>
                <w:rFonts w:ascii="Arial" w:hAnsi="Arial" w:cs="Arial"/>
                <w:sz w:val="16"/>
                <w:szCs w:val="16"/>
              </w:rPr>
              <w:t>Disinformation</w:t>
            </w:r>
          </w:p>
        </w:tc>
        <w:tc>
          <w:tcPr>
            <w:tcW w:w="530" w:type="pct"/>
            <w:tcBorders>
              <w:top w:val="nil"/>
              <w:left w:val="nil"/>
              <w:bottom w:val="nil"/>
              <w:right w:val="nil"/>
            </w:tcBorders>
            <w:shd w:val="clear" w:color="auto" w:fill="auto"/>
            <w:noWrap/>
            <w:vAlign w:val="bottom"/>
            <w:hideMark/>
          </w:tcPr>
          <w:p w14:paraId="5437E82B" w14:textId="77777777" w:rsidR="00F2052E" w:rsidRPr="00F2052E" w:rsidRDefault="00F2052E" w:rsidP="00F2052E">
            <w:pPr>
              <w:spacing w:after="0" w:line="240" w:lineRule="auto"/>
              <w:jc w:val="center"/>
              <w:rPr>
                <w:rFonts w:ascii="Arial" w:hAnsi="Arial" w:cs="Arial"/>
                <w:sz w:val="16"/>
                <w:szCs w:val="16"/>
              </w:rPr>
            </w:pPr>
            <w:r w:rsidRPr="00F2052E">
              <w:rPr>
                <w:rFonts w:ascii="Arial" w:hAnsi="Arial" w:cs="Arial"/>
                <w:sz w:val="16"/>
                <w:szCs w:val="16"/>
              </w:rPr>
              <w:t>5.1</w:t>
            </w:r>
          </w:p>
        </w:tc>
        <w:tc>
          <w:tcPr>
            <w:tcW w:w="584" w:type="pct"/>
            <w:tcBorders>
              <w:top w:val="nil"/>
              <w:left w:val="nil"/>
              <w:bottom w:val="nil"/>
              <w:right w:val="nil"/>
            </w:tcBorders>
            <w:shd w:val="clear" w:color="000000" w:fill="E6E6E6"/>
            <w:noWrap/>
            <w:vAlign w:val="bottom"/>
            <w:hideMark/>
          </w:tcPr>
          <w:p w14:paraId="7FD297E1" w14:textId="1B36F6C0" w:rsidR="00F2052E" w:rsidRPr="00F2052E" w:rsidRDefault="00F2052E" w:rsidP="00F2052E">
            <w:pPr>
              <w:spacing w:after="0" w:line="240" w:lineRule="auto"/>
              <w:jc w:val="right"/>
              <w:rPr>
                <w:rFonts w:ascii="Arial" w:hAnsi="Arial" w:cs="Arial"/>
                <w:sz w:val="16"/>
                <w:szCs w:val="16"/>
              </w:rPr>
            </w:pPr>
          </w:p>
        </w:tc>
        <w:tc>
          <w:tcPr>
            <w:tcW w:w="578" w:type="pct"/>
            <w:tcBorders>
              <w:top w:val="nil"/>
              <w:left w:val="nil"/>
              <w:bottom w:val="nil"/>
              <w:right w:val="nil"/>
            </w:tcBorders>
            <w:shd w:val="clear" w:color="000000" w:fill="FFFFFF"/>
            <w:noWrap/>
            <w:vAlign w:val="bottom"/>
            <w:hideMark/>
          </w:tcPr>
          <w:p w14:paraId="4D197FE9" w14:textId="26A4E949" w:rsidR="00F2052E" w:rsidRPr="00F2052E" w:rsidRDefault="00F2052E" w:rsidP="00F2052E">
            <w:pPr>
              <w:spacing w:after="0" w:line="240" w:lineRule="auto"/>
              <w:jc w:val="right"/>
              <w:rPr>
                <w:rFonts w:ascii="Arial" w:hAnsi="Arial" w:cs="Arial"/>
                <w:sz w:val="16"/>
                <w:szCs w:val="16"/>
              </w:rPr>
            </w:pPr>
          </w:p>
        </w:tc>
        <w:tc>
          <w:tcPr>
            <w:tcW w:w="578" w:type="pct"/>
            <w:tcBorders>
              <w:top w:val="nil"/>
              <w:left w:val="nil"/>
              <w:bottom w:val="nil"/>
              <w:right w:val="nil"/>
            </w:tcBorders>
            <w:shd w:val="clear" w:color="000000" w:fill="E6E6E6"/>
            <w:noWrap/>
            <w:vAlign w:val="bottom"/>
            <w:hideMark/>
          </w:tcPr>
          <w:p w14:paraId="664CDA25" w14:textId="1F965E94" w:rsidR="00F2052E" w:rsidRPr="00F2052E" w:rsidRDefault="00F2052E" w:rsidP="00F2052E">
            <w:pPr>
              <w:spacing w:after="0" w:line="240" w:lineRule="auto"/>
              <w:jc w:val="right"/>
              <w:rPr>
                <w:rFonts w:ascii="Arial" w:hAnsi="Arial" w:cs="Arial"/>
                <w:sz w:val="16"/>
                <w:szCs w:val="16"/>
              </w:rPr>
            </w:pPr>
          </w:p>
        </w:tc>
        <w:tc>
          <w:tcPr>
            <w:tcW w:w="578" w:type="pct"/>
            <w:tcBorders>
              <w:top w:val="nil"/>
              <w:left w:val="nil"/>
              <w:bottom w:val="nil"/>
              <w:right w:val="nil"/>
            </w:tcBorders>
            <w:shd w:val="clear" w:color="000000" w:fill="FFFFFF"/>
            <w:noWrap/>
            <w:vAlign w:val="bottom"/>
            <w:hideMark/>
          </w:tcPr>
          <w:p w14:paraId="2D59A8BD" w14:textId="66B70B10" w:rsidR="00F2052E" w:rsidRPr="00F2052E" w:rsidRDefault="00F2052E" w:rsidP="00F2052E">
            <w:pPr>
              <w:spacing w:after="0" w:line="240" w:lineRule="auto"/>
              <w:jc w:val="right"/>
              <w:rPr>
                <w:rFonts w:ascii="Arial" w:hAnsi="Arial" w:cs="Arial"/>
                <w:sz w:val="16"/>
                <w:szCs w:val="16"/>
              </w:rPr>
            </w:pPr>
          </w:p>
        </w:tc>
        <w:tc>
          <w:tcPr>
            <w:tcW w:w="575" w:type="pct"/>
            <w:tcBorders>
              <w:top w:val="nil"/>
              <w:left w:val="nil"/>
              <w:bottom w:val="nil"/>
              <w:right w:val="nil"/>
            </w:tcBorders>
            <w:shd w:val="clear" w:color="000000" w:fill="E6E6E6"/>
            <w:noWrap/>
            <w:vAlign w:val="bottom"/>
            <w:hideMark/>
          </w:tcPr>
          <w:p w14:paraId="63AB38B1" w14:textId="1730409A" w:rsidR="00F2052E" w:rsidRPr="00F2052E" w:rsidRDefault="00F2052E" w:rsidP="00F2052E">
            <w:pPr>
              <w:spacing w:after="0" w:line="240" w:lineRule="auto"/>
              <w:jc w:val="right"/>
              <w:rPr>
                <w:rFonts w:ascii="Arial" w:hAnsi="Arial" w:cs="Arial"/>
                <w:sz w:val="16"/>
                <w:szCs w:val="16"/>
              </w:rPr>
            </w:pPr>
          </w:p>
        </w:tc>
      </w:tr>
      <w:tr w:rsidR="00F2052E" w:rsidRPr="00F2052E" w14:paraId="7977B1CC" w14:textId="77777777" w:rsidTr="00B90578">
        <w:trPr>
          <w:trHeight w:val="204"/>
        </w:trPr>
        <w:tc>
          <w:tcPr>
            <w:tcW w:w="1577" w:type="pct"/>
            <w:gridSpan w:val="2"/>
            <w:tcBorders>
              <w:top w:val="nil"/>
              <w:left w:val="nil"/>
              <w:bottom w:val="nil"/>
              <w:right w:val="nil"/>
            </w:tcBorders>
            <w:shd w:val="clear" w:color="auto" w:fill="auto"/>
            <w:vAlign w:val="bottom"/>
            <w:hideMark/>
          </w:tcPr>
          <w:p w14:paraId="47EA6F40" w14:textId="77777777" w:rsidR="00F2052E" w:rsidRPr="00F2052E" w:rsidRDefault="00F2052E" w:rsidP="00F2052E">
            <w:pPr>
              <w:spacing w:after="0" w:line="240" w:lineRule="auto"/>
              <w:ind w:left="113"/>
              <w:rPr>
                <w:rFonts w:ascii="Arial" w:hAnsi="Arial" w:cs="Arial"/>
                <w:sz w:val="16"/>
                <w:szCs w:val="16"/>
              </w:rPr>
            </w:pPr>
            <w:r w:rsidRPr="00F2052E">
              <w:rPr>
                <w:rFonts w:ascii="Arial" w:hAnsi="Arial" w:cs="Arial"/>
                <w:sz w:val="16"/>
                <w:szCs w:val="16"/>
              </w:rPr>
              <w:t>Administered payments</w:t>
            </w:r>
          </w:p>
        </w:tc>
        <w:tc>
          <w:tcPr>
            <w:tcW w:w="530" w:type="pct"/>
            <w:tcBorders>
              <w:top w:val="nil"/>
              <w:left w:val="nil"/>
              <w:bottom w:val="nil"/>
              <w:right w:val="nil"/>
            </w:tcBorders>
            <w:shd w:val="clear" w:color="auto" w:fill="auto"/>
            <w:noWrap/>
            <w:vAlign w:val="bottom"/>
            <w:hideMark/>
          </w:tcPr>
          <w:p w14:paraId="07BACD75" w14:textId="77777777" w:rsidR="00F2052E" w:rsidRPr="00F2052E" w:rsidRDefault="00F2052E" w:rsidP="00F2052E">
            <w:pPr>
              <w:spacing w:after="0" w:line="240" w:lineRule="auto"/>
              <w:ind w:firstLineChars="100" w:firstLine="160"/>
              <w:jc w:val="center"/>
              <w:rPr>
                <w:rFonts w:ascii="Arial" w:hAnsi="Arial" w:cs="Arial"/>
                <w:sz w:val="16"/>
                <w:szCs w:val="16"/>
              </w:rPr>
            </w:pPr>
          </w:p>
        </w:tc>
        <w:tc>
          <w:tcPr>
            <w:tcW w:w="584" w:type="pct"/>
            <w:tcBorders>
              <w:top w:val="nil"/>
              <w:left w:val="nil"/>
              <w:bottom w:val="nil"/>
              <w:right w:val="nil"/>
            </w:tcBorders>
            <w:shd w:val="clear" w:color="000000" w:fill="E6E6E6"/>
            <w:noWrap/>
            <w:vAlign w:val="bottom"/>
            <w:hideMark/>
          </w:tcPr>
          <w:p w14:paraId="2468C7DD" w14:textId="74A285A1"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(2,264)</w:t>
            </w:r>
          </w:p>
        </w:tc>
        <w:tc>
          <w:tcPr>
            <w:tcW w:w="578" w:type="pct"/>
            <w:tcBorders>
              <w:top w:val="nil"/>
              <w:left w:val="nil"/>
              <w:bottom w:val="nil"/>
              <w:right w:val="nil"/>
            </w:tcBorders>
            <w:shd w:val="clear" w:color="000000" w:fill="FFFFFF"/>
            <w:noWrap/>
            <w:vAlign w:val="bottom"/>
            <w:hideMark/>
          </w:tcPr>
          <w:p w14:paraId="62C83243" w14:textId="5B6BCFEE"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w:t>
            </w:r>
          </w:p>
        </w:tc>
        <w:tc>
          <w:tcPr>
            <w:tcW w:w="578" w:type="pct"/>
            <w:tcBorders>
              <w:top w:val="nil"/>
              <w:left w:val="nil"/>
              <w:bottom w:val="nil"/>
              <w:right w:val="nil"/>
            </w:tcBorders>
            <w:shd w:val="clear" w:color="000000" w:fill="E6E6E6"/>
            <w:noWrap/>
            <w:vAlign w:val="bottom"/>
            <w:hideMark/>
          </w:tcPr>
          <w:p w14:paraId="353D3165" w14:textId="1DEADC94"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w:t>
            </w:r>
          </w:p>
        </w:tc>
        <w:tc>
          <w:tcPr>
            <w:tcW w:w="578" w:type="pct"/>
            <w:tcBorders>
              <w:top w:val="nil"/>
              <w:left w:val="nil"/>
              <w:bottom w:val="nil"/>
              <w:right w:val="nil"/>
            </w:tcBorders>
            <w:shd w:val="clear" w:color="000000" w:fill="FFFFFF"/>
            <w:noWrap/>
            <w:vAlign w:val="bottom"/>
            <w:hideMark/>
          </w:tcPr>
          <w:p w14:paraId="079CCF9A" w14:textId="7F8B1157" w:rsidR="00F2052E" w:rsidRPr="00F2052E" w:rsidRDefault="00F2052E" w:rsidP="00F2052E">
            <w:pPr>
              <w:spacing w:after="0" w:line="240" w:lineRule="auto"/>
              <w:jc w:val="right"/>
              <w:rPr>
                <w:rFonts w:ascii="Arial" w:hAnsi="Arial" w:cs="Arial"/>
                <w:b/>
                <w:bCs/>
                <w:sz w:val="16"/>
                <w:szCs w:val="16"/>
              </w:rPr>
            </w:pPr>
            <w:r w:rsidRPr="00F2052E">
              <w:rPr>
                <w:rFonts w:ascii="Arial" w:hAnsi="Arial" w:cs="Arial"/>
                <w:b/>
                <w:bCs/>
                <w:sz w:val="16"/>
                <w:szCs w:val="16"/>
              </w:rPr>
              <w:t>-</w:t>
            </w:r>
          </w:p>
        </w:tc>
        <w:tc>
          <w:tcPr>
            <w:tcW w:w="575" w:type="pct"/>
            <w:tcBorders>
              <w:top w:val="nil"/>
              <w:left w:val="nil"/>
              <w:bottom w:val="nil"/>
              <w:right w:val="nil"/>
            </w:tcBorders>
            <w:shd w:val="clear" w:color="000000" w:fill="E6E6E6"/>
            <w:noWrap/>
            <w:vAlign w:val="bottom"/>
            <w:hideMark/>
          </w:tcPr>
          <w:p w14:paraId="25D50D9B" w14:textId="5BC83472"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w:t>
            </w:r>
          </w:p>
        </w:tc>
      </w:tr>
      <w:tr w:rsidR="00F2052E" w:rsidRPr="00F2052E" w14:paraId="5AB8382D" w14:textId="77777777" w:rsidTr="00B90578">
        <w:trPr>
          <w:trHeight w:val="204"/>
        </w:trPr>
        <w:tc>
          <w:tcPr>
            <w:tcW w:w="1577" w:type="pct"/>
            <w:gridSpan w:val="2"/>
            <w:tcBorders>
              <w:top w:val="nil"/>
              <w:left w:val="nil"/>
              <w:bottom w:val="nil"/>
              <w:right w:val="nil"/>
            </w:tcBorders>
            <w:shd w:val="clear" w:color="auto" w:fill="auto"/>
            <w:noWrap/>
            <w:vAlign w:val="bottom"/>
            <w:hideMark/>
          </w:tcPr>
          <w:p w14:paraId="7FECCBAD" w14:textId="77777777" w:rsidR="00F2052E" w:rsidRPr="00F2052E" w:rsidRDefault="00F2052E" w:rsidP="00F2052E">
            <w:pPr>
              <w:spacing w:after="0" w:line="240" w:lineRule="auto"/>
              <w:rPr>
                <w:rFonts w:ascii="Arial" w:hAnsi="Arial" w:cs="Arial"/>
                <w:b/>
                <w:bCs/>
                <w:sz w:val="16"/>
                <w:szCs w:val="16"/>
              </w:rPr>
            </w:pPr>
            <w:r w:rsidRPr="00F2052E">
              <w:rPr>
                <w:rFonts w:ascii="Arial" w:hAnsi="Arial" w:cs="Arial"/>
                <w:b/>
                <w:bCs/>
                <w:sz w:val="16"/>
                <w:szCs w:val="16"/>
              </w:rPr>
              <w:t xml:space="preserve">Total </w:t>
            </w:r>
          </w:p>
        </w:tc>
        <w:tc>
          <w:tcPr>
            <w:tcW w:w="530" w:type="pct"/>
            <w:tcBorders>
              <w:top w:val="nil"/>
              <w:left w:val="nil"/>
              <w:bottom w:val="nil"/>
              <w:right w:val="nil"/>
            </w:tcBorders>
            <w:shd w:val="clear" w:color="auto" w:fill="auto"/>
            <w:noWrap/>
            <w:vAlign w:val="bottom"/>
            <w:hideMark/>
          </w:tcPr>
          <w:p w14:paraId="3A4EB3B1" w14:textId="77777777" w:rsidR="00F2052E" w:rsidRPr="00F2052E" w:rsidRDefault="00F2052E" w:rsidP="00F2052E">
            <w:pPr>
              <w:spacing w:after="0" w:line="240" w:lineRule="auto"/>
              <w:jc w:val="center"/>
              <w:rPr>
                <w:rFonts w:ascii="Arial" w:hAnsi="Arial" w:cs="Arial"/>
                <w:b/>
                <w:bCs/>
                <w:sz w:val="16"/>
                <w:szCs w:val="16"/>
              </w:rPr>
            </w:pPr>
          </w:p>
        </w:tc>
        <w:tc>
          <w:tcPr>
            <w:tcW w:w="584" w:type="pct"/>
            <w:tcBorders>
              <w:top w:val="nil"/>
              <w:left w:val="nil"/>
              <w:bottom w:val="nil"/>
              <w:right w:val="nil"/>
            </w:tcBorders>
            <w:shd w:val="clear" w:color="000000" w:fill="E6E6E6"/>
            <w:noWrap/>
            <w:vAlign w:val="bottom"/>
            <w:hideMark/>
          </w:tcPr>
          <w:p w14:paraId="78507346" w14:textId="576CE8CA" w:rsidR="00F2052E" w:rsidRPr="00F2052E" w:rsidRDefault="00F2052E" w:rsidP="00F2052E">
            <w:pPr>
              <w:spacing w:after="0" w:line="240" w:lineRule="auto"/>
              <w:jc w:val="right"/>
              <w:rPr>
                <w:rFonts w:ascii="Arial" w:hAnsi="Arial" w:cs="Arial"/>
                <w:b/>
                <w:bCs/>
                <w:sz w:val="16"/>
                <w:szCs w:val="16"/>
              </w:rPr>
            </w:pPr>
            <w:r w:rsidRPr="00F2052E">
              <w:rPr>
                <w:rFonts w:ascii="Arial" w:hAnsi="Arial" w:cs="Arial"/>
                <w:b/>
                <w:bCs/>
                <w:sz w:val="16"/>
                <w:szCs w:val="16"/>
              </w:rPr>
              <w:t>(2,264)</w:t>
            </w:r>
          </w:p>
        </w:tc>
        <w:tc>
          <w:tcPr>
            <w:tcW w:w="578" w:type="pct"/>
            <w:tcBorders>
              <w:top w:val="nil"/>
              <w:left w:val="nil"/>
              <w:bottom w:val="nil"/>
              <w:right w:val="nil"/>
            </w:tcBorders>
            <w:shd w:val="clear" w:color="000000" w:fill="FFFFFF"/>
            <w:noWrap/>
            <w:vAlign w:val="bottom"/>
            <w:hideMark/>
          </w:tcPr>
          <w:p w14:paraId="41634CCD" w14:textId="37936599" w:rsidR="00F2052E" w:rsidRPr="00F2052E" w:rsidRDefault="00F2052E" w:rsidP="00F2052E">
            <w:pPr>
              <w:spacing w:after="0" w:line="240" w:lineRule="auto"/>
              <w:jc w:val="right"/>
              <w:rPr>
                <w:rFonts w:ascii="Arial" w:hAnsi="Arial" w:cs="Arial"/>
                <w:b/>
                <w:bCs/>
                <w:sz w:val="16"/>
                <w:szCs w:val="16"/>
              </w:rPr>
            </w:pPr>
            <w:r w:rsidRPr="00F2052E">
              <w:rPr>
                <w:rFonts w:ascii="Arial" w:hAnsi="Arial" w:cs="Arial"/>
                <w:b/>
                <w:bCs/>
                <w:sz w:val="16"/>
                <w:szCs w:val="16"/>
              </w:rPr>
              <w:t>-</w:t>
            </w:r>
          </w:p>
        </w:tc>
        <w:tc>
          <w:tcPr>
            <w:tcW w:w="578" w:type="pct"/>
            <w:tcBorders>
              <w:top w:val="nil"/>
              <w:left w:val="nil"/>
              <w:bottom w:val="nil"/>
              <w:right w:val="nil"/>
            </w:tcBorders>
            <w:shd w:val="clear" w:color="000000" w:fill="E6E6E6"/>
            <w:noWrap/>
            <w:vAlign w:val="bottom"/>
            <w:hideMark/>
          </w:tcPr>
          <w:p w14:paraId="19861E6E" w14:textId="2465E0B3" w:rsidR="00F2052E" w:rsidRPr="00F2052E" w:rsidRDefault="00F2052E" w:rsidP="00F2052E">
            <w:pPr>
              <w:spacing w:after="0" w:line="240" w:lineRule="auto"/>
              <w:jc w:val="right"/>
              <w:rPr>
                <w:rFonts w:ascii="Arial" w:hAnsi="Arial" w:cs="Arial"/>
                <w:b/>
                <w:bCs/>
                <w:sz w:val="16"/>
                <w:szCs w:val="16"/>
              </w:rPr>
            </w:pPr>
            <w:r w:rsidRPr="00F2052E">
              <w:rPr>
                <w:rFonts w:ascii="Arial" w:hAnsi="Arial" w:cs="Arial"/>
                <w:b/>
                <w:bCs/>
                <w:sz w:val="16"/>
                <w:szCs w:val="16"/>
              </w:rPr>
              <w:t>-</w:t>
            </w:r>
          </w:p>
        </w:tc>
        <w:tc>
          <w:tcPr>
            <w:tcW w:w="578" w:type="pct"/>
            <w:tcBorders>
              <w:top w:val="nil"/>
              <w:left w:val="nil"/>
              <w:bottom w:val="nil"/>
              <w:right w:val="nil"/>
            </w:tcBorders>
            <w:shd w:val="clear" w:color="000000" w:fill="FFFFFF"/>
            <w:noWrap/>
            <w:vAlign w:val="bottom"/>
            <w:hideMark/>
          </w:tcPr>
          <w:p w14:paraId="494A2027" w14:textId="758963D0" w:rsidR="00F2052E" w:rsidRPr="00F2052E" w:rsidRDefault="00F2052E" w:rsidP="00F2052E">
            <w:pPr>
              <w:spacing w:after="0" w:line="240" w:lineRule="auto"/>
              <w:jc w:val="right"/>
              <w:rPr>
                <w:rFonts w:ascii="Arial" w:hAnsi="Arial" w:cs="Arial"/>
                <w:b/>
                <w:bCs/>
                <w:sz w:val="16"/>
                <w:szCs w:val="16"/>
              </w:rPr>
            </w:pPr>
            <w:r w:rsidRPr="00F2052E">
              <w:rPr>
                <w:rFonts w:ascii="Arial" w:hAnsi="Arial" w:cs="Arial"/>
                <w:b/>
                <w:bCs/>
                <w:sz w:val="16"/>
                <w:szCs w:val="16"/>
              </w:rPr>
              <w:t>-</w:t>
            </w:r>
          </w:p>
        </w:tc>
        <w:tc>
          <w:tcPr>
            <w:tcW w:w="575" w:type="pct"/>
            <w:tcBorders>
              <w:top w:val="nil"/>
              <w:left w:val="nil"/>
              <w:bottom w:val="nil"/>
              <w:right w:val="nil"/>
            </w:tcBorders>
            <w:shd w:val="clear" w:color="000000" w:fill="E6E6E6"/>
            <w:noWrap/>
            <w:vAlign w:val="bottom"/>
            <w:hideMark/>
          </w:tcPr>
          <w:p w14:paraId="3BC048DE" w14:textId="2B454704" w:rsidR="00F2052E" w:rsidRPr="00F2052E" w:rsidRDefault="00F2052E" w:rsidP="00F2052E">
            <w:pPr>
              <w:spacing w:after="0" w:line="240" w:lineRule="auto"/>
              <w:jc w:val="right"/>
              <w:rPr>
                <w:rFonts w:ascii="Arial" w:hAnsi="Arial" w:cs="Arial"/>
                <w:b/>
                <w:bCs/>
                <w:sz w:val="16"/>
                <w:szCs w:val="16"/>
              </w:rPr>
            </w:pPr>
            <w:r w:rsidRPr="00F2052E">
              <w:rPr>
                <w:rFonts w:ascii="Arial" w:hAnsi="Arial" w:cs="Arial"/>
                <w:b/>
                <w:bCs/>
                <w:sz w:val="16"/>
                <w:szCs w:val="16"/>
              </w:rPr>
              <w:t>-</w:t>
            </w:r>
          </w:p>
        </w:tc>
      </w:tr>
      <w:tr w:rsidR="00F2052E" w:rsidRPr="00F2052E" w14:paraId="620F8C8C" w14:textId="77777777" w:rsidTr="00B90578">
        <w:trPr>
          <w:trHeight w:val="204"/>
        </w:trPr>
        <w:tc>
          <w:tcPr>
            <w:tcW w:w="1577" w:type="pct"/>
            <w:gridSpan w:val="2"/>
            <w:tcBorders>
              <w:top w:val="nil"/>
              <w:left w:val="nil"/>
              <w:bottom w:val="nil"/>
              <w:right w:val="nil"/>
            </w:tcBorders>
            <w:shd w:val="clear" w:color="auto" w:fill="auto"/>
            <w:vAlign w:val="bottom"/>
            <w:hideMark/>
          </w:tcPr>
          <w:p w14:paraId="0C94D3EB" w14:textId="6BC87CD8" w:rsidR="00F2052E" w:rsidRPr="00F2052E" w:rsidRDefault="00F2052E" w:rsidP="00F2052E">
            <w:pPr>
              <w:spacing w:after="0" w:line="240" w:lineRule="auto"/>
              <w:rPr>
                <w:rFonts w:ascii="Arial" w:hAnsi="Arial" w:cs="Arial"/>
                <w:sz w:val="16"/>
                <w:szCs w:val="16"/>
              </w:rPr>
            </w:pPr>
            <w:r w:rsidRPr="00F2052E">
              <w:rPr>
                <w:rFonts w:ascii="Arial" w:hAnsi="Arial" w:cs="Arial"/>
                <w:sz w:val="16"/>
                <w:szCs w:val="16"/>
              </w:rPr>
              <w:t>Support</w:t>
            </w:r>
            <w:r w:rsidR="002C712B">
              <w:rPr>
                <w:rFonts w:ascii="Arial" w:hAnsi="Arial" w:cs="Arial"/>
                <w:sz w:val="16"/>
                <w:szCs w:val="16"/>
              </w:rPr>
              <w:t>ing</w:t>
            </w:r>
            <w:r w:rsidRPr="00F2052E">
              <w:rPr>
                <w:rFonts w:ascii="Arial" w:hAnsi="Arial" w:cs="Arial"/>
                <w:sz w:val="16"/>
                <w:szCs w:val="16"/>
              </w:rPr>
              <w:t xml:space="preserve"> Arts Training in Australia</w:t>
            </w:r>
          </w:p>
        </w:tc>
        <w:tc>
          <w:tcPr>
            <w:tcW w:w="530" w:type="pct"/>
            <w:tcBorders>
              <w:left w:val="nil"/>
              <w:bottom w:val="nil"/>
              <w:right w:val="nil"/>
            </w:tcBorders>
            <w:shd w:val="clear" w:color="auto" w:fill="auto"/>
            <w:noWrap/>
            <w:vAlign w:val="bottom"/>
            <w:hideMark/>
          </w:tcPr>
          <w:p w14:paraId="44929CA3" w14:textId="49AFE394" w:rsidR="00F2052E" w:rsidRPr="00F2052E" w:rsidRDefault="00B90578" w:rsidP="00F2052E">
            <w:pPr>
              <w:spacing w:after="0" w:line="240" w:lineRule="auto"/>
              <w:jc w:val="center"/>
              <w:rPr>
                <w:rFonts w:ascii="Arial" w:hAnsi="Arial" w:cs="Arial"/>
                <w:sz w:val="16"/>
                <w:szCs w:val="16"/>
              </w:rPr>
            </w:pPr>
            <w:r>
              <w:rPr>
                <w:rFonts w:ascii="Arial" w:hAnsi="Arial" w:cs="Arial"/>
                <w:sz w:val="16"/>
                <w:szCs w:val="16"/>
              </w:rPr>
              <w:t>6.1, 6.2</w:t>
            </w:r>
          </w:p>
        </w:tc>
        <w:tc>
          <w:tcPr>
            <w:tcW w:w="584" w:type="pct"/>
            <w:tcBorders>
              <w:top w:val="nil"/>
              <w:left w:val="nil"/>
              <w:bottom w:val="nil"/>
              <w:right w:val="nil"/>
            </w:tcBorders>
            <w:shd w:val="clear" w:color="000000" w:fill="E6E6E6"/>
            <w:noWrap/>
            <w:vAlign w:val="bottom"/>
            <w:hideMark/>
          </w:tcPr>
          <w:p w14:paraId="478FF0E1" w14:textId="463FB86C" w:rsidR="00F2052E" w:rsidRPr="00F2052E" w:rsidRDefault="00F2052E" w:rsidP="00F2052E">
            <w:pPr>
              <w:spacing w:after="0" w:line="240" w:lineRule="auto"/>
              <w:jc w:val="right"/>
              <w:rPr>
                <w:rFonts w:ascii="Arial" w:hAnsi="Arial" w:cs="Arial"/>
                <w:sz w:val="16"/>
                <w:szCs w:val="16"/>
              </w:rPr>
            </w:pPr>
          </w:p>
        </w:tc>
        <w:tc>
          <w:tcPr>
            <w:tcW w:w="578" w:type="pct"/>
            <w:tcBorders>
              <w:top w:val="nil"/>
              <w:left w:val="nil"/>
              <w:bottom w:val="nil"/>
              <w:right w:val="nil"/>
            </w:tcBorders>
            <w:shd w:val="clear" w:color="000000" w:fill="FFFFFF"/>
            <w:noWrap/>
            <w:vAlign w:val="bottom"/>
            <w:hideMark/>
          </w:tcPr>
          <w:p w14:paraId="7818D581" w14:textId="1592CE7E" w:rsidR="00F2052E" w:rsidRPr="00F2052E" w:rsidRDefault="00F2052E" w:rsidP="00F2052E">
            <w:pPr>
              <w:spacing w:after="0" w:line="240" w:lineRule="auto"/>
              <w:jc w:val="right"/>
              <w:rPr>
                <w:rFonts w:ascii="Arial" w:hAnsi="Arial" w:cs="Arial"/>
                <w:sz w:val="16"/>
                <w:szCs w:val="16"/>
              </w:rPr>
            </w:pPr>
          </w:p>
        </w:tc>
        <w:tc>
          <w:tcPr>
            <w:tcW w:w="578" w:type="pct"/>
            <w:tcBorders>
              <w:top w:val="nil"/>
              <w:left w:val="nil"/>
              <w:bottom w:val="nil"/>
              <w:right w:val="nil"/>
            </w:tcBorders>
            <w:shd w:val="clear" w:color="000000" w:fill="E6E6E6"/>
            <w:noWrap/>
            <w:vAlign w:val="bottom"/>
            <w:hideMark/>
          </w:tcPr>
          <w:p w14:paraId="6BC3BA09" w14:textId="3C0887A6" w:rsidR="00F2052E" w:rsidRPr="00F2052E" w:rsidRDefault="00F2052E" w:rsidP="00F2052E">
            <w:pPr>
              <w:spacing w:after="0" w:line="240" w:lineRule="auto"/>
              <w:jc w:val="right"/>
              <w:rPr>
                <w:rFonts w:ascii="Arial" w:hAnsi="Arial" w:cs="Arial"/>
                <w:sz w:val="16"/>
                <w:szCs w:val="16"/>
              </w:rPr>
            </w:pPr>
          </w:p>
        </w:tc>
        <w:tc>
          <w:tcPr>
            <w:tcW w:w="578" w:type="pct"/>
            <w:tcBorders>
              <w:top w:val="nil"/>
              <w:left w:val="nil"/>
              <w:bottom w:val="nil"/>
              <w:right w:val="nil"/>
            </w:tcBorders>
            <w:shd w:val="clear" w:color="000000" w:fill="FFFFFF"/>
            <w:noWrap/>
            <w:vAlign w:val="bottom"/>
            <w:hideMark/>
          </w:tcPr>
          <w:p w14:paraId="4EC4D4FE" w14:textId="2E48B6E9" w:rsidR="00F2052E" w:rsidRPr="00F2052E" w:rsidRDefault="00F2052E" w:rsidP="00F2052E">
            <w:pPr>
              <w:spacing w:after="0" w:line="240" w:lineRule="auto"/>
              <w:jc w:val="right"/>
              <w:rPr>
                <w:rFonts w:ascii="Arial" w:hAnsi="Arial" w:cs="Arial"/>
                <w:sz w:val="16"/>
                <w:szCs w:val="16"/>
              </w:rPr>
            </w:pPr>
          </w:p>
        </w:tc>
        <w:tc>
          <w:tcPr>
            <w:tcW w:w="575" w:type="pct"/>
            <w:tcBorders>
              <w:top w:val="nil"/>
              <w:left w:val="nil"/>
              <w:bottom w:val="nil"/>
              <w:right w:val="nil"/>
            </w:tcBorders>
            <w:shd w:val="clear" w:color="000000" w:fill="E6E6E6"/>
            <w:noWrap/>
            <w:vAlign w:val="bottom"/>
            <w:hideMark/>
          </w:tcPr>
          <w:p w14:paraId="702BF980" w14:textId="369DC6B0" w:rsidR="00F2052E" w:rsidRPr="00F2052E" w:rsidRDefault="00F2052E" w:rsidP="00F2052E">
            <w:pPr>
              <w:spacing w:after="0" w:line="240" w:lineRule="auto"/>
              <w:jc w:val="right"/>
              <w:rPr>
                <w:rFonts w:ascii="Arial" w:hAnsi="Arial" w:cs="Arial"/>
                <w:sz w:val="16"/>
                <w:szCs w:val="16"/>
              </w:rPr>
            </w:pPr>
          </w:p>
        </w:tc>
      </w:tr>
      <w:tr w:rsidR="00F2052E" w:rsidRPr="00F2052E" w14:paraId="36336A51" w14:textId="77777777" w:rsidTr="00B90578">
        <w:trPr>
          <w:trHeight w:val="204"/>
        </w:trPr>
        <w:tc>
          <w:tcPr>
            <w:tcW w:w="1577" w:type="pct"/>
            <w:gridSpan w:val="2"/>
            <w:tcBorders>
              <w:top w:val="nil"/>
              <w:left w:val="nil"/>
              <w:bottom w:val="nil"/>
              <w:right w:val="nil"/>
            </w:tcBorders>
            <w:shd w:val="clear" w:color="auto" w:fill="auto"/>
            <w:vAlign w:val="bottom"/>
            <w:hideMark/>
          </w:tcPr>
          <w:p w14:paraId="098FCA2D" w14:textId="77777777" w:rsidR="00F2052E" w:rsidRPr="00F2052E" w:rsidRDefault="00F2052E" w:rsidP="00F2052E">
            <w:pPr>
              <w:spacing w:after="0" w:line="240" w:lineRule="auto"/>
              <w:ind w:left="113"/>
              <w:rPr>
                <w:rFonts w:ascii="Arial" w:hAnsi="Arial" w:cs="Arial"/>
                <w:sz w:val="16"/>
                <w:szCs w:val="16"/>
              </w:rPr>
            </w:pPr>
            <w:r w:rsidRPr="00F2052E">
              <w:rPr>
                <w:rFonts w:ascii="Arial" w:hAnsi="Arial" w:cs="Arial"/>
                <w:sz w:val="16"/>
                <w:szCs w:val="16"/>
              </w:rPr>
              <w:t>Administered payments</w:t>
            </w:r>
          </w:p>
        </w:tc>
        <w:tc>
          <w:tcPr>
            <w:tcW w:w="530" w:type="pct"/>
            <w:tcBorders>
              <w:top w:val="nil"/>
              <w:left w:val="nil"/>
              <w:bottom w:val="nil"/>
              <w:right w:val="nil"/>
            </w:tcBorders>
            <w:shd w:val="clear" w:color="auto" w:fill="auto"/>
            <w:noWrap/>
            <w:vAlign w:val="bottom"/>
            <w:hideMark/>
          </w:tcPr>
          <w:p w14:paraId="6C4BE8BA" w14:textId="77777777" w:rsidR="00F2052E" w:rsidRPr="00F2052E" w:rsidRDefault="00F2052E" w:rsidP="00F2052E">
            <w:pPr>
              <w:spacing w:after="0" w:line="240" w:lineRule="auto"/>
              <w:ind w:firstLineChars="100" w:firstLine="160"/>
              <w:jc w:val="center"/>
              <w:rPr>
                <w:rFonts w:ascii="Arial" w:hAnsi="Arial" w:cs="Arial"/>
                <w:sz w:val="16"/>
                <w:szCs w:val="16"/>
              </w:rPr>
            </w:pPr>
          </w:p>
        </w:tc>
        <w:tc>
          <w:tcPr>
            <w:tcW w:w="584" w:type="pct"/>
            <w:tcBorders>
              <w:top w:val="nil"/>
              <w:left w:val="nil"/>
              <w:bottom w:val="nil"/>
              <w:right w:val="nil"/>
            </w:tcBorders>
            <w:shd w:val="clear" w:color="000000" w:fill="E6E6E6"/>
            <w:noWrap/>
            <w:vAlign w:val="bottom"/>
            <w:hideMark/>
          </w:tcPr>
          <w:p w14:paraId="372C133E" w14:textId="46F5746A"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w:t>
            </w:r>
          </w:p>
        </w:tc>
        <w:tc>
          <w:tcPr>
            <w:tcW w:w="578" w:type="pct"/>
            <w:tcBorders>
              <w:top w:val="nil"/>
              <w:left w:val="nil"/>
              <w:bottom w:val="nil"/>
              <w:right w:val="nil"/>
            </w:tcBorders>
            <w:shd w:val="clear" w:color="000000" w:fill="FFFFFF"/>
            <w:noWrap/>
            <w:vAlign w:val="bottom"/>
            <w:hideMark/>
          </w:tcPr>
          <w:p w14:paraId="30EB0C1D" w14:textId="1BD7555C"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8,000</w:t>
            </w:r>
          </w:p>
        </w:tc>
        <w:tc>
          <w:tcPr>
            <w:tcW w:w="578" w:type="pct"/>
            <w:tcBorders>
              <w:top w:val="nil"/>
              <w:left w:val="nil"/>
              <w:bottom w:val="nil"/>
              <w:right w:val="nil"/>
            </w:tcBorders>
            <w:shd w:val="clear" w:color="000000" w:fill="E6E6E6"/>
            <w:noWrap/>
            <w:vAlign w:val="bottom"/>
            <w:hideMark/>
          </w:tcPr>
          <w:p w14:paraId="443C7F2A" w14:textId="2AF77A6A"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w:t>
            </w:r>
          </w:p>
        </w:tc>
        <w:tc>
          <w:tcPr>
            <w:tcW w:w="578" w:type="pct"/>
            <w:tcBorders>
              <w:top w:val="nil"/>
              <w:left w:val="nil"/>
              <w:bottom w:val="nil"/>
              <w:right w:val="nil"/>
            </w:tcBorders>
            <w:shd w:val="clear" w:color="000000" w:fill="FFFFFF"/>
            <w:noWrap/>
            <w:vAlign w:val="bottom"/>
            <w:hideMark/>
          </w:tcPr>
          <w:p w14:paraId="5FE744CC" w14:textId="68FBD2B7"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w:t>
            </w:r>
          </w:p>
        </w:tc>
        <w:tc>
          <w:tcPr>
            <w:tcW w:w="575" w:type="pct"/>
            <w:tcBorders>
              <w:top w:val="nil"/>
              <w:left w:val="nil"/>
              <w:bottom w:val="nil"/>
              <w:right w:val="nil"/>
            </w:tcBorders>
            <w:shd w:val="clear" w:color="000000" w:fill="E6E6E6"/>
            <w:noWrap/>
            <w:vAlign w:val="bottom"/>
            <w:hideMark/>
          </w:tcPr>
          <w:p w14:paraId="46473E72" w14:textId="50554E26"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w:t>
            </w:r>
          </w:p>
        </w:tc>
      </w:tr>
      <w:tr w:rsidR="00F2052E" w:rsidRPr="00F2052E" w14:paraId="755A8EB9" w14:textId="77777777" w:rsidTr="00B90578">
        <w:trPr>
          <w:trHeight w:val="204"/>
        </w:trPr>
        <w:tc>
          <w:tcPr>
            <w:tcW w:w="1577" w:type="pct"/>
            <w:gridSpan w:val="2"/>
            <w:tcBorders>
              <w:top w:val="nil"/>
              <w:left w:val="nil"/>
              <w:bottom w:val="nil"/>
              <w:right w:val="nil"/>
            </w:tcBorders>
            <w:shd w:val="clear" w:color="auto" w:fill="auto"/>
            <w:vAlign w:val="bottom"/>
            <w:hideMark/>
          </w:tcPr>
          <w:p w14:paraId="6D82632A" w14:textId="77777777" w:rsidR="00F2052E" w:rsidRPr="00F2052E" w:rsidRDefault="00F2052E" w:rsidP="00F2052E">
            <w:pPr>
              <w:spacing w:after="0" w:line="240" w:lineRule="auto"/>
              <w:ind w:left="113"/>
              <w:rPr>
                <w:rFonts w:ascii="Arial" w:hAnsi="Arial" w:cs="Arial"/>
                <w:sz w:val="16"/>
                <w:szCs w:val="16"/>
              </w:rPr>
            </w:pPr>
            <w:r w:rsidRPr="00F2052E">
              <w:rPr>
                <w:rFonts w:ascii="Arial" w:hAnsi="Arial" w:cs="Arial"/>
                <w:sz w:val="16"/>
                <w:szCs w:val="16"/>
              </w:rPr>
              <w:t>Departmental payments</w:t>
            </w:r>
          </w:p>
        </w:tc>
        <w:tc>
          <w:tcPr>
            <w:tcW w:w="530" w:type="pct"/>
            <w:tcBorders>
              <w:top w:val="nil"/>
              <w:left w:val="nil"/>
              <w:bottom w:val="nil"/>
              <w:right w:val="nil"/>
            </w:tcBorders>
            <w:shd w:val="clear" w:color="auto" w:fill="auto"/>
            <w:noWrap/>
            <w:vAlign w:val="bottom"/>
            <w:hideMark/>
          </w:tcPr>
          <w:p w14:paraId="3E2335DF" w14:textId="77777777" w:rsidR="00F2052E" w:rsidRPr="00F2052E" w:rsidRDefault="00F2052E" w:rsidP="00F2052E">
            <w:pPr>
              <w:spacing w:after="0" w:line="240" w:lineRule="auto"/>
              <w:ind w:firstLineChars="100" w:firstLine="160"/>
              <w:jc w:val="center"/>
              <w:rPr>
                <w:rFonts w:ascii="Arial" w:hAnsi="Arial" w:cs="Arial"/>
                <w:sz w:val="16"/>
                <w:szCs w:val="16"/>
              </w:rPr>
            </w:pPr>
          </w:p>
        </w:tc>
        <w:tc>
          <w:tcPr>
            <w:tcW w:w="584" w:type="pct"/>
            <w:tcBorders>
              <w:top w:val="nil"/>
              <w:left w:val="nil"/>
              <w:bottom w:val="nil"/>
              <w:right w:val="nil"/>
            </w:tcBorders>
            <w:shd w:val="clear" w:color="000000" w:fill="E6E6E6"/>
            <w:noWrap/>
            <w:vAlign w:val="bottom"/>
            <w:hideMark/>
          </w:tcPr>
          <w:p w14:paraId="67D69057" w14:textId="57670762"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w:t>
            </w:r>
          </w:p>
        </w:tc>
        <w:tc>
          <w:tcPr>
            <w:tcW w:w="578" w:type="pct"/>
            <w:tcBorders>
              <w:top w:val="nil"/>
              <w:left w:val="nil"/>
              <w:bottom w:val="nil"/>
              <w:right w:val="nil"/>
            </w:tcBorders>
            <w:shd w:val="clear" w:color="000000" w:fill="FFFFFF"/>
            <w:noWrap/>
            <w:vAlign w:val="bottom"/>
            <w:hideMark/>
          </w:tcPr>
          <w:p w14:paraId="2D6C3BC3" w14:textId="5FFD94E2"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833</w:t>
            </w:r>
          </w:p>
        </w:tc>
        <w:tc>
          <w:tcPr>
            <w:tcW w:w="578" w:type="pct"/>
            <w:tcBorders>
              <w:top w:val="nil"/>
              <w:left w:val="nil"/>
              <w:bottom w:val="nil"/>
              <w:right w:val="nil"/>
            </w:tcBorders>
            <w:shd w:val="clear" w:color="000000" w:fill="E6E6E6"/>
            <w:noWrap/>
            <w:vAlign w:val="bottom"/>
            <w:hideMark/>
          </w:tcPr>
          <w:p w14:paraId="2C3D7FBB" w14:textId="2BB6A283"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w:t>
            </w:r>
          </w:p>
        </w:tc>
        <w:tc>
          <w:tcPr>
            <w:tcW w:w="578" w:type="pct"/>
            <w:tcBorders>
              <w:top w:val="nil"/>
              <w:left w:val="nil"/>
              <w:bottom w:val="nil"/>
              <w:right w:val="nil"/>
            </w:tcBorders>
            <w:shd w:val="clear" w:color="000000" w:fill="FFFFFF"/>
            <w:noWrap/>
            <w:vAlign w:val="bottom"/>
            <w:hideMark/>
          </w:tcPr>
          <w:p w14:paraId="4E5A053F" w14:textId="600E262E"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w:t>
            </w:r>
          </w:p>
        </w:tc>
        <w:tc>
          <w:tcPr>
            <w:tcW w:w="575" w:type="pct"/>
            <w:tcBorders>
              <w:top w:val="nil"/>
              <w:left w:val="nil"/>
              <w:bottom w:val="nil"/>
              <w:right w:val="nil"/>
            </w:tcBorders>
            <w:shd w:val="clear" w:color="000000" w:fill="E6E6E6"/>
            <w:noWrap/>
            <w:vAlign w:val="bottom"/>
            <w:hideMark/>
          </w:tcPr>
          <w:p w14:paraId="6E881355" w14:textId="38BE841A"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w:t>
            </w:r>
          </w:p>
        </w:tc>
      </w:tr>
      <w:tr w:rsidR="00F2052E" w:rsidRPr="00F2052E" w14:paraId="4DFC8928" w14:textId="77777777" w:rsidTr="00B90578">
        <w:trPr>
          <w:trHeight w:val="204"/>
        </w:trPr>
        <w:tc>
          <w:tcPr>
            <w:tcW w:w="1577" w:type="pct"/>
            <w:gridSpan w:val="2"/>
            <w:tcBorders>
              <w:top w:val="nil"/>
              <w:left w:val="nil"/>
              <w:bottom w:val="nil"/>
              <w:right w:val="nil"/>
            </w:tcBorders>
            <w:shd w:val="clear" w:color="auto" w:fill="auto"/>
            <w:noWrap/>
            <w:vAlign w:val="bottom"/>
            <w:hideMark/>
          </w:tcPr>
          <w:p w14:paraId="2E22504F" w14:textId="77777777" w:rsidR="00F2052E" w:rsidRPr="00F2052E" w:rsidRDefault="00F2052E" w:rsidP="00F2052E">
            <w:pPr>
              <w:spacing w:after="0" w:line="240" w:lineRule="auto"/>
              <w:rPr>
                <w:rFonts w:ascii="Arial" w:hAnsi="Arial" w:cs="Arial"/>
                <w:b/>
                <w:bCs/>
                <w:sz w:val="16"/>
                <w:szCs w:val="16"/>
              </w:rPr>
            </w:pPr>
            <w:r w:rsidRPr="00F2052E">
              <w:rPr>
                <w:rFonts w:ascii="Arial" w:hAnsi="Arial" w:cs="Arial"/>
                <w:b/>
                <w:bCs/>
                <w:sz w:val="16"/>
                <w:szCs w:val="16"/>
              </w:rPr>
              <w:t xml:space="preserve">Total </w:t>
            </w:r>
          </w:p>
        </w:tc>
        <w:tc>
          <w:tcPr>
            <w:tcW w:w="530" w:type="pct"/>
            <w:tcBorders>
              <w:top w:val="nil"/>
              <w:left w:val="nil"/>
              <w:bottom w:val="nil"/>
              <w:right w:val="nil"/>
            </w:tcBorders>
            <w:shd w:val="clear" w:color="auto" w:fill="auto"/>
            <w:noWrap/>
            <w:vAlign w:val="bottom"/>
            <w:hideMark/>
          </w:tcPr>
          <w:p w14:paraId="756FBF56" w14:textId="77777777" w:rsidR="00F2052E" w:rsidRPr="00F2052E" w:rsidRDefault="00F2052E" w:rsidP="00F2052E">
            <w:pPr>
              <w:spacing w:after="0" w:line="240" w:lineRule="auto"/>
              <w:jc w:val="center"/>
              <w:rPr>
                <w:rFonts w:ascii="Arial" w:hAnsi="Arial" w:cs="Arial"/>
                <w:b/>
                <w:bCs/>
                <w:sz w:val="16"/>
                <w:szCs w:val="16"/>
              </w:rPr>
            </w:pPr>
          </w:p>
        </w:tc>
        <w:tc>
          <w:tcPr>
            <w:tcW w:w="584" w:type="pct"/>
            <w:tcBorders>
              <w:top w:val="nil"/>
              <w:left w:val="nil"/>
              <w:bottom w:val="nil"/>
              <w:right w:val="nil"/>
            </w:tcBorders>
            <w:shd w:val="clear" w:color="000000" w:fill="E6E6E6"/>
            <w:noWrap/>
            <w:vAlign w:val="bottom"/>
            <w:hideMark/>
          </w:tcPr>
          <w:p w14:paraId="5B0C41DF" w14:textId="4BF1AB60" w:rsidR="00F2052E" w:rsidRPr="00F2052E" w:rsidRDefault="00F2052E" w:rsidP="00F2052E">
            <w:pPr>
              <w:spacing w:after="0" w:line="240" w:lineRule="auto"/>
              <w:jc w:val="right"/>
              <w:rPr>
                <w:rFonts w:ascii="Arial" w:hAnsi="Arial" w:cs="Arial"/>
                <w:b/>
                <w:bCs/>
                <w:sz w:val="16"/>
                <w:szCs w:val="16"/>
              </w:rPr>
            </w:pPr>
            <w:r w:rsidRPr="00F2052E">
              <w:rPr>
                <w:rFonts w:ascii="Arial" w:hAnsi="Arial" w:cs="Arial"/>
                <w:b/>
                <w:bCs/>
                <w:sz w:val="16"/>
                <w:szCs w:val="16"/>
              </w:rPr>
              <w:t>-</w:t>
            </w:r>
          </w:p>
        </w:tc>
        <w:tc>
          <w:tcPr>
            <w:tcW w:w="578" w:type="pct"/>
            <w:tcBorders>
              <w:top w:val="nil"/>
              <w:left w:val="nil"/>
              <w:bottom w:val="nil"/>
              <w:right w:val="nil"/>
            </w:tcBorders>
            <w:shd w:val="clear" w:color="000000" w:fill="FFFFFF"/>
            <w:noWrap/>
            <w:vAlign w:val="bottom"/>
            <w:hideMark/>
          </w:tcPr>
          <w:p w14:paraId="0047FD21" w14:textId="12ECBABF" w:rsidR="00F2052E" w:rsidRPr="00F2052E" w:rsidRDefault="00F2052E" w:rsidP="00F2052E">
            <w:pPr>
              <w:spacing w:after="0" w:line="240" w:lineRule="auto"/>
              <w:jc w:val="right"/>
              <w:rPr>
                <w:rFonts w:ascii="Arial" w:hAnsi="Arial" w:cs="Arial"/>
                <w:b/>
                <w:bCs/>
                <w:sz w:val="16"/>
                <w:szCs w:val="16"/>
              </w:rPr>
            </w:pPr>
            <w:r w:rsidRPr="00F2052E">
              <w:rPr>
                <w:rFonts w:ascii="Arial" w:hAnsi="Arial" w:cs="Arial"/>
                <w:b/>
                <w:bCs/>
                <w:sz w:val="16"/>
                <w:szCs w:val="16"/>
              </w:rPr>
              <w:t>8,833</w:t>
            </w:r>
          </w:p>
        </w:tc>
        <w:tc>
          <w:tcPr>
            <w:tcW w:w="578" w:type="pct"/>
            <w:tcBorders>
              <w:top w:val="nil"/>
              <w:left w:val="nil"/>
              <w:bottom w:val="nil"/>
              <w:right w:val="nil"/>
            </w:tcBorders>
            <w:shd w:val="clear" w:color="000000" w:fill="E6E6E6"/>
            <w:noWrap/>
            <w:vAlign w:val="bottom"/>
            <w:hideMark/>
          </w:tcPr>
          <w:p w14:paraId="64C68ACA" w14:textId="4FD6D700" w:rsidR="00F2052E" w:rsidRPr="00F2052E" w:rsidRDefault="00F2052E" w:rsidP="00F2052E">
            <w:pPr>
              <w:spacing w:after="0" w:line="240" w:lineRule="auto"/>
              <w:jc w:val="right"/>
              <w:rPr>
                <w:rFonts w:ascii="Arial" w:hAnsi="Arial" w:cs="Arial"/>
                <w:b/>
                <w:bCs/>
                <w:sz w:val="16"/>
                <w:szCs w:val="16"/>
              </w:rPr>
            </w:pPr>
            <w:r w:rsidRPr="00F2052E">
              <w:rPr>
                <w:rFonts w:ascii="Arial" w:hAnsi="Arial" w:cs="Arial"/>
                <w:b/>
                <w:bCs/>
                <w:sz w:val="16"/>
                <w:szCs w:val="16"/>
              </w:rPr>
              <w:t>-</w:t>
            </w:r>
          </w:p>
        </w:tc>
        <w:tc>
          <w:tcPr>
            <w:tcW w:w="578" w:type="pct"/>
            <w:tcBorders>
              <w:top w:val="nil"/>
              <w:left w:val="nil"/>
              <w:bottom w:val="nil"/>
              <w:right w:val="nil"/>
            </w:tcBorders>
            <w:shd w:val="clear" w:color="000000" w:fill="FFFFFF"/>
            <w:noWrap/>
            <w:vAlign w:val="bottom"/>
            <w:hideMark/>
          </w:tcPr>
          <w:p w14:paraId="2FC7633E" w14:textId="08639C6F" w:rsidR="00F2052E" w:rsidRPr="00F2052E" w:rsidRDefault="00F2052E" w:rsidP="00F2052E">
            <w:pPr>
              <w:spacing w:after="0" w:line="240" w:lineRule="auto"/>
              <w:jc w:val="right"/>
              <w:rPr>
                <w:rFonts w:ascii="Arial" w:hAnsi="Arial" w:cs="Arial"/>
                <w:b/>
                <w:bCs/>
                <w:sz w:val="16"/>
                <w:szCs w:val="16"/>
              </w:rPr>
            </w:pPr>
            <w:r w:rsidRPr="00F2052E">
              <w:rPr>
                <w:rFonts w:ascii="Arial" w:hAnsi="Arial" w:cs="Arial"/>
                <w:b/>
                <w:bCs/>
                <w:sz w:val="16"/>
                <w:szCs w:val="16"/>
              </w:rPr>
              <w:t>-</w:t>
            </w:r>
          </w:p>
        </w:tc>
        <w:tc>
          <w:tcPr>
            <w:tcW w:w="575" w:type="pct"/>
            <w:tcBorders>
              <w:top w:val="nil"/>
              <w:left w:val="nil"/>
              <w:bottom w:val="nil"/>
              <w:right w:val="nil"/>
            </w:tcBorders>
            <w:shd w:val="clear" w:color="000000" w:fill="E6E6E6"/>
            <w:noWrap/>
            <w:vAlign w:val="bottom"/>
            <w:hideMark/>
          </w:tcPr>
          <w:p w14:paraId="0F370D0E" w14:textId="0E071730" w:rsidR="00F2052E" w:rsidRPr="00F2052E" w:rsidRDefault="00F2052E" w:rsidP="00F2052E">
            <w:pPr>
              <w:spacing w:after="0" w:line="240" w:lineRule="auto"/>
              <w:jc w:val="right"/>
              <w:rPr>
                <w:rFonts w:ascii="Arial" w:hAnsi="Arial" w:cs="Arial"/>
                <w:b/>
                <w:bCs/>
                <w:sz w:val="16"/>
                <w:szCs w:val="16"/>
              </w:rPr>
            </w:pPr>
            <w:r w:rsidRPr="00F2052E">
              <w:rPr>
                <w:rFonts w:ascii="Arial" w:hAnsi="Arial" w:cs="Arial"/>
                <w:b/>
                <w:bCs/>
                <w:sz w:val="16"/>
                <w:szCs w:val="16"/>
              </w:rPr>
              <w:t>-</w:t>
            </w:r>
          </w:p>
        </w:tc>
      </w:tr>
      <w:tr w:rsidR="00F2052E" w:rsidRPr="00F2052E" w14:paraId="2B1DFB9B" w14:textId="77777777" w:rsidTr="00B90578">
        <w:trPr>
          <w:trHeight w:val="204"/>
        </w:trPr>
        <w:tc>
          <w:tcPr>
            <w:tcW w:w="1577" w:type="pct"/>
            <w:gridSpan w:val="2"/>
            <w:tcBorders>
              <w:top w:val="nil"/>
              <w:left w:val="nil"/>
              <w:bottom w:val="nil"/>
              <w:right w:val="nil"/>
            </w:tcBorders>
            <w:shd w:val="clear" w:color="auto" w:fill="auto"/>
            <w:vAlign w:val="bottom"/>
            <w:hideMark/>
          </w:tcPr>
          <w:p w14:paraId="1ABFC42F" w14:textId="28FC3B07" w:rsidR="00F2052E" w:rsidRPr="00F2052E" w:rsidRDefault="00F2052E" w:rsidP="00F2052E">
            <w:pPr>
              <w:spacing w:after="0" w:line="240" w:lineRule="auto"/>
              <w:rPr>
                <w:rFonts w:ascii="Arial" w:hAnsi="Arial" w:cs="Arial"/>
                <w:sz w:val="16"/>
                <w:szCs w:val="16"/>
              </w:rPr>
            </w:pPr>
            <w:r w:rsidRPr="00F2052E">
              <w:rPr>
                <w:rFonts w:ascii="Arial" w:hAnsi="Arial" w:cs="Arial"/>
                <w:sz w:val="16"/>
                <w:szCs w:val="16"/>
              </w:rPr>
              <w:t xml:space="preserve">Supporting </w:t>
            </w:r>
            <w:r w:rsidR="00B90578">
              <w:rPr>
                <w:rFonts w:ascii="Arial" w:hAnsi="Arial" w:cs="Arial"/>
                <w:sz w:val="16"/>
                <w:szCs w:val="16"/>
              </w:rPr>
              <w:t>M</w:t>
            </w:r>
            <w:r w:rsidRPr="00F2052E">
              <w:rPr>
                <w:rFonts w:ascii="Arial" w:hAnsi="Arial" w:cs="Arial"/>
                <w:sz w:val="16"/>
                <w:szCs w:val="16"/>
              </w:rPr>
              <w:t xml:space="preserve">edia </w:t>
            </w:r>
            <w:r w:rsidR="00B90578">
              <w:rPr>
                <w:rFonts w:ascii="Arial" w:hAnsi="Arial" w:cs="Arial"/>
                <w:sz w:val="16"/>
                <w:szCs w:val="16"/>
              </w:rPr>
              <w:t>S</w:t>
            </w:r>
            <w:r w:rsidRPr="00F2052E">
              <w:rPr>
                <w:rFonts w:ascii="Arial" w:hAnsi="Arial" w:cs="Arial"/>
                <w:sz w:val="16"/>
                <w:szCs w:val="16"/>
              </w:rPr>
              <w:t xml:space="preserve">ustainability and </w:t>
            </w:r>
            <w:r w:rsidR="00B90578">
              <w:rPr>
                <w:rFonts w:ascii="Arial" w:hAnsi="Arial" w:cs="Arial"/>
                <w:sz w:val="16"/>
                <w:szCs w:val="16"/>
              </w:rPr>
              <w:t>B</w:t>
            </w:r>
            <w:r w:rsidRPr="00F2052E">
              <w:rPr>
                <w:rFonts w:ascii="Arial" w:hAnsi="Arial" w:cs="Arial"/>
                <w:sz w:val="16"/>
                <w:szCs w:val="16"/>
              </w:rPr>
              <w:t xml:space="preserve">uilding </w:t>
            </w:r>
            <w:r w:rsidR="00B90578">
              <w:rPr>
                <w:rFonts w:ascii="Arial" w:hAnsi="Arial" w:cs="Arial"/>
                <w:sz w:val="16"/>
                <w:szCs w:val="16"/>
              </w:rPr>
              <w:t>M</w:t>
            </w:r>
            <w:r w:rsidRPr="00F2052E">
              <w:rPr>
                <w:rFonts w:ascii="Arial" w:hAnsi="Arial" w:cs="Arial"/>
                <w:sz w:val="16"/>
                <w:szCs w:val="16"/>
              </w:rPr>
              <w:t xml:space="preserve">edia </w:t>
            </w:r>
            <w:r w:rsidR="00B90578">
              <w:rPr>
                <w:rFonts w:ascii="Arial" w:hAnsi="Arial" w:cs="Arial"/>
                <w:sz w:val="16"/>
                <w:szCs w:val="16"/>
              </w:rPr>
              <w:t>L</w:t>
            </w:r>
            <w:r w:rsidRPr="00F2052E">
              <w:rPr>
                <w:rFonts w:ascii="Arial" w:hAnsi="Arial" w:cs="Arial"/>
                <w:sz w:val="16"/>
                <w:szCs w:val="16"/>
              </w:rPr>
              <w:t>iteracy</w:t>
            </w:r>
            <w:r w:rsidRPr="00F2052E">
              <w:rPr>
                <w:rFonts w:ascii="Arial" w:hAnsi="Arial" w:cs="Arial"/>
                <w:sz w:val="16"/>
                <w:szCs w:val="16"/>
                <w:vertAlign w:val="superscript"/>
              </w:rPr>
              <w:t>(c)</w:t>
            </w:r>
            <w:r w:rsidRPr="00F2052E">
              <w:rPr>
                <w:rFonts w:ascii="Arial" w:hAnsi="Arial" w:cs="Arial"/>
                <w:sz w:val="16"/>
                <w:szCs w:val="16"/>
              </w:rPr>
              <w:t xml:space="preserve"> </w:t>
            </w:r>
          </w:p>
        </w:tc>
        <w:tc>
          <w:tcPr>
            <w:tcW w:w="530" w:type="pct"/>
            <w:tcBorders>
              <w:top w:val="nil"/>
              <w:left w:val="nil"/>
              <w:bottom w:val="nil"/>
              <w:right w:val="nil"/>
            </w:tcBorders>
            <w:shd w:val="clear" w:color="auto" w:fill="auto"/>
            <w:noWrap/>
            <w:vAlign w:val="bottom"/>
            <w:hideMark/>
          </w:tcPr>
          <w:p w14:paraId="49D60B93" w14:textId="2B18619B" w:rsidR="00F2052E" w:rsidRPr="00F2052E" w:rsidRDefault="00F2052E" w:rsidP="00F2052E">
            <w:pPr>
              <w:spacing w:after="0" w:line="240" w:lineRule="auto"/>
              <w:jc w:val="center"/>
              <w:rPr>
                <w:rFonts w:ascii="Arial" w:hAnsi="Arial" w:cs="Arial"/>
                <w:sz w:val="16"/>
                <w:szCs w:val="16"/>
              </w:rPr>
            </w:pPr>
            <w:r w:rsidRPr="00F2052E">
              <w:rPr>
                <w:rFonts w:ascii="Arial" w:hAnsi="Arial" w:cs="Arial"/>
                <w:sz w:val="16"/>
                <w:szCs w:val="16"/>
              </w:rPr>
              <w:t>5.1, 5.2</w:t>
            </w:r>
          </w:p>
        </w:tc>
        <w:tc>
          <w:tcPr>
            <w:tcW w:w="584" w:type="pct"/>
            <w:tcBorders>
              <w:top w:val="nil"/>
              <w:left w:val="nil"/>
              <w:bottom w:val="nil"/>
              <w:right w:val="nil"/>
            </w:tcBorders>
            <w:shd w:val="clear" w:color="000000" w:fill="E6E6E6"/>
            <w:noWrap/>
            <w:vAlign w:val="bottom"/>
            <w:hideMark/>
          </w:tcPr>
          <w:p w14:paraId="3386F1B3" w14:textId="6B987416" w:rsidR="00F2052E" w:rsidRPr="00F2052E" w:rsidRDefault="00F2052E" w:rsidP="00F2052E">
            <w:pPr>
              <w:spacing w:after="0" w:line="240" w:lineRule="auto"/>
              <w:jc w:val="right"/>
              <w:rPr>
                <w:rFonts w:ascii="Arial" w:hAnsi="Arial" w:cs="Arial"/>
                <w:sz w:val="16"/>
                <w:szCs w:val="16"/>
              </w:rPr>
            </w:pPr>
          </w:p>
        </w:tc>
        <w:tc>
          <w:tcPr>
            <w:tcW w:w="578" w:type="pct"/>
            <w:tcBorders>
              <w:top w:val="nil"/>
              <w:left w:val="nil"/>
              <w:bottom w:val="nil"/>
              <w:right w:val="nil"/>
            </w:tcBorders>
            <w:shd w:val="clear" w:color="000000" w:fill="FFFFFF"/>
            <w:noWrap/>
            <w:vAlign w:val="bottom"/>
            <w:hideMark/>
          </w:tcPr>
          <w:p w14:paraId="5AF33E10" w14:textId="52AA63FB" w:rsidR="00F2052E" w:rsidRPr="00F2052E" w:rsidRDefault="00F2052E" w:rsidP="00F2052E">
            <w:pPr>
              <w:spacing w:after="0" w:line="240" w:lineRule="auto"/>
              <w:jc w:val="right"/>
              <w:rPr>
                <w:rFonts w:ascii="Arial" w:hAnsi="Arial" w:cs="Arial"/>
                <w:sz w:val="16"/>
                <w:szCs w:val="16"/>
              </w:rPr>
            </w:pPr>
          </w:p>
        </w:tc>
        <w:tc>
          <w:tcPr>
            <w:tcW w:w="578" w:type="pct"/>
            <w:tcBorders>
              <w:top w:val="nil"/>
              <w:left w:val="nil"/>
              <w:bottom w:val="nil"/>
              <w:right w:val="nil"/>
            </w:tcBorders>
            <w:shd w:val="clear" w:color="000000" w:fill="E6E6E6"/>
            <w:noWrap/>
            <w:vAlign w:val="bottom"/>
            <w:hideMark/>
          </w:tcPr>
          <w:p w14:paraId="40A0C414" w14:textId="6DCA8074" w:rsidR="00F2052E" w:rsidRPr="00F2052E" w:rsidRDefault="00F2052E" w:rsidP="00F2052E">
            <w:pPr>
              <w:spacing w:after="0" w:line="240" w:lineRule="auto"/>
              <w:jc w:val="right"/>
              <w:rPr>
                <w:rFonts w:ascii="Arial" w:hAnsi="Arial" w:cs="Arial"/>
                <w:sz w:val="16"/>
                <w:szCs w:val="16"/>
              </w:rPr>
            </w:pPr>
          </w:p>
        </w:tc>
        <w:tc>
          <w:tcPr>
            <w:tcW w:w="578" w:type="pct"/>
            <w:tcBorders>
              <w:top w:val="nil"/>
              <w:left w:val="nil"/>
              <w:bottom w:val="nil"/>
              <w:right w:val="nil"/>
            </w:tcBorders>
            <w:shd w:val="clear" w:color="000000" w:fill="FFFFFF"/>
            <w:noWrap/>
            <w:vAlign w:val="bottom"/>
            <w:hideMark/>
          </w:tcPr>
          <w:p w14:paraId="728F0C0E" w14:textId="0CAECE0A" w:rsidR="00F2052E" w:rsidRPr="00F2052E" w:rsidRDefault="00F2052E" w:rsidP="00F2052E">
            <w:pPr>
              <w:spacing w:after="0" w:line="240" w:lineRule="auto"/>
              <w:jc w:val="right"/>
              <w:rPr>
                <w:rFonts w:ascii="Arial" w:hAnsi="Arial" w:cs="Arial"/>
                <w:sz w:val="16"/>
                <w:szCs w:val="16"/>
              </w:rPr>
            </w:pPr>
          </w:p>
        </w:tc>
        <w:tc>
          <w:tcPr>
            <w:tcW w:w="575" w:type="pct"/>
            <w:tcBorders>
              <w:top w:val="nil"/>
              <w:left w:val="nil"/>
              <w:bottom w:val="nil"/>
              <w:right w:val="nil"/>
            </w:tcBorders>
            <w:shd w:val="clear" w:color="000000" w:fill="E6E6E6"/>
            <w:noWrap/>
            <w:vAlign w:val="bottom"/>
            <w:hideMark/>
          </w:tcPr>
          <w:p w14:paraId="74CE584A" w14:textId="29231EB1" w:rsidR="00F2052E" w:rsidRPr="00F2052E" w:rsidRDefault="00F2052E" w:rsidP="00F2052E">
            <w:pPr>
              <w:spacing w:after="0" w:line="240" w:lineRule="auto"/>
              <w:jc w:val="right"/>
              <w:rPr>
                <w:rFonts w:ascii="Arial" w:hAnsi="Arial" w:cs="Arial"/>
                <w:sz w:val="16"/>
                <w:szCs w:val="16"/>
              </w:rPr>
            </w:pPr>
          </w:p>
        </w:tc>
      </w:tr>
      <w:tr w:rsidR="00F2052E" w:rsidRPr="00F2052E" w14:paraId="5E091AD2" w14:textId="77777777" w:rsidTr="00B90578">
        <w:trPr>
          <w:trHeight w:val="204"/>
        </w:trPr>
        <w:tc>
          <w:tcPr>
            <w:tcW w:w="1577" w:type="pct"/>
            <w:gridSpan w:val="2"/>
            <w:tcBorders>
              <w:top w:val="nil"/>
              <w:left w:val="nil"/>
              <w:bottom w:val="nil"/>
              <w:right w:val="nil"/>
            </w:tcBorders>
            <w:shd w:val="clear" w:color="auto" w:fill="auto"/>
            <w:vAlign w:val="bottom"/>
            <w:hideMark/>
          </w:tcPr>
          <w:p w14:paraId="384A325D" w14:textId="2DFFFDF2" w:rsidR="00F2052E" w:rsidRPr="00F2052E" w:rsidRDefault="00F2052E" w:rsidP="00F2052E">
            <w:pPr>
              <w:spacing w:after="0" w:line="240" w:lineRule="auto"/>
              <w:ind w:left="113"/>
              <w:rPr>
                <w:rFonts w:ascii="Arial" w:hAnsi="Arial" w:cs="Arial"/>
                <w:sz w:val="16"/>
                <w:szCs w:val="16"/>
              </w:rPr>
            </w:pPr>
            <w:r w:rsidRPr="00F2052E">
              <w:rPr>
                <w:rFonts w:ascii="Arial" w:hAnsi="Arial" w:cs="Arial"/>
                <w:sz w:val="16"/>
                <w:szCs w:val="16"/>
              </w:rPr>
              <w:t>Administered payment</w:t>
            </w:r>
            <w:r w:rsidR="00091B78">
              <w:rPr>
                <w:rFonts w:ascii="Arial" w:hAnsi="Arial" w:cs="Arial"/>
                <w:sz w:val="16"/>
                <w:szCs w:val="16"/>
              </w:rPr>
              <w:t>s</w:t>
            </w:r>
          </w:p>
        </w:tc>
        <w:tc>
          <w:tcPr>
            <w:tcW w:w="530" w:type="pct"/>
            <w:tcBorders>
              <w:top w:val="nil"/>
              <w:left w:val="nil"/>
              <w:bottom w:val="nil"/>
              <w:right w:val="nil"/>
            </w:tcBorders>
            <w:shd w:val="clear" w:color="auto" w:fill="auto"/>
            <w:noWrap/>
            <w:vAlign w:val="bottom"/>
            <w:hideMark/>
          </w:tcPr>
          <w:p w14:paraId="117AF773" w14:textId="77777777" w:rsidR="00F2052E" w:rsidRPr="00F2052E" w:rsidRDefault="00F2052E" w:rsidP="00F2052E">
            <w:pPr>
              <w:spacing w:after="0" w:line="240" w:lineRule="auto"/>
              <w:ind w:firstLineChars="100" w:firstLine="160"/>
              <w:jc w:val="center"/>
              <w:rPr>
                <w:rFonts w:ascii="Arial" w:hAnsi="Arial" w:cs="Arial"/>
                <w:sz w:val="16"/>
                <w:szCs w:val="16"/>
              </w:rPr>
            </w:pPr>
          </w:p>
        </w:tc>
        <w:tc>
          <w:tcPr>
            <w:tcW w:w="584" w:type="pct"/>
            <w:tcBorders>
              <w:top w:val="nil"/>
              <w:left w:val="nil"/>
              <w:bottom w:val="nil"/>
              <w:right w:val="nil"/>
            </w:tcBorders>
            <w:shd w:val="clear" w:color="000000" w:fill="E6E6E6"/>
            <w:noWrap/>
            <w:vAlign w:val="bottom"/>
            <w:hideMark/>
          </w:tcPr>
          <w:p w14:paraId="3573AC34" w14:textId="672B805E"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w:t>
            </w:r>
          </w:p>
        </w:tc>
        <w:tc>
          <w:tcPr>
            <w:tcW w:w="578" w:type="pct"/>
            <w:tcBorders>
              <w:top w:val="nil"/>
              <w:left w:val="nil"/>
              <w:bottom w:val="nil"/>
              <w:right w:val="nil"/>
            </w:tcBorders>
            <w:shd w:val="clear" w:color="000000" w:fill="FFFFFF"/>
            <w:noWrap/>
            <w:vAlign w:val="bottom"/>
            <w:hideMark/>
          </w:tcPr>
          <w:p w14:paraId="31A20DED" w14:textId="150B4CD5"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nfp</w:t>
            </w:r>
          </w:p>
        </w:tc>
        <w:tc>
          <w:tcPr>
            <w:tcW w:w="578" w:type="pct"/>
            <w:tcBorders>
              <w:top w:val="nil"/>
              <w:left w:val="nil"/>
              <w:bottom w:val="nil"/>
              <w:right w:val="nil"/>
            </w:tcBorders>
            <w:shd w:val="clear" w:color="000000" w:fill="E6E6E6"/>
            <w:noWrap/>
            <w:vAlign w:val="bottom"/>
            <w:hideMark/>
          </w:tcPr>
          <w:p w14:paraId="30FCF811" w14:textId="673A65FB" w:rsidR="00F2052E" w:rsidRPr="00521014" w:rsidRDefault="00521014" w:rsidP="00F2052E">
            <w:pPr>
              <w:spacing w:after="0" w:line="240" w:lineRule="auto"/>
              <w:jc w:val="right"/>
              <w:rPr>
                <w:rFonts w:ascii="Arial" w:hAnsi="Arial" w:cs="Arial"/>
                <w:sz w:val="16"/>
                <w:szCs w:val="16"/>
              </w:rPr>
            </w:pPr>
            <w:r w:rsidRPr="00521014">
              <w:rPr>
                <w:rFonts w:ascii="Arial" w:hAnsi="Arial" w:cs="Arial"/>
                <w:sz w:val="16"/>
                <w:szCs w:val="16"/>
              </w:rPr>
              <w:t>750</w:t>
            </w:r>
          </w:p>
        </w:tc>
        <w:tc>
          <w:tcPr>
            <w:tcW w:w="578" w:type="pct"/>
            <w:tcBorders>
              <w:top w:val="nil"/>
              <w:left w:val="nil"/>
              <w:bottom w:val="nil"/>
              <w:right w:val="nil"/>
            </w:tcBorders>
            <w:shd w:val="clear" w:color="000000" w:fill="FFFFFF"/>
            <w:noWrap/>
            <w:vAlign w:val="bottom"/>
            <w:hideMark/>
          </w:tcPr>
          <w:p w14:paraId="73C57C24" w14:textId="540484AE"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w:t>
            </w:r>
          </w:p>
        </w:tc>
        <w:tc>
          <w:tcPr>
            <w:tcW w:w="575" w:type="pct"/>
            <w:tcBorders>
              <w:top w:val="nil"/>
              <w:left w:val="nil"/>
              <w:bottom w:val="nil"/>
              <w:right w:val="nil"/>
            </w:tcBorders>
            <w:shd w:val="clear" w:color="000000" w:fill="E6E6E6"/>
            <w:noWrap/>
            <w:vAlign w:val="bottom"/>
            <w:hideMark/>
          </w:tcPr>
          <w:p w14:paraId="7A38545B" w14:textId="07580D4C"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w:t>
            </w:r>
          </w:p>
        </w:tc>
      </w:tr>
      <w:tr w:rsidR="00F2052E" w:rsidRPr="00F2052E" w14:paraId="0D0AA80C" w14:textId="77777777" w:rsidTr="00B90578">
        <w:trPr>
          <w:trHeight w:val="204"/>
        </w:trPr>
        <w:tc>
          <w:tcPr>
            <w:tcW w:w="1577" w:type="pct"/>
            <w:gridSpan w:val="2"/>
            <w:tcBorders>
              <w:top w:val="nil"/>
              <w:left w:val="nil"/>
              <w:bottom w:val="nil"/>
              <w:right w:val="nil"/>
            </w:tcBorders>
            <w:shd w:val="clear" w:color="auto" w:fill="auto"/>
            <w:vAlign w:val="bottom"/>
            <w:hideMark/>
          </w:tcPr>
          <w:p w14:paraId="1E56DC8F" w14:textId="7B8B5C41" w:rsidR="00F2052E" w:rsidRPr="00F2052E" w:rsidRDefault="00F2052E" w:rsidP="00F2052E">
            <w:pPr>
              <w:spacing w:after="0" w:line="240" w:lineRule="auto"/>
              <w:ind w:left="113"/>
              <w:rPr>
                <w:rFonts w:ascii="Arial" w:hAnsi="Arial" w:cs="Arial"/>
                <w:sz w:val="16"/>
                <w:szCs w:val="16"/>
              </w:rPr>
            </w:pPr>
            <w:r w:rsidRPr="00F2052E">
              <w:rPr>
                <w:rFonts w:ascii="Arial" w:hAnsi="Arial" w:cs="Arial"/>
                <w:sz w:val="16"/>
                <w:szCs w:val="16"/>
              </w:rPr>
              <w:t>Departmental payment</w:t>
            </w:r>
            <w:r w:rsidR="00091B78">
              <w:rPr>
                <w:rFonts w:ascii="Arial" w:hAnsi="Arial" w:cs="Arial"/>
                <w:sz w:val="16"/>
                <w:szCs w:val="16"/>
              </w:rPr>
              <w:t>s</w:t>
            </w:r>
          </w:p>
        </w:tc>
        <w:tc>
          <w:tcPr>
            <w:tcW w:w="530" w:type="pct"/>
            <w:tcBorders>
              <w:top w:val="nil"/>
              <w:left w:val="nil"/>
              <w:bottom w:val="nil"/>
              <w:right w:val="nil"/>
            </w:tcBorders>
            <w:shd w:val="clear" w:color="auto" w:fill="auto"/>
            <w:noWrap/>
            <w:vAlign w:val="bottom"/>
            <w:hideMark/>
          </w:tcPr>
          <w:p w14:paraId="05580D81" w14:textId="77777777" w:rsidR="00F2052E" w:rsidRPr="00F2052E" w:rsidRDefault="00F2052E" w:rsidP="00F2052E">
            <w:pPr>
              <w:spacing w:after="0" w:line="240" w:lineRule="auto"/>
              <w:ind w:firstLineChars="100" w:firstLine="160"/>
              <w:jc w:val="center"/>
              <w:rPr>
                <w:rFonts w:ascii="Arial" w:hAnsi="Arial" w:cs="Arial"/>
                <w:sz w:val="16"/>
                <w:szCs w:val="16"/>
              </w:rPr>
            </w:pPr>
          </w:p>
        </w:tc>
        <w:tc>
          <w:tcPr>
            <w:tcW w:w="584" w:type="pct"/>
            <w:tcBorders>
              <w:top w:val="nil"/>
              <w:left w:val="nil"/>
              <w:bottom w:val="nil"/>
              <w:right w:val="nil"/>
            </w:tcBorders>
            <w:shd w:val="clear" w:color="000000" w:fill="E6E6E6"/>
            <w:noWrap/>
            <w:vAlign w:val="bottom"/>
            <w:hideMark/>
          </w:tcPr>
          <w:p w14:paraId="1E0AC024" w14:textId="7E37F632"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w:t>
            </w:r>
          </w:p>
        </w:tc>
        <w:tc>
          <w:tcPr>
            <w:tcW w:w="578" w:type="pct"/>
            <w:tcBorders>
              <w:top w:val="nil"/>
              <w:left w:val="nil"/>
              <w:bottom w:val="nil"/>
              <w:right w:val="nil"/>
            </w:tcBorders>
            <w:shd w:val="clear" w:color="000000" w:fill="FFFFFF"/>
            <w:noWrap/>
            <w:vAlign w:val="bottom"/>
            <w:hideMark/>
          </w:tcPr>
          <w:p w14:paraId="1D79FA59" w14:textId="7141CEB8"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nfp</w:t>
            </w:r>
          </w:p>
        </w:tc>
        <w:tc>
          <w:tcPr>
            <w:tcW w:w="578" w:type="pct"/>
            <w:tcBorders>
              <w:top w:val="nil"/>
              <w:left w:val="nil"/>
              <w:bottom w:val="nil"/>
              <w:right w:val="nil"/>
            </w:tcBorders>
            <w:shd w:val="clear" w:color="000000" w:fill="E6E6E6"/>
            <w:noWrap/>
            <w:vAlign w:val="bottom"/>
            <w:hideMark/>
          </w:tcPr>
          <w:p w14:paraId="6B85F6EE" w14:textId="3CA5ABBB" w:rsidR="00F2052E" w:rsidRPr="00521014" w:rsidRDefault="00521014" w:rsidP="00F2052E">
            <w:pPr>
              <w:spacing w:after="0" w:line="240" w:lineRule="auto"/>
              <w:jc w:val="right"/>
              <w:rPr>
                <w:rFonts w:ascii="Arial" w:hAnsi="Arial" w:cs="Arial"/>
                <w:sz w:val="16"/>
                <w:szCs w:val="16"/>
              </w:rPr>
            </w:pPr>
            <w:r w:rsidRPr="00521014">
              <w:rPr>
                <w:rFonts w:ascii="Arial" w:hAnsi="Arial" w:cs="Arial"/>
                <w:sz w:val="16"/>
                <w:szCs w:val="16"/>
              </w:rPr>
              <w:t>170</w:t>
            </w:r>
          </w:p>
        </w:tc>
        <w:tc>
          <w:tcPr>
            <w:tcW w:w="578" w:type="pct"/>
            <w:tcBorders>
              <w:top w:val="nil"/>
              <w:left w:val="nil"/>
              <w:bottom w:val="nil"/>
              <w:right w:val="nil"/>
            </w:tcBorders>
            <w:shd w:val="clear" w:color="000000" w:fill="FFFFFF"/>
            <w:noWrap/>
            <w:vAlign w:val="bottom"/>
            <w:hideMark/>
          </w:tcPr>
          <w:p w14:paraId="0D5EF70F" w14:textId="0A851F71"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w:t>
            </w:r>
          </w:p>
        </w:tc>
        <w:tc>
          <w:tcPr>
            <w:tcW w:w="575" w:type="pct"/>
            <w:tcBorders>
              <w:top w:val="nil"/>
              <w:left w:val="nil"/>
              <w:bottom w:val="nil"/>
              <w:right w:val="nil"/>
            </w:tcBorders>
            <w:shd w:val="clear" w:color="000000" w:fill="E6E6E6"/>
            <w:noWrap/>
            <w:vAlign w:val="bottom"/>
            <w:hideMark/>
          </w:tcPr>
          <w:p w14:paraId="0F38B1D3" w14:textId="042B96CF"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w:t>
            </w:r>
          </w:p>
        </w:tc>
      </w:tr>
      <w:tr w:rsidR="00F2052E" w:rsidRPr="00F2052E" w14:paraId="3CA4821F" w14:textId="77777777" w:rsidTr="00B90578">
        <w:trPr>
          <w:trHeight w:val="204"/>
        </w:trPr>
        <w:tc>
          <w:tcPr>
            <w:tcW w:w="1577" w:type="pct"/>
            <w:gridSpan w:val="2"/>
            <w:tcBorders>
              <w:top w:val="nil"/>
              <w:left w:val="nil"/>
              <w:bottom w:val="nil"/>
              <w:right w:val="nil"/>
            </w:tcBorders>
            <w:shd w:val="clear" w:color="auto" w:fill="auto"/>
            <w:noWrap/>
            <w:vAlign w:val="bottom"/>
            <w:hideMark/>
          </w:tcPr>
          <w:p w14:paraId="6CDD9745" w14:textId="77777777" w:rsidR="00F2052E" w:rsidRPr="00F2052E" w:rsidRDefault="00F2052E" w:rsidP="00F2052E">
            <w:pPr>
              <w:spacing w:after="0" w:line="240" w:lineRule="auto"/>
              <w:rPr>
                <w:rFonts w:ascii="Arial" w:hAnsi="Arial" w:cs="Arial"/>
                <w:b/>
                <w:bCs/>
                <w:sz w:val="16"/>
                <w:szCs w:val="16"/>
              </w:rPr>
            </w:pPr>
            <w:r w:rsidRPr="00F2052E">
              <w:rPr>
                <w:rFonts w:ascii="Arial" w:hAnsi="Arial" w:cs="Arial"/>
                <w:b/>
                <w:bCs/>
                <w:sz w:val="16"/>
                <w:szCs w:val="16"/>
              </w:rPr>
              <w:t xml:space="preserve">Total </w:t>
            </w:r>
          </w:p>
        </w:tc>
        <w:tc>
          <w:tcPr>
            <w:tcW w:w="530" w:type="pct"/>
            <w:tcBorders>
              <w:top w:val="nil"/>
              <w:left w:val="nil"/>
              <w:bottom w:val="nil"/>
              <w:right w:val="nil"/>
            </w:tcBorders>
            <w:shd w:val="clear" w:color="auto" w:fill="auto"/>
            <w:noWrap/>
            <w:vAlign w:val="bottom"/>
            <w:hideMark/>
          </w:tcPr>
          <w:p w14:paraId="0C0113C7" w14:textId="77777777" w:rsidR="00F2052E" w:rsidRPr="00F2052E" w:rsidRDefault="00F2052E" w:rsidP="00F2052E">
            <w:pPr>
              <w:spacing w:after="0" w:line="240" w:lineRule="auto"/>
              <w:jc w:val="center"/>
              <w:rPr>
                <w:rFonts w:ascii="Arial" w:hAnsi="Arial" w:cs="Arial"/>
                <w:b/>
                <w:bCs/>
                <w:sz w:val="16"/>
                <w:szCs w:val="16"/>
              </w:rPr>
            </w:pPr>
          </w:p>
        </w:tc>
        <w:tc>
          <w:tcPr>
            <w:tcW w:w="584" w:type="pct"/>
            <w:tcBorders>
              <w:top w:val="nil"/>
              <w:left w:val="nil"/>
              <w:bottom w:val="nil"/>
              <w:right w:val="nil"/>
            </w:tcBorders>
            <w:shd w:val="clear" w:color="000000" w:fill="E6E6E6"/>
            <w:noWrap/>
            <w:vAlign w:val="bottom"/>
            <w:hideMark/>
          </w:tcPr>
          <w:p w14:paraId="20606760" w14:textId="78F52E17" w:rsidR="00F2052E" w:rsidRPr="00F2052E" w:rsidRDefault="00F2052E" w:rsidP="00F2052E">
            <w:pPr>
              <w:spacing w:after="0" w:line="240" w:lineRule="auto"/>
              <w:jc w:val="right"/>
              <w:rPr>
                <w:rFonts w:ascii="Arial" w:hAnsi="Arial" w:cs="Arial"/>
                <w:b/>
                <w:bCs/>
                <w:sz w:val="16"/>
                <w:szCs w:val="16"/>
              </w:rPr>
            </w:pPr>
            <w:r w:rsidRPr="00F2052E">
              <w:rPr>
                <w:rFonts w:ascii="Arial" w:hAnsi="Arial" w:cs="Arial"/>
                <w:b/>
                <w:bCs/>
                <w:sz w:val="16"/>
                <w:szCs w:val="16"/>
              </w:rPr>
              <w:t>-</w:t>
            </w:r>
          </w:p>
        </w:tc>
        <w:tc>
          <w:tcPr>
            <w:tcW w:w="578" w:type="pct"/>
            <w:tcBorders>
              <w:top w:val="nil"/>
              <w:left w:val="nil"/>
              <w:bottom w:val="nil"/>
              <w:right w:val="nil"/>
            </w:tcBorders>
            <w:shd w:val="clear" w:color="000000" w:fill="FFFFFF"/>
            <w:noWrap/>
            <w:vAlign w:val="bottom"/>
            <w:hideMark/>
          </w:tcPr>
          <w:p w14:paraId="2D6A9C8D" w14:textId="2D2B96F5" w:rsidR="00F2052E" w:rsidRPr="00F2052E" w:rsidRDefault="00F2052E" w:rsidP="00F2052E">
            <w:pPr>
              <w:spacing w:after="0" w:line="240" w:lineRule="auto"/>
              <w:jc w:val="right"/>
              <w:rPr>
                <w:rFonts w:ascii="Arial" w:hAnsi="Arial" w:cs="Arial"/>
                <w:b/>
                <w:bCs/>
                <w:sz w:val="16"/>
                <w:szCs w:val="16"/>
              </w:rPr>
            </w:pPr>
            <w:r w:rsidRPr="00F2052E">
              <w:rPr>
                <w:rFonts w:ascii="Arial" w:hAnsi="Arial" w:cs="Arial"/>
                <w:b/>
                <w:bCs/>
                <w:sz w:val="16"/>
                <w:szCs w:val="16"/>
              </w:rPr>
              <w:t>nfp</w:t>
            </w:r>
          </w:p>
        </w:tc>
        <w:tc>
          <w:tcPr>
            <w:tcW w:w="578" w:type="pct"/>
            <w:tcBorders>
              <w:top w:val="nil"/>
              <w:left w:val="nil"/>
              <w:bottom w:val="nil"/>
              <w:right w:val="nil"/>
            </w:tcBorders>
            <w:shd w:val="clear" w:color="000000" w:fill="E6E6E6"/>
            <w:noWrap/>
            <w:vAlign w:val="bottom"/>
            <w:hideMark/>
          </w:tcPr>
          <w:p w14:paraId="6E049C6B" w14:textId="51E64400" w:rsidR="00F2052E" w:rsidRPr="00521014" w:rsidRDefault="00521014" w:rsidP="00F2052E">
            <w:pPr>
              <w:spacing w:after="0" w:line="240" w:lineRule="auto"/>
              <w:jc w:val="right"/>
              <w:rPr>
                <w:rFonts w:ascii="Arial" w:hAnsi="Arial" w:cs="Arial"/>
                <w:b/>
                <w:bCs/>
                <w:sz w:val="16"/>
                <w:szCs w:val="16"/>
              </w:rPr>
            </w:pPr>
            <w:r w:rsidRPr="00521014">
              <w:rPr>
                <w:rFonts w:ascii="Arial" w:hAnsi="Arial" w:cs="Arial"/>
                <w:b/>
                <w:bCs/>
                <w:sz w:val="16"/>
                <w:szCs w:val="16"/>
              </w:rPr>
              <w:t>920</w:t>
            </w:r>
          </w:p>
        </w:tc>
        <w:tc>
          <w:tcPr>
            <w:tcW w:w="578" w:type="pct"/>
            <w:tcBorders>
              <w:top w:val="nil"/>
              <w:left w:val="nil"/>
              <w:bottom w:val="nil"/>
              <w:right w:val="nil"/>
            </w:tcBorders>
            <w:shd w:val="clear" w:color="000000" w:fill="FFFFFF"/>
            <w:noWrap/>
            <w:vAlign w:val="bottom"/>
            <w:hideMark/>
          </w:tcPr>
          <w:p w14:paraId="41F1B4D9" w14:textId="53FA700D" w:rsidR="00F2052E" w:rsidRPr="00F2052E" w:rsidRDefault="00F2052E" w:rsidP="00F2052E">
            <w:pPr>
              <w:spacing w:after="0" w:line="240" w:lineRule="auto"/>
              <w:jc w:val="right"/>
              <w:rPr>
                <w:rFonts w:ascii="Arial" w:hAnsi="Arial" w:cs="Arial"/>
                <w:b/>
                <w:bCs/>
                <w:sz w:val="16"/>
                <w:szCs w:val="16"/>
              </w:rPr>
            </w:pPr>
            <w:r w:rsidRPr="00F2052E">
              <w:rPr>
                <w:rFonts w:ascii="Arial" w:hAnsi="Arial" w:cs="Arial"/>
                <w:b/>
                <w:bCs/>
                <w:sz w:val="16"/>
                <w:szCs w:val="16"/>
              </w:rPr>
              <w:t>-</w:t>
            </w:r>
          </w:p>
        </w:tc>
        <w:tc>
          <w:tcPr>
            <w:tcW w:w="575" w:type="pct"/>
            <w:tcBorders>
              <w:top w:val="nil"/>
              <w:left w:val="nil"/>
              <w:bottom w:val="nil"/>
              <w:right w:val="nil"/>
            </w:tcBorders>
            <w:shd w:val="clear" w:color="000000" w:fill="E6E6E6"/>
            <w:noWrap/>
            <w:vAlign w:val="bottom"/>
            <w:hideMark/>
          </w:tcPr>
          <w:p w14:paraId="70B3CBF6" w14:textId="3A9D47BC" w:rsidR="00F2052E" w:rsidRPr="00F2052E" w:rsidRDefault="00F2052E" w:rsidP="00F2052E">
            <w:pPr>
              <w:spacing w:after="0" w:line="240" w:lineRule="auto"/>
              <w:jc w:val="right"/>
              <w:rPr>
                <w:rFonts w:ascii="Arial" w:hAnsi="Arial" w:cs="Arial"/>
                <w:b/>
                <w:bCs/>
                <w:sz w:val="16"/>
                <w:szCs w:val="16"/>
              </w:rPr>
            </w:pPr>
            <w:r w:rsidRPr="00F2052E">
              <w:rPr>
                <w:rFonts w:ascii="Arial" w:hAnsi="Arial" w:cs="Arial"/>
                <w:b/>
                <w:bCs/>
                <w:sz w:val="16"/>
                <w:szCs w:val="16"/>
              </w:rPr>
              <w:t>-</w:t>
            </w:r>
          </w:p>
        </w:tc>
      </w:tr>
      <w:tr w:rsidR="00F2052E" w:rsidRPr="00F2052E" w14:paraId="1074E776" w14:textId="77777777" w:rsidTr="00B90578">
        <w:trPr>
          <w:trHeight w:val="204"/>
        </w:trPr>
        <w:tc>
          <w:tcPr>
            <w:tcW w:w="1577" w:type="pct"/>
            <w:gridSpan w:val="2"/>
            <w:tcBorders>
              <w:top w:val="nil"/>
              <w:left w:val="nil"/>
              <w:bottom w:val="nil"/>
              <w:right w:val="nil"/>
            </w:tcBorders>
            <w:shd w:val="clear" w:color="auto" w:fill="auto"/>
            <w:vAlign w:val="bottom"/>
            <w:hideMark/>
          </w:tcPr>
          <w:p w14:paraId="0E20AC84" w14:textId="659F983A" w:rsidR="00F2052E" w:rsidRPr="00F2052E" w:rsidRDefault="00F2052E" w:rsidP="00F2052E">
            <w:pPr>
              <w:spacing w:after="0" w:line="240" w:lineRule="auto"/>
              <w:rPr>
                <w:rFonts w:ascii="Arial" w:hAnsi="Arial" w:cs="Arial"/>
                <w:sz w:val="16"/>
                <w:szCs w:val="16"/>
              </w:rPr>
            </w:pPr>
            <w:r w:rsidRPr="00F2052E">
              <w:rPr>
                <w:rFonts w:ascii="Arial" w:hAnsi="Arial" w:cs="Arial"/>
                <w:sz w:val="16"/>
                <w:szCs w:val="16"/>
              </w:rPr>
              <w:t>Viewer Access Satellite Television</w:t>
            </w:r>
            <w:r w:rsidRPr="00F2052E">
              <w:rPr>
                <w:rFonts w:ascii="Arial" w:hAnsi="Arial" w:cs="Arial"/>
                <w:sz w:val="16"/>
                <w:szCs w:val="16"/>
                <w:vertAlign w:val="superscript"/>
              </w:rPr>
              <w:t>(c)</w:t>
            </w:r>
          </w:p>
        </w:tc>
        <w:tc>
          <w:tcPr>
            <w:tcW w:w="530" w:type="pct"/>
            <w:tcBorders>
              <w:top w:val="nil"/>
              <w:left w:val="nil"/>
              <w:bottom w:val="nil"/>
              <w:right w:val="nil"/>
            </w:tcBorders>
            <w:shd w:val="clear" w:color="auto" w:fill="auto"/>
            <w:noWrap/>
            <w:vAlign w:val="bottom"/>
            <w:hideMark/>
          </w:tcPr>
          <w:p w14:paraId="168701D9" w14:textId="0551A2B7" w:rsidR="00F2052E" w:rsidRPr="00F2052E" w:rsidRDefault="00F2052E" w:rsidP="00F2052E">
            <w:pPr>
              <w:spacing w:after="0" w:line="240" w:lineRule="auto"/>
              <w:jc w:val="center"/>
              <w:rPr>
                <w:rFonts w:ascii="Arial" w:hAnsi="Arial" w:cs="Arial"/>
                <w:sz w:val="16"/>
                <w:szCs w:val="16"/>
              </w:rPr>
            </w:pPr>
            <w:r w:rsidRPr="00F2052E">
              <w:rPr>
                <w:rFonts w:ascii="Arial" w:hAnsi="Arial" w:cs="Arial"/>
                <w:sz w:val="16"/>
                <w:szCs w:val="16"/>
              </w:rPr>
              <w:t>5.1, 5.2</w:t>
            </w:r>
          </w:p>
        </w:tc>
        <w:tc>
          <w:tcPr>
            <w:tcW w:w="584" w:type="pct"/>
            <w:tcBorders>
              <w:top w:val="nil"/>
              <w:left w:val="nil"/>
              <w:bottom w:val="nil"/>
              <w:right w:val="nil"/>
            </w:tcBorders>
            <w:shd w:val="clear" w:color="000000" w:fill="E6E6E6"/>
            <w:noWrap/>
            <w:vAlign w:val="bottom"/>
            <w:hideMark/>
          </w:tcPr>
          <w:p w14:paraId="545E96A8" w14:textId="3ED5D2DC" w:rsidR="00F2052E" w:rsidRPr="00F2052E" w:rsidRDefault="00F2052E" w:rsidP="00F2052E">
            <w:pPr>
              <w:spacing w:after="0" w:line="240" w:lineRule="auto"/>
              <w:jc w:val="right"/>
              <w:rPr>
                <w:rFonts w:ascii="Arial" w:hAnsi="Arial" w:cs="Arial"/>
                <w:sz w:val="16"/>
                <w:szCs w:val="16"/>
              </w:rPr>
            </w:pPr>
          </w:p>
        </w:tc>
        <w:tc>
          <w:tcPr>
            <w:tcW w:w="578" w:type="pct"/>
            <w:tcBorders>
              <w:top w:val="nil"/>
              <w:left w:val="nil"/>
              <w:bottom w:val="nil"/>
              <w:right w:val="nil"/>
            </w:tcBorders>
            <w:shd w:val="clear" w:color="000000" w:fill="FFFFFF"/>
            <w:noWrap/>
            <w:vAlign w:val="bottom"/>
            <w:hideMark/>
          </w:tcPr>
          <w:p w14:paraId="4BC6870B" w14:textId="2C071A6A" w:rsidR="00F2052E" w:rsidRPr="00F2052E" w:rsidRDefault="00F2052E" w:rsidP="00F2052E">
            <w:pPr>
              <w:spacing w:after="0" w:line="240" w:lineRule="auto"/>
              <w:jc w:val="right"/>
              <w:rPr>
                <w:rFonts w:ascii="Arial" w:hAnsi="Arial" w:cs="Arial"/>
                <w:sz w:val="16"/>
                <w:szCs w:val="16"/>
              </w:rPr>
            </w:pPr>
          </w:p>
        </w:tc>
        <w:tc>
          <w:tcPr>
            <w:tcW w:w="578" w:type="pct"/>
            <w:tcBorders>
              <w:top w:val="nil"/>
              <w:left w:val="nil"/>
              <w:bottom w:val="nil"/>
              <w:right w:val="nil"/>
            </w:tcBorders>
            <w:shd w:val="clear" w:color="000000" w:fill="E6E6E6"/>
            <w:noWrap/>
            <w:vAlign w:val="bottom"/>
            <w:hideMark/>
          </w:tcPr>
          <w:p w14:paraId="1A378CF0" w14:textId="278D1BD7" w:rsidR="00F2052E" w:rsidRPr="00F2052E" w:rsidRDefault="00F2052E" w:rsidP="00F2052E">
            <w:pPr>
              <w:spacing w:after="0" w:line="240" w:lineRule="auto"/>
              <w:jc w:val="right"/>
              <w:rPr>
                <w:rFonts w:ascii="Arial" w:hAnsi="Arial" w:cs="Arial"/>
                <w:sz w:val="16"/>
                <w:szCs w:val="16"/>
              </w:rPr>
            </w:pPr>
          </w:p>
        </w:tc>
        <w:tc>
          <w:tcPr>
            <w:tcW w:w="578" w:type="pct"/>
            <w:tcBorders>
              <w:top w:val="nil"/>
              <w:left w:val="nil"/>
              <w:bottom w:val="nil"/>
              <w:right w:val="nil"/>
            </w:tcBorders>
            <w:shd w:val="clear" w:color="000000" w:fill="FFFFFF"/>
            <w:noWrap/>
            <w:vAlign w:val="bottom"/>
            <w:hideMark/>
          </w:tcPr>
          <w:p w14:paraId="602681CB" w14:textId="6B71DDF2" w:rsidR="00F2052E" w:rsidRPr="00F2052E" w:rsidRDefault="00F2052E" w:rsidP="00F2052E">
            <w:pPr>
              <w:spacing w:after="0" w:line="240" w:lineRule="auto"/>
              <w:jc w:val="right"/>
              <w:rPr>
                <w:rFonts w:ascii="Arial" w:hAnsi="Arial" w:cs="Arial"/>
                <w:sz w:val="16"/>
                <w:szCs w:val="16"/>
              </w:rPr>
            </w:pPr>
          </w:p>
        </w:tc>
        <w:tc>
          <w:tcPr>
            <w:tcW w:w="575" w:type="pct"/>
            <w:tcBorders>
              <w:top w:val="nil"/>
              <w:left w:val="nil"/>
              <w:bottom w:val="nil"/>
              <w:right w:val="nil"/>
            </w:tcBorders>
            <w:shd w:val="clear" w:color="000000" w:fill="E6E6E6"/>
            <w:noWrap/>
            <w:vAlign w:val="bottom"/>
            <w:hideMark/>
          </w:tcPr>
          <w:p w14:paraId="404E21D6" w14:textId="0A5C7AC3" w:rsidR="00F2052E" w:rsidRPr="00F2052E" w:rsidRDefault="00F2052E" w:rsidP="00F2052E">
            <w:pPr>
              <w:spacing w:after="0" w:line="240" w:lineRule="auto"/>
              <w:jc w:val="right"/>
              <w:rPr>
                <w:rFonts w:ascii="Arial" w:hAnsi="Arial" w:cs="Arial"/>
                <w:sz w:val="16"/>
                <w:szCs w:val="16"/>
              </w:rPr>
            </w:pPr>
          </w:p>
        </w:tc>
      </w:tr>
      <w:tr w:rsidR="00B90578" w:rsidRPr="00F2052E" w14:paraId="7C95311F" w14:textId="77777777" w:rsidTr="00B90578">
        <w:trPr>
          <w:trHeight w:val="204"/>
        </w:trPr>
        <w:tc>
          <w:tcPr>
            <w:tcW w:w="1577" w:type="pct"/>
            <w:gridSpan w:val="2"/>
            <w:tcBorders>
              <w:top w:val="nil"/>
              <w:left w:val="nil"/>
              <w:bottom w:val="nil"/>
              <w:right w:val="nil"/>
            </w:tcBorders>
            <w:shd w:val="clear" w:color="auto" w:fill="auto"/>
            <w:vAlign w:val="bottom"/>
            <w:hideMark/>
          </w:tcPr>
          <w:p w14:paraId="6FE04FBD" w14:textId="5B572C4F" w:rsidR="00B90578" w:rsidRPr="00F2052E" w:rsidRDefault="00B90578" w:rsidP="00B90578">
            <w:pPr>
              <w:spacing w:after="0" w:line="240" w:lineRule="auto"/>
              <w:ind w:left="113"/>
              <w:rPr>
                <w:rFonts w:ascii="Arial" w:hAnsi="Arial" w:cs="Arial"/>
                <w:sz w:val="16"/>
                <w:szCs w:val="16"/>
              </w:rPr>
            </w:pPr>
            <w:r w:rsidRPr="00F2052E">
              <w:rPr>
                <w:rFonts w:ascii="Arial" w:hAnsi="Arial" w:cs="Arial"/>
                <w:sz w:val="16"/>
                <w:szCs w:val="16"/>
              </w:rPr>
              <w:t>Administered payment</w:t>
            </w:r>
            <w:r>
              <w:rPr>
                <w:rFonts w:ascii="Arial" w:hAnsi="Arial" w:cs="Arial"/>
                <w:sz w:val="16"/>
                <w:szCs w:val="16"/>
              </w:rPr>
              <w:t>s</w:t>
            </w:r>
          </w:p>
        </w:tc>
        <w:tc>
          <w:tcPr>
            <w:tcW w:w="530" w:type="pct"/>
            <w:tcBorders>
              <w:top w:val="nil"/>
              <w:left w:val="nil"/>
              <w:bottom w:val="nil"/>
              <w:right w:val="nil"/>
            </w:tcBorders>
            <w:shd w:val="clear" w:color="auto" w:fill="auto"/>
            <w:noWrap/>
            <w:vAlign w:val="bottom"/>
            <w:hideMark/>
          </w:tcPr>
          <w:p w14:paraId="0B5FF681" w14:textId="77777777" w:rsidR="00B90578" w:rsidRPr="00F2052E" w:rsidRDefault="00B90578" w:rsidP="00B90578">
            <w:pPr>
              <w:spacing w:after="0" w:line="240" w:lineRule="auto"/>
              <w:ind w:firstLineChars="100" w:firstLine="160"/>
              <w:jc w:val="center"/>
              <w:rPr>
                <w:rFonts w:ascii="Arial" w:hAnsi="Arial" w:cs="Arial"/>
                <w:sz w:val="16"/>
                <w:szCs w:val="16"/>
              </w:rPr>
            </w:pPr>
          </w:p>
        </w:tc>
        <w:tc>
          <w:tcPr>
            <w:tcW w:w="584" w:type="pct"/>
            <w:tcBorders>
              <w:top w:val="nil"/>
              <w:left w:val="nil"/>
              <w:bottom w:val="nil"/>
              <w:right w:val="nil"/>
            </w:tcBorders>
            <w:shd w:val="clear" w:color="000000" w:fill="E6E6E6"/>
            <w:noWrap/>
            <w:vAlign w:val="bottom"/>
            <w:hideMark/>
          </w:tcPr>
          <w:p w14:paraId="7B807B9E" w14:textId="16846B2C" w:rsidR="00B90578" w:rsidRPr="00F2052E" w:rsidRDefault="00B90578" w:rsidP="00B90578">
            <w:pPr>
              <w:spacing w:after="0" w:line="240" w:lineRule="auto"/>
              <w:jc w:val="right"/>
              <w:rPr>
                <w:rFonts w:ascii="Arial" w:hAnsi="Arial" w:cs="Arial"/>
                <w:sz w:val="16"/>
                <w:szCs w:val="16"/>
              </w:rPr>
            </w:pPr>
            <w:r w:rsidRPr="00F2052E">
              <w:rPr>
                <w:rFonts w:ascii="Arial" w:hAnsi="Arial" w:cs="Arial"/>
                <w:sz w:val="16"/>
                <w:szCs w:val="16"/>
              </w:rPr>
              <w:t>nfp</w:t>
            </w:r>
          </w:p>
        </w:tc>
        <w:tc>
          <w:tcPr>
            <w:tcW w:w="578" w:type="pct"/>
            <w:tcBorders>
              <w:top w:val="nil"/>
              <w:left w:val="nil"/>
              <w:bottom w:val="nil"/>
              <w:right w:val="nil"/>
            </w:tcBorders>
            <w:shd w:val="clear" w:color="000000" w:fill="FFFFFF"/>
            <w:noWrap/>
            <w:vAlign w:val="bottom"/>
            <w:hideMark/>
          </w:tcPr>
          <w:p w14:paraId="0B13448D" w14:textId="04151932" w:rsidR="00B90578" w:rsidRPr="00F2052E" w:rsidRDefault="00B90578" w:rsidP="00B90578">
            <w:pPr>
              <w:spacing w:after="0" w:line="240" w:lineRule="auto"/>
              <w:jc w:val="right"/>
              <w:rPr>
                <w:rFonts w:ascii="Arial" w:hAnsi="Arial" w:cs="Arial"/>
                <w:sz w:val="16"/>
                <w:szCs w:val="16"/>
              </w:rPr>
            </w:pPr>
            <w:r w:rsidRPr="00F2052E">
              <w:rPr>
                <w:rFonts w:ascii="Arial" w:hAnsi="Arial" w:cs="Arial"/>
                <w:sz w:val="16"/>
                <w:szCs w:val="16"/>
              </w:rPr>
              <w:t>nfp</w:t>
            </w:r>
          </w:p>
        </w:tc>
        <w:tc>
          <w:tcPr>
            <w:tcW w:w="578" w:type="pct"/>
            <w:tcBorders>
              <w:top w:val="nil"/>
              <w:left w:val="nil"/>
              <w:bottom w:val="nil"/>
              <w:right w:val="nil"/>
            </w:tcBorders>
            <w:shd w:val="clear" w:color="000000" w:fill="E6E6E6"/>
            <w:noWrap/>
            <w:vAlign w:val="bottom"/>
            <w:hideMark/>
          </w:tcPr>
          <w:p w14:paraId="7D399B47" w14:textId="600BD025" w:rsidR="00B90578" w:rsidRPr="00F2052E" w:rsidRDefault="00B90578" w:rsidP="00B90578">
            <w:pPr>
              <w:spacing w:after="0" w:line="240" w:lineRule="auto"/>
              <w:jc w:val="right"/>
              <w:rPr>
                <w:rFonts w:ascii="Arial" w:hAnsi="Arial" w:cs="Arial"/>
                <w:sz w:val="16"/>
                <w:szCs w:val="16"/>
              </w:rPr>
            </w:pPr>
            <w:r w:rsidRPr="00F2052E">
              <w:rPr>
                <w:rFonts w:ascii="Arial" w:hAnsi="Arial" w:cs="Arial"/>
                <w:sz w:val="16"/>
                <w:szCs w:val="16"/>
              </w:rPr>
              <w:t>nfp</w:t>
            </w:r>
          </w:p>
        </w:tc>
        <w:tc>
          <w:tcPr>
            <w:tcW w:w="578" w:type="pct"/>
            <w:tcBorders>
              <w:top w:val="nil"/>
              <w:left w:val="nil"/>
              <w:bottom w:val="nil"/>
              <w:right w:val="nil"/>
            </w:tcBorders>
            <w:shd w:val="clear" w:color="000000" w:fill="FFFFFF"/>
            <w:noWrap/>
            <w:vAlign w:val="bottom"/>
            <w:hideMark/>
          </w:tcPr>
          <w:p w14:paraId="2606ECA1" w14:textId="7FF641AB" w:rsidR="00B90578" w:rsidRPr="00F2052E" w:rsidRDefault="00B90578" w:rsidP="00B90578">
            <w:pPr>
              <w:spacing w:after="0" w:line="240" w:lineRule="auto"/>
              <w:jc w:val="right"/>
              <w:rPr>
                <w:rFonts w:ascii="Arial" w:hAnsi="Arial" w:cs="Arial"/>
                <w:sz w:val="16"/>
                <w:szCs w:val="16"/>
              </w:rPr>
            </w:pPr>
            <w:r w:rsidRPr="00F2052E">
              <w:rPr>
                <w:rFonts w:ascii="Arial" w:hAnsi="Arial" w:cs="Arial"/>
                <w:sz w:val="16"/>
                <w:szCs w:val="16"/>
              </w:rPr>
              <w:t>nfp</w:t>
            </w:r>
          </w:p>
        </w:tc>
        <w:tc>
          <w:tcPr>
            <w:tcW w:w="575" w:type="pct"/>
            <w:tcBorders>
              <w:top w:val="nil"/>
              <w:left w:val="nil"/>
              <w:bottom w:val="nil"/>
              <w:right w:val="nil"/>
            </w:tcBorders>
            <w:shd w:val="clear" w:color="000000" w:fill="E6E6E6"/>
            <w:noWrap/>
            <w:vAlign w:val="bottom"/>
            <w:hideMark/>
          </w:tcPr>
          <w:p w14:paraId="72B09D73" w14:textId="75F010A9" w:rsidR="00B90578" w:rsidRPr="00F2052E" w:rsidRDefault="00B90578" w:rsidP="00B90578">
            <w:pPr>
              <w:spacing w:after="0" w:line="240" w:lineRule="auto"/>
              <w:jc w:val="right"/>
              <w:rPr>
                <w:rFonts w:ascii="Arial" w:hAnsi="Arial" w:cs="Arial"/>
                <w:sz w:val="16"/>
                <w:szCs w:val="16"/>
              </w:rPr>
            </w:pPr>
            <w:r w:rsidRPr="00F2052E">
              <w:rPr>
                <w:rFonts w:ascii="Arial" w:hAnsi="Arial" w:cs="Arial"/>
                <w:sz w:val="16"/>
                <w:szCs w:val="16"/>
              </w:rPr>
              <w:t>nfp</w:t>
            </w:r>
          </w:p>
        </w:tc>
      </w:tr>
      <w:tr w:rsidR="00B90578" w:rsidRPr="00F2052E" w14:paraId="664E6E23" w14:textId="77777777" w:rsidTr="00B90578">
        <w:trPr>
          <w:trHeight w:val="204"/>
        </w:trPr>
        <w:tc>
          <w:tcPr>
            <w:tcW w:w="1577" w:type="pct"/>
            <w:gridSpan w:val="2"/>
            <w:tcBorders>
              <w:top w:val="nil"/>
              <w:left w:val="nil"/>
              <w:bottom w:val="nil"/>
              <w:right w:val="nil"/>
            </w:tcBorders>
            <w:shd w:val="clear" w:color="auto" w:fill="auto"/>
            <w:vAlign w:val="bottom"/>
            <w:hideMark/>
          </w:tcPr>
          <w:p w14:paraId="028A6548" w14:textId="090A6CC3" w:rsidR="00B90578" w:rsidRPr="00F2052E" w:rsidRDefault="00B90578" w:rsidP="00B90578">
            <w:pPr>
              <w:spacing w:after="0" w:line="240" w:lineRule="auto"/>
              <w:ind w:left="113"/>
              <w:rPr>
                <w:rFonts w:ascii="Arial" w:hAnsi="Arial" w:cs="Arial"/>
                <w:sz w:val="16"/>
                <w:szCs w:val="16"/>
              </w:rPr>
            </w:pPr>
            <w:r w:rsidRPr="00F2052E">
              <w:rPr>
                <w:rFonts w:ascii="Arial" w:hAnsi="Arial" w:cs="Arial"/>
                <w:sz w:val="16"/>
                <w:szCs w:val="16"/>
              </w:rPr>
              <w:t>Departmental payment</w:t>
            </w:r>
            <w:r>
              <w:rPr>
                <w:rFonts w:ascii="Arial" w:hAnsi="Arial" w:cs="Arial"/>
                <w:sz w:val="16"/>
                <w:szCs w:val="16"/>
              </w:rPr>
              <w:t>s</w:t>
            </w:r>
          </w:p>
        </w:tc>
        <w:tc>
          <w:tcPr>
            <w:tcW w:w="530" w:type="pct"/>
            <w:tcBorders>
              <w:top w:val="nil"/>
              <w:left w:val="nil"/>
              <w:bottom w:val="nil"/>
              <w:right w:val="nil"/>
            </w:tcBorders>
            <w:shd w:val="clear" w:color="auto" w:fill="auto"/>
            <w:noWrap/>
            <w:vAlign w:val="bottom"/>
            <w:hideMark/>
          </w:tcPr>
          <w:p w14:paraId="125C27BE" w14:textId="77777777" w:rsidR="00B90578" w:rsidRPr="00F2052E" w:rsidRDefault="00B90578" w:rsidP="00B90578">
            <w:pPr>
              <w:spacing w:after="0" w:line="240" w:lineRule="auto"/>
              <w:ind w:firstLineChars="100" w:firstLine="160"/>
              <w:jc w:val="center"/>
              <w:rPr>
                <w:rFonts w:ascii="Arial" w:hAnsi="Arial" w:cs="Arial"/>
                <w:sz w:val="16"/>
                <w:szCs w:val="16"/>
              </w:rPr>
            </w:pPr>
          </w:p>
        </w:tc>
        <w:tc>
          <w:tcPr>
            <w:tcW w:w="584" w:type="pct"/>
            <w:tcBorders>
              <w:top w:val="nil"/>
              <w:left w:val="nil"/>
              <w:bottom w:val="nil"/>
              <w:right w:val="nil"/>
            </w:tcBorders>
            <w:shd w:val="clear" w:color="000000" w:fill="E6E6E6"/>
            <w:noWrap/>
            <w:vAlign w:val="bottom"/>
            <w:hideMark/>
          </w:tcPr>
          <w:p w14:paraId="746D5A6C" w14:textId="1783FCA6" w:rsidR="00B90578" w:rsidRPr="00F2052E" w:rsidRDefault="00B90578" w:rsidP="00B90578">
            <w:pPr>
              <w:spacing w:after="0" w:line="240" w:lineRule="auto"/>
              <w:jc w:val="right"/>
              <w:rPr>
                <w:rFonts w:ascii="Arial" w:hAnsi="Arial" w:cs="Arial"/>
                <w:sz w:val="16"/>
                <w:szCs w:val="16"/>
              </w:rPr>
            </w:pPr>
            <w:r w:rsidRPr="00F2052E">
              <w:rPr>
                <w:rFonts w:ascii="Arial" w:hAnsi="Arial" w:cs="Arial"/>
                <w:sz w:val="16"/>
                <w:szCs w:val="16"/>
              </w:rPr>
              <w:t>nfp</w:t>
            </w:r>
          </w:p>
        </w:tc>
        <w:tc>
          <w:tcPr>
            <w:tcW w:w="578" w:type="pct"/>
            <w:tcBorders>
              <w:top w:val="nil"/>
              <w:left w:val="nil"/>
              <w:bottom w:val="nil"/>
              <w:right w:val="nil"/>
            </w:tcBorders>
            <w:shd w:val="clear" w:color="000000" w:fill="FFFFFF"/>
            <w:noWrap/>
            <w:vAlign w:val="bottom"/>
            <w:hideMark/>
          </w:tcPr>
          <w:p w14:paraId="2232CD22" w14:textId="10AB0978" w:rsidR="00B90578" w:rsidRPr="00F2052E" w:rsidRDefault="00B90578" w:rsidP="00B90578">
            <w:pPr>
              <w:spacing w:after="0" w:line="240" w:lineRule="auto"/>
              <w:jc w:val="right"/>
              <w:rPr>
                <w:rFonts w:ascii="Arial" w:hAnsi="Arial" w:cs="Arial"/>
                <w:sz w:val="16"/>
                <w:szCs w:val="16"/>
              </w:rPr>
            </w:pPr>
            <w:r w:rsidRPr="00F2052E">
              <w:rPr>
                <w:rFonts w:ascii="Arial" w:hAnsi="Arial" w:cs="Arial"/>
                <w:sz w:val="16"/>
                <w:szCs w:val="16"/>
              </w:rPr>
              <w:t>nfp</w:t>
            </w:r>
          </w:p>
        </w:tc>
        <w:tc>
          <w:tcPr>
            <w:tcW w:w="578" w:type="pct"/>
            <w:tcBorders>
              <w:top w:val="nil"/>
              <w:left w:val="nil"/>
              <w:bottom w:val="nil"/>
              <w:right w:val="nil"/>
            </w:tcBorders>
            <w:shd w:val="clear" w:color="000000" w:fill="E6E6E6"/>
            <w:noWrap/>
            <w:vAlign w:val="bottom"/>
            <w:hideMark/>
          </w:tcPr>
          <w:p w14:paraId="11F45A69" w14:textId="14CDD758" w:rsidR="00B90578" w:rsidRPr="00F2052E" w:rsidRDefault="00B90578" w:rsidP="00B90578">
            <w:pPr>
              <w:spacing w:after="0" w:line="240" w:lineRule="auto"/>
              <w:jc w:val="right"/>
              <w:rPr>
                <w:rFonts w:ascii="Arial" w:hAnsi="Arial" w:cs="Arial"/>
                <w:sz w:val="16"/>
                <w:szCs w:val="16"/>
              </w:rPr>
            </w:pPr>
            <w:r w:rsidRPr="00F2052E">
              <w:rPr>
                <w:rFonts w:ascii="Arial" w:hAnsi="Arial" w:cs="Arial"/>
                <w:sz w:val="16"/>
                <w:szCs w:val="16"/>
              </w:rPr>
              <w:t>nfp</w:t>
            </w:r>
          </w:p>
        </w:tc>
        <w:tc>
          <w:tcPr>
            <w:tcW w:w="578" w:type="pct"/>
            <w:tcBorders>
              <w:top w:val="nil"/>
              <w:left w:val="nil"/>
              <w:bottom w:val="nil"/>
              <w:right w:val="nil"/>
            </w:tcBorders>
            <w:shd w:val="clear" w:color="000000" w:fill="FFFFFF"/>
            <w:noWrap/>
            <w:vAlign w:val="bottom"/>
            <w:hideMark/>
          </w:tcPr>
          <w:p w14:paraId="663D2571" w14:textId="04C3683B" w:rsidR="00B90578" w:rsidRPr="00F2052E" w:rsidRDefault="00B90578" w:rsidP="00B90578">
            <w:pPr>
              <w:spacing w:after="0" w:line="240" w:lineRule="auto"/>
              <w:jc w:val="right"/>
              <w:rPr>
                <w:rFonts w:ascii="Arial" w:hAnsi="Arial" w:cs="Arial"/>
                <w:sz w:val="16"/>
                <w:szCs w:val="16"/>
              </w:rPr>
            </w:pPr>
            <w:r w:rsidRPr="00F2052E">
              <w:rPr>
                <w:rFonts w:ascii="Arial" w:hAnsi="Arial" w:cs="Arial"/>
                <w:sz w:val="16"/>
                <w:szCs w:val="16"/>
              </w:rPr>
              <w:t>nfp</w:t>
            </w:r>
          </w:p>
        </w:tc>
        <w:tc>
          <w:tcPr>
            <w:tcW w:w="575" w:type="pct"/>
            <w:tcBorders>
              <w:top w:val="nil"/>
              <w:left w:val="nil"/>
              <w:bottom w:val="nil"/>
              <w:right w:val="nil"/>
            </w:tcBorders>
            <w:shd w:val="clear" w:color="000000" w:fill="E6E6E6"/>
            <w:noWrap/>
            <w:vAlign w:val="bottom"/>
            <w:hideMark/>
          </w:tcPr>
          <w:p w14:paraId="52D23BD6" w14:textId="3FD88D9E" w:rsidR="00B90578" w:rsidRPr="00F2052E" w:rsidRDefault="00B90578" w:rsidP="00B90578">
            <w:pPr>
              <w:spacing w:after="0" w:line="240" w:lineRule="auto"/>
              <w:jc w:val="right"/>
              <w:rPr>
                <w:rFonts w:ascii="Arial" w:hAnsi="Arial" w:cs="Arial"/>
                <w:sz w:val="16"/>
                <w:szCs w:val="16"/>
              </w:rPr>
            </w:pPr>
            <w:r w:rsidRPr="00F2052E">
              <w:rPr>
                <w:rFonts w:ascii="Arial" w:hAnsi="Arial" w:cs="Arial"/>
                <w:sz w:val="16"/>
                <w:szCs w:val="16"/>
              </w:rPr>
              <w:t>nfp</w:t>
            </w:r>
          </w:p>
        </w:tc>
      </w:tr>
      <w:tr w:rsidR="00B90578" w:rsidRPr="00F2052E" w14:paraId="47E394BC" w14:textId="77777777" w:rsidTr="00B90578">
        <w:trPr>
          <w:trHeight w:val="204"/>
        </w:trPr>
        <w:tc>
          <w:tcPr>
            <w:tcW w:w="1577" w:type="pct"/>
            <w:gridSpan w:val="2"/>
            <w:tcBorders>
              <w:top w:val="nil"/>
              <w:left w:val="nil"/>
              <w:bottom w:val="nil"/>
              <w:right w:val="nil"/>
            </w:tcBorders>
            <w:shd w:val="clear" w:color="auto" w:fill="auto"/>
            <w:noWrap/>
            <w:vAlign w:val="bottom"/>
            <w:hideMark/>
          </w:tcPr>
          <w:p w14:paraId="69E4160B" w14:textId="77777777" w:rsidR="00B90578" w:rsidRPr="00F2052E" w:rsidRDefault="00B90578" w:rsidP="00B90578">
            <w:pPr>
              <w:spacing w:after="0" w:line="240" w:lineRule="auto"/>
              <w:rPr>
                <w:rFonts w:ascii="Arial" w:hAnsi="Arial" w:cs="Arial"/>
                <w:b/>
                <w:bCs/>
                <w:sz w:val="16"/>
                <w:szCs w:val="16"/>
              </w:rPr>
            </w:pPr>
            <w:r w:rsidRPr="00F2052E">
              <w:rPr>
                <w:rFonts w:ascii="Arial" w:hAnsi="Arial" w:cs="Arial"/>
                <w:b/>
                <w:bCs/>
                <w:sz w:val="16"/>
                <w:szCs w:val="16"/>
              </w:rPr>
              <w:t xml:space="preserve">Total </w:t>
            </w:r>
          </w:p>
        </w:tc>
        <w:tc>
          <w:tcPr>
            <w:tcW w:w="530" w:type="pct"/>
            <w:tcBorders>
              <w:top w:val="nil"/>
              <w:left w:val="nil"/>
              <w:bottom w:val="nil"/>
              <w:right w:val="nil"/>
            </w:tcBorders>
            <w:shd w:val="clear" w:color="auto" w:fill="auto"/>
            <w:noWrap/>
            <w:vAlign w:val="bottom"/>
            <w:hideMark/>
          </w:tcPr>
          <w:p w14:paraId="6E2EA253" w14:textId="77777777" w:rsidR="00B90578" w:rsidRPr="00F2052E" w:rsidRDefault="00B90578" w:rsidP="00B90578">
            <w:pPr>
              <w:spacing w:after="0" w:line="240" w:lineRule="auto"/>
              <w:jc w:val="center"/>
              <w:rPr>
                <w:rFonts w:ascii="Arial" w:hAnsi="Arial" w:cs="Arial"/>
                <w:b/>
                <w:bCs/>
                <w:sz w:val="16"/>
                <w:szCs w:val="16"/>
              </w:rPr>
            </w:pPr>
          </w:p>
        </w:tc>
        <w:tc>
          <w:tcPr>
            <w:tcW w:w="584" w:type="pct"/>
            <w:tcBorders>
              <w:top w:val="nil"/>
              <w:left w:val="nil"/>
              <w:bottom w:val="nil"/>
              <w:right w:val="nil"/>
            </w:tcBorders>
            <w:shd w:val="clear" w:color="000000" w:fill="E6E6E6"/>
            <w:noWrap/>
            <w:vAlign w:val="bottom"/>
            <w:hideMark/>
          </w:tcPr>
          <w:p w14:paraId="0E162D70" w14:textId="7A46EB2F" w:rsidR="00B90578" w:rsidRPr="00F2052E" w:rsidRDefault="00B90578" w:rsidP="00B90578">
            <w:pPr>
              <w:spacing w:after="0" w:line="240" w:lineRule="auto"/>
              <w:jc w:val="right"/>
              <w:rPr>
                <w:rFonts w:ascii="Arial" w:hAnsi="Arial" w:cs="Arial"/>
                <w:b/>
                <w:bCs/>
                <w:sz w:val="16"/>
                <w:szCs w:val="16"/>
              </w:rPr>
            </w:pPr>
            <w:r w:rsidRPr="00F2052E">
              <w:rPr>
                <w:rFonts w:ascii="Arial" w:hAnsi="Arial" w:cs="Arial"/>
                <w:b/>
                <w:bCs/>
                <w:sz w:val="16"/>
                <w:szCs w:val="16"/>
              </w:rPr>
              <w:t>nfp</w:t>
            </w:r>
          </w:p>
        </w:tc>
        <w:tc>
          <w:tcPr>
            <w:tcW w:w="578" w:type="pct"/>
            <w:tcBorders>
              <w:top w:val="nil"/>
              <w:left w:val="nil"/>
              <w:bottom w:val="nil"/>
              <w:right w:val="nil"/>
            </w:tcBorders>
            <w:shd w:val="clear" w:color="000000" w:fill="FFFFFF"/>
            <w:noWrap/>
            <w:vAlign w:val="bottom"/>
            <w:hideMark/>
          </w:tcPr>
          <w:p w14:paraId="03D9C8BB" w14:textId="7A2007F4" w:rsidR="00B90578" w:rsidRPr="00F2052E" w:rsidRDefault="00B90578" w:rsidP="00B90578">
            <w:pPr>
              <w:spacing w:after="0" w:line="240" w:lineRule="auto"/>
              <w:jc w:val="right"/>
              <w:rPr>
                <w:rFonts w:ascii="Arial" w:hAnsi="Arial" w:cs="Arial"/>
                <w:b/>
                <w:bCs/>
                <w:sz w:val="16"/>
                <w:szCs w:val="16"/>
              </w:rPr>
            </w:pPr>
            <w:r w:rsidRPr="00F2052E">
              <w:rPr>
                <w:rFonts w:ascii="Arial" w:hAnsi="Arial" w:cs="Arial"/>
                <w:b/>
                <w:bCs/>
                <w:sz w:val="16"/>
                <w:szCs w:val="16"/>
              </w:rPr>
              <w:t>nfp</w:t>
            </w:r>
          </w:p>
        </w:tc>
        <w:tc>
          <w:tcPr>
            <w:tcW w:w="578" w:type="pct"/>
            <w:tcBorders>
              <w:top w:val="nil"/>
              <w:left w:val="nil"/>
              <w:bottom w:val="nil"/>
              <w:right w:val="nil"/>
            </w:tcBorders>
            <w:shd w:val="clear" w:color="000000" w:fill="E6E6E6"/>
            <w:noWrap/>
            <w:vAlign w:val="bottom"/>
            <w:hideMark/>
          </w:tcPr>
          <w:p w14:paraId="54F65366" w14:textId="17BCAC5B" w:rsidR="00B90578" w:rsidRPr="00F2052E" w:rsidRDefault="00B90578" w:rsidP="00B90578">
            <w:pPr>
              <w:spacing w:after="0" w:line="240" w:lineRule="auto"/>
              <w:jc w:val="right"/>
              <w:rPr>
                <w:rFonts w:ascii="Arial" w:hAnsi="Arial" w:cs="Arial"/>
                <w:b/>
                <w:bCs/>
                <w:sz w:val="16"/>
                <w:szCs w:val="16"/>
              </w:rPr>
            </w:pPr>
            <w:r w:rsidRPr="00F2052E">
              <w:rPr>
                <w:rFonts w:ascii="Arial" w:hAnsi="Arial" w:cs="Arial"/>
                <w:b/>
                <w:bCs/>
                <w:sz w:val="16"/>
                <w:szCs w:val="16"/>
              </w:rPr>
              <w:t>nfp</w:t>
            </w:r>
          </w:p>
        </w:tc>
        <w:tc>
          <w:tcPr>
            <w:tcW w:w="578" w:type="pct"/>
            <w:tcBorders>
              <w:top w:val="nil"/>
              <w:left w:val="nil"/>
              <w:bottom w:val="nil"/>
              <w:right w:val="nil"/>
            </w:tcBorders>
            <w:shd w:val="clear" w:color="000000" w:fill="FFFFFF"/>
            <w:noWrap/>
            <w:vAlign w:val="bottom"/>
            <w:hideMark/>
          </w:tcPr>
          <w:p w14:paraId="08EA4301" w14:textId="1FBDB620" w:rsidR="00B90578" w:rsidRPr="00F2052E" w:rsidRDefault="00B90578" w:rsidP="00B90578">
            <w:pPr>
              <w:spacing w:after="0" w:line="240" w:lineRule="auto"/>
              <w:jc w:val="right"/>
              <w:rPr>
                <w:rFonts w:ascii="Arial" w:hAnsi="Arial" w:cs="Arial"/>
                <w:b/>
                <w:bCs/>
                <w:sz w:val="16"/>
                <w:szCs w:val="16"/>
              </w:rPr>
            </w:pPr>
            <w:r w:rsidRPr="00F2052E">
              <w:rPr>
                <w:rFonts w:ascii="Arial" w:hAnsi="Arial" w:cs="Arial"/>
                <w:b/>
                <w:bCs/>
                <w:sz w:val="16"/>
                <w:szCs w:val="16"/>
              </w:rPr>
              <w:t>nfp</w:t>
            </w:r>
          </w:p>
        </w:tc>
        <w:tc>
          <w:tcPr>
            <w:tcW w:w="575" w:type="pct"/>
            <w:tcBorders>
              <w:top w:val="nil"/>
              <w:left w:val="nil"/>
              <w:bottom w:val="nil"/>
              <w:right w:val="nil"/>
            </w:tcBorders>
            <w:shd w:val="clear" w:color="000000" w:fill="E6E6E6"/>
            <w:noWrap/>
            <w:vAlign w:val="bottom"/>
            <w:hideMark/>
          </w:tcPr>
          <w:p w14:paraId="1E1933C3" w14:textId="4E27A529" w:rsidR="00B90578" w:rsidRPr="00F2052E" w:rsidRDefault="00B90578" w:rsidP="00B90578">
            <w:pPr>
              <w:spacing w:after="0" w:line="240" w:lineRule="auto"/>
              <w:jc w:val="right"/>
              <w:rPr>
                <w:rFonts w:ascii="Arial" w:hAnsi="Arial" w:cs="Arial"/>
                <w:b/>
                <w:bCs/>
                <w:sz w:val="16"/>
                <w:szCs w:val="16"/>
              </w:rPr>
            </w:pPr>
            <w:r w:rsidRPr="00F2052E">
              <w:rPr>
                <w:rFonts w:ascii="Arial" w:hAnsi="Arial" w:cs="Arial"/>
                <w:b/>
                <w:bCs/>
                <w:sz w:val="16"/>
                <w:szCs w:val="16"/>
              </w:rPr>
              <w:t>nfp</w:t>
            </w:r>
          </w:p>
        </w:tc>
      </w:tr>
      <w:tr w:rsidR="00F2052E" w:rsidRPr="00F2052E" w14:paraId="62258B05" w14:textId="77777777" w:rsidTr="00B90578">
        <w:trPr>
          <w:trHeight w:val="204"/>
        </w:trPr>
        <w:tc>
          <w:tcPr>
            <w:tcW w:w="1577" w:type="pct"/>
            <w:gridSpan w:val="2"/>
            <w:tcBorders>
              <w:top w:val="nil"/>
              <w:left w:val="nil"/>
              <w:bottom w:val="nil"/>
              <w:right w:val="nil"/>
            </w:tcBorders>
            <w:shd w:val="clear" w:color="auto" w:fill="auto"/>
            <w:vAlign w:val="bottom"/>
            <w:hideMark/>
          </w:tcPr>
          <w:p w14:paraId="00CDC26C" w14:textId="77777777" w:rsidR="00F2052E" w:rsidRPr="00F2052E" w:rsidRDefault="00F2052E" w:rsidP="00F2052E">
            <w:pPr>
              <w:spacing w:after="0" w:line="240" w:lineRule="auto"/>
              <w:rPr>
                <w:rFonts w:ascii="Arial" w:hAnsi="Arial" w:cs="Arial"/>
                <w:sz w:val="16"/>
                <w:szCs w:val="16"/>
              </w:rPr>
            </w:pPr>
            <w:r w:rsidRPr="00F2052E">
              <w:rPr>
                <w:rFonts w:ascii="Arial" w:hAnsi="Arial" w:cs="Arial"/>
                <w:sz w:val="16"/>
                <w:szCs w:val="16"/>
              </w:rPr>
              <w:t>White Paper on Developing Northern Australia - refresh</w:t>
            </w:r>
          </w:p>
        </w:tc>
        <w:tc>
          <w:tcPr>
            <w:tcW w:w="530" w:type="pct"/>
            <w:tcBorders>
              <w:top w:val="nil"/>
              <w:left w:val="nil"/>
              <w:bottom w:val="nil"/>
              <w:right w:val="nil"/>
            </w:tcBorders>
            <w:shd w:val="clear" w:color="auto" w:fill="auto"/>
            <w:noWrap/>
            <w:vAlign w:val="bottom"/>
            <w:hideMark/>
          </w:tcPr>
          <w:p w14:paraId="70A85FB4" w14:textId="77777777" w:rsidR="00F2052E" w:rsidRPr="00F2052E" w:rsidRDefault="00F2052E" w:rsidP="00F2052E">
            <w:pPr>
              <w:spacing w:after="0" w:line="240" w:lineRule="auto"/>
              <w:jc w:val="center"/>
              <w:rPr>
                <w:rFonts w:ascii="Arial" w:hAnsi="Arial" w:cs="Arial"/>
                <w:sz w:val="16"/>
                <w:szCs w:val="16"/>
              </w:rPr>
            </w:pPr>
            <w:r w:rsidRPr="00F2052E">
              <w:rPr>
                <w:rFonts w:ascii="Arial" w:hAnsi="Arial" w:cs="Arial"/>
                <w:sz w:val="16"/>
                <w:szCs w:val="16"/>
              </w:rPr>
              <w:t>3.5</w:t>
            </w:r>
          </w:p>
        </w:tc>
        <w:tc>
          <w:tcPr>
            <w:tcW w:w="584" w:type="pct"/>
            <w:tcBorders>
              <w:top w:val="nil"/>
              <w:left w:val="nil"/>
              <w:bottom w:val="nil"/>
              <w:right w:val="nil"/>
            </w:tcBorders>
            <w:shd w:val="clear" w:color="000000" w:fill="E6E6E6"/>
            <w:noWrap/>
            <w:vAlign w:val="bottom"/>
            <w:hideMark/>
          </w:tcPr>
          <w:p w14:paraId="066C7E9F" w14:textId="61F7F68D" w:rsidR="00F2052E" w:rsidRPr="00F2052E" w:rsidRDefault="00F2052E" w:rsidP="00F2052E">
            <w:pPr>
              <w:spacing w:after="0" w:line="240" w:lineRule="auto"/>
              <w:jc w:val="right"/>
              <w:rPr>
                <w:rFonts w:ascii="Arial" w:hAnsi="Arial" w:cs="Arial"/>
                <w:sz w:val="16"/>
                <w:szCs w:val="16"/>
              </w:rPr>
            </w:pPr>
          </w:p>
        </w:tc>
        <w:tc>
          <w:tcPr>
            <w:tcW w:w="578" w:type="pct"/>
            <w:tcBorders>
              <w:top w:val="nil"/>
              <w:left w:val="nil"/>
              <w:bottom w:val="nil"/>
              <w:right w:val="nil"/>
            </w:tcBorders>
            <w:shd w:val="clear" w:color="000000" w:fill="FFFFFF"/>
            <w:noWrap/>
            <w:vAlign w:val="bottom"/>
            <w:hideMark/>
          </w:tcPr>
          <w:p w14:paraId="0B424CF1" w14:textId="00BA6534" w:rsidR="00F2052E" w:rsidRPr="00F2052E" w:rsidRDefault="00F2052E" w:rsidP="00F2052E">
            <w:pPr>
              <w:spacing w:after="0" w:line="240" w:lineRule="auto"/>
              <w:jc w:val="right"/>
              <w:rPr>
                <w:rFonts w:ascii="Arial" w:hAnsi="Arial" w:cs="Arial"/>
                <w:b/>
                <w:bCs/>
                <w:sz w:val="16"/>
                <w:szCs w:val="16"/>
              </w:rPr>
            </w:pPr>
          </w:p>
        </w:tc>
        <w:tc>
          <w:tcPr>
            <w:tcW w:w="578" w:type="pct"/>
            <w:tcBorders>
              <w:top w:val="nil"/>
              <w:left w:val="nil"/>
              <w:bottom w:val="nil"/>
              <w:right w:val="nil"/>
            </w:tcBorders>
            <w:shd w:val="clear" w:color="000000" w:fill="E6E6E6"/>
            <w:noWrap/>
            <w:vAlign w:val="bottom"/>
            <w:hideMark/>
          </w:tcPr>
          <w:p w14:paraId="098E6F5A" w14:textId="09C9378A" w:rsidR="00F2052E" w:rsidRPr="00F2052E" w:rsidRDefault="00F2052E" w:rsidP="00F2052E">
            <w:pPr>
              <w:spacing w:after="0" w:line="240" w:lineRule="auto"/>
              <w:jc w:val="right"/>
              <w:rPr>
                <w:rFonts w:ascii="Arial" w:hAnsi="Arial" w:cs="Arial"/>
                <w:sz w:val="16"/>
                <w:szCs w:val="16"/>
              </w:rPr>
            </w:pPr>
          </w:p>
        </w:tc>
        <w:tc>
          <w:tcPr>
            <w:tcW w:w="578" w:type="pct"/>
            <w:tcBorders>
              <w:top w:val="nil"/>
              <w:left w:val="nil"/>
              <w:bottom w:val="nil"/>
              <w:right w:val="nil"/>
            </w:tcBorders>
            <w:shd w:val="clear" w:color="000000" w:fill="FFFFFF"/>
            <w:noWrap/>
            <w:vAlign w:val="bottom"/>
            <w:hideMark/>
          </w:tcPr>
          <w:p w14:paraId="38529335" w14:textId="07644CBB" w:rsidR="00F2052E" w:rsidRPr="00F2052E" w:rsidRDefault="00F2052E" w:rsidP="00F2052E">
            <w:pPr>
              <w:spacing w:after="0" w:line="240" w:lineRule="auto"/>
              <w:jc w:val="right"/>
              <w:rPr>
                <w:rFonts w:ascii="Arial" w:hAnsi="Arial" w:cs="Arial"/>
                <w:b/>
                <w:bCs/>
                <w:sz w:val="16"/>
                <w:szCs w:val="16"/>
              </w:rPr>
            </w:pPr>
          </w:p>
        </w:tc>
        <w:tc>
          <w:tcPr>
            <w:tcW w:w="575" w:type="pct"/>
            <w:tcBorders>
              <w:top w:val="nil"/>
              <w:left w:val="nil"/>
              <w:bottom w:val="nil"/>
              <w:right w:val="nil"/>
            </w:tcBorders>
            <w:shd w:val="clear" w:color="000000" w:fill="E6E6E6"/>
            <w:noWrap/>
            <w:vAlign w:val="bottom"/>
            <w:hideMark/>
          </w:tcPr>
          <w:p w14:paraId="52E624FB" w14:textId="2DE04544" w:rsidR="00F2052E" w:rsidRPr="00F2052E" w:rsidRDefault="00F2052E" w:rsidP="00F2052E">
            <w:pPr>
              <w:spacing w:after="0" w:line="240" w:lineRule="auto"/>
              <w:jc w:val="right"/>
              <w:rPr>
                <w:rFonts w:ascii="Arial" w:hAnsi="Arial" w:cs="Arial"/>
                <w:sz w:val="16"/>
                <w:szCs w:val="16"/>
              </w:rPr>
            </w:pPr>
          </w:p>
        </w:tc>
      </w:tr>
      <w:tr w:rsidR="00F2052E" w:rsidRPr="00F2052E" w14:paraId="67569366" w14:textId="77777777" w:rsidTr="00B90578">
        <w:trPr>
          <w:trHeight w:val="204"/>
        </w:trPr>
        <w:tc>
          <w:tcPr>
            <w:tcW w:w="1577" w:type="pct"/>
            <w:gridSpan w:val="2"/>
            <w:tcBorders>
              <w:top w:val="nil"/>
              <w:left w:val="nil"/>
              <w:bottom w:val="nil"/>
              <w:right w:val="nil"/>
            </w:tcBorders>
            <w:shd w:val="clear" w:color="auto" w:fill="auto"/>
            <w:vAlign w:val="bottom"/>
            <w:hideMark/>
          </w:tcPr>
          <w:p w14:paraId="555336DA" w14:textId="5E429A87" w:rsidR="00F2052E" w:rsidRPr="00F2052E" w:rsidRDefault="00F2052E" w:rsidP="00F2052E">
            <w:pPr>
              <w:spacing w:after="0" w:line="240" w:lineRule="auto"/>
              <w:ind w:left="113"/>
              <w:rPr>
                <w:rFonts w:ascii="Arial" w:hAnsi="Arial" w:cs="Arial"/>
                <w:sz w:val="16"/>
                <w:szCs w:val="16"/>
              </w:rPr>
            </w:pPr>
            <w:r w:rsidRPr="00F2052E">
              <w:rPr>
                <w:rFonts w:ascii="Arial" w:hAnsi="Arial" w:cs="Arial"/>
                <w:sz w:val="16"/>
                <w:szCs w:val="16"/>
              </w:rPr>
              <w:t>Departmental payment</w:t>
            </w:r>
            <w:r w:rsidR="00091B78">
              <w:rPr>
                <w:rFonts w:ascii="Arial" w:hAnsi="Arial" w:cs="Arial"/>
                <w:sz w:val="16"/>
                <w:szCs w:val="16"/>
              </w:rPr>
              <w:t>s</w:t>
            </w:r>
          </w:p>
        </w:tc>
        <w:tc>
          <w:tcPr>
            <w:tcW w:w="530" w:type="pct"/>
            <w:tcBorders>
              <w:top w:val="nil"/>
              <w:left w:val="nil"/>
              <w:bottom w:val="nil"/>
              <w:right w:val="nil"/>
            </w:tcBorders>
            <w:shd w:val="clear" w:color="auto" w:fill="auto"/>
            <w:noWrap/>
            <w:vAlign w:val="bottom"/>
            <w:hideMark/>
          </w:tcPr>
          <w:p w14:paraId="746C2295" w14:textId="77777777" w:rsidR="00F2052E" w:rsidRPr="00F2052E" w:rsidRDefault="00F2052E" w:rsidP="00F2052E">
            <w:pPr>
              <w:spacing w:after="0" w:line="240" w:lineRule="auto"/>
              <w:ind w:firstLineChars="100" w:firstLine="160"/>
              <w:jc w:val="center"/>
              <w:rPr>
                <w:rFonts w:ascii="Arial" w:hAnsi="Arial" w:cs="Arial"/>
                <w:sz w:val="16"/>
                <w:szCs w:val="16"/>
              </w:rPr>
            </w:pPr>
          </w:p>
        </w:tc>
        <w:tc>
          <w:tcPr>
            <w:tcW w:w="584" w:type="pct"/>
            <w:tcBorders>
              <w:top w:val="nil"/>
              <w:left w:val="nil"/>
              <w:bottom w:val="nil"/>
              <w:right w:val="nil"/>
            </w:tcBorders>
            <w:shd w:val="clear" w:color="000000" w:fill="E6E6E6"/>
            <w:noWrap/>
            <w:vAlign w:val="bottom"/>
            <w:hideMark/>
          </w:tcPr>
          <w:p w14:paraId="7377A2B7" w14:textId="7AF746DF"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w:t>
            </w:r>
          </w:p>
        </w:tc>
        <w:tc>
          <w:tcPr>
            <w:tcW w:w="578" w:type="pct"/>
            <w:tcBorders>
              <w:top w:val="nil"/>
              <w:left w:val="nil"/>
              <w:bottom w:val="nil"/>
              <w:right w:val="nil"/>
            </w:tcBorders>
            <w:shd w:val="clear" w:color="000000" w:fill="FFFFFF"/>
            <w:noWrap/>
            <w:vAlign w:val="bottom"/>
            <w:hideMark/>
          </w:tcPr>
          <w:p w14:paraId="4FAA3898" w14:textId="46E8C94B"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w:t>
            </w:r>
          </w:p>
        </w:tc>
        <w:tc>
          <w:tcPr>
            <w:tcW w:w="578" w:type="pct"/>
            <w:tcBorders>
              <w:top w:val="nil"/>
              <w:left w:val="nil"/>
              <w:bottom w:val="nil"/>
              <w:right w:val="nil"/>
            </w:tcBorders>
            <w:shd w:val="clear" w:color="000000" w:fill="E6E6E6"/>
            <w:noWrap/>
            <w:vAlign w:val="bottom"/>
            <w:hideMark/>
          </w:tcPr>
          <w:p w14:paraId="504A11A2" w14:textId="4A6C7CB9"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w:t>
            </w:r>
          </w:p>
        </w:tc>
        <w:tc>
          <w:tcPr>
            <w:tcW w:w="578" w:type="pct"/>
            <w:tcBorders>
              <w:top w:val="nil"/>
              <w:left w:val="nil"/>
              <w:bottom w:val="nil"/>
              <w:right w:val="nil"/>
            </w:tcBorders>
            <w:shd w:val="clear" w:color="000000" w:fill="FFFFFF"/>
            <w:noWrap/>
            <w:vAlign w:val="bottom"/>
            <w:hideMark/>
          </w:tcPr>
          <w:p w14:paraId="44935BB4" w14:textId="3EA7AED3"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w:t>
            </w:r>
          </w:p>
        </w:tc>
        <w:tc>
          <w:tcPr>
            <w:tcW w:w="575" w:type="pct"/>
            <w:tcBorders>
              <w:top w:val="nil"/>
              <w:left w:val="nil"/>
              <w:bottom w:val="nil"/>
              <w:right w:val="nil"/>
            </w:tcBorders>
            <w:shd w:val="clear" w:color="000000" w:fill="E6E6E6"/>
            <w:noWrap/>
            <w:vAlign w:val="bottom"/>
            <w:hideMark/>
          </w:tcPr>
          <w:p w14:paraId="6431D8C9" w14:textId="4A990913"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w:t>
            </w:r>
          </w:p>
        </w:tc>
      </w:tr>
      <w:tr w:rsidR="00F2052E" w:rsidRPr="00F2052E" w14:paraId="2B33B566" w14:textId="77777777" w:rsidTr="00B90578">
        <w:trPr>
          <w:trHeight w:val="204"/>
        </w:trPr>
        <w:tc>
          <w:tcPr>
            <w:tcW w:w="1577" w:type="pct"/>
            <w:gridSpan w:val="2"/>
            <w:tcBorders>
              <w:top w:val="nil"/>
              <w:left w:val="nil"/>
              <w:bottom w:val="nil"/>
              <w:right w:val="nil"/>
            </w:tcBorders>
            <w:shd w:val="clear" w:color="auto" w:fill="auto"/>
            <w:noWrap/>
            <w:vAlign w:val="bottom"/>
            <w:hideMark/>
          </w:tcPr>
          <w:p w14:paraId="7F619DF9" w14:textId="77777777" w:rsidR="00F2052E" w:rsidRPr="00F2052E" w:rsidRDefault="00F2052E" w:rsidP="00F2052E">
            <w:pPr>
              <w:spacing w:after="0" w:line="240" w:lineRule="auto"/>
              <w:rPr>
                <w:rFonts w:ascii="Arial" w:hAnsi="Arial" w:cs="Arial"/>
                <w:b/>
                <w:bCs/>
                <w:sz w:val="16"/>
                <w:szCs w:val="16"/>
              </w:rPr>
            </w:pPr>
            <w:r w:rsidRPr="00F2052E">
              <w:rPr>
                <w:rFonts w:ascii="Arial" w:hAnsi="Arial" w:cs="Arial"/>
                <w:b/>
                <w:bCs/>
                <w:sz w:val="16"/>
                <w:szCs w:val="16"/>
              </w:rPr>
              <w:t xml:space="preserve">Total </w:t>
            </w:r>
          </w:p>
        </w:tc>
        <w:tc>
          <w:tcPr>
            <w:tcW w:w="530" w:type="pct"/>
            <w:tcBorders>
              <w:top w:val="nil"/>
              <w:left w:val="nil"/>
              <w:bottom w:val="nil"/>
              <w:right w:val="nil"/>
            </w:tcBorders>
            <w:shd w:val="clear" w:color="auto" w:fill="auto"/>
            <w:noWrap/>
            <w:vAlign w:val="bottom"/>
            <w:hideMark/>
          </w:tcPr>
          <w:p w14:paraId="5EF64534" w14:textId="77777777" w:rsidR="00F2052E" w:rsidRPr="00F2052E" w:rsidRDefault="00F2052E" w:rsidP="00F2052E">
            <w:pPr>
              <w:spacing w:after="0" w:line="240" w:lineRule="auto"/>
              <w:jc w:val="center"/>
              <w:rPr>
                <w:rFonts w:ascii="Arial" w:hAnsi="Arial" w:cs="Arial"/>
                <w:b/>
                <w:bCs/>
                <w:sz w:val="16"/>
                <w:szCs w:val="16"/>
              </w:rPr>
            </w:pPr>
          </w:p>
        </w:tc>
        <w:tc>
          <w:tcPr>
            <w:tcW w:w="584" w:type="pct"/>
            <w:tcBorders>
              <w:top w:val="nil"/>
              <w:left w:val="nil"/>
              <w:bottom w:val="nil"/>
              <w:right w:val="nil"/>
            </w:tcBorders>
            <w:shd w:val="clear" w:color="000000" w:fill="E6E6E6"/>
            <w:noWrap/>
            <w:vAlign w:val="bottom"/>
            <w:hideMark/>
          </w:tcPr>
          <w:p w14:paraId="28C9BD86" w14:textId="3088C85B" w:rsidR="00F2052E" w:rsidRPr="00F2052E" w:rsidRDefault="00F2052E" w:rsidP="00F2052E">
            <w:pPr>
              <w:spacing w:after="0" w:line="240" w:lineRule="auto"/>
              <w:jc w:val="right"/>
              <w:rPr>
                <w:rFonts w:ascii="Arial" w:hAnsi="Arial" w:cs="Arial"/>
                <w:b/>
                <w:bCs/>
                <w:sz w:val="16"/>
                <w:szCs w:val="16"/>
              </w:rPr>
            </w:pPr>
            <w:r w:rsidRPr="00F2052E">
              <w:rPr>
                <w:rFonts w:ascii="Arial" w:hAnsi="Arial" w:cs="Arial"/>
                <w:b/>
                <w:bCs/>
                <w:sz w:val="16"/>
                <w:szCs w:val="16"/>
              </w:rPr>
              <w:t>-</w:t>
            </w:r>
          </w:p>
        </w:tc>
        <w:tc>
          <w:tcPr>
            <w:tcW w:w="578" w:type="pct"/>
            <w:tcBorders>
              <w:top w:val="nil"/>
              <w:left w:val="nil"/>
              <w:bottom w:val="nil"/>
              <w:right w:val="nil"/>
            </w:tcBorders>
            <w:shd w:val="clear" w:color="000000" w:fill="FFFFFF"/>
            <w:noWrap/>
            <w:vAlign w:val="bottom"/>
            <w:hideMark/>
          </w:tcPr>
          <w:p w14:paraId="5E788B27" w14:textId="44BF99F9" w:rsidR="00F2052E" w:rsidRPr="00F2052E" w:rsidRDefault="00F2052E" w:rsidP="00F2052E">
            <w:pPr>
              <w:spacing w:after="0" w:line="240" w:lineRule="auto"/>
              <w:jc w:val="right"/>
              <w:rPr>
                <w:rFonts w:ascii="Arial" w:hAnsi="Arial" w:cs="Arial"/>
                <w:b/>
                <w:bCs/>
                <w:sz w:val="16"/>
                <w:szCs w:val="16"/>
              </w:rPr>
            </w:pPr>
            <w:r w:rsidRPr="00F2052E">
              <w:rPr>
                <w:rFonts w:ascii="Arial" w:hAnsi="Arial" w:cs="Arial"/>
                <w:b/>
                <w:bCs/>
                <w:sz w:val="16"/>
                <w:szCs w:val="16"/>
              </w:rPr>
              <w:t>-</w:t>
            </w:r>
          </w:p>
        </w:tc>
        <w:tc>
          <w:tcPr>
            <w:tcW w:w="578" w:type="pct"/>
            <w:tcBorders>
              <w:top w:val="nil"/>
              <w:left w:val="nil"/>
              <w:bottom w:val="nil"/>
              <w:right w:val="nil"/>
            </w:tcBorders>
            <w:shd w:val="clear" w:color="000000" w:fill="E6E6E6"/>
            <w:noWrap/>
            <w:vAlign w:val="bottom"/>
            <w:hideMark/>
          </w:tcPr>
          <w:p w14:paraId="517F5054" w14:textId="60EA58A2" w:rsidR="00F2052E" w:rsidRPr="00F2052E" w:rsidRDefault="00F2052E" w:rsidP="00F2052E">
            <w:pPr>
              <w:spacing w:after="0" w:line="240" w:lineRule="auto"/>
              <w:jc w:val="right"/>
              <w:rPr>
                <w:rFonts w:ascii="Arial" w:hAnsi="Arial" w:cs="Arial"/>
                <w:b/>
                <w:bCs/>
                <w:sz w:val="16"/>
                <w:szCs w:val="16"/>
              </w:rPr>
            </w:pPr>
            <w:r w:rsidRPr="00F2052E">
              <w:rPr>
                <w:rFonts w:ascii="Arial" w:hAnsi="Arial" w:cs="Arial"/>
                <w:b/>
                <w:bCs/>
                <w:sz w:val="16"/>
                <w:szCs w:val="16"/>
              </w:rPr>
              <w:t>-</w:t>
            </w:r>
          </w:p>
        </w:tc>
        <w:tc>
          <w:tcPr>
            <w:tcW w:w="578" w:type="pct"/>
            <w:tcBorders>
              <w:top w:val="nil"/>
              <w:left w:val="nil"/>
              <w:bottom w:val="nil"/>
              <w:right w:val="nil"/>
            </w:tcBorders>
            <w:shd w:val="clear" w:color="000000" w:fill="FFFFFF"/>
            <w:noWrap/>
            <w:vAlign w:val="bottom"/>
            <w:hideMark/>
          </w:tcPr>
          <w:p w14:paraId="1C397558" w14:textId="3C5AB02E" w:rsidR="00F2052E" w:rsidRPr="00F2052E" w:rsidRDefault="00F2052E" w:rsidP="00F2052E">
            <w:pPr>
              <w:spacing w:after="0" w:line="240" w:lineRule="auto"/>
              <w:jc w:val="right"/>
              <w:rPr>
                <w:rFonts w:ascii="Arial" w:hAnsi="Arial" w:cs="Arial"/>
                <w:b/>
                <w:bCs/>
                <w:sz w:val="16"/>
                <w:szCs w:val="16"/>
              </w:rPr>
            </w:pPr>
            <w:r w:rsidRPr="00F2052E">
              <w:rPr>
                <w:rFonts w:ascii="Arial" w:hAnsi="Arial" w:cs="Arial"/>
                <w:b/>
                <w:bCs/>
                <w:sz w:val="16"/>
                <w:szCs w:val="16"/>
              </w:rPr>
              <w:t>-</w:t>
            </w:r>
          </w:p>
        </w:tc>
        <w:tc>
          <w:tcPr>
            <w:tcW w:w="575" w:type="pct"/>
            <w:tcBorders>
              <w:top w:val="nil"/>
              <w:left w:val="nil"/>
              <w:bottom w:val="nil"/>
              <w:right w:val="nil"/>
            </w:tcBorders>
            <w:shd w:val="clear" w:color="000000" w:fill="E6E6E6"/>
            <w:noWrap/>
            <w:vAlign w:val="bottom"/>
            <w:hideMark/>
          </w:tcPr>
          <w:p w14:paraId="635767BD" w14:textId="49819821" w:rsidR="00F2052E" w:rsidRPr="00F2052E" w:rsidRDefault="00F2052E" w:rsidP="00F2052E">
            <w:pPr>
              <w:spacing w:after="0" w:line="240" w:lineRule="auto"/>
              <w:jc w:val="right"/>
              <w:rPr>
                <w:rFonts w:ascii="Arial" w:hAnsi="Arial" w:cs="Arial"/>
                <w:b/>
                <w:bCs/>
                <w:sz w:val="16"/>
                <w:szCs w:val="16"/>
              </w:rPr>
            </w:pPr>
            <w:r w:rsidRPr="00F2052E">
              <w:rPr>
                <w:rFonts w:ascii="Arial" w:hAnsi="Arial" w:cs="Arial"/>
                <w:b/>
                <w:bCs/>
                <w:sz w:val="16"/>
                <w:szCs w:val="16"/>
              </w:rPr>
              <w:t>-</w:t>
            </w:r>
          </w:p>
        </w:tc>
      </w:tr>
      <w:tr w:rsidR="00F2052E" w:rsidRPr="00F2052E" w14:paraId="4C33D5AA" w14:textId="77777777" w:rsidTr="00B90578">
        <w:trPr>
          <w:trHeight w:val="204"/>
        </w:trPr>
        <w:tc>
          <w:tcPr>
            <w:tcW w:w="1577" w:type="pct"/>
            <w:gridSpan w:val="2"/>
            <w:tcBorders>
              <w:top w:val="nil"/>
              <w:left w:val="nil"/>
              <w:bottom w:val="nil"/>
              <w:right w:val="nil"/>
            </w:tcBorders>
            <w:shd w:val="clear" w:color="auto" w:fill="auto"/>
            <w:noWrap/>
            <w:vAlign w:val="bottom"/>
            <w:hideMark/>
          </w:tcPr>
          <w:p w14:paraId="79C2C791" w14:textId="77777777" w:rsidR="00F2052E" w:rsidRPr="00F2052E" w:rsidRDefault="00F2052E" w:rsidP="00F2052E">
            <w:pPr>
              <w:spacing w:after="0" w:line="240" w:lineRule="auto"/>
              <w:rPr>
                <w:rFonts w:ascii="Arial" w:hAnsi="Arial" w:cs="Arial"/>
                <w:b/>
                <w:bCs/>
                <w:sz w:val="16"/>
                <w:szCs w:val="16"/>
              </w:rPr>
            </w:pPr>
            <w:r w:rsidRPr="00F2052E">
              <w:rPr>
                <w:rFonts w:ascii="Arial" w:hAnsi="Arial" w:cs="Arial"/>
                <w:b/>
                <w:bCs/>
                <w:sz w:val="16"/>
                <w:szCs w:val="16"/>
              </w:rPr>
              <w:t>Total payment measures</w:t>
            </w:r>
          </w:p>
        </w:tc>
        <w:tc>
          <w:tcPr>
            <w:tcW w:w="530" w:type="pct"/>
            <w:tcBorders>
              <w:top w:val="nil"/>
              <w:left w:val="nil"/>
              <w:bottom w:val="nil"/>
              <w:right w:val="nil"/>
            </w:tcBorders>
            <w:shd w:val="clear" w:color="auto" w:fill="auto"/>
            <w:noWrap/>
            <w:vAlign w:val="bottom"/>
            <w:hideMark/>
          </w:tcPr>
          <w:p w14:paraId="406F0AC0" w14:textId="77777777" w:rsidR="00F2052E" w:rsidRPr="00F2052E" w:rsidRDefault="00F2052E" w:rsidP="00F2052E">
            <w:pPr>
              <w:spacing w:after="0" w:line="240" w:lineRule="auto"/>
              <w:jc w:val="center"/>
              <w:rPr>
                <w:rFonts w:ascii="Arial" w:hAnsi="Arial" w:cs="Arial"/>
                <w:b/>
                <w:bCs/>
                <w:sz w:val="16"/>
                <w:szCs w:val="16"/>
              </w:rPr>
            </w:pPr>
          </w:p>
        </w:tc>
        <w:tc>
          <w:tcPr>
            <w:tcW w:w="584" w:type="pct"/>
            <w:tcBorders>
              <w:top w:val="nil"/>
              <w:left w:val="nil"/>
              <w:bottom w:val="nil"/>
              <w:right w:val="nil"/>
            </w:tcBorders>
            <w:shd w:val="clear" w:color="000000" w:fill="E6E6E6"/>
            <w:noWrap/>
            <w:vAlign w:val="bottom"/>
            <w:hideMark/>
          </w:tcPr>
          <w:p w14:paraId="7EFC3200" w14:textId="0BB60E2C" w:rsidR="00F2052E" w:rsidRPr="00F2052E" w:rsidRDefault="00F2052E" w:rsidP="00F2052E">
            <w:pPr>
              <w:spacing w:after="0" w:line="240" w:lineRule="auto"/>
              <w:jc w:val="right"/>
              <w:rPr>
                <w:rFonts w:ascii="Arial" w:hAnsi="Arial" w:cs="Arial"/>
                <w:sz w:val="16"/>
                <w:szCs w:val="16"/>
              </w:rPr>
            </w:pPr>
          </w:p>
        </w:tc>
        <w:tc>
          <w:tcPr>
            <w:tcW w:w="578" w:type="pct"/>
            <w:tcBorders>
              <w:top w:val="nil"/>
              <w:left w:val="nil"/>
              <w:bottom w:val="nil"/>
              <w:right w:val="nil"/>
            </w:tcBorders>
            <w:shd w:val="clear" w:color="000000" w:fill="FFFFFF"/>
            <w:noWrap/>
            <w:vAlign w:val="bottom"/>
            <w:hideMark/>
          </w:tcPr>
          <w:p w14:paraId="2C172A6E" w14:textId="624A5BD7" w:rsidR="00F2052E" w:rsidRPr="00F2052E" w:rsidRDefault="00F2052E" w:rsidP="00F2052E">
            <w:pPr>
              <w:spacing w:after="0" w:line="240" w:lineRule="auto"/>
              <w:jc w:val="right"/>
              <w:rPr>
                <w:rFonts w:ascii="Arial" w:hAnsi="Arial" w:cs="Arial"/>
                <w:sz w:val="16"/>
                <w:szCs w:val="16"/>
              </w:rPr>
            </w:pPr>
          </w:p>
        </w:tc>
        <w:tc>
          <w:tcPr>
            <w:tcW w:w="578" w:type="pct"/>
            <w:tcBorders>
              <w:top w:val="nil"/>
              <w:left w:val="nil"/>
              <w:bottom w:val="nil"/>
              <w:right w:val="nil"/>
            </w:tcBorders>
            <w:shd w:val="clear" w:color="000000" w:fill="E6E6E6"/>
            <w:noWrap/>
            <w:vAlign w:val="bottom"/>
            <w:hideMark/>
          </w:tcPr>
          <w:p w14:paraId="0FC37E54" w14:textId="59B2273D" w:rsidR="00F2052E" w:rsidRPr="00F2052E" w:rsidRDefault="00F2052E" w:rsidP="00F2052E">
            <w:pPr>
              <w:spacing w:after="0" w:line="240" w:lineRule="auto"/>
              <w:jc w:val="right"/>
              <w:rPr>
                <w:rFonts w:ascii="Arial" w:hAnsi="Arial" w:cs="Arial"/>
                <w:sz w:val="16"/>
                <w:szCs w:val="16"/>
              </w:rPr>
            </w:pPr>
          </w:p>
        </w:tc>
        <w:tc>
          <w:tcPr>
            <w:tcW w:w="578" w:type="pct"/>
            <w:tcBorders>
              <w:top w:val="nil"/>
              <w:left w:val="nil"/>
              <w:bottom w:val="nil"/>
              <w:right w:val="nil"/>
            </w:tcBorders>
            <w:shd w:val="clear" w:color="000000" w:fill="FFFFFF"/>
            <w:noWrap/>
            <w:vAlign w:val="bottom"/>
            <w:hideMark/>
          </w:tcPr>
          <w:p w14:paraId="59D2111D" w14:textId="22982ABA" w:rsidR="00F2052E" w:rsidRPr="00F2052E" w:rsidRDefault="00F2052E" w:rsidP="00F2052E">
            <w:pPr>
              <w:spacing w:after="0" w:line="240" w:lineRule="auto"/>
              <w:jc w:val="right"/>
              <w:rPr>
                <w:rFonts w:ascii="Arial" w:hAnsi="Arial" w:cs="Arial"/>
                <w:sz w:val="16"/>
                <w:szCs w:val="16"/>
              </w:rPr>
            </w:pPr>
          </w:p>
        </w:tc>
        <w:tc>
          <w:tcPr>
            <w:tcW w:w="575" w:type="pct"/>
            <w:tcBorders>
              <w:top w:val="nil"/>
              <w:left w:val="nil"/>
              <w:bottom w:val="nil"/>
              <w:right w:val="nil"/>
            </w:tcBorders>
            <w:shd w:val="clear" w:color="000000" w:fill="E6E6E6"/>
            <w:noWrap/>
            <w:vAlign w:val="bottom"/>
            <w:hideMark/>
          </w:tcPr>
          <w:p w14:paraId="6AE77301" w14:textId="42ABD3B3" w:rsidR="00F2052E" w:rsidRPr="00F2052E" w:rsidRDefault="00F2052E" w:rsidP="00F2052E">
            <w:pPr>
              <w:spacing w:after="0" w:line="240" w:lineRule="auto"/>
              <w:jc w:val="right"/>
              <w:rPr>
                <w:rFonts w:ascii="Arial" w:hAnsi="Arial" w:cs="Arial"/>
                <w:sz w:val="16"/>
                <w:szCs w:val="16"/>
              </w:rPr>
            </w:pPr>
          </w:p>
        </w:tc>
      </w:tr>
      <w:tr w:rsidR="00F2052E" w:rsidRPr="00F2052E" w14:paraId="0698B100" w14:textId="77777777" w:rsidTr="00B90578">
        <w:trPr>
          <w:trHeight w:val="204"/>
        </w:trPr>
        <w:tc>
          <w:tcPr>
            <w:tcW w:w="1577" w:type="pct"/>
            <w:gridSpan w:val="2"/>
            <w:tcBorders>
              <w:top w:val="nil"/>
              <w:left w:val="nil"/>
              <w:bottom w:val="nil"/>
              <w:right w:val="nil"/>
            </w:tcBorders>
            <w:shd w:val="clear" w:color="auto" w:fill="auto"/>
            <w:noWrap/>
            <w:vAlign w:val="bottom"/>
            <w:hideMark/>
          </w:tcPr>
          <w:p w14:paraId="7B98AE99" w14:textId="77777777" w:rsidR="00F2052E" w:rsidRPr="00F2052E" w:rsidRDefault="00F2052E" w:rsidP="00F2052E">
            <w:pPr>
              <w:spacing w:after="0" w:line="240" w:lineRule="auto"/>
              <w:ind w:left="113"/>
              <w:rPr>
                <w:rFonts w:ascii="Arial" w:hAnsi="Arial" w:cs="Arial"/>
                <w:sz w:val="16"/>
                <w:szCs w:val="16"/>
              </w:rPr>
            </w:pPr>
            <w:r w:rsidRPr="00F2052E">
              <w:rPr>
                <w:rFonts w:ascii="Arial" w:hAnsi="Arial" w:cs="Arial"/>
                <w:sz w:val="16"/>
                <w:szCs w:val="16"/>
              </w:rPr>
              <w:t>Administered</w:t>
            </w:r>
          </w:p>
        </w:tc>
        <w:tc>
          <w:tcPr>
            <w:tcW w:w="530" w:type="pct"/>
            <w:tcBorders>
              <w:top w:val="nil"/>
              <w:left w:val="nil"/>
              <w:bottom w:val="nil"/>
              <w:right w:val="nil"/>
            </w:tcBorders>
            <w:shd w:val="clear" w:color="auto" w:fill="auto"/>
            <w:noWrap/>
            <w:vAlign w:val="bottom"/>
            <w:hideMark/>
          </w:tcPr>
          <w:p w14:paraId="2B6F2D9A" w14:textId="77777777" w:rsidR="00F2052E" w:rsidRPr="00F2052E" w:rsidRDefault="00F2052E" w:rsidP="00F2052E">
            <w:pPr>
              <w:spacing w:after="0" w:line="240" w:lineRule="auto"/>
              <w:ind w:firstLineChars="100" w:firstLine="160"/>
              <w:jc w:val="center"/>
              <w:rPr>
                <w:rFonts w:ascii="Arial" w:hAnsi="Arial" w:cs="Arial"/>
                <w:sz w:val="16"/>
                <w:szCs w:val="16"/>
              </w:rPr>
            </w:pPr>
          </w:p>
        </w:tc>
        <w:tc>
          <w:tcPr>
            <w:tcW w:w="584" w:type="pct"/>
            <w:tcBorders>
              <w:top w:val="nil"/>
              <w:left w:val="nil"/>
              <w:bottom w:val="nil"/>
              <w:right w:val="nil"/>
            </w:tcBorders>
            <w:shd w:val="clear" w:color="000000" w:fill="E6E6E6"/>
            <w:noWrap/>
            <w:vAlign w:val="bottom"/>
            <w:hideMark/>
          </w:tcPr>
          <w:p w14:paraId="633536E6" w14:textId="7A093D43"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(11,603)</w:t>
            </w:r>
          </w:p>
        </w:tc>
        <w:tc>
          <w:tcPr>
            <w:tcW w:w="578" w:type="pct"/>
            <w:tcBorders>
              <w:top w:val="nil"/>
              <w:left w:val="nil"/>
              <w:bottom w:val="nil"/>
              <w:right w:val="nil"/>
            </w:tcBorders>
            <w:shd w:val="clear" w:color="000000" w:fill="FFFFFF"/>
            <w:noWrap/>
            <w:vAlign w:val="bottom"/>
            <w:hideMark/>
          </w:tcPr>
          <w:p w14:paraId="0B87FA1D" w14:textId="0A45DEAF"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43,223</w:t>
            </w:r>
          </w:p>
        </w:tc>
        <w:tc>
          <w:tcPr>
            <w:tcW w:w="578" w:type="pct"/>
            <w:tcBorders>
              <w:top w:val="nil"/>
              <w:left w:val="nil"/>
              <w:bottom w:val="nil"/>
              <w:right w:val="nil"/>
            </w:tcBorders>
            <w:shd w:val="clear" w:color="000000" w:fill="E6E6E6"/>
            <w:noWrap/>
            <w:vAlign w:val="bottom"/>
            <w:hideMark/>
          </w:tcPr>
          <w:p w14:paraId="7A92D4DE" w14:textId="5D90DA25"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166,</w:t>
            </w:r>
            <w:r w:rsidR="00521014">
              <w:rPr>
                <w:rFonts w:ascii="Arial" w:hAnsi="Arial" w:cs="Arial"/>
                <w:sz w:val="16"/>
                <w:szCs w:val="16"/>
              </w:rPr>
              <w:t>974</w:t>
            </w:r>
          </w:p>
        </w:tc>
        <w:tc>
          <w:tcPr>
            <w:tcW w:w="578" w:type="pct"/>
            <w:tcBorders>
              <w:top w:val="nil"/>
              <w:left w:val="nil"/>
              <w:bottom w:val="nil"/>
              <w:right w:val="nil"/>
            </w:tcBorders>
            <w:shd w:val="clear" w:color="000000" w:fill="FFFFFF"/>
            <w:noWrap/>
            <w:vAlign w:val="bottom"/>
            <w:hideMark/>
          </w:tcPr>
          <w:p w14:paraId="6DFD3A89" w14:textId="0CFEE08E"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223,957</w:t>
            </w:r>
          </w:p>
        </w:tc>
        <w:tc>
          <w:tcPr>
            <w:tcW w:w="575" w:type="pct"/>
            <w:tcBorders>
              <w:top w:val="nil"/>
              <w:left w:val="nil"/>
              <w:bottom w:val="nil"/>
              <w:right w:val="nil"/>
            </w:tcBorders>
            <w:shd w:val="clear" w:color="000000" w:fill="E6E6E6"/>
            <w:noWrap/>
            <w:vAlign w:val="bottom"/>
            <w:hideMark/>
          </w:tcPr>
          <w:p w14:paraId="26BB9D92" w14:textId="2FF621FB"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64,031</w:t>
            </w:r>
          </w:p>
        </w:tc>
      </w:tr>
      <w:tr w:rsidR="00F2052E" w:rsidRPr="00F2052E" w14:paraId="32B76BA8" w14:textId="77777777" w:rsidTr="00B90578">
        <w:trPr>
          <w:trHeight w:val="204"/>
        </w:trPr>
        <w:tc>
          <w:tcPr>
            <w:tcW w:w="1577" w:type="pct"/>
            <w:gridSpan w:val="2"/>
            <w:tcBorders>
              <w:top w:val="nil"/>
              <w:left w:val="nil"/>
              <w:bottom w:val="nil"/>
              <w:right w:val="nil"/>
            </w:tcBorders>
            <w:shd w:val="clear" w:color="auto" w:fill="auto"/>
            <w:noWrap/>
            <w:vAlign w:val="bottom"/>
            <w:hideMark/>
          </w:tcPr>
          <w:p w14:paraId="2ACB0100" w14:textId="77777777" w:rsidR="00F2052E" w:rsidRPr="00F2052E" w:rsidRDefault="00F2052E" w:rsidP="00F2052E">
            <w:pPr>
              <w:spacing w:after="0" w:line="240" w:lineRule="auto"/>
              <w:ind w:left="113"/>
              <w:rPr>
                <w:rFonts w:ascii="Arial" w:hAnsi="Arial" w:cs="Arial"/>
                <w:sz w:val="16"/>
                <w:szCs w:val="16"/>
              </w:rPr>
            </w:pPr>
            <w:r w:rsidRPr="00F2052E">
              <w:rPr>
                <w:rFonts w:ascii="Arial" w:hAnsi="Arial" w:cs="Arial"/>
                <w:sz w:val="16"/>
                <w:szCs w:val="16"/>
              </w:rPr>
              <w:t>Departmental</w:t>
            </w:r>
          </w:p>
        </w:tc>
        <w:tc>
          <w:tcPr>
            <w:tcW w:w="530" w:type="pct"/>
            <w:tcBorders>
              <w:top w:val="nil"/>
              <w:left w:val="nil"/>
              <w:bottom w:val="nil"/>
              <w:right w:val="nil"/>
            </w:tcBorders>
            <w:shd w:val="clear" w:color="auto" w:fill="auto"/>
            <w:noWrap/>
            <w:vAlign w:val="bottom"/>
            <w:hideMark/>
          </w:tcPr>
          <w:p w14:paraId="48F23916" w14:textId="77777777" w:rsidR="00F2052E" w:rsidRPr="00F2052E" w:rsidRDefault="00F2052E" w:rsidP="00F2052E">
            <w:pPr>
              <w:spacing w:after="0" w:line="240" w:lineRule="auto"/>
              <w:ind w:firstLineChars="100" w:firstLine="160"/>
              <w:jc w:val="center"/>
              <w:rPr>
                <w:rFonts w:ascii="Arial" w:hAnsi="Arial" w:cs="Arial"/>
                <w:sz w:val="16"/>
                <w:szCs w:val="16"/>
              </w:rPr>
            </w:pPr>
          </w:p>
        </w:tc>
        <w:tc>
          <w:tcPr>
            <w:tcW w:w="584" w:type="pct"/>
            <w:tcBorders>
              <w:top w:val="nil"/>
              <w:left w:val="nil"/>
              <w:bottom w:val="nil"/>
              <w:right w:val="nil"/>
            </w:tcBorders>
            <w:shd w:val="clear" w:color="000000" w:fill="E6E6E6"/>
            <w:noWrap/>
            <w:vAlign w:val="bottom"/>
            <w:hideMark/>
          </w:tcPr>
          <w:p w14:paraId="0F84E3E7" w14:textId="17B4D09D"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w:t>
            </w:r>
          </w:p>
        </w:tc>
        <w:tc>
          <w:tcPr>
            <w:tcW w:w="578" w:type="pct"/>
            <w:tcBorders>
              <w:top w:val="nil"/>
              <w:left w:val="nil"/>
              <w:bottom w:val="nil"/>
              <w:right w:val="nil"/>
            </w:tcBorders>
            <w:shd w:val="clear" w:color="000000" w:fill="FFFFFF"/>
            <w:noWrap/>
            <w:vAlign w:val="bottom"/>
            <w:hideMark/>
          </w:tcPr>
          <w:p w14:paraId="7827BF66" w14:textId="27C63D9E"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20,973</w:t>
            </w:r>
          </w:p>
        </w:tc>
        <w:tc>
          <w:tcPr>
            <w:tcW w:w="578" w:type="pct"/>
            <w:tcBorders>
              <w:top w:val="nil"/>
              <w:left w:val="nil"/>
              <w:bottom w:val="nil"/>
              <w:right w:val="nil"/>
            </w:tcBorders>
            <w:shd w:val="clear" w:color="000000" w:fill="E6E6E6"/>
            <w:noWrap/>
            <w:vAlign w:val="bottom"/>
            <w:hideMark/>
          </w:tcPr>
          <w:p w14:paraId="27E6ABE2" w14:textId="554C6906"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16,</w:t>
            </w:r>
            <w:r w:rsidR="00521014">
              <w:rPr>
                <w:rFonts w:ascii="Arial" w:hAnsi="Arial" w:cs="Arial"/>
                <w:sz w:val="16"/>
                <w:szCs w:val="16"/>
              </w:rPr>
              <w:t>638</w:t>
            </w:r>
          </w:p>
        </w:tc>
        <w:tc>
          <w:tcPr>
            <w:tcW w:w="578" w:type="pct"/>
            <w:tcBorders>
              <w:top w:val="nil"/>
              <w:left w:val="nil"/>
              <w:bottom w:val="nil"/>
              <w:right w:val="nil"/>
            </w:tcBorders>
            <w:shd w:val="clear" w:color="000000" w:fill="FFFFFF"/>
            <w:noWrap/>
            <w:vAlign w:val="bottom"/>
            <w:hideMark/>
          </w:tcPr>
          <w:p w14:paraId="575CD272" w14:textId="5FB7A98C"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9,622</w:t>
            </w:r>
          </w:p>
        </w:tc>
        <w:tc>
          <w:tcPr>
            <w:tcW w:w="575" w:type="pct"/>
            <w:tcBorders>
              <w:top w:val="nil"/>
              <w:left w:val="nil"/>
              <w:bottom w:val="nil"/>
              <w:right w:val="nil"/>
            </w:tcBorders>
            <w:shd w:val="clear" w:color="000000" w:fill="E6E6E6"/>
            <w:noWrap/>
            <w:vAlign w:val="bottom"/>
            <w:hideMark/>
          </w:tcPr>
          <w:p w14:paraId="1F0234FC" w14:textId="588353C6" w:rsidR="00F2052E" w:rsidRPr="00F2052E" w:rsidRDefault="00F2052E" w:rsidP="00F2052E">
            <w:pPr>
              <w:spacing w:after="0" w:line="240" w:lineRule="auto"/>
              <w:jc w:val="right"/>
              <w:rPr>
                <w:rFonts w:ascii="Arial" w:hAnsi="Arial" w:cs="Arial"/>
                <w:sz w:val="16"/>
                <w:szCs w:val="16"/>
              </w:rPr>
            </w:pPr>
            <w:r w:rsidRPr="00F2052E">
              <w:rPr>
                <w:rFonts w:ascii="Arial" w:hAnsi="Arial" w:cs="Arial"/>
                <w:sz w:val="16"/>
                <w:szCs w:val="16"/>
              </w:rPr>
              <w:t>4,944</w:t>
            </w:r>
          </w:p>
        </w:tc>
      </w:tr>
      <w:tr w:rsidR="00F2052E" w:rsidRPr="00F2052E" w14:paraId="0986966E" w14:textId="77777777" w:rsidTr="00B90578">
        <w:trPr>
          <w:trHeight w:val="204"/>
        </w:trPr>
        <w:tc>
          <w:tcPr>
            <w:tcW w:w="1577" w:type="pct"/>
            <w:gridSpan w:val="2"/>
            <w:tcBorders>
              <w:top w:val="nil"/>
              <w:left w:val="nil"/>
              <w:bottom w:val="single" w:sz="4" w:space="0" w:color="auto"/>
              <w:right w:val="nil"/>
            </w:tcBorders>
            <w:shd w:val="clear" w:color="auto" w:fill="auto"/>
            <w:noWrap/>
            <w:vAlign w:val="bottom"/>
            <w:hideMark/>
          </w:tcPr>
          <w:p w14:paraId="41A9EA24" w14:textId="77777777" w:rsidR="00F2052E" w:rsidRPr="00F2052E" w:rsidRDefault="00F2052E" w:rsidP="00F2052E">
            <w:pPr>
              <w:spacing w:after="0" w:line="240" w:lineRule="auto"/>
              <w:rPr>
                <w:rFonts w:ascii="Arial" w:hAnsi="Arial" w:cs="Arial"/>
                <w:b/>
                <w:bCs/>
                <w:sz w:val="16"/>
                <w:szCs w:val="16"/>
              </w:rPr>
            </w:pPr>
            <w:r w:rsidRPr="00F2052E">
              <w:rPr>
                <w:rFonts w:ascii="Arial" w:hAnsi="Arial" w:cs="Arial"/>
                <w:b/>
                <w:bCs/>
                <w:sz w:val="16"/>
                <w:szCs w:val="16"/>
              </w:rPr>
              <w:t>Total</w:t>
            </w:r>
          </w:p>
        </w:tc>
        <w:tc>
          <w:tcPr>
            <w:tcW w:w="530" w:type="pct"/>
            <w:tcBorders>
              <w:top w:val="nil"/>
              <w:left w:val="nil"/>
              <w:bottom w:val="single" w:sz="4" w:space="0" w:color="auto"/>
              <w:right w:val="nil"/>
            </w:tcBorders>
            <w:shd w:val="clear" w:color="auto" w:fill="auto"/>
            <w:noWrap/>
            <w:vAlign w:val="bottom"/>
            <w:hideMark/>
          </w:tcPr>
          <w:p w14:paraId="2E884650" w14:textId="27DBFF21" w:rsidR="00F2052E" w:rsidRPr="00F2052E" w:rsidRDefault="00F2052E" w:rsidP="00F2052E">
            <w:pPr>
              <w:spacing w:after="0" w:line="240" w:lineRule="auto"/>
              <w:jc w:val="center"/>
              <w:rPr>
                <w:rFonts w:ascii="Arial" w:hAnsi="Arial" w:cs="Arial"/>
                <w:b/>
                <w:bCs/>
                <w:sz w:val="16"/>
                <w:szCs w:val="16"/>
              </w:rPr>
            </w:pPr>
          </w:p>
        </w:tc>
        <w:tc>
          <w:tcPr>
            <w:tcW w:w="584" w:type="pct"/>
            <w:tcBorders>
              <w:top w:val="nil"/>
              <w:left w:val="nil"/>
              <w:bottom w:val="single" w:sz="4" w:space="0" w:color="auto"/>
              <w:right w:val="nil"/>
            </w:tcBorders>
            <w:shd w:val="clear" w:color="000000" w:fill="E6E6E6"/>
            <w:noWrap/>
            <w:vAlign w:val="bottom"/>
            <w:hideMark/>
          </w:tcPr>
          <w:p w14:paraId="3CFE3FBB" w14:textId="2CB4B119" w:rsidR="00F2052E" w:rsidRPr="00F2052E" w:rsidRDefault="00F2052E" w:rsidP="00F2052E">
            <w:pPr>
              <w:spacing w:after="0" w:line="240" w:lineRule="auto"/>
              <w:jc w:val="right"/>
              <w:rPr>
                <w:rFonts w:ascii="Arial" w:hAnsi="Arial" w:cs="Arial"/>
                <w:b/>
                <w:bCs/>
                <w:sz w:val="16"/>
                <w:szCs w:val="16"/>
              </w:rPr>
            </w:pPr>
            <w:r w:rsidRPr="00F2052E">
              <w:rPr>
                <w:rFonts w:ascii="Arial" w:hAnsi="Arial" w:cs="Arial"/>
                <w:b/>
                <w:bCs/>
                <w:sz w:val="16"/>
                <w:szCs w:val="16"/>
              </w:rPr>
              <w:t>(11,603)</w:t>
            </w:r>
          </w:p>
        </w:tc>
        <w:tc>
          <w:tcPr>
            <w:tcW w:w="578" w:type="pct"/>
            <w:tcBorders>
              <w:top w:val="nil"/>
              <w:left w:val="nil"/>
              <w:bottom w:val="single" w:sz="4" w:space="0" w:color="auto"/>
              <w:right w:val="nil"/>
            </w:tcBorders>
            <w:shd w:val="clear" w:color="000000" w:fill="FFFFFF"/>
            <w:noWrap/>
            <w:vAlign w:val="bottom"/>
            <w:hideMark/>
          </w:tcPr>
          <w:p w14:paraId="00DFCC84" w14:textId="11CF0022" w:rsidR="00F2052E" w:rsidRPr="00F2052E" w:rsidRDefault="00F2052E" w:rsidP="00F2052E">
            <w:pPr>
              <w:spacing w:after="0" w:line="240" w:lineRule="auto"/>
              <w:jc w:val="right"/>
              <w:rPr>
                <w:rFonts w:ascii="Arial" w:hAnsi="Arial" w:cs="Arial"/>
                <w:b/>
                <w:bCs/>
                <w:sz w:val="16"/>
                <w:szCs w:val="16"/>
              </w:rPr>
            </w:pPr>
            <w:r w:rsidRPr="00F2052E">
              <w:rPr>
                <w:rFonts w:ascii="Arial" w:hAnsi="Arial" w:cs="Arial"/>
                <w:b/>
                <w:bCs/>
                <w:sz w:val="16"/>
                <w:szCs w:val="16"/>
              </w:rPr>
              <w:t>64,196</w:t>
            </w:r>
          </w:p>
        </w:tc>
        <w:tc>
          <w:tcPr>
            <w:tcW w:w="578" w:type="pct"/>
            <w:tcBorders>
              <w:top w:val="nil"/>
              <w:left w:val="nil"/>
              <w:bottom w:val="single" w:sz="4" w:space="0" w:color="auto"/>
              <w:right w:val="nil"/>
            </w:tcBorders>
            <w:shd w:val="clear" w:color="000000" w:fill="E6E6E6"/>
            <w:noWrap/>
            <w:vAlign w:val="bottom"/>
            <w:hideMark/>
          </w:tcPr>
          <w:p w14:paraId="24B5A6CB" w14:textId="3E403A3B" w:rsidR="00F2052E" w:rsidRPr="00F2052E" w:rsidRDefault="00F2052E" w:rsidP="00F2052E">
            <w:pPr>
              <w:spacing w:after="0" w:line="240" w:lineRule="auto"/>
              <w:jc w:val="right"/>
              <w:rPr>
                <w:rFonts w:ascii="Arial" w:hAnsi="Arial" w:cs="Arial"/>
                <w:b/>
                <w:bCs/>
                <w:sz w:val="16"/>
                <w:szCs w:val="16"/>
              </w:rPr>
            </w:pPr>
            <w:r w:rsidRPr="00F2052E">
              <w:rPr>
                <w:rFonts w:ascii="Arial" w:hAnsi="Arial" w:cs="Arial"/>
                <w:b/>
                <w:bCs/>
                <w:sz w:val="16"/>
                <w:szCs w:val="16"/>
              </w:rPr>
              <w:t>18</w:t>
            </w:r>
            <w:r w:rsidR="00521014">
              <w:rPr>
                <w:rFonts w:ascii="Arial" w:hAnsi="Arial" w:cs="Arial"/>
                <w:b/>
                <w:bCs/>
                <w:sz w:val="16"/>
                <w:szCs w:val="16"/>
              </w:rPr>
              <w:t>3</w:t>
            </w:r>
            <w:r w:rsidRPr="00F2052E">
              <w:rPr>
                <w:rFonts w:ascii="Arial" w:hAnsi="Arial" w:cs="Arial"/>
                <w:b/>
                <w:bCs/>
                <w:sz w:val="16"/>
                <w:szCs w:val="16"/>
              </w:rPr>
              <w:t>,</w:t>
            </w:r>
            <w:r w:rsidR="00521014">
              <w:rPr>
                <w:rFonts w:ascii="Arial" w:hAnsi="Arial" w:cs="Arial"/>
                <w:b/>
                <w:bCs/>
                <w:sz w:val="16"/>
                <w:szCs w:val="16"/>
              </w:rPr>
              <w:t>612</w:t>
            </w:r>
          </w:p>
        </w:tc>
        <w:tc>
          <w:tcPr>
            <w:tcW w:w="578" w:type="pct"/>
            <w:tcBorders>
              <w:top w:val="nil"/>
              <w:left w:val="nil"/>
              <w:bottom w:val="single" w:sz="4" w:space="0" w:color="auto"/>
              <w:right w:val="nil"/>
            </w:tcBorders>
            <w:shd w:val="clear" w:color="000000" w:fill="FFFFFF"/>
            <w:noWrap/>
            <w:vAlign w:val="bottom"/>
            <w:hideMark/>
          </w:tcPr>
          <w:p w14:paraId="67CC6E1F" w14:textId="10DE3A65" w:rsidR="00F2052E" w:rsidRPr="00F2052E" w:rsidRDefault="00F2052E" w:rsidP="00F2052E">
            <w:pPr>
              <w:spacing w:after="0" w:line="240" w:lineRule="auto"/>
              <w:jc w:val="right"/>
              <w:rPr>
                <w:rFonts w:ascii="Arial" w:hAnsi="Arial" w:cs="Arial"/>
                <w:b/>
                <w:bCs/>
                <w:sz w:val="16"/>
                <w:szCs w:val="16"/>
              </w:rPr>
            </w:pPr>
            <w:r w:rsidRPr="00F2052E">
              <w:rPr>
                <w:rFonts w:ascii="Arial" w:hAnsi="Arial" w:cs="Arial"/>
                <w:b/>
                <w:bCs/>
                <w:sz w:val="16"/>
                <w:szCs w:val="16"/>
              </w:rPr>
              <w:t>233,579</w:t>
            </w:r>
          </w:p>
        </w:tc>
        <w:tc>
          <w:tcPr>
            <w:tcW w:w="575" w:type="pct"/>
            <w:tcBorders>
              <w:top w:val="nil"/>
              <w:left w:val="nil"/>
              <w:bottom w:val="single" w:sz="4" w:space="0" w:color="auto"/>
              <w:right w:val="nil"/>
            </w:tcBorders>
            <w:shd w:val="clear" w:color="000000" w:fill="E6E6E6"/>
            <w:noWrap/>
            <w:vAlign w:val="bottom"/>
            <w:hideMark/>
          </w:tcPr>
          <w:p w14:paraId="28A97F55" w14:textId="0EFABCA0" w:rsidR="00F2052E" w:rsidRPr="00F2052E" w:rsidRDefault="00F2052E" w:rsidP="00F2052E">
            <w:pPr>
              <w:spacing w:after="0" w:line="240" w:lineRule="auto"/>
              <w:jc w:val="right"/>
              <w:rPr>
                <w:rFonts w:ascii="Arial" w:hAnsi="Arial" w:cs="Arial"/>
                <w:b/>
                <w:bCs/>
                <w:sz w:val="16"/>
                <w:szCs w:val="16"/>
              </w:rPr>
            </w:pPr>
            <w:r w:rsidRPr="00F2052E">
              <w:rPr>
                <w:rFonts w:ascii="Arial" w:hAnsi="Arial" w:cs="Arial"/>
                <w:b/>
                <w:bCs/>
                <w:sz w:val="16"/>
                <w:szCs w:val="16"/>
              </w:rPr>
              <w:t>68,975</w:t>
            </w:r>
          </w:p>
        </w:tc>
      </w:tr>
    </w:tbl>
    <w:p w14:paraId="207EBF32" w14:textId="77777777" w:rsidR="00091B78" w:rsidRDefault="003D6226" w:rsidP="00091B78">
      <w:pPr>
        <w:pStyle w:val="ChartandTableFootnote"/>
        <w:tabs>
          <w:tab w:val="clear" w:pos="284"/>
        </w:tabs>
        <w:spacing w:before="60"/>
        <w:rPr>
          <w:rFonts w:cs="Arial"/>
        </w:rPr>
      </w:pPr>
      <w:r>
        <w:rPr>
          <w:rFonts w:cs="Arial"/>
        </w:rPr>
        <w:t>Prepared on a Government Finance Statistics (Underlying Cash) basis. Figures displayed as a negative (-) represent a decrease in funds and a positive (+) represent an increase in funds.</w:t>
      </w:r>
    </w:p>
    <w:p w14:paraId="418E9D50" w14:textId="5CB037E0" w:rsidR="009801F6" w:rsidRDefault="00091B78" w:rsidP="00091B78">
      <w:pPr>
        <w:pStyle w:val="ChartandTableFootnote"/>
        <w:tabs>
          <w:tab w:val="clear" w:pos="284"/>
        </w:tabs>
      </w:pPr>
      <w:r w:rsidRPr="00091B78">
        <w:t>Does not include measures which increase appropriation funding in 2022-23. These are published in the 2022</w:t>
      </w:r>
      <w:r w:rsidR="00253305">
        <w:noBreakHyphen/>
      </w:r>
      <w:r w:rsidRPr="00091B78">
        <w:t xml:space="preserve">23 </w:t>
      </w:r>
      <w:r w:rsidR="002C712B">
        <w:rPr>
          <w:lang w:val="en-US"/>
        </w:rPr>
        <w:t>Infrastructure, Transport, Regional Development, Communications and the Arts</w:t>
      </w:r>
      <w:r w:rsidRPr="00091B78">
        <w:t xml:space="preserve"> Portfolio Additional Estimates Statements.</w:t>
      </w:r>
    </w:p>
    <w:p w14:paraId="6152CA58" w14:textId="77777777" w:rsidR="009801F6" w:rsidRDefault="009801F6">
      <w:pPr>
        <w:spacing w:after="0" w:line="240" w:lineRule="auto"/>
        <w:rPr>
          <w:rFonts w:ascii="Arial" w:hAnsi="Arial"/>
          <w:color w:val="000000"/>
          <w:sz w:val="16"/>
          <w:lang w:val="x-none" w:eastAsia="x-none"/>
        </w:rPr>
      </w:pPr>
      <w:r>
        <w:br w:type="page"/>
      </w:r>
    </w:p>
    <w:p w14:paraId="36EA1B33" w14:textId="426BF670" w:rsidR="002C6E3B" w:rsidRDefault="002C6E3B" w:rsidP="00977C28">
      <w:pPr>
        <w:pStyle w:val="ChartandTableFootnoteAlpha"/>
        <w:numPr>
          <w:ilvl w:val="0"/>
          <w:numId w:val="144"/>
        </w:numPr>
        <w:spacing w:before="30"/>
        <w:ind w:left="426" w:hanging="426"/>
        <w:jc w:val="left"/>
      </w:pPr>
      <w:r w:rsidRPr="00091B78">
        <w:lastRenderedPageBreak/>
        <w:t>The impact of this measure is partially or fully reported by the Department of the Treasury for payments through the State and Territories for National Partnership payments</w:t>
      </w:r>
      <w:r w:rsidRPr="00F2052E">
        <w:t>.</w:t>
      </w:r>
    </w:p>
    <w:p w14:paraId="156F91B7" w14:textId="2630BDB2" w:rsidR="003D6226" w:rsidRDefault="00F2052E" w:rsidP="00977C28">
      <w:pPr>
        <w:pStyle w:val="ChartandTableFootnoteAlpha"/>
        <w:numPr>
          <w:ilvl w:val="0"/>
          <w:numId w:val="144"/>
        </w:numPr>
        <w:spacing w:before="30"/>
        <w:ind w:left="426" w:hanging="426"/>
        <w:jc w:val="left"/>
      </w:pPr>
      <w:r w:rsidRPr="00F2052E">
        <w:t>The lead entity for this measure is the Department of the Prime Minister and Cabinet. The full measure description and package details appear in the Budget Paper No. 2 under the Prime Minister and Cabinet portfolio.</w:t>
      </w:r>
      <w:r w:rsidR="003D6226">
        <w:t xml:space="preserve"> </w:t>
      </w:r>
    </w:p>
    <w:p w14:paraId="7435C490" w14:textId="6A2C4C7E" w:rsidR="003D6226" w:rsidRDefault="003D6226" w:rsidP="00977C28">
      <w:pPr>
        <w:pStyle w:val="ChartandTableFootnoteAlpha"/>
        <w:numPr>
          <w:ilvl w:val="0"/>
          <w:numId w:val="144"/>
        </w:numPr>
        <w:spacing w:before="30"/>
        <w:ind w:left="426" w:hanging="426"/>
        <w:jc w:val="left"/>
      </w:pPr>
      <w:r>
        <w:t>'nfp' figures are not for publication due to commercial sensitivities and are not included in totals.</w:t>
      </w:r>
    </w:p>
    <w:p w14:paraId="6AB650B9" w14:textId="518FA1C9" w:rsidR="003F0627" w:rsidRPr="003F0627" w:rsidRDefault="00F2052E" w:rsidP="00977C28">
      <w:pPr>
        <w:pStyle w:val="ChartandTableFootnoteAlpha"/>
        <w:numPr>
          <w:ilvl w:val="0"/>
          <w:numId w:val="144"/>
        </w:numPr>
        <w:spacing w:before="30"/>
        <w:ind w:left="426" w:hanging="426"/>
        <w:jc w:val="left"/>
      </w:pPr>
      <w:r w:rsidRPr="00F2052E">
        <w:t>The lead entity for this measure is the National Emergency Management Agency. The full measure description and package details appear in the Budget Paper No. 2 under the Home Affairs portfolio.</w:t>
      </w:r>
    </w:p>
    <w:p w14:paraId="016C604E" w14:textId="1EC8A0A0" w:rsidR="003F0627" w:rsidRDefault="003F0627" w:rsidP="00977C28">
      <w:pPr>
        <w:pStyle w:val="ChartandTableFootnoteAlpha"/>
        <w:numPr>
          <w:ilvl w:val="0"/>
          <w:numId w:val="144"/>
        </w:numPr>
        <w:spacing w:before="30"/>
        <w:ind w:left="426" w:hanging="426"/>
        <w:jc w:val="left"/>
      </w:pPr>
      <w:r w:rsidRPr="00F2052E">
        <w:t>The lead entity for this measure is the Department of Foreign Affairs and Trade. The full measure description and package details appear in the Budget Paper No. 2 under the Foreign Affairs and Trade portfolio.</w:t>
      </w:r>
    </w:p>
    <w:p w14:paraId="6BCF8C98" w14:textId="24FFB917" w:rsidR="003F0627" w:rsidRDefault="003F0627" w:rsidP="00977C28">
      <w:pPr>
        <w:pStyle w:val="ChartandTableFootnoteAlpha"/>
        <w:numPr>
          <w:ilvl w:val="0"/>
          <w:numId w:val="144"/>
        </w:numPr>
        <w:spacing w:before="30"/>
        <w:ind w:left="426" w:hanging="426"/>
        <w:jc w:val="left"/>
      </w:pPr>
      <w:r w:rsidRPr="00F2052E">
        <w:t>The lead entity for this measure is the Department of the Treasury. The full measure description and package details appear in the Budget Paper No. 2 under the Treasury portfolio.</w:t>
      </w:r>
      <w:r>
        <w:t xml:space="preserve"> </w:t>
      </w:r>
    </w:p>
    <w:p w14:paraId="1BEB4D6B" w14:textId="5FCF0F3C" w:rsidR="003D6226" w:rsidRDefault="00091B78" w:rsidP="00977C28">
      <w:pPr>
        <w:pStyle w:val="ChartandTableFootnoteAlpha"/>
        <w:numPr>
          <w:ilvl w:val="0"/>
          <w:numId w:val="144"/>
        </w:numPr>
        <w:spacing w:before="30"/>
        <w:ind w:left="426" w:hanging="426"/>
        <w:jc w:val="left"/>
      </w:pPr>
      <w:r w:rsidRPr="00091B78">
        <w:t>The receipts impact of this measure will be reflected against the Australian Taxation Office in the Treasury portfolio.</w:t>
      </w:r>
    </w:p>
    <w:p w14:paraId="6F857FA6" w14:textId="77777777" w:rsidR="00115843" w:rsidRDefault="00115843" w:rsidP="00115843">
      <w:pPr>
        <w:spacing w:after="0" w:line="240" w:lineRule="auto"/>
        <w:rPr>
          <w:rFonts w:ascii="Arial" w:hAnsi="Arial"/>
          <w:color w:val="000000"/>
          <w:sz w:val="16"/>
        </w:rPr>
      </w:pPr>
      <w:r>
        <w:br w:type="page"/>
      </w:r>
    </w:p>
    <w:p w14:paraId="197B1882" w14:textId="77777777" w:rsidR="009801F6" w:rsidRDefault="009801F6" w:rsidP="009801F6">
      <w:bookmarkStart w:id="13" w:name="_Toc117242346"/>
    </w:p>
    <w:p w14:paraId="6F7EF604" w14:textId="168222BB" w:rsidR="00115843" w:rsidRPr="00810C6A" w:rsidRDefault="00115843" w:rsidP="00115843">
      <w:pPr>
        <w:pStyle w:val="Heading2-ITRDCA"/>
      </w:pPr>
      <w:r w:rsidRPr="00810C6A">
        <w:t>Section 2: Outcomes and planned performance</w:t>
      </w:r>
      <w:bookmarkEnd w:id="13"/>
    </w:p>
    <w:p w14:paraId="74B0FB40" w14:textId="77777777" w:rsidR="00115843" w:rsidRPr="005E6F2B" w:rsidRDefault="00115843" w:rsidP="00115843">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44A3B392" w14:textId="77777777" w:rsidR="00115843" w:rsidRPr="004C0F95" w:rsidRDefault="00115843" w:rsidP="00115843">
      <w:pPr>
        <w:rPr>
          <w:i/>
          <w:color w:val="000000" w:themeColor="text1"/>
        </w:rPr>
      </w:pPr>
      <w:r w:rsidRPr="005E6F2B">
        <w:t>Each outcome is described below together with its related programs. The following provides detailed information on expenses for each outcome and program, further broken down by funding source</w:t>
      </w:r>
      <w:r w:rsidRPr="004C0F95">
        <w:rPr>
          <w:color w:val="000000" w:themeColor="text1"/>
        </w:rPr>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115843" w:rsidRPr="001C6402" w14:paraId="4789B936" w14:textId="77777777" w:rsidTr="00FB0D02">
        <w:tc>
          <w:tcPr>
            <w:tcW w:w="7700" w:type="dxa"/>
            <w:shd w:val="clear" w:color="auto" w:fill="auto"/>
          </w:tcPr>
          <w:p w14:paraId="572CC27A" w14:textId="77777777" w:rsidR="00115843" w:rsidRPr="00963AB6" w:rsidRDefault="00115843" w:rsidP="00FB0D02">
            <w:pPr>
              <w:spacing w:before="120" w:after="120" w:line="240" w:lineRule="auto"/>
              <w:rPr>
                <w:b/>
                <w:szCs w:val="19"/>
              </w:rPr>
            </w:pPr>
            <w:r w:rsidRPr="00963AB6">
              <w:rPr>
                <w:b/>
                <w:szCs w:val="19"/>
              </w:rPr>
              <w:t>Note:</w:t>
            </w:r>
          </w:p>
          <w:p w14:paraId="6B2DA560" w14:textId="17C045F1" w:rsidR="00115843" w:rsidRPr="00963AB6" w:rsidRDefault="00115843" w:rsidP="00FB0D02">
            <w:pPr>
              <w:rPr>
                <w:szCs w:val="19"/>
              </w:rPr>
            </w:pPr>
            <w:r w:rsidRPr="00963AB6">
              <w:rPr>
                <w:szCs w:val="19"/>
              </w:rPr>
              <w:t xml:space="preserve">Performance reporting requirements in the Portfolio Budget Statements are part of the Commonwealth performance framework established by the </w:t>
            </w:r>
            <w:r w:rsidRPr="00963AB6">
              <w:rPr>
                <w:i/>
                <w:szCs w:val="19"/>
              </w:rPr>
              <w:t>Public Governance, Performance and Accountability Act 2013</w:t>
            </w:r>
            <w:r w:rsidRPr="00963AB6">
              <w:rPr>
                <w:szCs w:val="19"/>
              </w:rPr>
              <w:t>. It is anticipated that the performance measure</w:t>
            </w:r>
            <w:r w:rsidR="005F455C">
              <w:rPr>
                <w:szCs w:val="19"/>
              </w:rPr>
              <w:t>s</w:t>
            </w:r>
            <w:r w:rsidRPr="00963AB6">
              <w:rPr>
                <w:szCs w:val="19"/>
              </w:rPr>
              <w:t xml:space="preserve"> described in Portfolio Budget Statements will be read with broader information provided in an entity’s corporate plans and annual performance statements – included in Annual Reports - to provide a complete picture of an entity’s planned and actual performance.</w:t>
            </w:r>
          </w:p>
          <w:p w14:paraId="0CC055B6" w14:textId="09E2D696" w:rsidR="003D6226" w:rsidRDefault="00115843" w:rsidP="003D6226">
            <w:pPr>
              <w:spacing w:after="0"/>
              <w:rPr>
                <w:szCs w:val="19"/>
              </w:rPr>
            </w:pPr>
            <w:r w:rsidRPr="00963AB6">
              <w:rPr>
                <w:szCs w:val="19"/>
              </w:rPr>
              <w:t xml:space="preserve">The most recent corporate plan for </w:t>
            </w:r>
            <w:r>
              <w:rPr>
                <w:szCs w:val="19"/>
              </w:rPr>
              <w:t xml:space="preserve">the </w:t>
            </w:r>
            <w:r w:rsidRPr="00963AB6">
              <w:rPr>
                <w:szCs w:val="19"/>
              </w:rPr>
              <w:t xml:space="preserve">Department can be found at: </w:t>
            </w:r>
          </w:p>
          <w:p w14:paraId="28276335" w14:textId="17FEEEED" w:rsidR="00A80BFB" w:rsidRPr="00A80BFB" w:rsidRDefault="00A80BFB" w:rsidP="00A80BFB">
            <w:pPr>
              <w:spacing w:after="0"/>
              <w:rPr>
                <w:u w:val="single"/>
              </w:rPr>
            </w:pPr>
            <w:r w:rsidRPr="00A80BFB">
              <w:rPr>
                <w:u w:val="single"/>
              </w:rPr>
              <w:t>https://www.infrastructure.gov.au/sites/default/files/documents/ditrdca-corporate-plan-2022-23.pdf</w:t>
            </w:r>
          </w:p>
          <w:p w14:paraId="26BD09B2" w14:textId="77777777" w:rsidR="003D6226" w:rsidRPr="00963AB6" w:rsidRDefault="003D6226" w:rsidP="003D6226">
            <w:pPr>
              <w:spacing w:after="0"/>
              <w:rPr>
                <w:szCs w:val="19"/>
              </w:rPr>
            </w:pPr>
          </w:p>
          <w:p w14:paraId="53721EFF" w14:textId="77777777" w:rsidR="003D6226" w:rsidRDefault="00115843" w:rsidP="00FB0D02">
            <w:pPr>
              <w:autoSpaceDE w:val="0"/>
              <w:autoSpaceDN w:val="0"/>
              <w:spacing w:after="0" w:line="240" w:lineRule="auto"/>
              <w:rPr>
                <w:szCs w:val="19"/>
              </w:rPr>
            </w:pPr>
            <w:r w:rsidRPr="005F2DAC">
              <w:rPr>
                <w:szCs w:val="19"/>
              </w:rPr>
              <w:t xml:space="preserve">The most recent annual performance statement can be found at: </w:t>
            </w:r>
          </w:p>
          <w:p w14:paraId="745A4EB0" w14:textId="15E23054" w:rsidR="00115843" w:rsidRPr="005F2DAC" w:rsidRDefault="00A80BFB" w:rsidP="003D6226">
            <w:pPr>
              <w:autoSpaceDE w:val="0"/>
              <w:autoSpaceDN w:val="0"/>
              <w:spacing w:line="240" w:lineRule="auto"/>
              <w:rPr>
                <w:rFonts w:ascii="Calibri" w:hAnsi="Calibri"/>
                <w:sz w:val="22"/>
              </w:rPr>
            </w:pPr>
            <w:r w:rsidRPr="00F9613E">
              <w:rPr>
                <w:u w:val="single"/>
              </w:rPr>
              <w:t>https://www.infrastructure.gov.au/sites/default/files/documents/ditrdc-annual-report-2021-22.pdf</w:t>
            </w:r>
          </w:p>
        </w:tc>
      </w:tr>
    </w:tbl>
    <w:p w14:paraId="09932F74" w14:textId="77777777" w:rsidR="00115843" w:rsidRDefault="00115843" w:rsidP="00115843">
      <w:pPr>
        <w:spacing w:after="0" w:line="240" w:lineRule="auto"/>
        <w:rPr>
          <w:rFonts w:ascii="Arial Bold" w:hAnsi="Arial Bold"/>
          <w:b/>
          <w:sz w:val="22"/>
        </w:rPr>
      </w:pPr>
      <w:r>
        <w:br w:type="page"/>
      </w:r>
    </w:p>
    <w:p w14:paraId="6E9018A7" w14:textId="77777777" w:rsidR="00115843" w:rsidRPr="00F743D8" w:rsidRDefault="00115843" w:rsidP="00115843">
      <w:pPr>
        <w:pStyle w:val="Heading3-ITRDCA"/>
      </w:pPr>
      <w:bookmarkStart w:id="14" w:name="_Toc117242347"/>
      <w:r>
        <w:lastRenderedPageBreak/>
        <w:t>2.1</w:t>
      </w:r>
      <w:r w:rsidRPr="00F743D8">
        <w:t xml:space="preserve"> </w:t>
      </w:r>
      <w:r w:rsidRPr="00F743D8">
        <w:tab/>
        <w:t xml:space="preserve">Budgeted expenses and performance for Outcome </w:t>
      </w:r>
      <w:r>
        <w:t>1</w:t>
      </w:r>
      <w:bookmarkEnd w:id="14"/>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115843" w:rsidRPr="00842923" w14:paraId="364CFC4B" w14:textId="77777777" w:rsidTr="00FB0D02">
        <w:tc>
          <w:tcPr>
            <w:tcW w:w="7704" w:type="dxa"/>
            <w:shd w:val="clear" w:color="auto" w:fill="E6E6E6"/>
          </w:tcPr>
          <w:p w14:paraId="290EC29E" w14:textId="77777777" w:rsidR="00115843" w:rsidRPr="00707BCF" w:rsidRDefault="00115843" w:rsidP="00FB0D02">
            <w:pPr>
              <w:pStyle w:val="TableColumnHeadingLeft"/>
              <w:rPr>
                <w:rFonts w:cs="Arial"/>
              </w:rPr>
            </w:pPr>
            <w:r w:rsidRPr="00707BCF">
              <w:rPr>
                <w:rFonts w:cs="Arial"/>
              </w:rPr>
              <w:t>Outcome 1: Improved infrastructure across Australia through investment in and coordination of transport and other infrastructure</w:t>
            </w:r>
          </w:p>
        </w:tc>
      </w:tr>
    </w:tbl>
    <w:p w14:paraId="42779B5E" w14:textId="77777777" w:rsidR="00115843" w:rsidRPr="005E6F2B" w:rsidRDefault="00115843" w:rsidP="00115843">
      <w:pPr>
        <w:pStyle w:val="NoSpacing"/>
      </w:pPr>
    </w:p>
    <w:p w14:paraId="019041FD" w14:textId="77777777" w:rsidR="00115843" w:rsidRPr="005E6F2B" w:rsidRDefault="00115843" w:rsidP="00115843">
      <w:pPr>
        <w:pStyle w:val="Heading4"/>
      </w:pPr>
      <w:r w:rsidRPr="005E6F2B">
        <w:t>Linked programs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115843" w:rsidRPr="00E1004B" w14:paraId="395A5626" w14:textId="77777777" w:rsidTr="00D6413D">
        <w:trPr>
          <w:trHeight w:val="113"/>
          <w:tblHeader/>
        </w:trPr>
        <w:tc>
          <w:tcPr>
            <w:tcW w:w="7700" w:type="dxa"/>
            <w:tcBorders>
              <w:bottom w:val="nil"/>
            </w:tcBorders>
          </w:tcPr>
          <w:p w14:paraId="16403C69" w14:textId="77777777" w:rsidR="00115843" w:rsidRPr="00E1004B" w:rsidRDefault="00115843" w:rsidP="00FB0D02">
            <w:pPr>
              <w:spacing w:before="60" w:after="60" w:line="240" w:lineRule="auto"/>
              <w:rPr>
                <w:b/>
              </w:rPr>
            </w:pPr>
            <w:r w:rsidRPr="00E1004B">
              <w:rPr>
                <w:b/>
              </w:rPr>
              <w:t>Director of National Parks</w:t>
            </w:r>
          </w:p>
        </w:tc>
      </w:tr>
      <w:tr w:rsidR="00115843" w:rsidRPr="00E1004B" w14:paraId="73F36B1F" w14:textId="77777777" w:rsidTr="00D6413D">
        <w:trPr>
          <w:trHeight w:val="113"/>
        </w:trPr>
        <w:tc>
          <w:tcPr>
            <w:tcW w:w="7700" w:type="dxa"/>
            <w:tcBorders>
              <w:top w:val="nil"/>
              <w:bottom w:val="single" w:sz="4" w:space="0" w:color="auto"/>
            </w:tcBorders>
          </w:tcPr>
          <w:p w14:paraId="59A7B227" w14:textId="77777777" w:rsidR="00115843" w:rsidRPr="00E1004B" w:rsidRDefault="00115843" w:rsidP="00FB0D02">
            <w:pPr>
              <w:pStyle w:val="BoxText"/>
              <w:rPr>
                <w:rStyle w:val="ExampletextCharChar"/>
                <w:b/>
                <w:bCs/>
                <w:i w:val="0"/>
                <w:color w:val="auto"/>
              </w:rPr>
            </w:pPr>
            <w:r w:rsidRPr="00E1004B">
              <w:rPr>
                <w:b/>
                <w:bCs/>
              </w:rPr>
              <w:t>Programs</w:t>
            </w:r>
          </w:p>
          <w:p w14:paraId="116A691F" w14:textId="77777777" w:rsidR="00115843" w:rsidRPr="00E1004B" w:rsidRDefault="00115843" w:rsidP="00977C28">
            <w:pPr>
              <w:pStyle w:val="BoxBullet"/>
              <w:numPr>
                <w:ilvl w:val="0"/>
                <w:numId w:val="124"/>
              </w:numPr>
              <w:spacing w:before="120"/>
              <w:ind w:left="317" w:hanging="284"/>
            </w:pPr>
            <w:r w:rsidRPr="00E1004B">
              <w:rPr>
                <w:lang w:val="en-US"/>
              </w:rPr>
              <w:t>Program</w:t>
            </w:r>
            <w:r w:rsidRPr="00E1004B">
              <w:t xml:space="preserve"> 1.1: Parks and Reserves</w:t>
            </w:r>
          </w:p>
          <w:p w14:paraId="3A4F93C4" w14:textId="77777777" w:rsidR="00115843" w:rsidRPr="00E1004B" w:rsidRDefault="00115843" w:rsidP="00FB0D02">
            <w:pPr>
              <w:spacing w:before="60" w:after="60" w:line="240" w:lineRule="auto"/>
              <w:rPr>
                <w:b/>
              </w:rPr>
            </w:pPr>
            <w:r w:rsidRPr="00E1004B">
              <w:rPr>
                <w:b/>
              </w:rPr>
              <w:t>Contribution to Outcome 1 made by linked programs</w:t>
            </w:r>
          </w:p>
          <w:p w14:paraId="14A13A24" w14:textId="65227F96" w:rsidR="00E215B7" w:rsidRDefault="00E215B7" w:rsidP="002C712B">
            <w:pPr>
              <w:pStyle w:val="BoxBullet"/>
              <w:numPr>
                <w:ilvl w:val="0"/>
                <w:numId w:val="0"/>
              </w:numPr>
              <w:tabs>
                <w:tab w:val="left" w:pos="720"/>
              </w:tabs>
              <w:spacing w:after="0"/>
            </w:pPr>
            <w:r>
              <w:t xml:space="preserve">The Director of National Parks is working with the Department to secure the future of Jabiru by supporting the township’s transition from a reliance on mining to a tourism-based economy that leverages its proximity to the Kakadu National Park. </w:t>
            </w:r>
          </w:p>
          <w:p w14:paraId="19E4A750" w14:textId="08402FA7" w:rsidR="00115843" w:rsidRPr="00E1004B" w:rsidRDefault="00E215B7" w:rsidP="00E215B7">
            <w:pPr>
              <w:pStyle w:val="BoxBullet"/>
              <w:numPr>
                <w:ilvl w:val="0"/>
                <w:numId w:val="0"/>
              </w:numPr>
            </w:pPr>
            <w:r>
              <w:t>Infrastructure Investment will assist in improving tourism infrastructure across the park, bolster the local economy, and support Indigenous businesses and employment.</w:t>
            </w:r>
          </w:p>
        </w:tc>
      </w:tr>
      <w:tr w:rsidR="00115843" w:rsidRPr="00E1004B" w14:paraId="21A857A3" w14:textId="77777777" w:rsidTr="00D6413D">
        <w:trPr>
          <w:trHeight w:val="113"/>
        </w:trPr>
        <w:tc>
          <w:tcPr>
            <w:tcW w:w="7700" w:type="dxa"/>
            <w:tcBorders>
              <w:bottom w:val="nil"/>
            </w:tcBorders>
          </w:tcPr>
          <w:p w14:paraId="5C6173E7" w14:textId="77777777" w:rsidR="00115843" w:rsidRPr="00E1004B" w:rsidRDefault="00115843" w:rsidP="00E26322">
            <w:pPr>
              <w:spacing w:before="60" w:after="120" w:line="240" w:lineRule="auto"/>
              <w:rPr>
                <w:b/>
              </w:rPr>
            </w:pPr>
            <w:r w:rsidRPr="00E1004B">
              <w:rPr>
                <w:b/>
              </w:rPr>
              <w:t>The Treasury</w:t>
            </w:r>
          </w:p>
        </w:tc>
      </w:tr>
      <w:tr w:rsidR="00115843" w:rsidRPr="00E1004B" w14:paraId="62AF4B8B" w14:textId="77777777" w:rsidTr="00D6413D">
        <w:trPr>
          <w:trHeight w:val="113"/>
        </w:trPr>
        <w:tc>
          <w:tcPr>
            <w:tcW w:w="7700" w:type="dxa"/>
            <w:tcBorders>
              <w:top w:val="nil"/>
              <w:bottom w:val="single" w:sz="4" w:space="0" w:color="auto"/>
            </w:tcBorders>
          </w:tcPr>
          <w:p w14:paraId="5236BF36" w14:textId="77777777" w:rsidR="00115843" w:rsidRPr="00E1004B" w:rsidRDefault="00115843" w:rsidP="00FB0D02">
            <w:pPr>
              <w:pStyle w:val="BoxText"/>
              <w:rPr>
                <w:b/>
                <w:bCs/>
              </w:rPr>
            </w:pPr>
            <w:r w:rsidRPr="00E1004B">
              <w:rPr>
                <w:b/>
                <w:bCs/>
              </w:rPr>
              <w:t>Programs</w:t>
            </w:r>
          </w:p>
          <w:p w14:paraId="195260E6" w14:textId="77777777" w:rsidR="00115843" w:rsidRPr="00E1004B" w:rsidRDefault="00115843" w:rsidP="00977C28">
            <w:pPr>
              <w:pStyle w:val="BoxBullet"/>
              <w:numPr>
                <w:ilvl w:val="0"/>
                <w:numId w:val="124"/>
              </w:numPr>
              <w:spacing w:before="120"/>
              <w:ind w:left="317" w:hanging="284"/>
              <w:rPr>
                <w:i/>
              </w:rPr>
            </w:pPr>
            <w:r w:rsidRPr="00E1004B">
              <w:rPr>
                <w:lang w:val="en-US"/>
              </w:rPr>
              <w:t>Program 1.9: National Partnership Payments to the states</w:t>
            </w:r>
          </w:p>
          <w:p w14:paraId="085C08B6" w14:textId="77777777" w:rsidR="00115843" w:rsidRPr="00E1004B" w:rsidRDefault="00115843" w:rsidP="00FB0D02">
            <w:pPr>
              <w:spacing w:before="60" w:after="60" w:line="240" w:lineRule="auto"/>
              <w:rPr>
                <w:b/>
                <w:i/>
              </w:rPr>
            </w:pPr>
            <w:r w:rsidRPr="00E1004B">
              <w:rPr>
                <w:b/>
                <w:lang w:val="en-US"/>
              </w:rPr>
              <w:t>Contribution to Outcome 1 made by linked programs</w:t>
            </w:r>
          </w:p>
          <w:p w14:paraId="4DC6E796" w14:textId="70489FD6" w:rsidR="00115843" w:rsidRPr="00E1004B" w:rsidRDefault="00E215B7" w:rsidP="00FB0D02">
            <w:pPr>
              <w:pStyle w:val="BoxBullet"/>
              <w:numPr>
                <w:ilvl w:val="0"/>
                <w:numId w:val="0"/>
              </w:numPr>
              <w:ind w:left="22" w:hanging="22"/>
            </w:pPr>
            <w:r>
              <w:t>The above linkage relates to National Partnership Payments which are paid through the Department of the Treasury as part of the Federation Funding Agreements Framework.</w:t>
            </w:r>
          </w:p>
        </w:tc>
      </w:tr>
    </w:tbl>
    <w:p w14:paraId="79F1FC78" w14:textId="77777777" w:rsidR="00115843" w:rsidRPr="00446612" w:rsidRDefault="00115843" w:rsidP="00115843">
      <w:pPr>
        <w:pStyle w:val="Heading4"/>
      </w:pPr>
      <w:r>
        <w:br w:type="page"/>
      </w:r>
      <w:r w:rsidRPr="00446612">
        <w:lastRenderedPageBreak/>
        <w:t xml:space="preserve">Budgeted expenses for Outcome </w:t>
      </w:r>
      <w:r>
        <w:t>1</w:t>
      </w:r>
    </w:p>
    <w:p w14:paraId="536F73CA" w14:textId="77777777" w:rsidR="00115843" w:rsidRPr="00541FB4" w:rsidRDefault="00115843" w:rsidP="00115843">
      <w:r w:rsidRPr="00541FB4">
        <w:t xml:space="preserve">This table shows how much the </w:t>
      </w:r>
      <w:r>
        <w:t>Department</w:t>
      </w:r>
      <w:r w:rsidRPr="00541FB4">
        <w:t xml:space="preserve"> intends to spend (on an accrual basis) on achieving the outcome, broken down by program, as well as by </w:t>
      </w:r>
      <w:r>
        <w:t>a</w:t>
      </w:r>
      <w:r w:rsidRPr="00541FB4">
        <w:t xml:space="preserve">dministered and </w:t>
      </w:r>
      <w:r>
        <w:t>d</w:t>
      </w:r>
      <w:r w:rsidRPr="00541FB4">
        <w:t>epartmental funding sources.</w:t>
      </w:r>
    </w:p>
    <w:p w14:paraId="75B9F14F" w14:textId="77777777" w:rsidR="00115843" w:rsidRDefault="00115843" w:rsidP="00115843">
      <w:pPr>
        <w:pStyle w:val="TableHeading"/>
      </w:pPr>
      <w:r w:rsidRPr="006E4DF1">
        <w:t>Table 2.</w:t>
      </w:r>
      <w:r>
        <w:t>1</w:t>
      </w:r>
      <w:r w:rsidRPr="006E4DF1">
        <w:t xml:space="preserve">.1: Budgeted expenses for Outcome </w:t>
      </w:r>
      <w:r>
        <w:t>1</w:t>
      </w:r>
    </w:p>
    <w:tbl>
      <w:tblPr>
        <w:tblW w:w="5000" w:type="pct"/>
        <w:tblLook w:val="04A0" w:firstRow="1" w:lastRow="0" w:firstColumn="1" w:lastColumn="0" w:noHBand="0" w:noVBand="1"/>
      </w:tblPr>
      <w:tblGrid>
        <w:gridCol w:w="3248"/>
        <w:gridCol w:w="13"/>
        <w:gridCol w:w="931"/>
        <w:gridCol w:w="877"/>
        <w:gridCol w:w="857"/>
        <w:gridCol w:w="17"/>
        <w:gridCol w:w="840"/>
        <w:gridCol w:w="40"/>
        <w:gridCol w:w="887"/>
      </w:tblGrid>
      <w:tr w:rsidR="00D95DE9" w:rsidRPr="00A86423" w14:paraId="25D43CA1" w14:textId="77777777" w:rsidTr="00CC7D32">
        <w:trPr>
          <w:trHeight w:val="204"/>
        </w:trPr>
        <w:tc>
          <w:tcPr>
            <w:tcW w:w="2114" w:type="pct"/>
            <w:gridSpan w:val="2"/>
            <w:tcBorders>
              <w:top w:val="single" w:sz="4" w:space="0" w:color="auto"/>
              <w:left w:val="nil"/>
              <w:bottom w:val="single" w:sz="4" w:space="0" w:color="auto"/>
              <w:right w:val="nil"/>
            </w:tcBorders>
            <w:shd w:val="clear" w:color="auto" w:fill="auto"/>
            <w:noWrap/>
            <w:vAlign w:val="bottom"/>
            <w:hideMark/>
          </w:tcPr>
          <w:p w14:paraId="2FE2A069" w14:textId="77777777" w:rsidR="00D95DE9" w:rsidRPr="00A86423" w:rsidRDefault="00D95DE9" w:rsidP="00D95DE9">
            <w:pPr>
              <w:spacing w:after="0" w:line="240" w:lineRule="auto"/>
              <w:rPr>
                <w:rFonts w:ascii="Arial" w:hAnsi="Arial" w:cs="Arial"/>
                <w:sz w:val="16"/>
                <w:szCs w:val="16"/>
              </w:rPr>
            </w:pPr>
            <w:r w:rsidRPr="00A86423">
              <w:rPr>
                <w:rFonts w:ascii="Arial" w:hAnsi="Arial" w:cs="Arial"/>
                <w:sz w:val="16"/>
                <w:szCs w:val="16"/>
              </w:rPr>
              <w:t> </w:t>
            </w:r>
          </w:p>
        </w:tc>
        <w:tc>
          <w:tcPr>
            <w:tcW w:w="604" w:type="pct"/>
            <w:tcBorders>
              <w:top w:val="single" w:sz="4" w:space="0" w:color="auto"/>
              <w:left w:val="nil"/>
              <w:bottom w:val="single" w:sz="4" w:space="0" w:color="auto"/>
              <w:right w:val="nil"/>
            </w:tcBorders>
            <w:shd w:val="clear" w:color="auto" w:fill="auto"/>
            <w:vAlign w:val="bottom"/>
            <w:hideMark/>
          </w:tcPr>
          <w:p w14:paraId="2430AF51" w14:textId="77777777" w:rsidR="00D95DE9" w:rsidRPr="00A86423" w:rsidRDefault="00D95DE9" w:rsidP="00D95DE9">
            <w:pPr>
              <w:spacing w:after="0" w:line="240" w:lineRule="auto"/>
              <w:jc w:val="right"/>
              <w:rPr>
                <w:rFonts w:ascii="Arial" w:hAnsi="Arial" w:cs="Arial"/>
                <w:sz w:val="16"/>
                <w:szCs w:val="16"/>
              </w:rPr>
            </w:pPr>
            <w:r w:rsidRPr="00A86423">
              <w:rPr>
                <w:rFonts w:ascii="Arial" w:hAnsi="Arial" w:cs="Arial"/>
                <w:sz w:val="16"/>
                <w:szCs w:val="16"/>
              </w:rPr>
              <w:t>2022-23 Estimated actual</w:t>
            </w:r>
            <w:r w:rsidRPr="00A86423">
              <w:rPr>
                <w:rFonts w:ascii="Arial" w:hAnsi="Arial" w:cs="Arial"/>
                <w:sz w:val="16"/>
                <w:szCs w:val="16"/>
              </w:rPr>
              <w:br/>
              <w:t>$'000</w:t>
            </w:r>
          </w:p>
        </w:tc>
        <w:tc>
          <w:tcPr>
            <w:tcW w:w="569" w:type="pct"/>
            <w:tcBorders>
              <w:top w:val="single" w:sz="4" w:space="0" w:color="auto"/>
              <w:left w:val="nil"/>
              <w:bottom w:val="single" w:sz="4" w:space="0" w:color="auto"/>
              <w:right w:val="nil"/>
            </w:tcBorders>
            <w:shd w:val="clear" w:color="000000" w:fill="E6E6E6"/>
            <w:vAlign w:val="bottom"/>
            <w:hideMark/>
          </w:tcPr>
          <w:p w14:paraId="7AC281BA" w14:textId="77777777" w:rsidR="00D95DE9" w:rsidRPr="00A86423" w:rsidRDefault="00D95DE9" w:rsidP="00D95DE9">
            <w:pPr>
              <w:spacing w:after="0" w:line="240" w:lineRule="auto"/>
              <w:jc w:val="right"/>
              <w:rPr>
                <w:rFonts w:ascii="Arial" w:hAnsi="Arial" w:cs="Arial"/>
                <w:sz w:val="16"/>
                <w:szCs w:val="16"/>
              </w:rPr>
            </w:pPr>
            <w:r w:rsidRPr="00A86423">
              <w:rPr>
                <w:rFonts w:ascii="Arial" w:hAnsi="Arial" w:cs="Arial"/>
                <w:sz w:val="16"/>
                <w:szCs w:val="16"/>
              </w:rPr>
              <w:t>2023-24</w:t>
            </w:r>
            <w:r w:rsidRPr="00A86423">
              <w:rPr>
                <w:rFonts w:ascii="Arial" w:hAnsi="Arial" w:cs="Arial"/>
                <w:sz w:val="16"/>
                <w:szCs w:val="16"/>
              </w:rPr>
              <w:br/>
              <w:t>Budget</w:t>
            </w:r>
            <w:r w:rsidRPr="00A86423">
              <w:rPr>
                <w:rFonts w:ascii="Arial" w:hAnsi="Arial" w:cs="Arial"/>
                <w:sz w:val="16"/>
                <w:szCs w:val="16"/>
              </w:rPr>
              <w:br/>
            </w:r>
            <w:r w:rsidRPr="00A86423">
              <w:rPr>
                <w:rFonts w:ascii="Arial" w:hAnsi="Arial" w:cs="Arial"/>
                <w:sz w:val="16"/>
                <w:szCs w:val="16"/>
              </w:rPr>
              <w:br/>
              <w:t>$'000</w:t>
            </w:r>
          </w:p>
        </w:tc>
        <w:tc>
          <w:tcPr>
            <w:tcW w:w="556" w:type="pct"/>
            <w:tcBorders>
              <w:top w:val="single" w:sz="4" w:space="0" w:color="auto"/>
              <w:left w:val="nil"/>
              <w:bottom w:val="single" w:sz="4" w:space="0" w:color="auto"/>
              <w:right w:val="nil"/>
            </w:tcBorders>
            <w:shd w:val="clear" w:color="auto" w:fill="auto"/>
            <w:vAlign w:val="bottom"/>
            <w:hideMark/>
          </w:tcPr>
          <w:p w14:paraId="12F7AB78" w14:textId="77777777" w:rsidR="00D95DE9" w:rsidRPr="00A86423" w:rsidRDefault="00D95DE9" w:rsidP="00D95DE9">
            <w:pPr>
              <w:spacing w:after="0" w:line="240" w:lineRule="auto"/>
              <w:jc w:val="right"/>
              <w:rPr>
                <w:rFonts w:ascii="Arial" w:hAnsi="Arial" w:cs="Arial"/>
                <w:sz w:val="16"/>
                <w:szCs w:val="16"/>
              </w:rPr>
            </w:pPr>
            <w:r w:rsidRPr="00A86423">
              <w:rPr>
                <w:rFonts w:ascii="Arial" w:hAnsi="Arial" w:cs="Arial"/>
                <w:sz w:val="16"/>
                <w:szCs w:val="16"/>
              </w:rPr>
              <w:t>2024-25 Forward estimate</w:t>
            </w:r>
            <w:r w:rsidRPr="00A86423">
              <w:rPr>
                <w:rFonts w:ascii="Arial" w:hAnsi="Arial" w:cs="Arial"/>
                <w:sz w:val="16"/>
                <w:szCs w:val="16"/>
              </w:rPr>
              <w:br/>
              <w:t>$'000</w:t>
            </w:r>
          </w:p>
        </w:tc>
        <w:tc>
          <w:tcPr>
            <w:tcW w:w="556" w:type="pct"/>
            <w:gridSpan w:val="2"/>
            <w:tcBorders>
              <w:top w:val="single" w:sz="4" w:space="0" w:color="auto"/>
              <w:left w:val="nil"/>
              <w:bottom w:val="single" w:sz="4" w:space="0" w:color="auto"/>
              <w:right w:val="nil"/>
            </w:tcBorders>
            <w:shd w:val="clear" w:color="auto" w:fill="auto"/>
            <w:vAlign w:val="bottom"/>
            <w:hideMark/>
          </w:tcPr>
          <w:p w14:paraId="4279C77A" w14:textId="77777777" w:rsidR="00D95DE9" w:rsidRPr="00A86423" w:rsidRDefault="00D95DE9" w:rsidP="00D95DE9">
            <w:pPr>
              <w:spacing w:after="0" w:line="240" w:lineRule="auto"/>
              <w:jc w:val="right"/>
              <w:rPr>
                <w:rFonts w:ascii="Arial" w:hAnsi="Arial" w:cs="Arial"/>
                <w:sz w:val="16"/>
                <w:szCs w:val="16"/>
              </w:rPr>
            </w:pPr>
            <w:r w:rsidRPr="00A86423">
              <w:rPr>
                <w:rFonts w:ascii="Arial" w:hAnsi="Arial" w:cs="Arial"/>
                <w:sz w:val="16"/>
                <w:szCs w:val="16"/>
              </w:rPr>
              <w:t>2025-26 Forward estimate</w:t>
            </w:r>
            <w:r w:rsidRPr="00A86423">
              <w:rPr>
                <w:rFonts w:ascii="Arial" w:hAnsi="Arial" w:cs="Arial"/>
                <w:sz w:val="16"/>
                <w:szCs w:val="16"/>
              </w:rPr>
              <w:br/>
              <w:t>$'000</w:t>
            </w:r>
          </w:p>
        </w:tc>
        <w:tc>
          <w:tcPr>
            <w:tcW w:w="602" w:type="pct"/>
            <w:gridSpan w:val="2"/>
            <w:tcBorders>
              <w:top w:val="single" w:sz="4" w:space="0" w:color="auto"/>
              <w:left w:val="nil"/>
              <w:bottom w:val="single" w:sz="4" w:space="0" w:color="auto"/>
              <w:right w:val="nil"/>
            </w:tcBorders>
            <w:shd w:val="clear" w:color="auto" w:fill="auto"/>
            <w:vAlign w:val="bottom"/>
            <w:hideMark/>
          </w:tcPr>
          <w:p w14:paraId="54E66597" w14:textId="77777777" w:rsidR="00D95DE9" w:rsidRPr="00A86423" w:rsidRDefault="00D95DE9" w:rsidP="00D95DE9">
            <w:pPr>
              <w:spacing w:after="0" w:line="240" w:lineRule="auto"/>
              <w:jc w:val="right"/>
              <w:rPr>
                <w:rFonts w:ascii="Arial" w:hAnsi="Arial" w:cs="Arial"/>
                <w:sz w:val="16"/>
                <w:szCs w:val="16"/>
              </w:rPr>
            </w:pPr>
            <w:r w:rsidRPr="00A86423">
              <w:rPr>
                <w:rFonts w:ascii="Arial" w:hAnsi="Arial" w:cs="Arial"/>
                <w:sz w:val="16"/>
                <w:szCs w:val="16"/>
              </w:rPr>
              <w:t>2026-27</w:t>
            </w:r>
            <w:r w:rsidRPr="00A86423">
              <w:rPr>
                <w:rFonts w:ascii="Arial" w:hAnsi="Arial" w:cs="Arial"/>
                <w:sz w:val="16"/>
                <w:szCs w:val="16"/>
              </w:rPr>
              <w:br/>
              <w:t>Forward estimate</w:t>
            </w:r>
            <w:r w:rsidRPr="00A86423">
              <w:rPr>
                <w:rFonts w:ascii="Arial" w:hAnsi="Arial" w:cs="Arial"/>
                <w:sz w:val="16"/>
                <w:szCs w:val="16"/>
              </w:rPr>
              <w:br/>
              <w:t>$'000</w:t>
            </w:r>
          </w:p>
        </w:tc>
      </w:tr>
      <w:tr w:rsidR="00D95DE9" w:rsidRPr="00A86423" w14:paraId="74D78F88" w14:textId="77777777" w:rsidTr="00CC7D32">
        <w:trPr>
          <w:trHeight w:val="204"/>
        </w:trPr>
        <w:tc>
          <w:tcPr>
            <w:tcW w:w="2718" w:type="pct"/>
            <w:gridSpan w:val="3"/>
            <w:tcBorders>
              <w:top w:val="single" w:sz="4" w:space="0" w:color="auto"/>
              <w:left w:val="nil"/>
              <w:bottom w:val="single" w:sz="4" w:space="0" w:color="auto"/>
              <w:right w:val="nil"/>
            </w:tcBorders>
            <w:shd w:val="clear" w:color="000000" w:fill="E6E6E6"/>
            <w:noWrap/>
            <w:vAlign w:val="bottom"/>
            <w:hideMark/>
          </w:tcPr>
          <w:p w14:paraId="5A26C01B" w14:textId="77777777" w:rsidR="00D95DE9" w:rsidRPr="00A86423" w:rsidRDefault="00D95DE9" w:rsidP="00D95DE9">
            <w:pPr>
              <w:spacing w:after="0" w:line="240" w:lineRule="auto"/>
              <w:rPr>
                <w:rFonts w:ascii="Arial" w:hAnsi="Arial" w:cs="Arial"/>
                <w:b/>
                <w:bCs/>
                <w:sz w:val="16"/>
                <w:szCs w:val="16"/>
              </w:rPr>
            </w:pPr>
            <w:r w:rsidRPr="00A86423">
              <w:rPr>
                <w:rFonts w:ascii="Arial" w:hAnsi="Arial" w:cs="Arial"/>
                <w:b/>
                <w:bCs/>
                <w:sz w:val="16"/>
                <w:szCs w:val="16"/>
              </w:rPr>
              <w:t>Program 1.1: Infrastructure Investment</w:t>
            </w:r>
          </w:p>
        </w:tc>
        <w:tc>
          <w:tcPr>
            <w:tcW w:w="569" w:type="pct"/>
            <w:tcBorders>
              <w:top w:val="nil"/>
              <w:left w:val="nil"/>
              <w:bottom w:val="single" w:sz="4" w:space="0" w:color="auto"/>
              <w:right w:val="nil"/>
            </w:tcBorders>
            <w:shd w:val="clear" w:color="000000" w:fill="E6E6E6"/>
            <w:noWrap/>
            <w:vAlign w:val="bottom"/>
            <w:hideMark/>
          </w:tcPr>
          <w:p w14:paraId="1BA4C0ED" w14:textId="77777777" w:rsidR="00D95DE9" w:rsidRPr="00A86423" w:rsidRDefault="00D95DE9" w:rsidP="00D95DE9">
            <w:pPr>
              <w:spacing w:after="0" w:line="240" w:lineRule="auto"/>
              <w:jc w:val="right"/>
              <w:rPr>
                <w:rFonts w:ascii="Arial" w:hAnsi="Arial" w:cs="Arial"/>
                <w:sz w:val="16"/>
                <w:szCs w:val="16"/>
              </w:rPr>
            </w:pPr>
            <w:r w:rsidRPr="00A86423">
              <w:rPr>
                <w:rFonts w:ascii="Arial" w:hAnsi="Arial" w:cs="Arial"/>
                <w:sz w:val="16"/>
                <w:szCs w:val="16"/>
              </w:rPr>
              <w:t> </w:t>
            </w:r>
          </w:p>
        </w:tc>
        <w:tc>
          <w:tcPr>
            <w:tcW w:w="556" w:type="pct"/>
            <w:tcBorders>
              <w:top w:val="nil"/>
              <w:left w:val="nil"/>
              <w:bottom w:val="single" w:sz="4" w:space="0" w:color="auto"/>
              <w:right w:val="nil"/>
            </w:tcBorders>
            <w:shd w:val="clear" w:color="000000" w:fill="E6E6E6"/>
            <w:noWrap/>
            <w:vAlign w:val="bottom"/>
            <w:hideMark/>
          </w:tcPr>
          <w:p w14:paraId="1A89F3E8" w14:textId="77777777" w:rsidR="00D95DE9" w:rsidRPr="00A86423" w:rsidRDefault="00D95DE9" w:rsidP="00D95DE9">
            <w:pPr>
              <w:spacing w:after="0" w:line="240" w:lineRule="auto"/>
              <w:jc w:val="right"/>
              <w:rPr>
                <w:rFonts w:ascii="Arial" w:hAnsi="Arial" w:cs="Arial"/>
                <w:sz w:val="16"/>
                <w:szCs w:val="16"/>
              </w:rPr>
            </w:pPr>
            <w:r w:rsidRPr="00A86423">
              <w:rPr>
                <w:rFonts w:ascii="Arial" w:hAnsi="Arial" w:cs="Arial"/>
                <w:sz w:val="16"/>
                <w:szCs w:val="16"/>
              </w:rPr>
              <w:t> </w:t>
            </w:r>
          </w:p>
        </w:tc>
        <w:tc>
          <w:tcPr>
            <w:tcW w:w="556" w:type="pct"/>
            <w:gridSpan w:val="2"/>
            <w:tcBorders>
              <w:top w:val="nil"/>
              <w:left w:val="nil"/>
              <w:bottom w:val="single" w:sz="4" w:space="0" w:color="auto"/>
              <w:right w:val="nil"/>
            </w:tcBorders>
            <w:shd w:val="clear" w:color="000000" w:fill="E6E6E6"/>
            <w:noWrap/>
            <w:vAlign w:val="bottom"/>
            <w:hideMark/>
          </w:tcPr>
          <w:p w14:paraId="395EBA69" w14:textId="77777777" w:rsidR="00D95DE9" w:rsidRPr="00A86423" w:rsidRDefault="00D95DE9" w:rsidP="00D95DE9">
            <w:pPr>
              <w:spacing w:after="0" w:line="240" w:lineRule="auto"/>
              <w:jc w:val="right"/>
              <w:rPr>
                <w:rFonts w:ascii="Arial" w:hAnsi="Arial" w:cs="Arial"/>
                <w:sz w:val="16"/>
                <w:szCs w:val="16"/>
              </w:rPr>
            </w:pPr>
            <w:r w:rsidRPr="00A86423">
              <w:rPr>
                <w:rFonts w:ascii="Arial" w:hAnsi="Arial" w:cs="Arial"/>
                <w:sz w:val="16"/>
                <w:szCs w:val="16"/>
              </w:rPr>
              <w:t> </w:t>
            </w:r>
          </w:p>
        </w:tc>
        <w:tc>
          <w:tcPr>
            <w:tcW w:w="602" w:type="pct"/>
            <w:gridSpan w:val="2"/>
            <w:tcBorders>
              <w:top w:val="nil"/>
              <w:left w:val="nil"/>
              <w:bottom w:val="single" w:sz="4" w:space="0" w:color="auto"/>
              <w:right w:val="nil"/>
            </w:tcBorders>
            <w:shd w:val="clear" w:color="000000" w:fill="E6E6E6"/>
            <w:noWrap/>
            <w:vAlign w:val="bottom"/>
            <w:hideMark/>
          </w:tcPr>
          <w:p w14:paraId="022231A7" w14:textId="77777777" w:rsidR="00D95DE9" w:rsidRPr="00A86423" w:rsidRDefault="00D95DE9" w:rsidP="00D95DE9">
            <w:pPr>
              <w:spacing w:after="0" w:line="240" w:lineRule="auto"/>
              <w:jc w:val="right"/>
              <w:rPr>
                <w:rFonts w:ascii="Arial" w:hAnsi="Arial" w:cs="Arial"/>
                <w:sz w:val="16"/>
                <w:szCs w:val="16"/>
              </w:rPr>
            </w:pPr>
            <w:r w:rsidRPr="00A86423">
              <w:rPr>
                <w:rFonts w:ascii="Arial" w:hAnsi="Arial" w:cs="Arial"/>
                <w:sz w:val="16"/>
                <w:szCs w:val="16"/>
              </w:rPr>
              <w:t> </w:t>
            </w:r>
          </w:p>
        </w:tc>
      </w:tr>
      <w:tr w:rsidR="00D95DE9" w:rsidRPr="00A86423" w14:paraId="63B6D503" w14:textId="77777777" w:rsidTr="00CC7D32">
        <w:trPr>
          <w:trHeight w:val="204"/>
        </w:trPr>
        <w:tc>
          <w:tcPr>
            <w:tcW w:w="2114" w:type="pct"/>
            <w:gridSpan w:val="2"/>
            <w:tcBorders>
              <w:top w:val="nil"/>
              <w:left w:val="nil"/>
              <w:bottom w:val="nil"/>
              <w:right w:val="nil"/>
            </w:tcBorders>
            <w:shd w:val="clear" w:color="auto" w:fill="auto"/>
            <w:noWrap/>
            <w:vAlign w:val="bottom"/>
            <w:hideMark/>
          </w:tcPr>
          <w:p w14:paraId="0CAA59A2" w14:textId="77777777" w:rsidR="00D95DE9" w:rsidRPr="00A86423" w:rsidRDefault="00D95DE9" w:rsidP="00D95DE9">
            <w:pPr>
              <w:spacing w:after="0" w:line="240" w:lineRule="auto"/>
              <w:rPr>
                <w:rFonts w:ascii="Arial" w:hAnsi="Arial" w:cs="Arial"/>
                <w:sz w:val="16"/>
                <w:szCs w:val="16"/>
              </w:rPr>
            </w:pPr>
            <w:r w:rsidRPr="00A86423">
              <w:rPr>
                <w:rFonts w:ascii="Arial" w:hAnsi="Arial" w:cs="Arial"/>
                <w:sz w:val="16"/>
                <w:szCs w:val="16"/>
              </w:rPr>
              <w:t>Administered expenses</w:t>
            </w:r>
          </w:p>
        </w:tc>
        <w:tc>
          <w:tcPr>
            <w:tcW w:w="604" w:type="pct"/>
            <w:tcBorders>
              <w:top w:val="nil"/>
              <w:left w:val="nil"/>
              <w:bottom w:val="nil"/>
              <w:right w:val="nil"/>
            </w:tcBorders>
            <w:shd w:val="clear" w:color="auto" w:fill="auto"/>
            <w:noWrap/>
            <w:vAlign w:val="bottom"/>
            <w:hideMark/>
          </w:tcPr>
          <w:p w14:paraId="7E3D64C1" w14:textId="77777777" w:rsidR="00D95DE9" w:rsidRPr="00A86423" w:rsidRDefault="00D95DE9" w:rsidP="00E33831">
            <w:pPr>
              <w:spacing w:after="0" w:line="240" w:lineRule="auto"/>
              <w:jc w:val="right"/>
              <w:rPr>
                <w:rFonts w:ascii="Arial" w:hAnsi="Arial" w:cs="Arial"/>
                <w:sz w:val="16"/>
                <w:szCs w:val="16"/>
              </w:rPr>
            </w:pPr>
          </w:p>
        </w:tc>
        <w:tc>
          <w:tcPr>
            <w:tcW w:w="569" w:type="pct"/>
            <w:tcBorders>
              <w:top w:val="nil"/>
              <w:left w:val="nil"/>
              <w:bottom w:val="nil"/>
              <w:right w:val="nil"/>
            </w:tcBorders>
            <w:shd w:val="clear" w:color="000000" w:fill="E6E6E6"/>
            <w:noWrap/>
            <w:vAlign w:val="bottom"/>
            <w:hideMark/>
          </w:tcPr>
          <w:p w14:paraId="144F3634" w14:textId="77777777"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 </w:t>
            </w:r>
          </w:p>
        </w:tc>
        <w:tc>
          <w:tcPr>
            <w:tcW w:w="556" w:type="pct"/>
            <w:tcBorders>
              <w:top w:val="nil"/>
              <w:left w:val="nil"/>
              <w:bottom w:val="nil"/>
              <w:right w:val="nil"/>
            </w:tcBorders>
            <w:shd w:val="clear" w:color="auto" w:fill="auto"/>
            <w:noWrap/>
            <w:vAlign w:val="bottom"/>
            <w:hideMark/>
          </w:tcPr>
          <w:p w14:paraId="3DDF268F" w14:textId="77777777" w:rsidR="00D95DE9" w:rsidRPr="00A86423" w:rsidRDefault="00D95DE9" w:rsidP="00E33831">
            <w:pPr>
              <w:spacing w:after="0" w:line="240" w:lineRule="auto"/>
              <w:jc w:val="right"/>
              <w:rPr>
                <w:rFonts w:ascii="Arial" w:hAnsi="Arial" w:cs="Arial"/>
                <w:sz w:val="16"/>
                <w:szCs w:val="16"/>
              </w:rPr>
            </w:pPr>
          </w:p>
        </w:tc>
        <w:tc>
          <w:tcPr>
            <w:tcW w:w="556" w:type="pct"/>
            <w:gridSpan w:val="2"/>
            <w:tcBorders>
              <w:top w:val="nil"/>
              <w:left w:val="nil"/>
              <w:bottom w:val="nil"/>
              <w:right w:val="nil"/>
            </w:tcBorders>
            <w:shd w:val="clear" w:color="auto" w:fill="auto"/>
            <w:noWrap/>
            <w:vAlign w:val="bottom"/>
            <w:hideMark/>
          </w:tcPr>
          <w:p w14:paraId="34D7023C" w14:textId="77777777" w:rsidR="00D95DE9" w:rsidRPr="00A86423" w:rsidRDefault="00D95DE9" w:rsidP="00E33831">
            <w:pPr>
              <w:spacing w:after="0" w:line="240" w:lineRule="auto"/>
              <w:jc w:val="right"/>
              <w:rPr>
                <w:rFonts w:ascii="Arial" w:hAnsi="Arial" w:cs="Arial"/>
                <w:sz w:val="16"/>
                <w:szCs w:val="16"/>
              </w:rPr>
            </w:pPr>
          </w:p>
        </w:tc>
        <w:tc>
          <w:tcPr>
            <w:tcW w:w="602" w:type="pct"/>
            <w:gridSpan w:val="2"/>
            <w:tcBorders>
              <w:top w:val="nil"/>
              <w:left w:val="nil"/>
              <w:bottom w:val="nil"/>
              <w:right w:val="nil"/>
            </w:tcBorders>
            <w:shd w:val="clear" w:color="auto" w:fill="auto"/>
            <w:noWrap/>
            <w:vAlign w:val="bottom"/>
            <w:hideMark/>
          </w:tcPr>
          <w:p w14:paraId="377D79CF" w14:textId="77777777" w:rsidR="00D95DE9" w:rsidRPr="00A86423" w:rsidRDefault="00D95DE9" w:rsidP="00E33831">
            <w:pPr>
              <w:spacing w:after="0" w:line="240" w:lineRule="auto"/>
              <w:jc w:val="right"/>
              <w:rPr>
                <w:rFonts w:ascii="Arial" w:hAnsi="Arial" w:cs="Arial"/>
                <w:sz w:val="16"/>
                <w:szCs w:val="16"/>
              </w:rPr>
            </w:pPr>
          </w:p>
        </w:tc>
      </w:tr>
      <w:tr w:rsidR="00D95DE9" w:rsidRPr="00A86423" w14:paraId="6F6C1EF6" w14:textId="77777777" w:rsidTr="00CC7D32">
        <w:trPr>
          <w:trHeight w:val="204"/>
        </w:trPr>
        <w:tc>
          <w:tcPr>
            <w:tcW w:w="2114" w:type="pct"/>
            <w:gridSpan w:val="2"/>
            <w:tcBorders>
              <w:top w:val="nil"/>
              <w:left w:val="nil"/>
              <w:bottom w:val="nil"/>
              <w:right w:val="nil"/>
            </w:tcBorders>
            <w:shd w:val="clear" w:color="auto" w:fill="auto"/>
            <w:vAlign w:val="bottom"/>
            <w:hideMark/>
          </w:tcPr>
          <w:p w14:paraId="7816B39F" w14:textId="6EFF23F4" w:rsidR="00D95DE9" w:rsidRPr="00A86423" w:rsidRDefault="00D95DE9" w:rsidP="00E33831">
            <w:pPr>
              <w:spacing w:after="0" w:line="240" w:lineRule="auto"/>
              <w:ind w:left="113"/>
              <w:rPr>
                <w:rFonts w:ascii="Arial" w:hAnsi="Arial" w:cs="Arial"/>
                <w:sz w:val="16"/>
                <w:szCs w:val="16"/>
              </w:rPr>
            </w:pPr>
            <w:r w:rsidRPr="00A86423">
              <w:rPr>
                <w:rFonts w:ascii="Arial" w:hAnsi="Arial" w:cs="Arial"/>
                <w:sz w:val="16"/>
                <w:szCs w:val="16"/>
              </w:rPr>
              <w:t>Ordinary annual services (Appropriation Bill No. 1)</w:t>
            </w:r>
          </w:p>
        </w:tc>
        <w:tc>
          <w:tcPr>
            <w:tcW w:w="604" w:type="pct"/>
            <w:tcBorders>
              <w:top w:val="nil"/>
              <w:left w:val="nil"/>
              <w:bottom w:val="nil"/>
              <w:right w:val="nil"/>
            </w:tcBorders>
            <w:shd w:val="clear" w:color="auto" w:fill="auto"/>
            <w:noWrap/>
            <w:vAlign w:val="bottom"/>
            <w:hideMark/>
          </w:tcPr>
          <w:p w14:paraId="19F5CB4F" w14:textId="77777777"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 xml:space="preserve">223,380 </w:t>
            </w:r>
          </w:p>
        </w:tc>
        <w:tc>
          <w:tcPr>
            <w:tcW w:w="569" w:type="pct"/>
            <w:tcBorders>
              <w:top w:val="nil"/>
              <w:left w:val="nil"/>
              <w:bottom w:val="nil"/>
              <w:right w:val="nil"/>
            </w:tcBorders>
            <w:shd w:val="clear" w:color="000000" w:fill="E6E6E6"/>
            <w:noWrap/>
            <w:vAlign w:val="bottom"/>
            <w:hideMark/>
          </w:tcPr>
          <w:p w14:paraId="05854296" w14:textId="77777777"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 xml:space="preserve">45,168 </w:t>
            </w:r>
          </w:p>
        </w:tc>
        <w:tc>
          <w:tcPr>
            <w:tcW w:w="556" w:type="pct"/>
            <w:tcBorders>
              <w:top w:val="nil"/>
              <w:left w:val="nil"/>
              <w:bottom w:val="nil"/>
              <w:right w:val="nil"/>
            </w:tcBorders>
            <w:shd w:val="clear" w:color="auto" w:fill="auto"/>
            <w:noWrap/>
            <w:vAlign w:val="bottom"/>
            <w:hideMark/>
          </w:tcPr>
          <w:p w14:paraId="64582066" w14:textId="77777777"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 xml:space="preserve">20,483 </w:t>
            </w:r>
          </w:p>
        </w:tc>
        <w:tc>
          <w:tcPr>
            <w:tcW w:w="556" w:type="pct"/>
            <w:gridSpan w:val="2"/>
            <w:tcBorders>
              <w:top w:val="nil"/>
              <w:left w:val="nil"/>
              <w:bottom w:val="nil"/>
              <w:right w:val="nil"/>
            </w:tcBorders>
            <w:shd w:val="clear" w:color="auto" w:fill="auto"/>
            <w:noWrap/>
            <w:vAlign w:val="bottom"/>
            <w:hideMark/>
          </w:tcPr>
          <w:p w14:paraId="23DFD3D4" w14:textId="77777777"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 xml:space="preserve">18,287 </w:t>
            </w:r>
          </w:p>
        </w:tc>
        <w:tc>
          <w:tcPr>
            <w:tcW w:w="602" w:type="pct"/>
            <w:gridSpan w:val="2"/>
            <w:tcBorders>
              <w:top w:val="nil"/>
              <w:left w:val="nil"/>
              <w:bottom w:val="nil"/>
              <w:right w:val="nil"/>
            </w:tcBorders>
            <w:shd w:val="clear" w:color="auto" w:fill="auto"/>
            <w:noWrap/>
            <w:vAlign w:val="bottom"/>
            <w:hideMark/>
          </w:tcPr>
          <w:p w14:paraId="5CCE3FA2" w14:textId="77777777"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 xml:space="preserve">17,097 </w:t>
            </w:r>
          </w:p>
        </w:tc>
      </w:tr>
      <w:tr w:rsidR="00D95DE9" w:rsidRPr="00A86423" w14:paraId="3DCCE9A4" w14:textId="77777777" w:rsidTr="00CC7D32">
        <w:trPr>
          <w:trHeight w:val="204"/>
        </w:trPr>
        <w:tc>
          <w:tcPr>
            <w:tcW w:w="2114" w:type="pct"/>
            <w:gridSpan w:val="2"/>
            <w:tcBorders>
              <w:top w:val="nil"/>
              <w:left w:val="nil"/>
              <w:bottom w:val="nil"/>
              <w:right w:val="nil"/>
            </w:tcBorders>
            <w:shd w:val="clear" w:color="auto" w:fill="auto"/>
            <w:vAlign w:val="bottom"/>
            <w:hideMark/>
          </w:tcPr>
          <w:p w14:paraId="21ECBFE6" w14:textId="2401AD9B" w:rsidR="00D95DE9" w:rsidRPr="00A86423" w:rsidRDefault="00D95DE9" w:rsidP="00E33831">
            <w:pPr>
              <w:spacing w:after="0" w:line="240" w:lineRule="auto"/>
              <w:ind w:left="113"/>
              <w:rPr>
                <w:rFonts w:ascii="Arial" w:hAnsi="Arial" w:cs="Arial"/>
                <w:sz w:val="16"/>
                <w:szCs w:val="16"/>
              </w:rPr>
            </w:pPr>
            <w:r w:rsidRPr="00A86423">
              <w:rPr>
                <w:rFonts w:ascii="Arial" w:hAnsi="Arial" w:cs="Arial"/>
                <w:sz w:val="16"/>
                <w:szCs w:val="16"/>
              </w:rPr>
              <w:t>Other services (Appropriation Bill No. 2)</w:t>
            </w:r>
          </w:p>
        </w:tc>
        <w:tc>
          <w:tcPr>
            <w:tcW w:w="604" w:type="pct"/>
            <w:tcBorders>
              <w:top w:val="nil"/>
              <w:left w:val="nil"/>
              <w:bottom w:val="nil"/>
              <w:right w:val="nil"/>
            </w:tcBorders>
            <w:shd w:val="clear" w:color="auto" w:fill="auto"/>
            <w:noWrap/>
            <w:vAlign w:val="bottom"/>
            <w:hideMark/>
          </w:tcPr>
          <w:p w14:paraId="128AB033" w14:textId="77777777"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 xml:space="preserve">490,881 </w:t>
            </w:r>
          </w:p>
        </w:tc>
        <w:tc>
          <w:tcPr>
            <w:tcW w:w="569" w:type="pct"/>
            <w:tcBorders>
              <w:top w:val="nil"/>
              <w:left w:val="nil"/>
              <w:bottom w:val="nil"/>
              <w:right w:val="nil"/>
            </w:tcBorders>
            <w:shd w:val="clear" w:color="000000" w:fill="E6E6E6"/>
            <w:noWrap/>
            <w:vAlign w:val="bottom"/>
            <w:hideMark/>
          </w:tcPr>
          <w:p w14:paraId="6D965F9A" w14:textId="77777777"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 xml:space="preserve">485,306 </w:t>
            </w:r>
          </w:p>
        </w:tc>
        <w:tc>
          <w:tcPr>
            <w:tcW w:w="556" w:type="pct"/>
            <w:tcBorders>
              <w:top w:val="nil"/>
              <w:left w:val="nil"/>
              <w:bottom w:val="nil"/>
              <w:right w:val="nil"/>
            </w:tcBorders>
            <w:shd w:val="clear" w:color="auto" w:fill="auto"/>
            <w:noWrap/>
            <w:vAlign w:val="bottom"/>
            <w:hideMark/>
          </w:tcPr>
          <w:p w14:paraId="3CDE974C" w14:textId="77777777"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 xml:space="preserve">499,516 </w:t>
            </w:r>
          </w:p>
        </w:tc>
        <w:tc>
          <w:tcPr>
            <w:tcW w:w="556" w:type="pct"/>
            <w:gridSpan w:val="2"/>
            <w:tcBorders>
              <w:top w:val="nil"/>
              <w:left w:val="nil"/>
              <w:bottom w:val="nil"/>
              <w:right w:val="nil"/>
            </w:tcBorders>
            <w:shd w:val="clear" w:color="auto" w:fill="auto"/>
            <w:noWrap/>
            <w:vAlign w:val="bottom"/>
            <w:hideMark/>
          </w:tcPr>
          <w:p w14:paraId="425F1E4B" w14:textId="77777777"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 xml:space="preserve">499,516 </w:t>
            </w:r>
          </w:p>
        </w:tc>
        <w:tc>
          <w:tcPr>
            <w:tcW w:w="602" w:type="pct"/>
            <w:gridSpan w:val="2"/>
            <w:tcBorders>
              <w:top w:val="nil"/>
              <w:left w:val="nil"/>
              <w:bottom w:val="nil"/>
              <w:right w:val="nil"/>
            </w:tcBorders>
            <w:shd w:val="clear" w:color="auto" w:fill="auto"/>
            <w:noWrap/>
            <w:vAlign w:val="bottom"/>
            <w:hideMark/>
          </w:tcPr>
          <w:p w14:paraId="5619FB5C" w14:textId="77777777"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 xml:space="preserve">499,516 </w:t>
            </w:r>
          </w:p>
        </w:tc>
      </w:tr>
      <w:tr w:rsidR="00D95DE9" w:rsidRPr="00A86423" w14:paraId="7EDBB147" w14:textId="77777777" w:rsidTr="00CC7D32">
        <w:trPr>
          <w:trHeight w:val="204"/>
        </w:trPr>
        <w:tc>
          <w:tcPr>
            <w:tcW w:w="2114" w:type="pct"/>
            <w:gridSpan w:val="2"/>
            <w:tcBorders>
              <w:top w:val="nil"/>
              <w:left w:val="nil"/>
              <w:bottom w:val="nil"/>
              <w:right w:val="nil"/>
            </w:tcBorders>
            <w:shd w:val="clear" w:color="auto" w:fill="auto"/>
            <w:vAlign w:val="bottom"/>
            <w:hideMark/>
          </w:tcPr>
          <w:p w14:paraId="792BFDA9" w14:textId="14D86F7B" w:rsidR="00D95DE9" w:rsidRPr="00A86423" w:rsidRDefault="00D95DE9" w:rsidP="00E33831">
            <w:pPr>
              <w:spacing w:after="0" w:line="240" w:lineRule="auto"/>
              <w:ind w:left="113"/>
              <w:rPr>
                <w:rFonts w:ascii="Arial" w:hAnsi="Arial" w:cs="Arial"/>
                <w:sz w:val="16"/>
                <w:szCs w:val="16"/>
              </w:rPr>
            </w:pPr>
            <w:r w:rsidRPr="00A86423">
              <w:rPr>
                <w:rFonts w:ascii="Arial" w:hAnsi="Arial" w:cs="Arial"/>
                <w:sz w:val="16"/>
                <w:szCs w:val="16"/>
              </w:rPr>
              <w:t>Payments to corporate entities</w:t>
            </w:r>
            <w:r w:rsidR="004507D8" w:rsidRPr="004507D8">
              <w:rPr>
                <w:rFonts w:ascii="Arial" w:hAnsi="Arial" w:cs="Arial"/>
                <w:sz w:val="16"/>
                <w:szCs w:val="16"/>
                <w:vertAlign w:val="superscript"/>
              </w:rPr>
              <w:t>(a)</w:t>
            </w:r>
          </w:p>
        </w:tc>
        <w:tc>
          <w:tcPr>
            <w:tcW w:w="604" w:type="pct"/>
            <w:tcBorders>
              <w:top w:val="nil"/>
              <w:left w:val="nil"/>
              <w:bottom w:val="nil"/>
              <w:right w:val="nil"/>
            </w:tcBorders>
            <w:shd w:val="clear" w:color="auto" w:fill="auto"/>
            <w:noWrap/>
            <w:vAlign w:val="bottom"/>
            <w:hideMark/>
          </w:tcPr>
          <w:p w14:paraId="27AF285E" w14:textId="77777777"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 xml:space="preserve">16,971 </w:t>
            </w:r>
          </w:p>
        </w:tc>
        <w:tc>
          <w:tcPr>
            <w:tcW w:w="569" w:type="pct"/>
            <w:tcBorders>
              <w:top w:val="nil"/>
              <w:left w:val="nil"/>
              <w:bottom w:val="nil"/>
              <w:right w:val="nil"/>
            </w:tcBorders>
            <w:shd w:val="clear" w:color="000000" w:fill="E6E6E6"/>
            <w:noWrap/>
            <w:vAlign w:val="bottom"/>
            <w:hideMark/>
          </w:tcPr>
          <w:p w14:paraId="05AC6E40" w14:textId="77777777"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 xml:space="preserve">18,385 </w:t>
            </w:r>
          </w:p>
        </w:tc>
        <w:tc>
          <w:tcPr>
            <w:tcW w:w="556" w:type="pct"/>
            <w:tcBorders>
              <w:top w:val="nil"/>
              <w:left w:val="nil"/>
              <w:bottom w:val="nil"/>
              <w:right w:val="nil"/>
            </w:tcBorders>
            <w:shd w:val="clear" w:color="auto" w:fill="auto"/>
            <w:noWrap/>
            <w:vAlign w:val="bottom"/>
            <w:hideMark/>
          </w:tcPr>
          <w:p w14:paraId="430E4765" w14:textId="77777777"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 xml:space="preserve">17,329 </w:t>
            </w:r>
          </w:p>
        </w:tc>
        <w:tc>
          <w:tcPr>
            <w:tcW w:w="556" w:type="pct"/>
            <w:gridSpan w:val="2"/>
            <w:tcBorders>
              <w:top w:val="nil"/>
              <w:left w:val="nil"/>
              <w:bottom w:val="nil"/>
              <w:right w:val="nil"/>
            </w:tcBorders>
            <w:shd w:val="clear" w:color="auto" w:fill="auto"/>
            <w:noWrap/>
            <w:vAlign w:val="bottom"/>
            <w:hideMark/>
          </w:tcPr>
          <w:p w14:paraId="15D5C5BC" w14:textId="77777777"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 xml:space="preserve">17,553 </w:t>
            </w:r>
          </w:p>
        </w:tc>
        <w:tc>
          <w:tcPr>
            <w:tcW w:w="602" w:type="pct"/>
            <w:gridSpan w:val="2"/>
            <w:tcBorders>
              <w:top w:val="nil"/>
              <w:left w:val="nil"/>
              <w:bottom w:val="nil"/>
              <w:right w:val="nil"/>
            </w:tcBorders>
            <w:shd w:val="clear" w:color="auto" w:fill="auto"/>
            <w:noWrap/>
            <w:vAlign w:val="bottom"/>
            <w:hideMark/>
          </w:tcPr>
          <w:p w14:paraId="450F812F" w14:textId="77777777"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 xml:space="preserve">13,611 </w:t>
            </w:r>
          </w:p>
        </w:tc>
      </w:tr>
      <w:tr w:rsidR="00D95DE9" w:rsidRPr="00A86423" w14:paraId="587FA06F" w14:textId="77777777" w:rsidTr="00CC7D32">
        <w:trPr>
          <w:trHeight w:val="204"/>
        </w:trPr>
        <w:tc>
          <w:tcPr>
            <w:tcW w:w="2114" w:type="pct"/>
            <w:gridSpan w:val="2"/>
            <w:tcBorders>
              <w:top w:val="nil"/>
              <w:left w:val="nil"/>
              <w:bottom w:val="nil"/>
              <w:right w:val="nil"/>
            </w:tcBorders>
            <w:shd w:val="clear" w:color="auto" w:fill="auto"/>
            <w:vAlign w:val="bottom"/>
            <w:hideMark/>
          </w:tcPr>
          <w:p w14:paraId="4D2CDC64" w14:textId="27A98D33" w:rsidR="00D95DE9" w:rsidRPr="00A86423" w:rsidRDefault="00D95DE9" w:rsidP="00E33831">
            <w:pPr>
              <w:spacing w:after="0" w:line="240" w:lineRule="auto"/>
              <w:ind w:left="113"/>
              <w:rPr>
                <w:rFonts w:ascii="Arial" w:hAnsi="Arial" w:cs="Arial"/>
                <w:sz w:val="16"/>
                <w:szCs w:val="16"/>
              </w:rPr>
            </w:pPr>
            <w:r w:rsidRPr="00A86423">
              <w:rPr>
                <w:rFonts w:ascii="Arial" w:hAnsi="Arial" w:cs="Arial"/>
                <w:sz w:val="16"/>
                <w:szCs w:val="16"/>
              </w:rPr>
              <w:t>Expenses not requiring appropriation in the Budget year</w:t>
            </w:r>
            <w:r w:rsidRPr="00A86423">
              <w:rPr>
                <w:rFonts w:ascii="Arial" w:hAnsi="Arial" w:cs="Arial"/>
                <w:sz w:val="16"/>
                <w:szCs w:val="16"/>
                <w:vertAlign w:val="superscript"/>
              </w:rPr>
              <w:t>(b)</w:t>
            </w:r>
          </w:p>
        </w:tc>
        <w:tc>
          <w:tcPr>
            <w:tcW w:w="604" w:type="pct"/>
            <w:tcBorders>
              <w:top w:val="nil"/>
              <w:left w:val="nil"/>
              <w:bottom w:val="nil"/>
              <w:right w:val="nil"/>
            </w:tcBorders>
            <w:shd w:val="clear" w:color="auto" w:fill="auto"/>
            <w:noWrap/>
            <w:vAlign w:val="bottom"/>
            <w:hideMark/>
          </w:tcPr>
          <w:p w14:paraId="4D0FBBDF" w14:textId="77777777"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(51,412)</w:t>
            </w:r>
          </w:p>
        </w:tc>
        <w:tc>
          <w:tcPr>
            <w:tcW w:w="569" w:type="pct"/>
            <w:tcBorders>
              <w:top w:val="nil"/>
              <w:left w:val="nil"/>
              <w:bottom w:val="nil"/>
              <w:right w:val="nil"/>
            </w:tcBorders>
            <w:shd w:val="clear" w:color="000000" w:fill="E6E6E6"/>
            <w:noWrap/>
            <w:vAlign w:val="bottom"/>
            <w:hideMark/>
          </w:tcPr>
          <w:p w14:paraId="6FA74827" w14:textId="77777777"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 xml:space="preserve">125,631 </w:t>
            </w:r>
          </w:p>
        </w:tc>
        <w:tc>
          <w:tcPr>
            <w:tcW w:w="556" w:type="pct"/>
            <w:tcBorders>
              <w:top w:val="nil"/>
              <w:left w:val="nil"/>
              <w:bottom w:val="nil"/>
              <w:right w:val="nil"/>
            </w:tcBorders>
            <w:shd w:val="clear" w:color="auto" w:fill="auto"/>
            <w:noWrap/>
            <w:vAlign w:val="bottom"/>
            <w:hideMark/>
          </w:tcPr>
          <w:p w14:paraId="7F8800D1" w14:textId="77777777"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 xml:space="preserve">39,905 </w:t>
            </w:r>
          </w:p>
        </w:tc>
        <w:tc>
          <w:tcPr>
            <w:tcW w:w="556" w:type="pct"/>
            <w:gridSpan w:val="2"/>
            <w:tcBorders>
              <w:top w:val="nil"/>
              <w:left w:val="nil"/>
              <w:bottom w:val="nil"/>
              <w:right w:val="nil"/>
            </w:tcBorders>
            <w:shd w:val="clear" w:color="auto" w:fill="auto"/>
            <w:noWrap/>
            <w:vAlign w:val="bottom"/>
            <w:hideMark/>
          </w:tcPr>
          <w:p w14:paraId="1F944D7C" w14:textId="77777777"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 xml:space="preserve">- </w:t>
            </w:r>
          </w:p>
        </w:tc>
        <w:tc>
          <w:tcPr>
            <w:tcW w:w="602" w:type="pct"/>
            <w:gridSpan w:val="2"/>
            <w:tcBorders>
              <w:top w:val="nil"/>
              <w:left w:val="nil"/>
              <w:bottom w:val="nil"/>
              <w:right w:val="nil"/>
            </w:tcBorders>
            <w:shd w:val="clear" w:color="auto" w:fill="auto"/>
            <w:noWrap/>
            <w:vAlign w:val="bottom"/>
            <w:hideMark/>
          </w:tcPr>
          <w:p w14:paraId="176D55C2" w14:textId="77777777"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 xml:space="preserve">- </w:t>
            </w:r>
          </w:p>
        </w:tc>
      </w:tr>
      <w:tr w:rsidR="00D95DE9" w:rsidRPr="00A86423" w14:paraId="0C9A671D" w14:textId="77777777" w:rsidTr="00CC7D32">
        <w:trPr>
          <w:trHeight w:val="204"/>
        </w:trPr>
        <w:tc>
          <w:tcPr>
            <w:tcW w:w="2114" w:type="pct"/>
            <w:gridSpan w:val="2"/>
            <w:tcBorders>
              <w:top w:val="nil"/>
              <w:left w:val="nil"/>
              <w:bottom w:val="nil"/>
              <w:right w:val="nil"/>
            </w:tcBorders>
            <w:shd w:val="clear" w:color="auto" w:fill="auto"/>
            <w:noWrap/>
            <w:vAlign w:val="bottom"/>
            <w:hideMark/>
          </w:tcPr>
          <w:p w14:paraId="333A9B91" w14:textId="77777777" w:rsidR="00D95DE9" w:rsidRPr="00A86423" w:rsidRDefault="00D95DE9" w:rsidP="00D95DE9">
            <w:pPr>
              <w:spacing w:after="0" w:line="240" w:lineRule="auto"/>
              <w:rPr>
                <w:rFonts w:ascii="Arial" w:hAnsi="Arial" w:cs="Arial"/>
                <w:b/>
                <w:bCs/>
                <w:sz w:val="16"/>
                <w:szCs w:val="16"/>
              </w:rPr>
            </w:pPr>
            <w:r w:rsidRPr="00A86423">
              <w:rPr>
                <w:rFonts w:ascii="Arial" w:hAnsi="Arial" w:cs="Arial"/>
                <w:b/>
                <w:bCs/>
                <w:sz w:val="16"/>
                <w:szCs w:val="16"/>
              </w:rPr>
              <w:t>Total expenses for program 1.1</w:t>
            </w:r>
          </w:p>
        </w:tc>
        <w:tc>
          <w:tcPr>
            <w:tcW w:w="604" w:type="pct"/>
            <w:tcBorders>
              <w:top w:val="single" w:sz="4" w:space="0" w:color="auto"/>
              <w:left w:val="nil"/>
              <w:bottom w:val="single" w:sz="4" w:space="0" w:color="auto"/>
              <w:right w:val="nil"/>
            </w:tcBorders>
            <w:shd w:val="clear" w:color="auto" w:fill="auto"/>
            <w:noWrap/>
            <w:vAlign w:val="bottom"/>
            <w:hideMark/>
          </w:tcPr>
          <w:p w14:paraId="6A6EC9F6" w14:textId="77777777" w:rsidR="00D95DE9" w:rsidRPr="00A86423" w:rsidRDefault="00D95DE9" w:rsidP="00E33831">
            <w:pPr>
              <w:spacing w:after="0" w:line="240" w:lineRule="auto"/>
              <w:jc w:val="right"/>
              <w:rPr>
                <w:rFonts w:ascii="Arial" w:hAnsi="Arial" w:cs="Arial"/>
                <w:b/>
                <w:bCs/>
                <w:sz w:val="16"/>
                <w:szCs w:val="16"/>
              </w:rPr>
            </w:pPr>
            <w:r w:rsidRPr="00A86423">
              <w:rPr>
                <w:rFonts w:ascii="Arial" w:hAnsi="Arial" w:cs="Arial"/>
                <w:b/>
                <w:bCs/>
                <w:sz w:val="16"/>
                <w:szCs w:val="16"/>
              </w:rPr>
              <w:t xml:space="preserve">679,820 </w:t>
            </w:r>
          </w:p>
        </w:tc>
        <w:tc>
          <w:tcPr>
            <w:tcW w:w="569" w:type="pct"/>
            <w:tcBorders>
              <w:top w:val="single" w:sz="4" w:space="0" w:color="auto"/>
              <w:left w:val="nil"/>
              <w:bottom w:val="single" w:sz="4" w:space="0" w:color="auto"/>
              <w:right w:val="nil"/>
            </w:tcBorders>
            <w:shd w:val="clear" w:color="000000" w:fill="E6E6E6"/>
            <w:noWrap/>
            <w:vAlign w:val="bottom"/>
            <w:hideMark/>
          </w:tcPr>
          <w:p w14:paraId="3746DCBA" w14:textId="77777777" w:rsidR="00D95DE9" w:rsidRPr="00A86423" w:rsidRDefault="00D95DE9" w:rsidP="00E33831">
            <w:pPr>
              <w:spacing w:after="0" w:line="240" w:lineRule="auto"/>
              <w:jc w:val="right"/>
              <w:rPr>
                <w:rFonts w:ascii="Arial" w:hAnsi="Arial" w:cs="Arial"/>
                <w:b/>
                <w:bCs/>
                <w:sz w:val="16"/>
                <w:szCs w:val="16"/>
              </w:rPr>
            </w:pPr>
            <w:r w:rsidRPr="00A86423">
              <w:rPr>
                <w:rFonts w:ascii="Arial" w:hAnsi="Arial" w:cs="Arial"/>
                <w:b/>
                <w:bCs/>
                <w:sz w:val="16"/>
                <w:szCs w:val="16"/>
              </w:rPr>
              <w:t xml:space="preserve">674,490 </w:t>
            </w:r>
          </w:p>
        </w:tc>
        <w:tc>
          <w:tcPr>
            <w:tcW w:w="556" w:type="pct"/>
            <w:tcBorders>
              <w:top w:val="single" w:sz="4" w:space="0" w:color="auto"/>
              <w:left w:val="nil"/>
              <w:bottom w:val="single" w:sz="4" w:space="0" w:color="auto"/>
              <w:right w:val="nil"/>
            </w:tcBorders>
            <w:shd w:val="clear" w:color="auto" w:fill="auto"/>
            <w:noWrap/>
            <w:vAlign w:val="bottom"/>
            <w:hideMark/>
          </w:tcPr>
          <w:p w14:paraId="348E96CD" w14:textId="77777777" w:rsidR="00D95DE9" w:rsidRPr="00A86423" w:rsidRDefault="00D95DE9" w:rsidP="00E33831">
            <w:pPr>
              <w:spacing w:after="0" w:line="240" w:lineRule="auto"/>
              <w:jc w:val="right"/>
              <w:rPr>
                <w:rFonts w:ascii="Arial" w:hAnsi="Arial" w:cs="Arial"/>
                <w:b/>
                <w:bCs/>
                <w:sz w:val="16"/>
                <w:szCs w:val="16"/>
              </w:rPr>
            </w:pPr>
            <w:r w:rsidRPr="00A86423">
              <w:rPr>
                <w:rFonts w:ascii="Arial" w:hAnsi="Arial" w:cs="Arial"/>
                <w:b/>
                <w:bCs/>
                <w:sz w:val="16"/>
                <w:szCs w:val="16"/>
              </w:rPr>
              <w:t xml:space="preserve">577,233 </w:t>
            </w:r>
          </w:p>
        </w:tc>
        <w:tc>
          <w:tcPr>
            <w:tcW w:w="556" w:type="pct"/>
            <w:gridSpan w:val="2"/>
            <w:tcBorders>
              <w:top w:val="single" w:sz="4" w:space="0" w:color="auto"/>
              <w:left w:val="nil"/>
              <w:bottom w:val="single" w:sz="4" w:space="0" w:color="auto"/>
              <w:right w:val="nil"/>
            </w:tcBorders>
            <w:shd w:val="clear" w:color="auto" w:fill="auto"/>
            <w:noWrap/>
            <w:vAlign w:val="bottom"/>
            <w:hideMark/>
          </w:tcPr>
          <w:p w14:paraId="5D3BF809" w14:textId="77777777" w:rsidR="00D95DE9" w:rsidRPr="00A86423" w:rsidRDefault="00D95DE9" w:rsidP="00E33831">
            <w:pPr>
              <w:spacing w:after="0" w:line="240" w:lineRule="auto"/>
              <w:jc w:val="right"/>
              <w:rPr>
                <w:rFonts w:ascii="Arial" w:hAnsi="Arial" w:cs="Arial"/>
                <w:b/>
                <w:bCs/>
                <w:sz w:val="16"/>
                <w:szCs w:val="16"/>
              </w:rPr>
            </w:pPr>
            <w:r w:rsidRPr="00A86423">
              <w:rPr>
                <w:rFonts w:ascii="Arial" w:hAnsi="Arial" w:cs="Arial"/>
                <w:b/>
                <w:bCs/>
                <w:sz w:val="16"/>
                <w:szCs w:val="16"/>
              </w:rPr>
              <w:t xml:space="preserve">535,356 </w:t>
            </w:r>
          </w:p>
        </w:tc>
        <w:tc>
          <w:tcPr>
            <w:tcW w:w="602" w:type="pct"/>
            <w:gridSpan w:val="2"/>
            <w:tcBorders>
              <w:top w:val="single" w:sz="4" w:space="0" w:color="auto"/>
              <w:left w:val="nil"/>
              <w:bottom w:val="single" w:sz="4" w:space="0" w:color="auto"/>
              <w:right w:val="nil"/>
            </w:tcBorders>
            <w:shd w:val="clear" w:color="auto" w:fill="auto"/>
            <w:noWrap/>
            <w:vAlign w:val="bottom"/>
            <w:hideMark/>
          </w:tcPr>
          <w:p w14:paraId="60A748A2" w14:textId="77777777" w:rsidR="00D95DE9" w:rsidRPr="00A86423" w:rsidRDefault="00D95DE9" w:rsidP="00E33831">
            <w:pPr>
              <w:spacing w:after="0" w:line="240" w:lineRule="auto"/>
              <w:jc w:val="right"/>
              <w:rPr>
                <w:rFonts w:ascii="Arial" w:hAnsi="Arial" w:cs="Arial"/>
                <w:b/>
                <w:bCs/>
                <w:sz w:val="16"/>
                <w:szCs w:val="16"/>
              </w:rPr>
            </w:pPr>
            <w:r w:rsidRPr="00A86423">
              <w:rPr>
                <w:rFonts w:ascii="Arial" w:hAnsi="Arial" w:cs="Arial"/>
                <w:b/>
                <w:bCs/>
                <w:sz w:val="16"/>
                <w:szCs w:val="16"/>
              </w:rPr>
              <w:t xml:space="preserve">530,224 </w:t>
            </w:r>
          </w:p>
        </w:tc>
      </w:tr>
      <w:tr w:rsidR="00D95DE9" w:rsidRPr="00A86423" w14:paraId="3A4B5879" w14:textId="77777777" w:rsidTr="00CC7D32">
        <w:trPr>
          <w:trHeight w:val="204"/>
        </w:trPr>
        <w:tc>
          <w:tcPr>
            <w:tcW w:w="2718" w:type="pct"/>
            <w:gridSpan w:val="3"/>
            <w:tcBorders>
              <w:top w:val="single" w:sz="4" w:space="0" w:color="auto"/>
              <w:left w:val="nil"/>
              <w:bottom w:val="single" w:sz="4" w:space="0" w:color="auto"/>
              <w:right w:val="nil"/>
            </w:tcBorders>
            <w:shd w:val="clear" w:color="000000" w:fill="E6E6E6"/>
            <w:noWrap/>
            <w:vAlign w:val="bottom"/>
            <w:hideMark/>
          </w:tcPr>
          <w:p w14:paraId="5A13B49D" w14:textId="77777777" w:rsidR="00D95DE9" w:rsidRPr="00A86423" w:rsidRDefault="00D95DE9" w:rsidP="00D95DE9">
            <w:pPr>
              <w:spacing w:after="0" w:line="240" w:lineRule="auto"/>
              <w:rPr>
                <w:rFonts w:ascii="Arial" w:hAnsi="Arial" w:cs="Arial"/>
                <w:b/>
                <w:bCs/>
                <w:sz w:val="16"/>
                <w:szCs w:val="16"/>
              </w:rPr>
            </w:pPr>
            <w:r w:rsidRPr="00A86423">
              <w:rPr>
                <w:rFonts w:ascii="Arial" w:hAnsi="Arial" w:cs="Arial"/>
                <w:b/>
                <w:bCs/>
                <w:sz w:val="16"/>
                <w:szCs w:val="16"/>
              </w:rPr>
              <w:t>Program 1.2: Program Support for Outcome 1</w:t>
            </w:r>
          </w:p>
        </w:tc>
        <w:tc>
          <w:tcPr>
            <w:tcW w:w="569" w:type="pct"/>
            <w:tcBorders>
              <w:top w:val="single" w:sz="4" w:space="0" w:color="auto"/>
              <w:left w:val="nil"/>
              <w:bottom w:val="single" w:sz="4" w:space="0" w:color="auto"/>
              <w:right w:val="nil"/>
            </w:tcBorders>
            <w:shd w:val="clear" w:color="000000" w:fill="E6E6E6"/>
            <w:noWrap/>
            <w:vAlign w:val="bottom"/>
            <w:hideMark/>
          </w:tcPr>
          <w:p w14:paraId="4104E086" w14:textId="77777777" w:rsidR="00D95DE9" w:rsidRPr="00A86423" w:rsidRDefault="00D95DE9" w:rsidP="00D95DE9">
            <w:pPr>
              <w:spacing w:after="0" w:line="240" w:lineRule="auto"/>
              <w:jc w:val="right"/>
              <w:rPr>
                <w:rFonts w:ascii="Arial" w:hAnsi="Arial" w:cs="Arial"/>
                <w:sz w:val="16"/>
                <w:szCs w:val="16"/>
              </w:rPr>
            </w:pPr>
            <w:r w:rsidRPr="00A86423">
              <w:rPr>
                <w:rFonts w:ascii="Arial" w:hAnsi="Arial" w:cs="Arial"/>
                <w:sz w:val="16"/>
                <w:szCs w:val="16"/>
              </w:rPr>
              <w:t> </w:t>
            </w:r>
          </w:p>
        </w:tc>
        <w:tc>
          <w:tcPr>
            <w:tcW w:w="567" w:type="pct"/>
            <w:gridSpan w:val="2"/>
            <w:tcBorders>
              <w:top w:val="single" w:sz="4" w:space="0" w:color="auto"/>
              <w:left w:val="nil"/>
              <w:bottom w:val="single" w:sz="4" w:space="0" w:color="auto"/>
              <w:right w:val="nil"/>
            </w:tcBorders>
            <w:shd w:val="clear" w:color="000000" w:fill="E6E6E6"/>
            <w:noWrap/>
            <w:vAlign w:val="bottom"/>
            <w:hideMark/>
          </w:tcPr>
          <w:p w14:paraId="73264753" w14:textId="77777777" w:rsidR="00D95DE9" w:rsidRPr="00A86423" w:rsidRDefault="00D95DE9" w:rsidP="00D95DE9">
            <w:pPr>
              <w:spacing w:after="0" w:line="240" w:lineRule="auto"/>
              <w:jc w:val="right"/>
              <w:rPr>
                <w:rFonts w:ascii="Arial" w:hAnsi="Arial" w:cs="Arial"/>
                <w:sz w:val="16"/>
                <w:szCs w:val="16"/>
              </w:rPr>
            </w:pPr>
            <w:r w:rsidRPr="00A86423">
              <w:rPr>
                <w:rFonts w:ascii="Arial" w:hAnsi="Arial" w:cs="Arial"/>
                <w:sz w:val="16"/>
                <w:szCs w:val="16"/>
              </w:rPr>
              <w:t> </w:t>
            </w:r>
          </w:p>
        </w:tc>
        <w:tc>
          <w:tcPr>
            <w:tcW w:w="571" w:type="pct"/>
            <w:gridSpan w:val="2"/>
            <w:tcBorders>
              <w:top w:val="single" w:sz="4" w:space="0" w:color="auto"/>
              <w:left w:val="nil"/>
              <w:bottom w:val="single" w:sz="4" w:space="0" w:color="auto"/>
              <w:right w:val="nil"/>
            </w:tcBorders>
            <w:shd w:val="clear" w:color="000000" w:fill="E6E6E6"/>
            <w:noWrap/>
            <w:vAlign w:val="bottom"/>
            <w:hideMark/>
          </w:tcPr>
          <w:p w14:paraId="1E8B2268" w14:textId="77777777" w:rsidR="00D95DE9" w:rsidRPr="00A86423" w:rsidRDefault="00D95DE9" w:rsidP="00D95DE9">
            <w:pPr>
              <w:spacing w:after="0" w:line="240" w:lineRule="auto"/>
              <w:jc w:val="right"/>
              <w:rPr>
                <w:rFonts w:ascii="Arial" w:hAnsi="Arial" w:cs="Arial"/>
                <w:sz w:val="16"/>
                <w:szCs w:val="16"/>
              </w:rPr>
            </w:pPr>
            <w:r w:rsidRPr="00A86423">
              <w:rPr>
                <w:rFonts w:ascii="Arial" w:hAnsi="Arial" w:cs="Arial"/>
                <w:sz w:val="16"/>
                <w:szCs w:val="16"/>
              </w:rPr>
              <w:t> </w:t>
            </w:r>
          </w:p>
        </w:tc>
        <w:tc>
          <w:tcPr>
            <w:tcW w:w="576" w:type="pct"/>
            <w:tcBorders>
              <w:top w:val="single" w:sz="4" w:space="0" w:color="auto"/>
              <w:left w:val="nil"/>
              <w:bottom w:val="single" w:sz="4" w:space="0" w:color="auto"/>
              <w:right w:val="nil"/>
            </w:tcBorders>
            <w:shd w:val="clear" w:color="000000" w:fill="E6E6E6"/>
            <w:noWrap/>
            <w:vAlign w:val="bottom"/>
            <w:hideMark/>
          </w:tcPr>
          <w:p w14:paraId="5AB3AEF2" w14:textId="77777777" w:rsidR="00D95DE9" w:rsidRPr="00A86423" w:rsidRDefault="00D95DE9" w:rsidP="00D95DE9">
            <w:pPr>
              <w:spacing w:after="0" w:line="240" w:lineRule="auto"/>
              <w:jc w:val="right"/>
              <w:rPr>
                <w:rFonts w:ascii="Arial" w:hAnsi="Arial" w:cs="Arial"/>
                <w:sz w:val="16"/>
                <w:szCs w:val="16"/>
              </w:rPr>
            </w:pPr>
            <w:r w:rsidRPr="00A86423">
              <w:rPr>
                <w:rFonts w:ascii="Arial" w:hAnsi="Arial" w:cs="Arial"/>
                <w:sz w:val="16"/>
                <w:szCs w:val="16"/>
              </w:rPr>
              <w:t> </w:t>
            </w:r>
          </w:p>
        </w:tc>
      </w:tr>
      <w:tr w:rsidR="00D95DE9" w:rsidRPr="00A86423" w14:paraId="23522965" w14:textId="77777777" w:rsidTr="00CC7D32">
        <w:trPr>
          <w:trHeight w:val="204"/>
        </w:trPr>
        <w:tc>
          <w:tcPr>
            <w:tcW w:w="2106" w:type="pct"/>
            <w:tcBorders>
              <w:top w:val="nil"/>
              <w:left w:val="nil"/>
              <w:bottom w:val="nil"/>
              <w:right w:val="nil"/>
            </w:tcBorders>
            <w:shd w:val="clear" w:color="auto" w:fill="auto"/>
            <w:noWrap/>
            <w:vAlign w:val="bottom"/>
            <w:hideMark/>
          </w:tcPr>
          <w:p w14:paraId="778DFCA2" w14:textId="77777777" w:rsidR="00D95DE9" w:rsidRPr="00A86423" w:rsidRDefault="00D95DE9" w:rsidP="00D95DE9">
            <w:pPr>
              <w:spacing w:after="0" w:line="240" w:lineRule="auto"/>
              <w:rPr>
                <w:rFonts w:ascii="Arial" w:hAnsi="Arial" w:cs="Arial"/>
                <w:sz w:val="16"/>
                <w:szCs w:val="16"/>
              </w:rPr>
            </w:pPr>
            <w:r w:rsidRPr="00A86423">
              <w:rPr>
                <w:rFonts w:ascii="Arial" w:hAnsi="Arial" w:cs="Arial"/>
                <w:sz w:val="16"/>
                <w:szCs w:val="16"/>
              </w:rPr>
              <w:t>Departmental expenses</w:t>
            </w:r>
          </w:p>
        </w:tc>
        <w:tc>
          <w:tcPr>
            <w:tcW w:w="612" w:type="pct"/>
            <w:gridSpan w:val="2"/>
            <w:tcBorders>
              <w:top w:val="nil"/>
              <w:left w:val="nil"/>
              <w:bottom w:val="nil"/>
              <w:right w:val="nil"/>
            </w:tcBorders>
            <w:shd w:val="clear" w:color="auto" w:fill="auto"/>
            <w:noWrap/>
            <w:vAlign w:val="bottom"/>
            <w:hideMark/>
          </w:tcPr>
          <w:p w14:paraId="1D21DB86" w14:textId="77777777" w:rsidR="00D95DE9" w:rsidRPr="00A86423" w:rsidRDefault="00D95DE9" w:rsidP="00E33831">
            <w:pPr>
              <w:spacing w:after="0" w:line="240" w:lineRule="auto"/>
              <w:jc w:val="right"/>
              <w:rPr>
                <w:rFonts w:ascii="Arial" w:hAnsi="Arial" w:cs="Arial"/>
                <w:sz w:val="16"/>
                <w:szCs w:val="16"/>
              </w:rPr>
            </w:pPr>
          </w:p>
        </w:tc>
        <w:tc>
          <w:tcPr>
            <w:tcW w:w="569" w:type="pct"/>
            <w:tcBorders>
              <w:top w:val="nil"/>
              <w:left w:val="nil"/>
              <w:bottom w:val="nil"/>
              <w:right w:val="nil"/>
            </w:tcBorders>
            <w:shd w:val="clear" w:color="000000" w:fill="E6E6E6"/>
            <w:noWrap/>
            <w:vAlign w:val="bottom"/>
            <w:hideMark/>
          </w:tcPr>
          <w:p w14:paraId="36EF6325" w14:textId="72DCAEEE" w:rsidR="00D95DE9" w:rsidRPr="00A86423" w:rsidRDefault="00D95DE9" w:rsidP="00E33831">
            <w:pPr>
              <w:spacing w:after="0" w:line="240" w:lineRule="auto"/>
              <w:jc w:val="right"/>
              <w:rPr>
                <w:rFonts w:ascii="Arial" w:hAnsi="Arial" w:cs="Arial"/>
                <w:sz w:val="16"/>
                <w:szCs w:val="16"/>
              </w:rPr>
            </w:pPr>
          </w:p>
        </w:tc>
        <w:tc>
          <w:tcPr>
            <w:tcW w:w="567" w:type="pct"/>
            <w:gridSpan w:val="2"/>
            <w:tcBorders>
              <w:top w:val="nil"/>
              <w:left w:val="nil"/>
              <w:bottom w:val="nil"/>
              <w:right w:val="nil"/>
            </w:tcBorders>
            <w:shd w:val="clear" w:color="auto" w:fill="auto"/>
            <w:noWrap/>
            <w:vAlign w:val="bottom"/>
            <w:hideMark/>
          </w:tcPr>
          <w:p w14:paraId="18BB5684" w14:textId="77777777" w:rsidR="00D95DE9" w:rsidRPr="00A86423" w:rsidRDefault="00D95DE9" w:rsidP="00E33831">
            <w:pPr>
              <w:spacing w:after="0" w:line="240" w:lineRule="auto"/>
              <w:jc w:val="right"/>
              <w:rPr>
                <w:rFonts w:ascii="Arial" w:hAnsi="Arial" w:cs="Arial"/>
                <w:sz w:val="16"/>
                <w:szCs w:val="16"/>
              </w:rPr>
            </w:pPr>
          </w:p>
        </w:tc>
        <w:tc>
          <w:tcPr>
            <w:tcW w:w="571" w:type="pct"/>
            <w:gridSpan w:val="2"/>
            <w:tcBorders>
              <w:top w:val="nil"/>
              <w:left w:val="nil"/>
              <w:bottom w:val="nil"/>
              <w:right w:val="nil"/>
            </w:tcBorders>
            <w:shd w:val="clear" w:color="auto" w:fill="auto"/>
            <w:noWrap/>
            <w:vAlign w:val="bottom"/>
            <w:hideMark/>
          </w:tcPr>
          <w:p w14:paraId="65F2B1C9" w14:textId="77777777" w:rsidR="00D95DE9" w:rsidRPr="00A86423" w:rsidRDefault="00D95DE9" w:rsidP="00E33831">
            <w:pPr>
              <w:spacing w:after="0" w:line="240" w:lineRule="auto"/>
              <w:jc w:val="right"/>
              <w:rPr>
                <w:rFonts w:ascii="Arial" w:hAnsi="Arial" w:cs="Arial"/>
                <w:sz w:val="16"/>
                <w:szCs w:val="16"/>
              </w:rPr>
            </w:pPr>
          </w:p>
        </w:tc>
        <w:tc>
          <w:tcPr>
            <w:tcW w:w="576" w:type="pct"/>
            <w:tcBorders>
              <w:top w:val="nil"/>
              <w:left w:val="nil"/>
              <w:bottom w:val="nil"/>
              <w:right w:val="nil"/>
            </w:tcBorders>
            <w:shd w:val="clear" w:color="auto" w:fill="auto"/>
            <w:noWrap/>
            <w:vAlign w:val="bottom"/>
            <w:hideMark/>
          </w:tcPr>
          <w:p w14:paraId="2A9B4FD3" w14:textId="77777777" w:rsidR="00D95DE9" w:rsidRPr="00A86423" w:rsidRDefault="00D95DE9" w:rsidP="00E33831">
            <w:pPr>
              <w:spacing w:after="0" w:line="240" w:lineRule="auto"/>
              <w:jc w:val="right"/>
              <w:rPr>
                <w:rFonts w:ascii="Arial" w:hAnsi="Arial" w:cs="Arial"/>
                <w:sz w:val="16"/>
                <w:szCs w:val="16"/>
              </w:rPr>
            </w:pPr>
          </w:p>
        </w:tc>
      </w:tr>
      <w:tr w:rsidR="00D95DE9" w:rsidRPr="00A86423" w14:paraId="5262B6E5" w14:textId="77777777" w:rsidTr="00CC7D32">
        <w:trPr>
          <w:trHeight w:val="204"/>
        </w:trPr>
        <w:tc>
          <w:tcPr>
            <w:tcW w:w="2106" w:type="pct"/>
            <w:tcBorders>
              <w:top w:val="nil"/>
              <w:left w:val="nil"/>
              <w:bottom w:val="nil"/>
              <w:right w:val="nil"/>
            </w:tcBorders>
            <w:shd w:val="clear" w:color="auto" w:fill="auto"/>
            <w:vAlign w:val="bottom"/>
            <w:hideMark/>
          </w:tcPr>
          <w:p w14:paraId="220AD612" w14:textId="77777777" w:rsidR="00D95DE9" w:rsidRPr="00A86423" w:rsidRDefault="00D95DE9" w:rsidP="00E33831">
            <w:pPr>
              <w:spacing w:after="0" w:line="240" w:lineRule="auto"/>
              <w:ind w:left="113"/>
              <w:rPr>
                <w:rFonts w:ascii="Arial" w:hAnsi="Arial" w:cs="Arial"/>
                <w:sz w:val="16"/>
                <w:szCs w:val="16"/>
              </w:rPr>
            </w:pPr>
            <w:r w:rsidRPr="00A86423">
              <w:rPr>
                <w:rFonts w:ascii="Arial" w:hAnsi="Arial" w:cs="Arial"/>
                <w:sz w:val="16"/>
                <w:szCs w:val="16"/>
              </w:rPr>
              <w:t>Departmental appropriation</w:t>
            </w:r>
          </w:p>
        </w:tc>
        <w:tc>
          <w:tcPr>
            <w:tcW w:w="612" w:type="pct"/>
            <w:gridSpan w:val="2"/>
            <w:tcBorders>
              <w:top w:val="nil"/>
              <w:left w:val="nil"/>
              <w:bottom w:val="nil"/>
              <w:right w:val="nil"/>
            </w:tcBorders>
            <w:shd w:val="clear" w:color="auto" w:fill="auto"/>
            <w:noWrap/>
            <w:vAlign w:val="bottom"/>
            <w:hideMark/>
          </w:tcPr>
          <w:p w14:paraId="14C323DE" w14:textId="172FE144"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86,943</w:t>
            </w:r>
          </w:p>
        </w:tc>
        <w:tc>
          <w:tcPr>
            <w:tcW w:w="569" w:type="pct"/>
            <w:tcBorders>
              <w:top w:val="nil"/>
              <w:left w:val="nil"/>
              <w:bottom w:val="nil"/>
              <w:right w:val="nil"/>
            </w:tcBorders>
            <w:shd w:val="clear" w:color="000000" w:fill="E6E6E6"/>
            <w:noWrap/>
            <w:vAlign w:val="bottom"/>
            <w:hideMark/>
          </w:tcPr>
          <w:p w14:paraId="1D43BF63" w14:textId="22E1AA79"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79,198</w:t>
            </w:r>
          </w:p>
        </w:tc>
        <w:tc>
          <w:tcPr>
            <w:tcW w:w="567" w:type="pct"/>
            <w:gridSpan w:val="2"/>
            <w:tcBorders>
              <w:top w:val="nil"/>
              <w:left w:val="nil"/>
              <w:bottom w:val="nil"/>
              <w:right w:val="nil"/>
            </w:tcBorders>
            <w:shd w:val="clear" w:color="auto" w:fill="auto"/>
            <w:noWrap/>
            <w:vAlign w:val="bottom"/>
            <w:hideMark/>
          </w:tcPr>
          <w:p w14:paraId="4B11F43C" w14:textId="4655A359"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61,533</w:t>
            </w:r>
          </w:p>
        </w:tc>
        <w:tc>
          <w:tcPr>
            <w:tcW w:w="571" w:type="pct"/>
            <w:gridSpan w:val="2"/>
            <w:tcBorders>
              <w:top w:val="nil"/>
              <w:left w:val="nil"/>
              <w:bottom w:val="nil"/>
              <w:right w:val="nil"/>
            </w:tcBorders>
            <w:shd w:val="clear" w:color="auto" w:fill="auto"/>
            <w:noWrap/>
            <w:vAlign w:val="bottom"/>
            <w:hideMark/>
          </w:tcPr>
          <w:p w14:paraId="0AD36F47" w14:textId="5E685A6F"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61,438</w:t>
            </w:r>
          </w:p>
        </w:tc>
        <w:tc>
          <w:tcPr>
            <w:tcW w:w="576" w:type="pct"/>
            <w:tcBorders>
              <w:top w:val="nil"/>
              <w:left w:val="nil"/>
              <w:bottom w:val="nil"/>
              <w:right w:val="nil"/>
            </w:tcBorders>
            <w:shd w:val="clear" w:color="auto" w:fill="auto"/>
            <w:noWrap/>
            <w:vAlign w:val="bottom"/>
            <w:hideMark/>
          </w:tcPr>
          <w:p w14:paraId="6C60A339" w14:textId="64622AA4"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58,703</w:t>
            </w:r>
          </w:p>
        </w:tc>
      </w:tr>
      <w:tr w:rsidR="00D95DE9" w:rsidRPr="00A86423" w14:paraId="72E94223" w14:textId="77777777" w:rsidTr="00CC7D32">
        <w:trPr>
          <w:trHeight w:val="204"/>
        </w:trPr>
        <w:tc>
          <w:tcPr>
            <w:tcW w:w="2106" w:type="pct"/>
            <w:tcBorders>
              <w:top w:val="nil"/>
              <w:left w:val="nil"/>
              <w:bottom w:val="nil"/>
              <w:right w:val="nil"/>
            </w:tcBorders>
            <w:shd w:val="clear" w:color="auto" w:fill="auto"/>
            <w:vAlign w:val="bottom"/>
            <w:hideMark/>
          </w:tcPr>
          <w:p w14:paraId="356C5BAE" w14:textId="75F086DF" w:rsidR="00D95DE9" w:rsidRPr="00A86423" w:rsidRDefault="00D95DE9" w:rsidP="00E33831">
            <w:pPr>
              <w:spacing w:after="0" w:line="240" w:lineRule="auto"/>
              <w:ind w:left="113"/>
              <w:rPr>
                <w:rFonts w:ascii="Arial" w:hAnsi="Arial" w:cs="Arial"/>
                <w:sz w:val="16"/>
                <w:szCs w:val="16"/>
              </w:rPr>
            </w:pPr>
            <w:r w:rsidRPr="00A86423">
              <w:rPr>
                <w:rFonts w:ascii="Arial" w:hAnsi="Arial" w:cs="Arial"/>
                <w:sz w:val="16"/>
                <w:szCs w:val="16"/>
              </w:rPr>
              <w:t>Expenses not requiring appropriation in the Budget year</w:t>
            </w:r>
            <w:r w:rsidRPr="00A86423">
              <w:rPr>
                <w:rFonts w:ascii="Arial" w:hAnsi="Arial" w:cs="Arial"/>
                <w:sz w:val="16"/>
                <w:szCs w:val="16"/>
                <w:vertAlign w:val="superscript"/>
              </w:rPr>
              <w:t>(</w:t>
            </w:r>
            <w:r w:rsidR="0000369A">
              <w:rPr>
                <w:rFonts w:ascii="Arial" w:hAnsi="Arial" w:cs="Arial"/>
                <w:sz w:val="16"/>
                <w:szCs w:val="16"/>
                <w:vertAlign w:val="superscript"/>
              </w:rPr>
              <w:t>c</w:t>
            </w:r>
            <w:r w:rsidRPr="00A86423">
              <w:rPr>
                <w:rFonts w:ascii="Arial" w:hAnsi="Arial" w:cs="Arial"/>
                <w:sz w:val="16"/>
                <w:szCs w:val="16"/>
                <w:vertAlign w:val="superscript"/>
              </w:rPr>
              <w:t>)</w:t>
            </w:r>
          </w:p>
        </w:tc>
        <w:tc>
          <w:tcPr>
            <w:tcW w:w="612" w:type="pct"/>
            <w:gridSpan w:val="2"/>
            <w:tcBorders>
              <w:top w:val="nil"/>
              <w:left w:val="nil"/>
              <w:bottom w:val="nil"/>
              <w:right w:val="nil"/>
            </w:tcBorders>
            <w:shd w:val="clear" w:color="auto" w:fill="auto"/>
            <w:noWrap/>
            <w:vAlign w:val="bottom"/>
            <w:hideMark/>
          </w:tcPr>
          <w:p w14:paraId="1905F190" w14:textId="19EE6317"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2,945</w:t>
            </w:r>
          </w:p>
        </w:tc>
        <w:tc>
          <w:tcPr>
            <w:tcW w:w="569" w:type="pct"/>
            <w:tcBorders>
              <w:top w:val="nil"/>
              <w:left w:val="nil"/>
              <w:bottom w:val="nil"/>
              <w:right w:val="nil"/>
            </w:tcBorders>
            <w:shd w:val="clear" w:color="000000" w:fill="E6E6E6"/>
            <w:noWrap/>
            <w:vAlign w:val="bottom"/>
            <w:hideMark/>
          </w:tcPr>
          <w:p w14:paraId="1410E281" w14:textId="695C2D77"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w:t>
            </w:r>
          </w:p>
        </w:tc>
        <w:tc>
          <w:tcPr>
            <w:tcW w:w="567" w:type="pct"/>
            <w:gridSpan w:val="2"/>
            <w:tcBorders>
              <w:top w:val="nil"/>
              <w:left w:val="nil"/>
              <w:bottom w:val="nil"/>
              <w:right w:val="nil"/>
            </w:tcBorders>
            <w:shd w:val="clear" w:color="auto" w:fill="auto"/>
            <w:noWrap/>
            <w:vAlign w:val="bottom"/>
            <w:hideMark/>
          </w:tcPr>
          <w:p w14:paraId="66CE2363" w14:textId="10490C58"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w:t>
            </w:r>
          </w:p>
        </w:tc>
        <w:tc>
          <w:tcPr>
            <w:tcW w:w="571" w:type="pct"/>
            <w:gridSpan w:val="2"/>
            <w:tcBorders>
              <w:top w:val="nil"/>
              <w:left w:val="nil"/>
              <w:bottom w:val="nil"/>
              <w:right w:val="nil"/>
            </w:tcBorders>
            <w:shd w:val="clear" w:color="auto" w:fill="auto"/>
            <w:noWrap/>
            <w:vAlign w:val="bottom"/>
            <w:hideMark/>
          </w:tcPr>
          <w:p w14:paraId="0D307378" w14:textId="5D6B44D6"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w:t>
            </w:r>
          </w:p>
        </w:tc>
        <w:tc>
          <w:tcPr>
            <w:tcW w:w="576" w:type="pct"/>
            <w:tcBorders>
              <w:top w:val="nil"/>
              <w:left w:val="nil"/>
              <w:bottom w:val="nil"/>
              <w:right w:val="nil"/>
            </w:tcBorders>
            <w:shd w:val="clear" w:color="auto" w:fill="auto"/>
            <w:noWrap/>
            <w:vAlign w:val="bottom"/>
            <w:hideMark/>
          </w:tcPr>
          <w:p w14:paraId="16CA88A8" w14:textId="773CC0C5"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w:t>
            </w:r>
          </w:p>
        </w:tc>
      </w:tr>
      <w:tr w:rsidR="00D95DE9" w:rsidRPr="00A86423" w14:paraId="3A45EDE2" w14:textId="77777777" w:rsidTr="00CC7D32">
        <w:trPr>
          <w:trHeight w:val="204"/>
        </w:trPr>
        <w:tc>
          <w:tcPr>
            <w:tcW w:w="2106" w:type="pct"/>
            <w:tcBorders>
              <w:top w:val="nil"/>
              <w:left w:val="nil"/>
              <w:bottom w:val="nil"/>
              <w:right w:val="nil"/>
            </w:tcBorders>
            <w:shd w:val="clear" w:color="auto" w:fill="auto"/>
            <w:noWrap/>
            <w:vAlign w:val="bottom"/>
            <w:hideMark/>
          </w:tcPr>
          <w:p w14:paraId="799B1FE3" w14:textId="77777777" w:rsidR="00D95DE9" w:rsidRPr="00A86423" w:rsidRDefault="00D95DE9" w:rsidP="00D95DE9">
            <w:pPr>
              <w:spacing w:after="0" w:line="240" w:lineRule="auto"/>
              <w:rPr>
                <w:rFonts w:ascii="Arial" w:hAnsi="Arial" w:cs="Arial"/>
                <w:b/>
                <w:bCs/>
                <w:sz w:val="16"/>
                <w:szCs w:val="16"/>
              </w:rPr>
            </w:pPr>
            <w:r w:rsidRPr="00A86423">
              <w:rPr>
                <w:rFonts w:ascii="Arial" w:hAnsi="Arial" w:cs="Arial"/>
                <w:b/>
                <w:bCs/>
                <w:sz w:val="16"/>
                <w:szCs w:val="16"/>
              </w:rPr>
              <w:t>Total expenses for program 1.2</w:t>
            </w:r>
          </w:p>
        </w:tc>
        <w:tc>
          <w:tcPr>
            <w:tcW w:w="612" w:type="pct"/>
            <w:gridSpan w:val="2"/>
            <w:tcBorders>
              <w:top w:val="single" w:sz="4" w:space="0" w:color="auto"/>
              <w:left w:val="nil"/>
              <w:bottom w:val="single" w:sz="4" w:space="0" w:color="auto"/>
              <w:right w:val="nil"/>
            </w:tcBorders>
            <w:shd w:val="clear" w:color="auto" w:fill="auto"/>
            <w:noWrap/>
            <w:vAlign w:val="bottom"/>
            <w:hideMark/>
          </w:tcPr>
          <w:p w14:paraId="4F234C50" w14:textId="70BC4F82" w:rsidR="00D95DE9" w:rsidRPr="00A86423" w:rsidRDefault="00D95DE9" w:rsidP="00E33831">
            <w:pPr>
              <w:spacing w:after="0" w:line="240" w:lineRule="auto"/>
              <w:jc w:val="right"/>
              <w:rPr>
                <w:rFonts w:ascii="Arial" w:hAnsi="Arial" w:cs="Arial"/>
                <w:b/>
                <w:bCs/>
                <w:sz w:val="16"/>
                <w:szCs w:val="16"/>
              </w:rPr>
            </w:pPr>
            <w:r w:rsidRPr="00A86423">
              <w:rPr>
                <w:rFonts w:ascii="Arial" w:hAnsi="Arial" w:cs="Arial"/>
                <w:b/>
                <w:bCs/>
                <w:sz w:val="16"/>
                <w:szCs w:val="16"/>
              </w:rPr>
              <w:t>89,888</w:t>
            </w:r>
          </w:p>
        </w:tc>
        <w:tc>
          <w:tcPr>
            <w:tcW w:w="569" w:type="pct"/>
            <w:tcBorders>
              <w:top w:val="single" w:sz="4" w:space="0" w:color="auto"/>
              <w:left w:val="nil"/>
              <w:bottom w:val="single" w:sz="4" w:space="0" w:color="auto"/>
              <w:right w:val="nil"/>
            </w:tcBorders>
            <w:shd w:val="clear" w:color="000000" w:fill="E6E6E6"/>
            <w:noWrap/>
            <w:vAlign w:val="bottom"/>
            <w:hideMark/>
          </w:tcPr>
          <w:p w14:paraId="183374DA" w14:textId="03431781" w:rsidR="00D95DE9" w:rsidRPr="00A86423" w:rsidRDefault="00D95DE9" w:rsidP="00E33831">
            <w:pPr>
              <w:spacing w:after="0" w:line="240" w:lineRule="auto"/>
              <w:jc w:val="right"/>
              <w:rPr>
                <w:rFonts w:ascii="Arial" w:hAnsi="Arial" w:cs="Arial"/>
                <w:b/>
                <w:bCs/>
                <w:sz w:val="16"/>
                <w:szCs w:val="16"/>
              </w:rPr>
            </w:pPr>
            <w:r w:rsidRPr="00A86423">
              <w:rPr>
                <w:rFonts w:ascii="Arial" w:hAnsi="Arial" w:cs="Arial"/>
                <w:b/>
                <w:bCs/>
                <w:sz w:val="16"/>
                <w:szCs w:val="16"/>
              </w:rPr>
              <w:t>79,198</w:t>
            </w:r>
          </w:p>
        </w:tc>
        <w:tc>
          <w:tcPr>
            <w:tcW w:w="567" w:type="pct"/>
            <w:gridSpan w:val="2"/>
            <w:tcBorders>
              <w:top w:val="single" w:sz="4" w:space="0" w:color="auto"/>
              <w:left w:val="nil"/>
              <w:bottom w:val="single" w:sz="4" w:space="0" w:color="auto"/>
              <w:right w:val="nil"/>
            </w:tcBorders>
            <w:shd w:val="clear" w:color="auto" w:fill="auto"/>
            <w:noWrap/>
            <w:vAlign w:val="bottom"/>
            <w:hideMark/>
          </w:tcPr>
          <w:p w14:paraId="0916963B" w14:textId="3FE96B48" w:rsidR="00D95DE9" w:rsidRPr="00A86423" w:rsidRDefault="00D95DE9" w:rsidP="00E33831">
            <w:pPr>
              <w:spacing w:after="0" w:line="240" w:lineRule="auto"/>
              <w:jc w:val="right"/>
              <w:rPr>
                <w:rFonts w:ascii="Arial" w:hAnsi="Arial" w:cs="Arial"/>
                <w:b/>
                <w:bCs/>
                <w:sz w:val="16"/>
                <w:szCs w:val="16"/>
              </w:rPr>
            </w:pPr>
            <w:r w:rsidRPr="00A86423">
              <w:rPr>
                <w:rFonts w:ascii="Arial" w:hAnsi="Arial" w:cs="Arial"/>
                <w:b/>
                <w:bCs/>
                <w:sz w:val="16"/>
                <w:szCs w:val="16"/>
              </w:rPr>
              <w:t>61,533</w:t>
            </w:r>
          </w:p>
        </w:tc>
        <w:tc>
          <w:tcPr>
            <w:tcW w:w="571" w:type="pct"/>
            <w:gridSpan w:val="2"/>
            <w:tcBorders>
              <w:top w:val="single" w:sz="4" w:space="0" w:color="auto"/>
              <w:left w:val="nil"/>
              <w:bottom w:val="single" w:sz="4" w:space="0" w:color="auto"/>
              <w:right w:val="nil"/>
            </w:tcBorders>
            <w:shd w:val="clear" w:color="auto" w:fill="auto"/>
            <w:noWrap/>
            <w:vAlign w:val="bottom"/>
            <w:hideMark/>
          </w:tcPr>
          <w:p w14:paraId="428E1067" w14:textId="78C58491" w:rsidR="00D95DE9" w:rsidRPr="00A86423" w:rsidRDefault="00D95DE9" w:rsidP="00E33831">
            <w:pPr>
              <w:spacing w:after="0" w:line="240" w:lineRule="auto"/>
              <w:jc w:val="right"/>
              <w:rPr>
                <w:rFonts w:ascii="Arial" w:hAnsi="Arial" w:cs="Arial"/>
                <w:b/>
                <w:bCs/>
                <w:sz w:val="16"/>
                <w:szCs w:val="16"/>
              </w:rPr>
            </w:pPr>
            <w:r w:rsidRPr="00A86423">
              <w:rPr>
                <w:rFonts w:ascii="Arial" w:hAnsi="Arial" w:cs="Arial"/>
                <w:b/>
                <w:bCs/>
                <w:sz w:val="16"/>
                <w:szCs w:val="16"/>
              </w:rPr>
              <w:t>61,438</w:t>
            </w:r>
          </w:p>
        </w:tc>
        <w:tc>
          <w:tcPr>
            <w:tcW w:w="576" w:type="pct"/>
            <w:tcBorders>
              <w:top w:val="single" w:sz="4" w:space="0" w:color="auto"/>
              <w:left w:val="nil"/>
              <w:bottom w:val="single" w:sz="4" w:space="0" w:color="auto"/>
              <w:right w:val="nil"/>
            </w:tcBorders>
            <w:shd w:val="clear" w:color="auto" w:fill="auto"/>
            <w:noWrap/>
            <w:vAlign w:val="bottom"/>
            <w:hideMark/>
          </w:tcPr>
          <w:p w14:paraId="5F181762" w14:textId="4C7BB698" w:rsidR="00D95DE9" w:rsidRPr="00A86423" w:rsidRDefault="00D95DE9" w:rsidP="00E33831">
            <w:pPr>
              <w:spacing w:after="0" w:line="240" w:lineRule="auto"/>
              <w:jc w:val="right"/>
              <w:rPr>
                <w:rFonts w:ascii="Arial" w:hAnsi="Arial" w:cs="Arial"/>
                <w:b/>
                <w:bCs/>
                <w:sz w:val="16"/>
                <w:szCs w:val="16"/>
              </w:rPr>
            </w:pPr>
            <w:r w:rsidRPr="00A86423">
              <w:rPr>
                <w:rFonts w:ascii="Arial" w:hAnsi="Arial" w:cs="Arial"/>
                <w:b/>
                <w:bCs/>
                <w:sz w:val="16"/>
                <w:szCs w:val="16"/>
              </w:rPr>
              <w:t>58,703</w:t>
            </w:r>
          </w:p>
        </w:tc>
      </w:tr>
      <w:tr w:rsidR="00D95DE9" w:rsidRPr="00A86423" w14:paraId="4934557B" w14:textId="77777777" w:rsidTr="00CC7D32">
        <w:trPr>
          <w:trHeight w:val="204"/>
        </w:trPr>
        <w:tc>
          <w:tcPr>
            <w:tcW w:w="2718" w:type="pct"/>
            <w:gridSpan w:val="3"/>
            <w:tcBorders>
              <w:top w:val="single" w:sz="4" w:space="0" w:color="auto"/>
              <w:left w:val="nil"/>
              <w:bottom w:val="single" w:sz="4" w:space="0" w:color="auto"/>
              <w:right w:val="nil"/>
            </w:tcBorders>
            <w:shd w:val="clear" w:color="000000" w:fill="E6E6E6"/>
            <w:noWrap/>
            <w:vAlign w:val="bottom"/>
            <w:hideMark/>
          </w:tcPr>
          <w:p w14:paraId="0D7AE5F8" w14:textId="77777777" w:rsidR="00D95DE9" w:rsidRPr="00A86423" w:rsidRDefault="00D95DE9" w:rsidP="00D95DE9">
            <w:pPr>
              <w:spacing w:after="0" w:line="240" w:lineRule="auto"/>
              <w:rPr>
                <w:rFonts w:ascii="Arial" w:hAnsi="Arial" w:cs="Arial"/>
                <w:b/>
                <w:bCs/>
                <w:sz w:val="16"/>
                <w:szCs w:val="16"/>
              </w:rPr>
            </w:pPr>
            <w:r w:rsidRPr="00A86423">
              <w:rPr>
                <w:rFonts w:ascii="Arial" w:hAnsi="Arial" w:cs="Arial"/>
                <w:b/>
                <w:bCs/>
                <w:sz w:val="16"/>
                <w:szCs w:val="16"/>
              </w:rPr>
              <w:t>Outcome 1 Totals by appropriation type</w:t>
            </w:r>
          </w:p>
        </w:tc>
        <w:tc>
          <w:tcPr>
            <w:tcW w:w="569" w:type="pct"/>
            <w:tcBorders>
              <w:top w:val="single" w:sz="4" w:space="0" w:color="auto"/>
              <w:left w:val="nil"/>
              <w:bottom w:val="single" w:sz="4" w:space="0" w:color="auto"/>
              <w:right w:val="nil"/>
            </w:tcBorders>
            <w:shd w:val="clear" w:color="000000" w:fill="E6E6E6"/>
            <w:noWrap/>
            <w:vAlign w:val="bottom"/>
            <w:hideMark/>
          </w:tcPr>
          <w:p w14:paraId="3ED51863" w14:textId="77777777" w:rsidR="00D95DE9" w:rsidRPr="00A86423" w:rsidRDefault="00D95DE9" w:rsidP="00D95DE9">
            <w:pPr>
              <w:spacing w:after="0" w:line="240" w:lineRule="auto"/>
              <w:jc w:val="right"/>
              <w:rPr>
                <w:rFonts w:ascii="Arial" w:hAnsi="Arial" w:cs="Arial"/>
                <w:sz w:val="16"/>
                <w:szCs w:val="16"/>
              </w:rPr>
            </w:pPr>
            <w:r w:rsidRPr="00A86423">
              <w:rPr>
                <w:rFonts w:ascii="Arial" w:hAnsi="Arial" w:cs="Arial"/>
                <w:sz w:val="16"/>
                <w:szCs w:val="16"/>
              </w:rPr>
              <w:t> </w:t>
            </w:r>
          </w:p>
        </w:tc>
        <w:tc>
          <w:tcPr>
            <w:tcW w:w="567" w:type="pct"/>
            <w:gridSpan w:val="2"/>
            <w:tcBorders>
              <w:top w:val="single" w:sz="4" w:space="0" w:color="auto"/>
              <w:left w:val="nil"/>
              <w:bottom w:val="single" w:sz="4" w:space="0" w:color="auto"/>
              <w:right w:val="nil"/>
            </w:tcBorders>
            <w:shd w:val="clear" w:color="000000" w:fill="E6E6E6"/>
            <w:noWrap/>
            <w:vAlign w:val="bottom"/>
            <w:hideMark/>
          </w:tcPr>
          <w:p w14:paraId="10156EC7" w14:textId="77777777" w:rsidR="00D95DE9" w:rsidRPr="00A86423" w:rsidRDefault="00D95DE9" w:rsidP="00D95DE9">
            <w:pPr>
              <w:spacing w:after="0" w:line="240" w:lineRule="auto"/>
              <w:jc w:val="right"/>
              <w:rPr>
                <w:rFonts w:ascii="Arial" w:hAnsi="Arial" w:cs="Arial"/>
                <w:sz w:val="16"/>
                <w:szCs w:val="16"/>
              </w:rPr>
            </w:pPr>
            <w:r w:rsidRPr="00A86423">
              <w:rPr>
                <w:rFonts w:ascii="Arial" w:hAnsi="Arial" w:cs="Arial"/>
                <w:sz w:val="16"/>
                <w:szCs w:val="16"/>
              </w:rPr>
              <w:t> </w:t>
            </w:r>
          </w:p>
        </w:tc>
        <w:tc>
          <w:tcPr>
            <w:tcW w:w="571" w:type="pct"/>
            <w:gridSpan w:val="2"/>
            <w:tcBorders>
              <w:top w:val="single" w:sz="4" w:space="0" w:color="auto"/>
              <w:left w:val="nil"/>
              <w:bottom w:val="single" w:sz="4" w:space="0" w:color="auto"/>
              <w:right w:val="nil"/>
            </w:tcBorders>
            <w:shd w:val="clear" w:color="000000" w:fill="E6E6E6"/>
            <w:noWrap/>
            <w:vAlign w:val="bottom"/>
            <w:hideMark/>
          </w:tcPr>
          <w:p w14:paraId="21476F7C" w14:textId="77777777" w:rsidR="00D95DE9" w:rsidRPr="00A86423" w:rsidRDefault="00D95DE9" w:rsidP="00D95DE9">
            <w:pPr>
              <w:spacing w:after="0" w:line="240" w:lineRule="auto"/>
              <w:jc w:val="right"/>
              <w:rPr>
                <w:rFonts w:ascii="Arial" w:hAnsi="Arial" w:cs="Arial"/>
                <w:sz w:val="16"/>
                <w:szCs w:val="16"/>
              </w:rPr>
            </w:pPr>
            <w:r w:rsidRPr="00A86423">
              <w:rPr>
                <w:rFonts w:ascii="Arial" w:hAnsi="Arial" w:cs="Arial"/>
                <w:sz w:val="16"/>
                <w:szCs w:val="16"/>
              </w:rPr>
              <w:t> </w:t>
            </w:r>
          </w:p>
        </w:tc>
        <w:tc>
          <w:tcPr>
            <w:tcW w:w="576" w:type="pct"/>
            <w:tcBorders>
              <w:top w:val="single" w:sz="4" w:space="0" w:color="auto"/>
              <w:left w:val="nil"/>
              <w:bottom w:val="single" w:sz="4" w:space="0" w:color="auto"/>
              <w:right w:val="nil"/>
            </w:tcBorders>
            <w:shd w:val="clear" w:color="000000" w:fill="E6E6E6"/>
            <w:noWrap/>
            <w:vAlign w:val="bottom"/>
            <w:hideMark/>
          </w:tcPr>
          <w:p w14:paraId="4C8C9B72" w14:textId="77777777" w:rsidR="00D95DE9" w:rsidRPr="00A86423" w:rsidRDefault="00D95DE9" w:rsidP="00D95DE9">
            <w:pPr>
              <w:spacing w:after="0" w:line="240" w:lineRule="auto"/>
              <w:jc w:val="right"/>
              <w:rPr>
                <w:rFonts w:ascii="Arial" w:hAnsi="Arial" w:cs="Arial"/>
                <w:sz w:val="16"/>
                <w:szCs w:val="16"/>
              </w:rPr>
            </w:pPr>
            <w:r w:rsidRPr="00A86423">
              <w:rPr>
                <w:rFonts w:ascii="Arial" w:hAnsi="Arial" w:cs="Arial"/>
                <w:sz w:val="16"/>
                <w:szCs w:val="16"/>
              </w:rPr>
              <w:t> </w:t>
            </w:r>
          </w:p>
        </w:tc>
      </w:tr>
      <w:tr w:rsidR="00D95DE9" w:rsidRPr="00A86423" w14:paraId="4C1B48FF" w14:textId="77777777" w:rsidTr="00CC7D32">
        <w:trPr>
          <w:trHeight w:val="204"/>
        </w:trPr>
        <w:tc>
          <w:tcPr>
            <w:tcW w:w="2106" w:type="pct"/>
            <w:tcBorders>
              <w:top w:val="nil"/>
              <w:left w:val="nil"/>
              <w:bottom w:val="nil"/>
              <w:right w:val="nil"/>
            </w:tcBorders>
            <w:shd w:val="clear" w:color="auto" w:fill="auto"/>
            <w:noWrap/>
            <w:vAlign w:val="bottom"/>
            <w:hideMark/>
          </w:tcPr>
          <w:p w14:paraId="77C02D31" w14:textId="77777777" w:rsidR="00D95DE9" w:rsidRPr="00A86423" w:rsidRDefault="00D95DE9" w:rsidP="00D95DE9">
            <w:pPr>
              <w:spacing w:after="0" w:line="240" w:lineRule="auto"/>
              <w:rPr>
                <w:rFonts w:ascii="Arial" w:hAnsi="Arial" w:cs="Arial"/>
                <w:sz w:val="16"/>
                <w:szCs w:val="16"/>
              </w:rPr>
            </w:pPr>
            <w:r w:rsidRPr="00A86423">
              <w:rPr>
                <w:rFonts w:ascii="Arial" w:hAnsi="Arial" w:cs="Arial"/>
                <w:sz w:val="16"/>
                <w:szCs w:val="16"/>
              </w:rPr>
              <w:t>Administered expenses</w:t>
            </w:r>
          </w:p>
        </w:tc>
        <w:tc>
          <w:tcPr>
            <w:tcW w:w="612" w:type="pct"/>
            <w:gridSpan w:val="2"/>
            <w:tcBorders>
              <w:top w:val="nil"/>
              <w:left w:val="nil"/>
              <w:bottom w:val="nil"/>
              <w:right w:val="nil"/>
            </w:tcBorders>
            <w:shd w:val="clear" w:color="auto" w:fill="auto"/>
            <w:noWrap/>
            <w:vAlign w:val="bottom"/>
            <w:hideMark/>
          </w:tcPr>
          <w:p w14:paraId="2292A504" w14:textId="77777777" w:rsidR="00D95DE9" w:rsidRPr="00A86423" w:rsidRDefault="00D95DE9" w:rsidP="00E33831">
            <w:pPr>
              <w:spacing w:after="0" w:line="240" w:lineRule="auto"/>
              <w:jc w:val="right"/>
              <w:rPr>
                <w:rFonts w:ascii="Arial" w:hAnsi="Arial" w:cs="Arial"/>
                <w:sz w:val="16"/>
                <w:szCs w:val="16"/>
              </w:rPr>
            </w:pPr>
          </w:p>
        </w:tc>
        <w:tc>
          <w:tcPr>
            <w:tcW w:w="569" w:type="pct"/>
            <w:tcBorders>
              <w:top w:val="nil"/>
              <w:left w:val="nil"/>
              <w:bottom w:val="nil"/>
              <w:right w:val="nil"/>
            </w:tcBorders>
            <w:shd w:val="clear" w:color="000000" w:fill="E6E6E6"/>
            <w:noWrap/>
            <w:vAlign w:val="bottom"/>
            <w:hideMark/>
          </w:tcPr>
          <w:p w14:paraId="6ED159CD" w14:textId="734EF6FD" w:rsidR="00D95DE9" w:rsidRPr="00A86423" w:rsidRDefault="00D95DE9" w:rsidP="00E33831">
            <w:pPr>
              <w:spacing w:after="0" w:line="240" w:lineRule="auto"/>
              <w:jc w:val="right"/>
              <w:rPr>
                <w:rFonts w:ascii="Arial" w:hAnsi="Arial" w:cs="Arial"/>
                <w:sz w:val="16"/>
                <w:szCs w:val="16"/>
              </w:rPr>
            </w:pPr>
          </w:p>
        </w:tc>
        <w:tc>
          <w:tcPr>
            <w:tcW w:w="567" w:type="pct"/>
            <w:gridSpan w:val="2"/>
            <w:tcBorders>
              <w:top w:val="nil"/>
              <w:left w:val="nil"/>
              <w:bottom w:val="nil"/>
              <w:right w:val="nil"/>
            </w:tcBorders>
            <w:shd w:val="clear" w:color="auto" w:fill="auto"/>
            <w:noWrap/>
            <w:vAlign w:val="bottom"/>
            <w:hideMark/>
          </w:tcPr>
          <w:p w14:paraId="706EF505" w14:textId="77777777" w:rsidR="00D95DE9" w:rsidRPr="00A86423" w:rsidRDefault="00D95DE9" w:rsidP="00E33831">
            <w:pPr>
              <w:spacing w:after="0" w:line="240" w:lineRule="auto"/>
              <w:jc w:val="right"/>
              <w:rPr>
                <w:rFonts w:ascii="Arial" w:hAnsi="Arial" w:cs="Arial"/>
                <w:sz w:val="16"/>
                <w:szCs w:val="16"/>
              </w:rPr>
            </w:pPr>
          </w:p>
        </w:tc>
        <w:tc>
          <w:tcPr>
            <w:tcW w:w="571" w:type="pct"/>
            <w:gridSpan w:val="2"/>
            <w:tcBorders>
              <w:top w:val="nil"/>
              <w:left w:val="nil"/>
              <w:bottom w:val="nil"/>
              <w:right w:val="nil"/>
            </w:tcBorders>
            <w:shd w:val="clear" w:color="auto" w:fill="auto"/>
            <w:noWrap/>
            <w:vAlign w:val="bottom"/>
            <w:hideMark/>
          </w:tcPr>
          <w:p w14:paraId="6BBAC237" w14:textId="77777777" w:rsidR="00D95DE9" w:rsidRPr="00A86423" w:rsidRDefault="00D95DE9" w:rsidP="00E33831">
            <w:pPr>
              <w:spacing w:after="0" w:line="240" w:lineRule="auto"/>
              <w:jc w:val="right"/>
              <w:rPr>
                <w:rFonts w:ascii="Arial" w:hAnsi="Arial" w:cs="Arial"/>
                <w:sz w:val="16"/>
                <w:szCs w:val="16"/>
              </w:rPr>
            </w:pPr>
          </w:p>
        </w:tc>
        <w:tc>
          <w:tcPr>
            <w:tcW w:w="576" w:type="pct"/>
            <w:tcBorders>
              <w:top w:val="nil"/>
              <w:left w:val="nil"/>
              <w:bottom w:val="nil"/>
              <w:right w:val="nil"/>
            </w:tcBorders>
            <w:shd w:val="clear" w:color="auto" w:fill="auto"/>
            <w:noWrap/>
            <w:vAlign w:val="bottom"/>
            <w:hideMark/>
          </w:tcPr>
          <w:p w14:paraId="76B9AC7E" w14:textId="77777777" w:rsidR="00D95DE9" w:rsidRPr="00A86423" w:rsidRDefault="00D95DE9" w:rsidP="00E33831">
            <w:pPr>
              <w:spacing w:after="0" w:line="240" w:lineRule="auto"/>
              <w:jc w:val="right"/>
              <w:rPr>
                <w:rFonts w:ascii="Arial" w:hAnsi="Arial" w:cs="Arial"/>
                <w:sz w:val="16"/>
                <w:szCs w:val="16"/>
              </w:rPr>
            </w:pPr>
          </w:p>
        </w:tc>
      </w:tr>
      <w:tr w:rsidR="00D95DE9" w:rsidRPr="00A86423" w14:paraId="731EA699" w14:textId="77777777" w:rsidTr="00CC7D32">
        <w:trPr>
          <w:trHeight w:val="204"/>
        </w:trPr>
        <w:tc>
          <w:tcPr>
            <w:tcW w:w="2106" w:type="pct"/>
            <w:tcBorders>
              <w:top w:val="nil"/>
              <w:left w:val="nil"/>
              <w:bottom w:val="nil"/>
              <w:right w:val="nil"/>
            </w:tcBorders>
            <w:shd w:val="clear" w:color="auto" w:fill="auto"/>
            <w:vAlign w:val="bottom"/>
            <w:hideMark/>
          </w:tcPr>
          <w:p w14:paraId="4DCC35C7" w14:textId="712F6C14" w:rsidR="00D95DE9" w:rsidRPr="00A86423" w:rsidRDefault="00D95DE9" w:rsidP="00E33831">
            <w:pPr>
              <w:spacing w:after="0" w:line="240" w:lineRule="auto"/>
              <w:ind w:left="113"/>
              <w:rPr>
                <w:rFonts w:ascii="Arial" w:hAnsi="Arial" w:cs="Arial"/>
                <w:sz w:val="16"/>
                <w:szCs w:val="16"/>
              </w:rPr>
            </w:pPr>
            <w:r w:rsidRPr="00A86423">
              <w:rPr>
                <w:rFonts w:ascii="Arial" w:hAnsi="Arial" w:cs="Arial"/>
                <w:sz w:val="16"/>
                <w:szCs w:val="16"/>
              </w:rPr>
              <w:t>Ordinary annual services (Appropriation Bill No. 1)</w:t>
            </w:r>
          </w:p>
        </w:tc>
        <w:tc>
          <w:tcPr>
            <w:tcW w:w="612" w:type="pct"/>
            <w:gridSpan w:val="2"/>
            <w:tcBorders>
              <w:top w:val="nil"/>
              <w:left w:val="nil"/>
              <w:bottom w:val="nil"/>
              <w:right w:val="nil"/>
            </w:tcBorders>
            <w:shd w:val="clear" w:color="auto" w:fill="auto"/>
            <w:noWrap/>
            <w:vAlign w:val="bottom"/>
            <w:hideMark/>
          </w:tcPr>
          <w:p w14:paraId="2E37F6A6" w14:textId="37662B7E"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223,380</w:t>
            </w:r>
          </w:p>
        </w:tc>
        <w:tc>
          <w:tcPr>
            <w:tcW w:w="569" w:type="pct"/>
            <w:tcBorders>
              <w:top w:val="nil"/>
              <w:left w:val="nil"/>
              <w:bottom w:val="nil"/>
              <w:right w:val="nil"/>
            </w:tcBorders>
            <w:shd w:val="clear" w:color="000000" w:fill="E6E6E6"/>
            <w:noWrap/>
            <w:vAlign w:val="bottom"/>
            <w:hideMark/>
          </w:tcPr>
          <w:p w14:paraId="33FE129A" w14:textId="659F43AF"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45,168</w:t>
            </w:r>
          </w:p>
        </w:tc>
        <w:tc>
          <w:tcPr>
            <w:tcW w:w="567" w:type="pct"/>
            <w:gridSpan w:val="2"/>
            <w:tcBorders>
              <w:top w:val="nil"/>
              <w:left w:val="nil"/>
              <w:bottom w:val="nil"/>
              <w:right w:val="nil"/>
            </w:tcBorders>
            <w:shd w:val="clear" w:color="auto" w:fill="auto"/>
            <w:noWrap/>
            <w:vAlign w:val="bottom"/>
            <w:hideMark/>
          </w:tcPr>
          <w:p w14:paraId="351C5EAF" w14:textId="29F47248"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20,483</w:t>
            </w:r>
          </w:p>
        </w:tc>
        <w:tc>
          <w:tcPr>
            <w:tcW w:w="571" w:type="pct"/>
            <w:gridSpan w:val="2"/>
            <w:tcBorders>
              <w:top w:val="nil"/>
              <w:left w:val="nil"/>
              <w:bottom w:val="nil"/>
              <w:right w:val="nil"/>
            </w:tcBorders>
            <w:shd w:val="clear" w:color="auto" w:fill="auto"/>
            <w:noWrap/>
            <w:vAlign w:val="bottom"/>
            <w:hideMark/>
          </w:tcPr>
          <w:p w14:paraId="1C693705" w14:textId="21D1089A"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18,287</w:t>
            </w:r>
          </w:p>
        </w:tc>
        <w:tc>
          <w:tcPr>
            <w:tcW w:w="576" w:type="pct"/>
            <w:tcBorders>
              <w:top w:val="nil"/>
              <w:left w:val="nil"/>
              <w:bottom w:val="nil"/>
              <w:right w:val="nil"/>
            </w:tcBorders>
            <w:shd w:val="clear" w:color="auto" w:fill="auto"/>
            <w:noWrap/>
            <w:vAlign w:val="bottom"/>
            <w:hideMark/>
          </w:tcPr>
          <w:p w14:paraId="0B706D52" w14:textId="6B43CA9E"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17,097</w:t>
            </w:r>
          </w:p>
        </w:tc>
      </w:tr>
      <w:tr w:rsidR="00D95DE9" w:rsidRPr="00A86423" w14:paraId="33CB9597" w14:textId="77777777" w:rsidTr="00CC7D32">
        <w:trPr>
          <w:trHeight w:val="204"/>
        </w:trPr>
        <w:tc>
          <w:tcPr>
            <w:tcW w:w="2106" w:type="pct"/>
            <w:tcBorders>
              <w:top w:val="nil"/>
              <w:left w:val="nil"/>
              <w:bottom w:val="nil"/>
              <w:right w:val="nil"/>
            </w:tcBorders>
            <w:shd w:val="clear" w:color="auto" w:fill="auto"/>
            <w:vAlign w:val="bottom"/>
            <w:hideMark/>
          </w:tcPr>
          <w:p w14:paraId="79EA242E" w14:textId="3E38E1B3" w:rsidR="00D95DE9" w:rsidRPr="00A86423" w:rsidRDefault="00D95DE9" w:rsidP="00E33831">
            <w:pPr>
              <w:spacing w:after="0" w:line="240" w:lineRule="auto"/>
              <w:ind w:left="113"/>
              <w:rPr>
                <w:rFonts w:ascii="Arial" w:hAnsi="Arial" w:cs="Arial"/>
                <w:sz w:val="16"/>
                <w:szCs w:val="16"/>
              </w:rPr>
            </w:pPr>
            <w:r w:rsidRPr="00A86423">
              <w:rPr>
                <w:rFonts w:ascii="Arial" w:hAnsi="Arial" w:cs="Arial"/>
                <w:sz w:val="16"/>
                <w:szCs w:val="16"/>
              </w:rPr>
              <w:t>Other services (Appropriation Bill No. 2)</w:t>
            </w:r>
          </w:p>
        </w:tc>
        <w:tc>
          <w:tcPr>
            <w:tcW w:w="612" w:type="pct"/>
            <w:gridSpan w:val="2"/>
            <w:tcBorders>
              <w:top w:val="nil"/>
              <w:left w:val="nil"/>
              <w:bottom w:val="nil"/>
              <w:right w:val="nil"/>
            </w:tcBorders>
            <w:shd w:val="clear" w:color="auto" w:fill="auto"/>
            <w:noWrap/>
            <w:vAlign w:val="bottom"/>
            <w:hideMark/>
          </w:tcPr>
          <w:p w14:paraId="267AE86E" w14:textId="22C104F7"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490,881</w:t>
            </w:r>
          </w:p>
        </w:tc>
        <w:tc>
          <w:tcPr>
            <w:tcW w:w="569" w:type="pct"/>
            <w:tcBorders>
              <w:top w:val="nil"/>
              <w:left w:val="nil"/>
              <w:bottom w:val="nil"/>
              <w:right w:val="nil"/>
            </w:tcBorders>
            <w:shd w:val="clear" w:color="000000" w:fill="E6E6E6"/>
            <w:noWrap/>
            <w:vAlign w:val="bottom"/>
            <w:hideMark/>
          </w:tcPr>
          <w:p w14:paraId="54339735" w14:textId="61E82B0E"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485,306</w:t>
            </w:r>
          </w:p>
        </w:tc>
        <w:tc>
          <w:tcPr>
            <w:tcW w:w="567" w:type="pct"/>
            <w:gridSpan w:val="2"/>
            <w:tcBorders>
              <w:top w:val="nil"/>
              <w:left w:val="nil"/>
              <w:bottom w:val="nil"/>
              <w:right w:val="nil"/>
            </w:tcBorders>
            <w:shd w:val="clear" w:color="auto" w:fill="auto"/>
            <w:noWrap/>
            <w:vAlign w:val="bottom"/>
            <w:hideMark/>
          </w:tcPr>
          <w:p w14:paraId="5A3C9E86" w14:textId="22C8A230"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499,516</w:t>
            </w:r>
          </w:p>
        </w:tc>
        <w:tc>
          <w:tcPr>
            <w:tcW w:w="571" w:type="pct"/>
            <w:gridSpan w:val="2"/>
            <w:tcBorders>
              <w:top w:val="nil"/>
              <w:left w:val="nil"/>
              <w:bottom w:val="nil"/>
              <w:right w:val="nil"/>
            </w:tcBorders>
            <w:shd w:val="clear" w:color="auto" w:fill="auto"/>
            <w:noWrap/>
            <w:vAlign w:val="bottom"/>
            <w:hideMark/>
          </w:tcPr>
          <w:p w14:paraId="629A6573" w14:textId="0602C6B6"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499,516</w:t>
            </w:r>
          </w:p>
        </w:tc>
        <w:tc>
          <w:tcPr>
            <w:tcW w:w="576" w:type="pct"/>
            <w:tcBorders>
              <w:top w:val="nil"/>
              <w:left w:val="nil"/>
              <w:bottom w:val="nil"/>
              <w:right w:val="nil"/>
            </w:tcBorders>
            <w:shd w:val="clear" w:color="auto" w:fill="auto"/>
            <w:noWrap/>
            <w:vAlign w:val="bottom"/>
            <w:hideMark/>
          </w:tcPr>
          <w:p w14:paraId="5832E6C2" w14:textId="338DDB3B"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499,516</w:t>
            </w:r>
          </w:p>
        </w:tc>
      </w:tr>
      <w:tr w:rsidR="00D95DE9" w:rsidRPr="00A86423" w14:paraId="402A150F" w14:textId="77777777" w:rsidTr="00CC7D32">
        <w:trPr>
          <w:trHeight w:val="204"/>
        </w:trPr>
        <w:tc>
          <w:tcPr>
            <w:tcW w:w="2106" w:type="pct"/>
            <w:tcBorders>
              <w:top w:val="nil"/>
              <w:left w:val="nil"/>
              <w:bottom w:val="nil"/>
              <w:right w:val="nil"/>
            </w:tcBorders>
            <w:shd w:val="clear" w:color="auto" w:fill="auto"/>
            <w:noWrap/>
            <w:vAlign w:val="bottom"/>
            <w:hideMark/>
          </w:tcPr>
          <w:p w14:paraId="24369806" w14:textId="436C7BBE" w:rsidR="00D95DE9" w:rsidRPr="00A86423" w:rsidRDefault="00D95DE9" w:rsidP="00E33831">
            <w:pPr>
              <w:spacing w:after="0" w:line="240" w:lineRule="auto"/>
              <w:ind w:left="113"/>
              <w:rPr>
                <w:rFonts w:ascii="Arial" w:hAnsi="Arial" w:cs="Arial"/>
                <w:sz w:val="16"/>
                <w:szCs w:val="16"/>
              </w:rPr>
            </w:pPr>
            <w:r w:rsidRPr="00A86423">
              <w:rPr>
                <w:rFonts w:ascii="Arial" w:hAnsi="Arial" w:cs="Arial"/>
                <w:sz w:val="16"/>
                <w:szCs w:val="16"/>
              </w:rPr>
              <w:t>Payments to corporate entities</w:t>
            </w:r>
            <w:r w:rsidRPr="00A86423">
              <w:rPr>
                <w:rFonts w:ascii="Arial" w:hAnsi="Arial" w:cs="Arial"/>
                <w:sz w:val="16"/>
                <w:szCs w:val="16"/>
                <w:vertAlign w:val="superscript"/>
              </w:rPr>
              <w:t>(a)</w:t>
            </w:r>
          </w:p>
        </w:tc>
        <w:tc>
          <w:tcPr>
            <w:tcW w:w="612" w:type="pct"/>
            <w:gridSpan w:val="2"/>
            <w:tcBorders>
              <w:top w:val="nil"/>
              <w:left w:val="nil"/>
              <w:bottom w:val="nil"/>
              <w:right w:val="nil"/>
            </w:tcBorders>
            <w:shd w:val="clear" w:color="auto" w:fill="auto"/>
            <w:noWrap/>
            <w:vAlign w:val="bottom"/>
            <w:hideMark/>
          </w:tcPr>
          <w:p w14:paraId="5D72F3AC" w14:textId="6420393A"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16,971</w:t>
            </w:r>
          </w:p>
        </w:tc>
        <w:tc>
          <w:tcPr>
            <w:tcW w:w="569" w:type="pct"/>
            <w:tcBorders>
              <w:top w:val="nil"/>
              <w:left w:val="nil"/>
              <w:bottom w:val="nil"/>
              <w:right w:val="nil"/>
            </w:tcBorders>
            <w:shd w:val="clear" w:color="000000" w:fill="E6E6E6"/>
            <w:noWrap/>
            <w:vAlign w:val="bottom"/>
            <w:hideMark/>
          </w:tcPr>
          <w:p w14:paraId="1DFAF0FE" w14:textId="43405B42"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18,385</w:t>
            </w:r>
          </w:p>
        </w:tc>
        <w:tc>
          <w:tcPr>
            <w:tcW w:w="567" w:type="pct"/>
            <w:gridSpan w:val="2"/>
            <w:tcBorders>
              <w:top w:val="nil"/>
              <w:left w:val="nil"/>
              <w:bottom w:val="nil"/>
              <w:right w:val="nil"/>
            </w:tcBorders>
            <w:shd w:val="clear" w:color="auto" w:fill="auto"/>
            <w:noWrap/>
            <w:vAlign w:val="bottom"/>
            <w:hideMark/>
          </w:tcPr>
          <w:p w14:paraId="3EFBFC24" w14:textId="16F9D01E"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17,329</w:t>
            </w:r>
          </w:p>
        </w:tc>
        <w:tc>
          <w:tcPr>
            <w:tcW w:w="571" w:type="pct"/>
            <w:gridSpan w:val="2"/>
            <w:tcBorders>
              <w:top w:val="nil"/>
              <w:left w:val="nil"/>
              <w:bottom w:val="nil"/>
              <w:right w:val="nil"/>
            </w:tcBorders>
            <w:shd w:val="clear" w:color="auto" w:fill="auto"/>
            <w:noWrap/>
            <w:vAlign w:val="bottom"/>
            <w:hideMark/>
          </w:tcPr>
          <w:p w14:paraId="6404CFEF" w14:textId="08B1B9E9"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17,553</w:t>
            </w:r>
          </w:p>
        </w:tc>
        <w:tc>
          <w:tcPr>
            <w:tcW w:w="576" w:type="pct"/>
            <w:tcBorders>
              <w:top w:val="nil"/>
              <w:left w:val="nil"/>
              <w:bottom w:val="nil"/>
              <w:right w:val="nil"/>
            </w:tcBorders>
            <w:shd w:val="clear" w:color="auto" w:fill="auto"/>
            <w:noWrap/>
            <w:vAlign w:val="bottom"/>
            <w:hideMark/>
          </w:tcPr>
          <w:p w14:paraId="27AA0261" w14:textId="2535DD2A"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13,611</w:t>
            </w:r>
          </w:p>
        </w:tc>
      </w:tr>
      <w:tr w:rsidR="00D95DE9" w:rsidRPr="00A86423" w14:paraId="7AD07545" w14:textId="77777777" w:rsidTr="00CC7D32">
        <w:trPr>
          <w:trHeight w:val="204"/>
        </w:trPr>
        <w:tc>
          <w:tcPr>
            <w:tcW w:w="2106" w:type="pct"/>
            <w:tcBorders>
              <w:top w:val="nil"/>
              <w:left w:val="nil"/>
              <w:bottom w:val="nil"/>
              <w:right w:val="nil"/>
            </w:tcBorders>
            <w:shd w:val="clear" w:color="auto" w:fill="auto"/>
            <w:vAlign w:val="bottom"/>
            <w:hideMark/>
          </w:tcPr>
          <w:p w14:paraId="2976C7C7" w14:textId="1A144397" w:rsidR="00D95DE9" w:rsidRPr="00A86423" w:rsidRDefault="00D95DE9" w:rsidP="00E33831">
            <w:pPr>
              <w:spacing w:after="0" w:line="240" w:lineRule="auto"/>
              <w:ind w:left="113"/>
              <w:rPr>
                <w:rFonts w:ascii="Arial" w:hAnsi="Arial" w:cs="Arial"/>
                <w:sz w:val="16"/>
                <w:szCs w:val="16"/>
              </w:rPr>
            </w:pPr>
            <w:r w:rsidRPr="00A86423">
              <w:rPr>
                <w:rFonts w:ascii="Arial" w:hAnsi="Arial" w:cs="Arial"/>
                <w:sz w:val="16"/>
                <w:szCs w:val="16"/>
              </w:rPr>
              <w:t>Expenses not requiring appropriation in the Budget year</w:t>
            </w:r>
            <w:r w:rsidRPr="00A86423">
              <w:rPr>
                <w:rFonts w:ascii="Arial" w:hAnsi="Arial" w:cs="Arial"/>
                <w:sz w:val="16"/>
                <w:szCs w:val="16"/>
                <w:vertAlign w:val="superscript"/>
              </w:rPr>
              <w:t>(b)</w:t>
            </w:r>
          </w:p>
        </w:tc>
        <w:tc>
          <w:tcPr>
            <w:tcW w:w="612" w:type="pct"/>
            <w:gridSpan w:val="2"/>
            <w:tcBorders>
              <w:top w:val="nil"/>
              <w:left w:val="nil"/>
              <w:bottom w:val="nil"/>
              <w:right w:val="nil"/>
            </w:tcBorders>
            <w:shd w:val="clear" w:color="auto" w:fill="auto"/>
            <w:noWrap/>
            <w:vAlign w:val="bottom"/>
            <w:hideMark/>
          </w:tcPr>
          <w:p w14:paraId="4CDAE347" w14:textId="77777777"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(51,412)</w:t>
            </w:r>
          </w:p>
        </w:tc>
        <w:tc>
          <w:tcPr>
            <w:tcW w:w="569" w:type="pct"/>
            <w:tcBorders>
              <w:top w:val="nil"/>
              <w:left w:val="nil"/>
              <w:bottom w:val="nil"/>
              <w:right w:val="nil"/>
            </w:tcBorders>
            <w:shd w:val="clear" w:color="000000" w:fill="E6E6E6"/>
            <w:noWrap/>
            <w:vAlign w:val="bottom"/>
            <w:hideMark/>
          </w:tcPr>
          <w:p w14:paraId="044DE74C" w14:textId="1E724C9B"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125,631</w:t>
            </w:r>
          </w:p>
        </w:tc>
        <w:tc>
          <w:tcPr>
            <w:tcW w:w="567" w:type="pct"/>
            <w:gridSpan w:val="2"/>
            <w:tcBorders>
              <w:top w:val="nil"/>
              <w:left w:val="nil"/>
              <w:bottom w:val="nil"/>
              <w:right w:val="nil"/>
            </w:tcBorders>
            <w:shd w:val="clear" w:color="auto" w:fill="auto"/>
            <w:noWrap/>
            <w:vAlign w:val="bottom"/>
            <w:hideMark/>
          </w:tcPr>
          <w:p w14:paraId="3BAF138B" w14:textId="21F1A091"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39,905</w:t>
            </w:r>
          </w:p>
        </w:tc>
        <w:tc>
          <w:tcPr>
            <w:tcW w:w="571" w:type="pct"/>
            <w:gridSpan w:val="2"/>
            <w:tcBorders>
              <w:top w:val="nil"/>
              <w:left w:val="nil"/>
              <w:bottom w:val="nil"/>
              <w:right w:val="nil"/>
            </w:tcBorders>
            <w:shd w:val="clear" w:color="auto" w:fill="auto"/>
            <w:noWrap/>
            <w:vAlign w:val="bottom"/>
            <w:hideMark/>
          </w:tcPr>
          <w:p w14:paraId="468D9988" w14:textId="4DA98E60"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w:t>
            </w:r>
          </w:p>
        </w:tc>
        <w:tc>
          <w:tcPr>
            <w:tcW w:w="576" w:type="pct"/>
            <w:tcBorders>
              <w:top w:val="nil"/>
              <w:left w:val="nil"/>
              <w:bottom w:val="nil"/>
              <w:right w:val="nil"/>
            </w:tcBorders>
            <w:shd w:val="clear" w:color="auto" w:fill="auto"/>
            <w:noWrap/>
            <w:vAlign w:val="bottom"/>
            <w:hideMark/>
          </w:tcPr>
          <w:p w14:paraId="4147CEAC" w14:textId="7CC7DF73"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w:t>
            </w:r>
          </w:p>
        </w:tc>
      </w:tr>
      <w:tr w:rsidR="00D95DE9" w:rsidRPr="00A86423" w14:paraId="1B320A4B" w14:textId="77777777" w:rsidTr="00CC7D32">
        <w:trPr>
          <w:trHeight w:val="204"/>
        </w:trPr>
        <w:tc>
          <w:tcPr>
            <w:tcW w:w="2106" w:type="pct"/>
            <w:tcBorders>
              <w:top w:val="nil"/>
              <w:left w:val="nil"/>
              <w:bottom w:val="nil"/>
              <w:right w:val="nil"/>
            </w:tcBorders>
            <w:shd w:val="clear" w:color="auto" w:fill="auto"/>
            <w:vAlign w:val="bottom"/>
            <w:hideMark/>
          </w:tcPr>
          <w:p w14:paraId="2A2FE1A3" w14:textId="2E25C8B6" w:rsidR="00D95DE9" w:rsidRPr="00A86423" w:rsidRDefault="0000369A" w:rsidP="00D95DE9">
            <w:pPr>
              <w:spacing w:after="0" w:line="240" w:lineRule="auto"/>
              <w:jc w:val="right"/>
              <w:rPr>
                <w:rFonts w:ascii="Arial" w:hAnsi="Arial" w:cs="Arial"/>
                <w:b/>
                <w:bCs/>
                <w:sz w:val="16"/>
                <w:szCs w:val="16"/>
              </w:rPr>
            </w:pPr>
            <w:r>
              <w:rPr>
                <w:rFonts w:ascii="Arial" w:hAnsi="Arial" w:cs="Arial"/>
                <w:b/>
                <w:bCs/>
                <w:sz w:val="16"/>
                <w:szCs w:val="16"/>
              </w:rPr>
              <w:t>Total administered expenses</w:t>
            </w:r>
          </w:p>
        </w:tc>
        <w:tc>
          <w:tcPr>
            <w:tcW w:w="612" w:type="pct"/>
            <w:gridSpan w:val="2"/>
            <w:tcBorders>
              <w:top w:val="single" w:sz="4" w:space="0" w:color="auto"/>
              <w:left w:val="nil"/>
              <w:bottom w:val="single" w:sz="4" w:space="0" w:color="auto"/>
              <w:right w:val="nil"/>
            </w:tcBorders>
            <w:shd w:val="clear" w:color="auto" w:fill="auto"/>
            <w:noWrap/>
            <w:vAlign w:val="bottom"/>
            <w:hideMark/>
          </w:tcPr>
          <w:p w14:paraId="09EFF093" w14:textId="1AD4322B" w:rsidR="00D95DE9" w:rsidRPr="00A86423" w:rsidRDefault="00D95DE9" w:rsidP="00E33831">
            <w:pPr>
              <w:spacing w:after="0" w:line="240" w:lineRule="auto"/>
              <w:jc w:val="right"/>
              <w:rPr>
                <w:rFonts w:ascii="Arial" w:hAnsi="Arial" w:cs="Arial"/>
                <w:b/>
                <w:bCs/>
                <w:sz w:val="16"/>
                <w:szCs w:val="16"/>
              </w:rPr>
            </w:pPr>
            <w:r w:rsidRPr="00A86423">
              <w:rPr>
                <w:rFonts w:ascii="Arial" w:hAnsi="Arial" w:cs="Arial"/>
                <w:b/>
                <w:bCs/>
                <w:sz w:val="16"/>
                <w:szCs w:val="16"/>
              </w:rPr>
              <w:t>679,820</w:t>
            </w:r>
          </w:p>
        </w:tc>
        <w:tc>
          <w:tcPr>
            <w:tcW w:w="569" w:type="pct"/>
            <w:tcBorders>
              <w:top w:val="single" w:sz="4" w:space="0" w:color="auto"/>
              <w:left w:val="nil"/>
              <w:bottom w:val="single" w:sz="4" w:space="0" w:color="auto"/>
              <w:right w:val="nil"/>
            </w:tcBorders>
            <w:shd w:val="clear" w:color="000000" w:fill="E6E6E6"/>
            <w:noWrap/>
            <w:vAlign w:val="bottom"/>
            <w:hideMark/>
          </w:tcPr>
          <w:p w14:paraId="54ED0062" w14:textId="59956AF8" w:rsidR="00D95DE9" w:rsidRPr="00A86423" w:rsidRDefault="00D95DE9" w:rsidP="00E33831">
            <w:pPr>
              <w:spacing w:after="0" w:line="240" w:lineRule="auto"/>
              <w:jc w:val="right"/>
              <w:rPr>
                <w:rFonts w:ascii="Arial" w:hAnsi="Arial" w:cs="Arial"/>
                <w:b/>
                <w:bCs/>
                <w:sz w:val="16"/>
                <w:szCs w:val="16"/>
              </w:rPr>
            </w:pPr>
            <w:r w:rsidRPr="00A86423">
              <w:rPr>
                <w:rFonts w:ascii="Arial" w:hAnsi="Arial" w:cs="Arial"/>
                <w:b/>
                <w:bCs/>
                <w:sz w:val="16"/>
                <w:szCs w:val="16"/>
              </w:rPr>
              <w:t>674,490</w:t>
            </w:r>
          </w:p>
        </w:tc>
        <w:tc>
          <w:tcPr>
            <w:tcW w:w="567" w:type="pct"/>
            <w:gridSpan w:val="2"/>
            <w:tcBorders>
              <w:top w:val="single" w:sz="4" w:space="0" w:color="auto"/>
              <w:left w:val="nil"/>
              <w:bottom w:val="single" w:sz="4" w:space="0" w:color="auto"/>
              <w:right w:val="nil"/>
            </w:tcBorders>
            <w:shd w:val="clear" w:color="auto" w:fill="auto"/>
            <w:noWrap/>
            <w:vAlign w:val="bottom"/>
            <w:hideMark/>
          </w:tcPr>
          <w:p w14:paraId="2334864C" w14:textId="543593A5" w:rsidR="00D95DE9" w:rsidRPr="00A86423" w:rsidRDefault="00D95DE9" w:rsidP="00E33831">
            <w:pPr>
              <w:spacing w:after="0" w:line="240" w:lineRule="auto"/>
              <w:jc w:val="right"/>
              <w:rPr>
                <w:rFonts w:ascii="Arial" w:hAnsi="Arial" w:cs="Arial"/>
                <w:b/>
                <w:bCs/>
                <w:sz w:val="16"/>
                <w:szCs w:val="16"/>
              </w:rPr>
            </w:pPr>
            <w:r w:rsidRPr="00A86423">
              <w:rPr>
                <w:rFonts w:ascii="Arial" w:hAnsi="Arial" w:cs="Arial"/>
                <w:b/>
                <w:bCs/>
                <w:sz w:val="16"/>
                <w:szCs w:val="16"/>
              </w:rPr>
              <w:t>577,233</w:t>
            </w:r>
          </w:p>
        </w:tc>
        <w:tc>
          <w:tcPr>
            <w:tcW w:w="571" w:type="pct"/>
            <w:gridSpan w:val="2"/>
            <w:tcBorders>
              <w:top w:val="single" w:sz="4" w:space="0" w:color="auto"/>
              <w:left w:val="nil"/>
              <w:bottom w:val="single" w:sz="4" w:space="0" w:color="auto"/>
              <w:right w:val="nil"/>
            </w:tcBorders>
            <w:shd w:val="clear" w:color="auto" w:fill="auto"/>
            <w:noWrap/>
            <w:vAlign w:val="bottom"/>
            <w:hideMark/>
          </w:tcPr>
          <w:p w14:paraId="3110CB28" w14:textId="266DFBD5" w:rsidR="00D95DE9" w:rsidRPr="00A86423" w:rsidRDefault="00D95DE9" w:rsidP="00E33831">
            <w:pPr>
              <w:spacing w:after="0" w:line="240" w:lineRule="auto"/>
              <w:jc w:val="right"/>
              <w:rPr>
                <w:rFonts w:ascii="Arial" w:hAnsi="Arial" w:cs="Arial"/>
                <w:b/>
                <w:bCs/>
                <w:sz w:val="16"/>
                <w:szCs w:val="16"/>
              </w:rPr>
            </w:pPr>
            <w:r w:rsidRPr="00A86423">
              <w:rPr>
                <w:rFonts w:ascii="Arial" w:hAnsi="Arial" w:cs="Arial"/>
                <w:b/>
                <w:bCs/>
                <w:sz w:val="16"/>
                <w:szCs w:val="16"/>
              </w:rPr>
              <w:t>535,356</w:t>
            </w:r>
          </w:p>
        </w:tc>
        <w:tc>
          <w:tcPr>
            <w:tcW w:w="576" w:type="pct"/>
            <w:tcBorders>
              <w:top w:val="single" w:sz="4" w:space="0" w:color="auto"/>
              <w:left w:val="nil"/>
              <w:bottom w:val="single" w:sz="4" w:space="0" w:color="auto"/>
              <w:right w:val="nil"/>
            </w:tcBorders>
            <w:shd w:val="clear" w:color="auto" w:fill="auto"/>
            <w:noWrap/>
            <w:vAlign w:val="bottom"/>
            <w:hideMark/>
          </w:tcPr>
          <w:p w14:paraId="6C4E8430" w14:textId="6462DA84" w:rsidR="00D95DE9" w:rsidRPr="00A86423" w:rsidRDefault="00D95DE9" w:rsidP="00E33831">
            <w:pPr>
              <w:spacing w:after="0" w:line="240" w:lineRule="auto"/>
              <w:jc w:val="right"/>
              <w:rPr>
                <w:rFonts w:ascii="Arial" w:hAnsi="Arial" w:cs="Arial"/>
                <w:b/>
                <w:bCs/>
                <w:sz w:val="16"/>
                <w:szCs w:val="16"/>
              </w:rPr>
            </w:pPr>
            <w:r w:rsidRPr="00A86423">
              <w:rPr>
                <w:rFonts w:ascii="Arial" w:hAnsi="Arial" w:cs="Arial"/>
                <w:b/>
                <w:bCs/>
                <w:sz w:val="16"/>
                <w:szCs w:val="16"/>
              </w:rPr>
              <w:t>530,224</w:t>
            </w:r>
          </w:p>
        </w:tc>
      </w:tr>
      <w:tr w:rsidR="00D95DE9" w:rsidRPr="00A86423" w14:paraId="157DB32F" w14:textId="77777777" w:rsidTr="00CC7D32">
        <w:trPr>
          <w:trHeight w:val="204"/>
        </w:trPr>
        <w:tc>
          <w:tcPr>
            <w:tcW w:w="2106" w:type="pct"/>
            <w:tcBorders>
              <w:top w:val="nil"/>
              <w:left w:val="nil"/>
              <w:bottom w:val="nil"/>
              <w:right w:val="nil"/>
            </w:tcBorders>
            <w:shd w:val="clear" w:color="auto" w:fill="auto"/>
            <w:noWrap/>
            <w:vAlign w:val="bottom"/>
            <w:hideMark/>
          </w:tcPr>
          <w:p w14:paraId="69C1A59A" w14:textId="77777777" w:rsidR="00D95DE9" w:rsidRPr="00A86423" w:rsidRDefault="00D95DE9" w:rsidP="00936B21">
            <w:pPr>
              <w:spacing w:after="0" w:line="240" w:lineRule="auto"/>
              <w:rPr>
                <w:rFonts w:ascii="Arial" w:hAnsi="Arial" w:cs="Arial"/>
                <w:sz w:val="16"/>
                <w:szCs w:val="16"/>
              </w:rPr>
            </w:pPr>
            <w:r w:rsidRPr="00A86423">
              <w:rPr>
                <w:rFonts w:ascii="Arial" w:hAnsi="Arial" w:cs="Arial"/>
                <w:sz w:val="16"/>
                <w:szCs w:val="16"/>
              </w:rPr>
              <w:t>Departmental expenses</w:t>
            </w:r>
          </w:p>
        </w:tc>
        <w:tc>
          <w:tcPr>
            <w:tcW w:w="612" w:type="pct"/>
            <w:gridSpan w:val="2"/>
            <w:tcBorders>
              <w:top w:val="nil"/>
              <w:left w:val="nil"/>
              <w:bottom w:val="nil"/>
              <w:right w:val="nil"/>
            </w:tcBorders>
            <w:shd w:val="clear" w:color="auto" w:fill="auto"/>
            <w:noWrap/>
            <w:vAlign w:val="bottom"/>
            <w:hideMark/>
          </w:tcPr>
          <w:p w14:paraId="44FAF44A" w14:textId="77777777" w:rsidR="00D95DE9" w:rsidRPr="00A86423" w:rsidRDefault="00D95DE9" w:rsidP="00E33831">
            <w:pPr>
              <w:spacing w:after="0" w:line="240" w:lineRule="auto"/>
              <w:ind w:firstLineChars="100" w:firstLine="160"/>
              <w:jc w:val="right"/>
              <w:rPr>
                <w:rFonts w:ascii="Arial" w:hAnsi="Arial" w:cs="Arial"/>
                <w:sz w:val="16"/>
                <w:szCs w:val="16"/>
              </w:rPr>
            </w:pPr>
          </w:p>
        </w:tc>
        <w:tc>
          <w:tcPr>
            <w:tcW w:w="569" w:type="pct"/>
            <w:tcBorders>
              <w:top w:val="nil"/>
              <w:left w:val="nil"/>
              <w:bottom w:val="nil"/>
              <w:right w:val="nil"/>
            </w:tcBorders>
            <w:shd w:val="clear" w:color="000000" w:fill="E6E6E6"/>
            <w:noWrap/>
            <w:vAlign w:val="bottom"/>
            <w:hideMark/>
          </w:tcPr>
          <w:p w14:paraId="6A7A9193" w14:textId="3F65E660" w:rsidR="00D95DE9" w:rsidRPr="00A86423" w:rsidRDefault="00D95DE9" w:rsidP="00E33831">
            <w:pPr>
              <w:spacing w:after="0" w:line="240" w:lineRule="auto"/>
              <w:jc w:val="right"/>
              <w:rPr>
                <w:rFonts w:ascii="Arial" w:hAnsi="Arial" w:cs="Arial"/>
                <w:sz w:val="16"/>
                <w:szCs w:val="16"/>
              </w:rPr>
            </w:pPr>
          </w:p>
        </w:tc>
        <w:tc>
          <w:tcPr>
            <w:tcW w:w="567" w:type="pct"/>
            <w:gridSpan w:val="2"/>
            <w:tcBorders>
              <w:top w:val="nil"/>
              <w:left w:val="nil"/>
              <w:bottom w:val="nil"/>
              <w:right w:val="nil"/>
            </w:tcBorders>
            <w:shd w:val="clear" w:color="auto" w:fill="auto"/>
            <w:noWrap/>
            <w:vAlign w:val="bottom"/>
            <w:hideMark/>
          </w:tcPr>
          <w:p w14:paraId="7B2F944F" w14:textId="77777777" w:rsidR="00D95DE9" w:rsidRPr="00A86423" w:rsidRDefault="00D95DE9" w:rsidP="00E33831">
            <w:pPr>
              <w:spacing w:after="0" w:line="240" w:lineRule="auto"/>
              <w:jc w:val="right"/>
              <w:rPr>
                <w:rFonts w:ascii="Arial" w:hAnsi="Arial" w:cs="Arial"/>
                <w:sz w:val="16"/>
                <w:szCs w:val="16"/>
              </w:rPr>
            </w:pPr>
          </w:p>
        </w:tc>
        <w:tc>
          <w:tcPr>
            <w:tcW w:w="571" w:type="pct"/>
            <w:gridSpan w:val="2"/>
            <w:tcBorders>
              <w:top w:val="nil"/>
              <w:left w:val="nil"/>
              <w:bottom w:val="nil"/>
              <w:right w:val="nil"/>
            </w:tcBorders>
            <w:shd w:val="clear" w:color="auto" w:fill="auto"/>
            <w:noWrap/>
            <w:vAlign w:val="bottom"/>
            <w:hideMark/>
          </w:tcPr>
          <w:p w14:paraId="6B5987B8" w14:textId="77777777" w:rsidR="00D95DE9" w:rsidRPr="00A86423" w:rsidRDefault="00D95DE9" w:rsidP="00E33831">
            <w:pPr>
              <w:spacing w:after="0" w:line="240" w:lineRule="auto"/>
              <w:jc w:val="right"/>
              <w:rPr>
                <w:rFonts w:ascii="Arial" w:hAnsi="Arial" w:cs="Arial"/>
                <w:sz w:val="16"/>
                <w:szCs w:val="16"/>
              </w:rPr>
            </w:pPr>
          </w:p>
        </w:tc>
        <w:tc>
          <w:tcPr>
            <w:tcW w:w="576" w:type="pct"/>
            <w:tcBorders>
              <w:top w:val="nil"/>
              <w:left w:val="nil"/>
              <w:bottom w:val="nil"/>
              <w:right w:val="nil"/>
            </w:tcBorders>
            <w:shd w:val="clear" w:color="auto" w:fill="auto"/>
            <w:noWrap/>
            <w:vAlign w:val="bottom"/>
            <w:hideMark/>
          </w:tcPr>
          <w:p w14:paraId="64B882C5" w14:textId="77777777" w:rsidR="00D95DE9" w:rsidRPr="00A86423" w:rsidRDefault="00D95DE9" w:rsidP="00E33831">
            <w:pPr>
              <w:spacing w:after="0" w:line="240" w:lineRule="auto"/>
              <w:jc w:val="right"/>
              <w:rPr>
                <w:rFonts w:ascii="Arial" w:hAnsi="Arial" w:cs="Arial"/>
                <w:sz w:val="16"/>
                <w:szCs w:val="16"/>
              </w:rPr>
            </w:pPr>
          </w:p>
        </w:tc>
      </w:tr>
      <w:tr w:rsidR="00D95DE9" w:rsidRPr="00A86423" w14:paraId="18A53890" w14:textId="77777777" w:rsidTr="00CC7D32">
        <w:trPr>
          <w:trHeight w:val="204"/>
        </w:trPr>
        <w:tc>
          <w:tcPr>
            <w:tcW w:w="2106" w:type="pct"/>
            <w:tcBorders>
              <w:top w:val="nil"/>
              <w:left w:val="nil"/>
              <w:bottom w:val="nil"/>
              <w:right w:val="nil"/>
            </w:tcBorders>
            <w:shd w:val="clear" w:color="auto" w:fill="auto"/>
            <w:vAlign w:val="bottom"/>
            <w:hideMark/>
          </w:tcPr>
          <w:p w14:paraId="124FCFF8" w14:textId="77777777" w:rsidR="00D95DE9" w:rsidRPr="00A86423" w:rsidRDefault="00D95DE9" w:rsidP="00E33831">
            <w:pPr>
              <w:spacing w:after="0" w:line="240" w:lineRule="auto"/>
              <w:ind w:left="170"/>
              <w:rPr>
                <w:rFonts w:ascii="Arial" w:hAnsi="Arial" w:cs="Arial"/>
                <w:sz w:val="16"/>
                <w:szCs w:val="16"/>
              </w:rPr>
            </w:pPr>
            <w:r w:rsidRPr="00A86423">
              <w:rPr>
                <w:rFonts w:ascii="Arial" w:hAnsi="Arial" w:cs="Arial"/>
                <w:sz w:val="16"/>
                <w:szCs w:val="16"/>
              </w:rPr>
              <w:t>Departmental appropriation</w:t>
            </w:r>
          </w:p>
        </w:tc>
        <w:tc>
          <w:tcPr>
            <w:tcW w:w="612" w:type="pct"/>
            <w:gridSpan w:val="2"/>
            <w:tcBorders>
              <w:top w:val="nil"/>
              <w:left w:val="nil"/>
              <w:bottom w:val="nil"/>
              <w:right w:val="nil"/>
            </w:tcBorders>
            <w:shd w:val="clear" w:color="auto" w:fill="auto"/>
            <w:noWrap/>
            <w:vAlign w:val="bottom"/>
            <w:hideMark/>
          </w:tcPr>
          <w:p w14:paraId="1AEA11EC" w14:textId="4343C458"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86,943</w:t>
            </w:r>
          </w:p>
        </w:tc>
        <w:tc>
          <w:tcPr>
            <w:tcW w:w="569" w:type="pct"/>
            <w:tcBorders>
              <w:top w:val="nil"/>
              <w:left w:val="nil"/>
              <w:bottom w:val="nil"/>
              <w:right w:val="nil"/>
            </w:tcBorders>
            <w:shd w:val="clear" w:color="000000" w:fill="E6E6E6"/>
            <w:noWrap/>
            <w:vAlign w:val="bottom"/>
            <w:hideMark/>
          </w:tcPr>
          <w:p w14:paraId="20BE4063" w14:textId="19D04B26"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79,198</w:t>
            </w:r>
          </w:p>
        </w:tc>
        <w:tc>
          <w:tcPr>
            <w:tcW w:w="567" w:type="pct"/>
            <w:gridSpan w:val="2"/>
            <w:tcBorders>
              <w:top w:val="nil"/>
              <w:left w:val="nil"/>
              <w:bottom w:val="nil"/>
              <w:right w:val="nil"/>
            </w:tcBorders>
            <w:shd w:val="clear" w:color="auto" w:fill="auto"/>
            <w:noWrap/>
            <w:vAlign w:val="bottom"/>
            <w:hideMark/>
          </w:tcPr>
          <w:p w14:paraId="3DB8CB8A" w14:textId="66DFA8D9"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61,533</w:t>
            </w:r>
          </w:p>
        </w:tc>
        <w:tc>
          <w:tcPr>
            <w:tcW w:w="571" w:type="pct"/>
            <w:gridSpan w:val="2"/>
            <w:tcBorders>
              <w:top w:val="nil"/>
              <w:left w:val="nil"/>
              <w:bottom w:val="nil"/>
              <w:right w:val="nil"/>
            </w:tcBorders>
            <w:shd w:val="clear" w:color="auto" w:fill="auto"/>
            <w:noWrap/>
            <w:vAlign w:val="bottom"/>
            <w:hideMark/>
          </w:tcPr>
          <w:p w14:paraId="75654219" w14:textId="2D5D87F1"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61,438</w:t>
            </w:r>
          </w:p>
        </w:tc>
        <w:tc>
          <w:tcPr>
            <w:tcW w:w="576" w:type="pct"/>
            <w:tcBorders>
              <w:top w:val="nil"/>
              <w:left w:val="nil"/>
              <w:bottom w:val="nil"/>
              <w:right w:val="nil"/>
            </w:tcBorders>
            <w:shd w:val="clear" w:color="auto" w:fill="auto"/>
            <w:noWrap/>
            <w:vAlign w:val="bottom"/>
            <w:hideMark/>
          </w:tcPr>
          <w:p w14:paraId="48A5B889" w14:textId="7834ECBC"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58,703</w:t>
            </w:r>
          </w:p>
        </w:tc>
      </w:tr>
      <w:tr w:rsidR="00D95DE9" w:rsidRPr="00A86423" w14:paraId="7B92E1AD" w14:textId="77777777" w:rsidTr="00CC7D32">
        <w:trPr>
          <w:trHeight w:val="204"/>
        </w:trPr>
        <w:tc>
          <w:tcPr>
            <w:tcW w:w="2106" w:type="pct"/>
            <w:tcBorders>
              <w:top w:val="nil"/>
              <w:left w:val="nil"/>
              <w:bottom w:val="nil"/>
              <w:right w:val="nil"/>
            </w:tcBorders>
            <w:shd w:val="clear" w:color="auto" w:fill="auto"/>
            <w:vAlign w:val="bottom"/>
            <w:hideMark/>
          </w:tcPr>
          <w:p w14:paraId="6CB70E5D" w14:textId="3FB5C575" w:rsidR="00D95DE9" w:rsidRPr="00A86423" w:rsidRDefault="00D95DE9" w:rsidP="00E33831">
            <w:pPr>
              <w:spacing w:after="0" w:line="240" w:lineRule="auto"/>
              <w:ind w:left="170"/>
              <w:rPr>
                <w:rFonts w:ascii="Arial" w:hAnsi="Arial" w:cs="Arial"/>
                <w:sz w:val="16"/>
                <w:szCs w:val="16"/>
              </w:rPr>
            </w:pPr>
            <w:r w:rsidRPr="00A86423">
              <w:rPr>
                <w:rFonts w:ascii="Arial" w:hAnsi="Arial" w:cs="Arial"/>
                <w:sz w:val="16"/>
                <w:szCs w:val="16"/>
              </w:rPr>
              <w:t>Expenses not requiring appropriation in the Budget year</w:t>
            </w:r>
            <w:r w:rsidRPr="00CC7D32">
              <w:rPr>
                <w:rFonts w:ascii="Arial" w:hAnsi="Arial" w:cs="Arial"/>
                <w:sz w:val="16"/>
                <w:szCs w:val="16"/>
                <w:vertAlign w:val="superscript"/>
              </w:rPr>
              <w:t>(</w:t>
            </w:r>
            <w:r w:rsidR="00CC7D32">
              <w:rPr>
                <w:rFonts w:ascii="Arial" w:hAnsi="Arial" w:cs="Arial"/>
                <w:sz w:val="16"/>
                <w:szCs w:val="16"/>
                <w:vertAlign w:val="superscript"/>
              </w:rPr>
              <w:t>c</w:t>
            </w:r>
            <w:r w:rsidRPr="00CC7D32">
              <w:rPr>
                <w:rFonts w:ascii="Arial" w:hAnsi="Arial" w:cs="Arial"/>
                <w:sz w:val="16"/>
                <w:szCs w:val="16"/>
                <w:vertAlign w:val="superscript"/>
              </w:rPr>
              <w:t>)</w:t>
            </w:r>
          </w:p>
        </w:tc>
        <w:tc>
          <w:tcPr>
            <w:tcW w:w="612" w:type="pct"/>
            <w:gridSpan w:val="2"/>
            <w:tcBorders>
              <w:top w:val="nil"/>
              <w:left w:val="nil"/>
              <w:bottom w:val="nil"/>
              <w:right w:val="nil"/>
            </w:tcBorders>
            <w:shd w:val="clear" w:color="auto" w:fill="auto"/>
            <w:noWrap/>
            <w:vAlign w:val="bottom"/>
            <w:hideMark/>
          </w:tcPr>
          <w:p w14:paraId="45AEE731" w14:textId="7D196EBD"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2,945</w:t>
            </w:r>
          </w:p>
        </w:tc>
        <w:tc>
          <w:tcPr>
            <w:tcW w:w="569" w:type="pct"/>
            <w:tcBorders>
              <w:top w:val="nil"/>
              <w:left w:val="nil"/>
              <w:bottom w:val="nil"/>
              <w:right w:val="nil"/>
            </w:tcBorders>
            <w:shd w:val="clear" w:color="000000" w:fill="E6E6E6"/>
            <w:noWrap/>
            <w:vAlign w:val="bottom"/>
            <w:hideMark/>
          </w:tcPr>
          <w:p w14:paraId="61E821BC" w14:textId="53BA47BD"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w:t>
            </w:r>
          </w:p>
        </w:tc>
        <w:tc>
          <w:tcPr>
            <w:tcW w:w="567" w:type="pct"/>
            <w:gridSpan w:val="2"/>
            <w:tcBorders>
              <w:top w:val="nil"/>
              <w:left w:val="nil"/>
              <w:bottom w:val="nil"/>
              <w:right w:val="nil"/>
            </w:tcBorders>
            <w:shd w:val="clear" w:color="auto" w:fill="auto"/>
            <w:noWrap/>
            <w:vAlign w:val="bottom"/>
            <w:hideMark/>
          </w:tcPr>
          <w:p w14:paraId="21630875" w14:textId="2C5EF9E6"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w:t>
            </w:r>
          </w:p>
        </w:tc>
        <w:tc>
          <w:tcPr>
            <w:tcW w:w="571" w:type="pct"/>
            <w:gridSpan w:val="2"/>
            <w:tcBorders>
              <w:top w:val="nil"/>
              <w:left w:val="nil"/>
              <w:bottom w:val="nil"/>
              <w:right w:val="nil"/>
            </w:tcBorders>
            <w:shd w:val="clear" w:color="auto" w:fill="auto"/>
            <w:noWrap/>
            <w:vAlign w:val="bottom"/>
            <w:hideMark/>
          </w:tcPr>
          <w:p w14:paraId="6F483E34" w14:textId="52A5B708"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w:t>
            </w:r>
          </w:p>
        </w:tc>
        <w:tc>
          <w:tcPr>
            <w:tcW w:w="576" w:type="pct"/>
            <w:tcBorders>
              <w:top w:val="nil"/>
              <w:left w:val="nil"/>
              <w:bottom w:val="nil"/>
              <w:right w:val="nil"/>
            </w:tcBorders>
            <w:shd w:val="clear" w:color="auto" w:fill="auto"/>
            <w:noWrap/>
            <w:vAlign w:val="bottom"/>
            <w:hideMark/>
          </w:tcPr>
          <w:p w14:paraId="41873897" w14:textId="3A6B9CE0" w:rsidR="00D95DE9" w:rsidRPr="00A86423" w:rsidRDefault="00D95DE9" w:rsidP="00E33831">
            <w:pPr>
              <w:spacing w:after="0" w:line="240" w:lineRule="auto"/>
              <w:jc w:val="right"/>
              <w:rPr>
                <w:rFonts w:ascii="Arial" w:hAnsi="Arial" w:cs="Arial"/>
                <w:sz w:val="16"/>
                <w:szCs w:val="16"/>
              </w:rPr>
            </w:pPr>
            <w:r w:rsidRPr="00A86423">
              <w:rPr>
                <w:rFonts w:ascii="Arial" w:hAnsi="Arial" w:cs="Arial"/>
                <w:sz w:val="16"/>
                <w:szCs w:val="16"/>
              </w:rPr>
              <w:t>-</w:t>
            </w:r>
          </w:p>
        </w:tc>
      </w:tr>
      <w:tr w:rsidR="00D95DE9" w:rsidRPr="00A86423" w14:paraId="5C0C0271" w14:textId="77777777" w:rsidTr="00CC7D32">
        <w:trPr>
          <w:trHeight w:val="204"/>
        </w:trPr>
        <w:tc>
          <w:tcPr>
            <w:tcW w:w="2106" w:type="pct"/>
            <w:tcBorders>
              <w:top w:val="nil"/>
              <w:left w:val="nil"/>
              <w:bottom w:val="nil"/>
              <w:right w:val="nil"/>
            </w:tcBorders>
            <w:shd w:val="clear" w:color="auto" w:fill="auto"/>
            <w:vAlign w:val="bottom"/>
            <w:hideMark/>
          </w:tcPr>
          <w:p w14:paraId="4CE8AE78" w14:textId="33BC8620" w:rsidR="00D95DE9" w:rsidRPr="00A86423" w:rsidRDefault="0000369A" w:rsidP="00D95DE9">
            <w:pPr>
              <w:spacing w:after="0" w:line="240" w:lineRule="auto"/>
              <w:jc w:val="right"/>
              <w:rPr>
                <w:rFonts w:ascii="Arial" w:hAnsi="Arial" w:cs="Arial"/>
                <w:b/>
                <w:bCs/>
                <w:sz w:val="16"/>
                <w:szCs w:val="16"/>
              </w:rPr>
            </w:pPr>
            <w:r>
              <w:rPr>
                <w:rFonts w:ascii="Arial" w:hAnsi="Arial" w:cs="Arial"/>
                <w:b/>
                <w:bCs/>
                <w:sz w:val="16"/>
                <w:szCs w:val="16"/>
              </w:rPr>
              <w:t>Total departmental expenses</w:t>
            </w:r>
          </w:p>
        </w:tc>
        <w:tc>
          <w:tcPr>
            <w:tcW w:w="612" w:type="pct"/>
            <w:gridSpan w:val="2"/>
            <w:tcBorders>
              <w:top w:val="single" w:sz="4" w:space="0" w:color="auto"/>
              <w:left w:val="nil"/>
              <w:bottom w:val="single" w:sz="4" w:space="0" w:color="auto"/>
              <w:right w:val="nil"/>
            </w:tcBorders>
            <w:shd w:val="clear" w:color="auto" w:fill="auto"/>
            <w:noWrap/>
            <w:vAlign w:val="bottom"/>
            <w:hideMark/>
          </w:tcPr>
          <w:p w14:paraId="157A1EEB" w14:textId="4D6E1797" w:rsidR="00D95DE9" w:rsidRPr="00A86423" w:rsidRDefault="00D95DE9" w:rsidP="00E33831">
            <w:pPr>
              <w:spacing w:after="0" w:line="240" w:lineRule="auto"/>
              <w:jc w:val="right"/>
              <w:rPr>
                <w:rFonts w:ascii="Arial" w:hAnsi="Arial" w:cs="Arial"/>
                <w:b/>
                <w:bCs/>
                <w:sz w:val="16"/>
                <w:szCs w:val="16"/>
              </w:rPr>
            </w:pPr>
            <w:r w:rsidRPr="00A86423">
              <w:rPr>
                <w:rFonts w:ascii="Arial" w:hAnsi="Arial" w:cs="Arial"/>
                <w:b/>
                <w:bCs/>
                <w:sz w:val="16"/>
                <w:szCs w:val="16"/>
              </w:rPr>
              <w:t>89,888</w:t>
            </w:r>
          </w:p>
        </w:tc>
        <w:tc>
          <w:tcPr>
            <w:tcW w:w="569" w:type="pct"/>
            <w:tcBorders>
              <w:top w:val="single" w:sz="4" w:space="0" w:color="auto"/>
              <w:left w:val="nil"/>
              <w:bottom w:val="single" w:sz="4" w:space="0" w:color="auto"/>
              <w:right w:val="nil"/>
            </w:tcBorders>
            <w:shd w:val="clear" w:color="000000" w:fill="E6E6E6"/>
            <w:noWrap/>
            <w:vAlign w:val="bottom"/>
            <w:hideMark/>
          </w:tcPr>
          <w:p w14:paraId="0900D160" w14:textId="138BCA02" w:rsidR="00D95DE9" w:rsidRPr="00A86423" w:rsidRDefault="00D95DE9" w:rsidP="00E33831">
            <w:pPr>
              <w:spacing w:after="0" w:line="240" w:lineRule="auto"/>
              <w:jc w:val="right"/>
              <w:rPr>
                <w:rFonts w:ascii="Arial" w:hAnsi="Arial" w:cs="Arial"/>
                <w:b/>
                <w:bCs/>
                <w:sz w:val="16"/>
                <w:szCs w:val="16"/>
              </w:rPr>
            </w:pPr>
            <w:r w:rsidRPr="00A86423">
              <w:rPr>
                <w:rFonts w:ascii="Arial" w:hAnsi="Arial" w:cs="Arial"/>
                <w:b/>
                <w:bCs/>
                <w:sz w:val="16"/>
                <w:szCs w:val="16"/>
              </w:rPr>
              <w:t>79,198</w:t>
            </w:r>
          </w:p>
        </w:tc>
        <w:tc>
          <w:tcPr>
            <w:tcW w:w="567" w:type="pct"/>
            <w:gridSpan w:val="2"/>
            <w:tcBorders>
              <w:top w:val="single" w:sz="4" w:space="0" w:color="auto"/>
              <w:left w:val="nil"/>
              <w:bottom w:val="single" w:sz="4" w:space="0" w:color="auto"/>
              <w:right w:val="nil"/>
            </w:tcBorders>
            <w:shd w:val="clear" w:color="auto" w:fill="auto"/>
            <w:noWrap/>
            <w:vAlign w:val="bottom"/>
            <w:hideMark/>
          </w:tcPr>
          <w:p w14:paraId="7F6D0598" w14:textId="74D17382" w:rsidR="00D95DE9" w:rsidRPr="00A86423" w:rsidRDefault="00D95DE9" w:rsidP="00E33831">
            <w:pPr>
              <w:spacing w:after="0" w:line="240" w:lineRule="auto"/>
              <w:jc w:val="right"/>
              <w:rPr>
                <w:rFonts w:ascii="Arial" w:hAnsi="Arial" w:cs="Arial"/>
                <w:b/>
                <w:bCs/>
                <w:sz w:val="16"/>
                <w:szCs w:val="16"/>
              </w:rPr>
            </w:pPr>
            <w:r w:rsidRPr="00A86423">
              <w:rPr>
                <w:rFonts w:ascii="Arial" w:hAnsi="Arial" w:cs="Arial"/>
                <w:b/>
                <w:bCs/>
                <w:sz w:val="16"/>
                <w:szCs w:val="16"/>
              </w:rPr>
              <w:t>61,533</w:t>
            </w:r>
          </w:p>
        </w:tc>
        <w:tc>
          <w:tcPr>
            <w:tcW w:w="571" w:type="pct"/>
            <w:gridSpan w:val="2"/>
            <w:tcBorders>
              <w:top w:val="single" w:sz="4" w:space="0" w:color="auto"/>
              <w:left w:val="nil"/>
              <w:bottom w:val="single" w:sz="4" w:space="0" w:color="auto"/>
              <w:right w:val="nil"/>
            </w:tcBorders>
            <w:shd w:val="clear" w:color="auto" w:fill="auto"/>
            <w:noWrap/>
            <w:vAlign w:val="bottom"/>
            <w:hideMark/>
          </w:tcPr>
          <w:p w14:paraId="147CA17E" w14:textId="224938B1" w:rsidR="00D95DE9" w:rsidRPr="00A86423" w:rsidRDefault="00D95DE9" w:rsidP="00E33831">
            <w:pPr>
              <w:spacing w:after="0" w:line="240" w:lineRule="auto"/>
              <w:jc w:val="right"/>
              <w:rPr>
                <w:rFonts w:ascii="Arial" w:hAnsi="Arial" w:cs="Arial"/>
                <w:b/>
                <w:bCs/>
                <w:sz w:val="16"/>
                <w:szCs w:val="16"/>
              </w:rPr>
            </w:pPr>
            <w:r w:rsidRPr="00A86423">
              <w:rPr>
                <w:rFonts w:ascii="Arial" w:hAnsi="Arial" w:cs="Arial"/>
                <w:b/>
                <w:bCs/>
                <w:sz w:val="16"/>
                <w:szCs w:val="16"/>
              </w:rPr>
              <w:t>61,438</w:t>
            </w:r>
          </w:p>
        </w:tc>
        <w:tc>
          <w:tcPr>
            <w:tcW w:w="576" w:type="pct"/>
            <w:tcBorders>
              <w:top w:val="single" w:sz="4" w:space="0" w:color="auto"/>
              <w:left w:val="nil"/>
              <w:bottom w:val="single" w:sz="4" w:space="0" w:color="auto"/>
              <w:right w:val="nil"/>
            </w:tcBorders>
            <w:shd w:val="clear" w:color="auto" w:fill="auto"/>
            <w:noWrap/>
            <w:vAlign w:val="bottom"/>
            <w:hideMark/>
          </w:tcPr>
          <w:p w14:paraId="0C4C0943" w14:textId="6E109885" w:rsidR="00D95DE9" w:rsidRPr="00A86423" w:rsidRDefault="00D95DE9" w:rsidP="00E33831">
            <w:pPr>
              <w:spacing w:after="0" w:line="240" w:lineRule="auto"/>
              <w:jc w:val="right"/>
              <w:rPr>
                <w:rFonts w:ascii="Arial" w:hAnsi="Arial" w:cs="Arial"/>
                <w:b/>
                <w:bCs/>
                <w:sz w:val="16"/>
                <w:szCs w:val="16"/>
              </w:rPr>
            </w:pPr>
            <w:r w:rsidRPr="00A86423">
              <w:rPr>
                <w:rFonts w:ascii="Arial" w:hAnsi="Arial" w:cs="Arial"/>
                <w:b/>
                <w:bCs/>
                <w:sz w:val="16"/>
                <w:szCs w:val="16"/>
              </w:rPr>
              <w:t>58,703</w:t>
            </w:r>
          </w:p>
        </w:tc>
      </w:tr>
      <w:tr w:rsidR="00D95DE9" w:rsidRPr="00A86423" w14:paraId="25367517" w14:textId="77777777" w:rsidTr="00CC7D32">
        <w:trPr>
          <w:trHeight w:val="204"/>
        </w:trPr>
        <w:tc>
          <w:tcPr>
            <w:tcW w:w="2106" w:type="pct"/>
            <w:tcBorders>
              <w:top w:val="nil"/>
              <w:left w:val="nil"/>
              <w:bottom w:val="single" w:sz="4" w:space="0" w:color="auto"/>
              <w:right w:val="nil"/>
            </w:tcBorders>
            <w:shd w:val="clear" w:color="auto" w:fill="auto"/>
            <w:noWrap/>
            <w:vAlign w:val="bottom"/>
            <w:hideMark/>
          </w:tcPr>
          <w:p w14:paraId="53C67E3E" w14:textId="77777777" w:rsidR="00D95DE9" w:rsidRPr="00A86423" w:rsidRDefault="00D95DE9" w:rsidP="00D95DE9">
            <w:pPr>
              <w:spacing w:after="0" w:line="240" w:lineRule="auto"/>
              <w:rPr>
                <w:rFonts w:ascii="Arial" w:hAnsi="Arial" w:cs="Arial"/>
                <w:b/>
                <w:bCs/>
                <w:sz w:val="16"/>
                <w:szCs w:val="16"/>
              </w:rPr>
            </w:pPr>
            <w:r w:rsidRPr="00A86423">
              <w:rPr>
                <w:rFonts w:ascii="Arial" w:hAnsi="Arial" w:cs="Arial"/>
                <w:b/>
                <w:bCs/>
                <w:sz w:val="16"/>
                <w:szCs w:val="16"/>
              </w:rPr>
              <w:t>Total expenses for Outcome 1</w:t>
            </w:r>
          </w:p>
        </w:tc>
        <w:tc>
          <w:tcPr>
            <w:tcW w:w="612" w:type="pct"/>
            <w:gridSpan w:val="2"/>
            <w:tcBorders>
              <w:top w:val="nil"/>
              <w:left w:val="nil"/>
              <w:bottom w:val="single" w:sz="4" w:space="0" w:color="auto"/>
              <w:right w:val="nil"/>
            </w:tcBorders>
            <w:shd w:val="clear" w:color="auto" w:fill="auto"/>
            <w:noWrap/>
            <w:vAlign w:val="bottom"/>
            <w:hideMark/>
          </w:tcPr>
          <w:p w14:paraId="00E5FE86" w14:textId="0DB80554" w:rsidR="00D95DE9" w:rsidRPr="00A86423" w:rsidRDefault="00D95DE9" w:rsidP="00E33831">
            <w:pPr>
              <w:spacing w:after="0" w:line="240" w:lineRule="auto"/>
              <w:jc w:val="right"/>
              <w:rPr>
                <w:rFonts w:ascii="Arial" w:hAnsi="Arial" w:cs="Arial"/>
                <w:b/>
                <w:bCs/>
                <w:sz w:val="16"/>
                <w:szCs w:val="16"/>
              </w:rPr>
            </w:pPr>
            <w:r w:rsidRPr="00A86423">
              <w:rPr>
                <w:rFonts w:ascii="Arial" w:hAnsi="Arial" w:cs="Arial"/>
                <w:b/>
                <w:bCs/>
                <w:sz w:val="16"/>
                <w:szCs w:val="16"/>
              </w:rPr>
              <w:t>769,708</w:t>
            </w:r>
          </w:p>
        </w:tc>
        <w:tc>
          <w:tcPr>
            <w:tcW w:w="569" w:type="pct"/>
            <w:tcBorders>
              <w:top w:val="nil"/>
              <w:left w:val="nil"/>
              <w:bottom w:val="single" w:sz="4" w:space="0" w:color="auto"/>
              <w:right w:val="nil"/>
            </w:tcBorders>
            <w:shd w:val="clear" w:color="000000" w:fill="E6E6E6"/>
            <w:noWrap/>
            <w:vAlign w:val="bottom"/>
            <w:hideMark/>
          </w:tcPr>
          <w:p w14:paraId="126200AC" w14:textId="67B12747" w:rsidR="00D95DE9" w:rsidRPr="00A86423" w:rsidRDefault="00D95DE9" w:rsidP="00E33831">
            <w:pPr>
              <w:spacing w:after="0" w:line="240" w:lineRule="auto"/>
              <w:jc w:val="right"/>
              <w:rPr>
                <w:rFonts w:ascii="Arial" w:hAnsi="Arial" w:cs="Arial"/>
                <w:b/>
                <w:bCs/>
                <w:sz w:val="16"/>
                <w:szCs w:val="16"/>
              </w:rPr>
            </w:pPr>
            <w:r w:rsidRPr="00A86423">
              <w:rPr>
                <w:rFonts w:ascii="Arial" w:hAnsi="Arial" w:cs="Arial"/>
                <w:b/>
                <w:bCs/>
                <w:sz w:val="16"/>
                <w:szCs w:val="16"/>
              </w:rPr>
              <w:t>753,688</w:t>
            </w:r>
          </w:p>
        </w:tc>
        <w:tc>
          <w:tcPr>
            <w:tcW w:w="567" w:type="pct"/>
            <w:gridSpan w:val="2"/>
            <w:tcBorders>
              <w:top w:val="nil"/>
              <w:left w:val="nil"/>
              <w:bottom w:val="single" w:sz="4" w:space="0" w:color="auto"/>
              <w:right w:val="nil"/>
            </w:tcBorders>
            <w:shd w:val="clear" w:color="auto" w:fill="auto"/>
            <w:noWrap/>
            <w:vAlign w:val="bottom"/>
            <w:hideMark/>
          </w:tcPr>
          <w:p w14:paraId="54C07D7B" w14:textId="123CBEBD" w:rsidR="00D95DE9" w:rsidRPr="00A86423" w:rsidRDefault="00D95DE9" w:rsidP="00E33831">
            <w:pPr>
              <w:spacing w:after="0" w:line="240" w:lineRule="auto"/>
              <w:jc w:val="right"/>
              <w:rPr>
                <w:rFonts w:ascii="Arial" w:hAnsi="Arial" w:cs="Arial"/>
                <w:b/>
                <w:bCs/>
                <w:sz w:val="16"/>
                <w:szCs w:val="16"/>
              </w:rPr>
            </w:pPr>
            <w:r w:rsidRPr="00A86423">
              <w:rPr>
                <w:rFonts w:ascii="Arial" w:hAnsi="Arial" w:cs="Arial"/>
                <w:b/>
                <w:bCs/>
                <w:sz w:val="16"/>
                <w:szCs w:val="16"/>
              </w:rPr>
              <w:t>638,766</w:t>
            </w:r>
          </w:p>
        </w:tc>
        <w:tc>
          <w:tcPr>
            <w:tcW w:w="571" w:type="pct"/>
            <w:gridSpan w:val="2"/>
            <w:tcBorders>
              <w:top w:val="nil"/>
              <w:left w:val="nil"/>
              <w:bottom w:val="single" w:sz="4" w:space="0" w:color="auto"/>
              <w:right w:val="nil"/>
            </w:tcBorders>
            <w:shd w:val="clear" w:color="auto" w:fill="auto"/>
            <w:noWrap/>
            <w:vAlign w:val="bottom"/>
            <w:hideMark/>
          </w:tcPr>
          <w:p w14:paraId="779AC976" w14:textId="3F6E1A5F" w:rsidR="00D95DE9" w:rsidRPr="00A86423" w:rsidRDefault="00D95DE9" w:rsidP="00E33831">
            <w:pPr>
              <w:spacing w:after="0" w:line="240" w:lineRule="auto"/>
              <w:jc w:val="right"/>
              <w:rPr>
                <w:rFonts w:ascii="Arial" w:hAnsi="Arial" w:cs="Arial"/>
                <w:b/>
                <w:bCs/>
                <w:sz w:val="16"/>
                <w:szCs w:val="16"/>
              </w:rPr>
            </w:pPr>
            <w:r w:rsidRPr="00A86423">
              <w:rPr>
                <w:rFonts w:ascii="Arial" w:hAnsi="Arial" w:cs="Arial"/>
                <w:b/>
                <w:bCs/>
                <w:sz w:val="16"/>
                <w:szCs w:val="16"/>
              </w:rPr>
              <w:t>596,794</w:t>
            </w:r>
          </w:p>
        </w:tc>
        <w:tc>
          <w:tcPr>
            <w:tcW w:w="576" w:type="pct"/>
            <w:tcBorders>
              <w:top w:val="nil"/>
              <w:left w:val="nil"/>
              <w:bottom w:val="single" w:sz="4" w:space="0" w:color="auto"/>
              <w:right w:val="nil"/>
            </w:tcBorders>
            <w:shd w:val="clear" w:color="auto" w:fill="auto"/>
            <w:noWrap/>
            <w:vAlign w:val="bottom"/>
            <w:hideMark/>
          </w:tcPr>
          <w:p w14:paraId="082F9A13" w14:textId="7DF693D0" w:rsidR="00D95DE9" w:rsidRPr="00A86423" w:rsidRDefault="00D95DE9" w:rsidP="00E33831">
            <w:pPr>
              <w:spacing w:after="0" w:line="240" w:lineRule="auto"/>
              <w:jc w:val="right"/>
              <w:rPr>
                <w:rFonts w:ascii="Arial" w:hAnsi="Arial" w:cs="Arial"/>
                <w:b/>
                <w:bCs/>
                <w:sz w:val="16"/>
                <w:szCs w:val="16"/>
              </w:rPr>
            </w:pPr>
            <w:r w:rsidRPr="00A86423">
              <w:rPr>
                <w:rFonts w:ascii="Arial" w:hAnsi="Arial" w:cs="Arial"/>
                <w:b/>
                <w:bCs/>
                <w:sz w:val="16"/>
                <w:szCs w:val="16"/>
              </w:rPr>
              <w:t>588,927</w:t>
            </w:r>
          </w:p>
        </w:tc>
      </w:tr>
    </w:tbl>
    <w:p w14:paraId="66F4EC46" w14:textId="77777777" w:rsidR="00D95DE9" w:rsidRPr="00D95DE9" w:rsidRDefault="00D95DE9" w:rsidP="00D95DE9"/>
    <w:p w14:paraId="2BD76812" w14:textId="77777777" w:rsidR="00AE662B" w:rsidRDefault="00AE662B">
      <w:pPr>
        <w:spacing w:after="0" w:line="240" w:lineRule="auto"/>
        <w:rPr>
          <w:rFonts w:ascii="Arial" w:hAnsi="Arial" w:cs="Arial"/>
          <w:sz w:val="16"/>
        </w:rPr>
      </w:pPr>
      <w:r>
        <w:rPr>
          <w:rFonts w:ascii="Arial" w:hAnsi="Arial" w:cs="Arial"/>
          <w:sz w:val="16"/>
        </w:rPr>
        <w:br w:type="page"/>
      </w:r>
    </w:p>
    <w:p w14:paraId="230A2718" w14:textId="465BC99E" w:rsidR="00AE662B" w:rsidRPr="00AE662B" w:rsidRDefault="00AE662B" w:rsidP="00AE662B">
      <w:pPr>
        <w:pStyle w:val="TableHeading"/>
        <w:rPr>
          <w:lang w:val="en-US"/>
        </w:rPr>
      </w:pPr>
      <w:r w:rsidRPr="006E4DF1">
        <w:lastRenderedPageBreak/>
        <w:t>Table 2.</w:t>
      </w:r>
      <w:r>
        <w:t>1</w:t>
      </w:r>
      <w:r w:rsidRPr="006E4DF1">
        <w:t xml:space="preserve">.1: Budgeted expenses for Outcome </w:t>
      </w:r>
      <w:r>
        <w:t>1</w:t>
      </w:r>
      <w:r>
        <w:rPr>
          <w:lang w:val="en-US"/>
        </w:rPr>
        <w:t xml:space="preserve"> (continued)</w:t>
      </w:r>
    </w:p>
    <w:tbl>
      <w:tblPr>
        <w:tblW w:w="5000" w:type="pct"/>
        <w:tblLook w:val="04A0" w:firstRow="1" w:lastRow="0" w:firstColumn="1" w:lastColumn="0" w:noHBand="0" w:noVBand="1"/>
      </w:tblPr>
      <w:tblGrid>
        <w:gridCol w:w="3238"/>
        <w:gridCol w:w="933"/>
        <w:gridCol w:w="885"/>
        <w:gridCol w:w="885"/>
        <w:gridCol w:w="885"/>
        <w:gridCol w:w="884"/>
      </w:tblGrid>
      <w:tr w:rsidR="00AE662B" w:rsidRPr="00AE662B" w14:paraId="6BDFFE1E" w14:textId="77777777" w:rsidTr="00E33831">
        <w:trPr>
          <w:trHeight w:val="204"/>
        </w:trPr>
        <w:tc>
          <w:tcPr>
            <w:tcW w:w="2100" w:type="pct"/>
            <w:tcBorders>
              <w:top w:val="single" w:sz="4" w:space="0" w:color="auto"/>
              <w:left w:val="nil"/>
              <w:bottom w:val="nil"/>
              <w:right w:val="nil"/>
            </w:tcBorders>
            <w:shd w:val="clear" w:color="auto" w:fill="auto"/>
            <w:vAlign w:val="bottom"/>
            <w:hideMark/>
          </w:tcPr>
          <w:p w14:paraId="141B158F" w14:textId="7D8DEA5E" w:rsidR="00AE662B" w:rsidRPr="00AE662B" w:rsidRDefault="00AE662B" w:rsidP="00AE662B">
            <w:pPr>
              <w:spacing w:after="0" w:line="240" w:lineRule="auto"/>
              <w:rPr>
                <w:rFonts w:ascii="Arial" w:hAnsi="Arial" w:cs="Arial"/>
                <w:b/>
                <w:bCs/>
                <w:color w:val="000000"/>
                <w:sz w:val="16"/>
                <w:szCs w:val="16"/>
              </w:rPr>
            </w:pPr>
            <w:r w:rsidRPr="00AE662B">
              <w:rPr>
                <w:rFonts w:ascii="Arial" w:hAnsi="Arial" w:cs="Arial"/>
                <w:b/>
                <w:bCs/>
                <w:color w:val="000000"/>
                <w:sz w:val="16"/>
                <w:szCs w:val="16"/>
              </w:rPr>
              <w:t>Movement of administered funds between years</w:t>
            </w:r>
            <w:r w:rsidRPr="00AE662B">
              <w:rPr>
                <w:rFonts w:ascii="Arial" w:hAnsi="Arial" w:cs="Arial"/>
                <w:b/>
                <w:bCs/>
                <w:color w:val="000000"/>
                <w:sz w:val="16"/>
                <w:szCs w:val="16"/>
                <w:vertAlign w:val="superscript"/>
              </w:rPr>
              <w:t>(</w:t>
            </w:r>
            <w:r w:rsidR="00CC7D32">
              <w:rPr>
                <w:rFonts w:ascii="Arial" w:hAnsi="Arial" w:cs="Arial"/>
                <w:b/>
                <w:bCs/>
                <w:color w:val="000000"/>
                <w:sz w:val="16"/>
                <w:szCs w:val="16"/>
                <w:vertAlign w:val="superscript"/>
              </w:rPr>
              <w:t>d</w:t>
            </w:r>
            <w:r w:rsidRPr="00AE662B">
              <w:rPr>
                <w:rFonts w:ascii="Arial" w:hAnsi="Arial" w:cs="Arial"/>
                <w:b/>
                <w:bCs/>
                <w:color w:val="000000"/>
                <w:sz w:val="16"/>
                <w:szCs w:val="16"/>
                <w:vertAlign w:val="superscript"/>
              </w:rPr>
              <w:t>)</w:t>
            </w:r>
          </w:p>
        </w:tc>
        <w:tc>
          <w:tcPr>
            <w:tcW w:w="605" w:type="pct"/>
            <w:tcBorders>
              <w:top w:val="single" w:sz="4" w:space="0" w:color="auto"/>
              <w:left w:val="nil"/>
              <w:bottom w:val="single" w:sz="4" w:space="0" w:color="auto"/>
              <w:right w:val="nil"/>
            </w:tcBorders>
            <w:shd w:val="clear" w:color="auto" w:fill="auto"/>
            <w:vAlign w:val="bottom"/>
            <w:hideMark/>
          </w:tcPr>
          <w:p w14:paraId="6E16CF4F" w14:textId="77777777" w:rsidR="00AE662B" w:rsidRPr="00AE662B" w:rsidRDefault="00AE662B" w:rsidP="00AE662B">
            <w:pPr>
              <w:spacing w:after="0" w:line="240" w:lineRule="auto"/>
              <w:jc w:val="right"/>
              <w:rPr>
                <w:rFonts w:ascii="Arial" w:hAnsi="Arial" w:cs="Arial"/>
                <w:sz w:val="16"/>
                <w:szCs w:val="16"/>
              </w:rPr>
            </w:pPr>
            <w:r w:rsidRPr="00AE662B">
              <w:rPr>
                <w:rFonts w:ascii="Arial" w:hAnsi="Arial" w:cs="Arial"/>
                <w:sz w:val="16"/>
                <w:szCs w:val="16"/>
              </w:rPr>
              <w:t>2022-23 Estimated actual</w:t>
            </w:r>
            <w:r w:rsidRPr="00AE662B">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000000" w:fill="E6E6E6"/>
            <w:vAlign w:val="bottom"/>
            <w:hideMark/>
          </w:tcPr>
          <w:p w14:paraId="7C1C0B06" w14:textId="77777777" w:rsidR="00AE662B" w:rsidRPr="00AE662B" w:rsidRDefault="00AE662B" w:rsidP="00AE662B">
            <w:pPr>
              <w:spacing w:after="0" w:line="240" w:lineRule="auto"/>
              <w:jc w:val="right"/>
              <w:rPr>
                <w:rFonts w:ascii="Arial" w:hAnsi="Arial" w:cs="Arial"/>
                <w:sz w:val="16"/>
                <w:szCs w:val="16"/>
              </w:rPr>
            </w:pPr>
            <w:r w:rsidRPr="00AE662B">
              <w:rPr>
                <w:rFonts w:ascii="Arial" w:hAnsi="Arial" w:cs="Arial"/>
                <w:sz w:val="16"/>
                <w:szCs w:val="16"/>
              </w:rPr>
              <w:t>2023-24</w:t>
            </w:r>
            <w:r w:rsidRPr="00AE662B">
              <w:rPr>
                <w:rFonts w:ascii="Arial" w:hAnsi="Arial" w:cs="Arial"/>
                <w:sz w:val="16"/>
                <w:szCs w:val="16"/>
              </w:rPr>
              <w:br/>
              <w:t>Budget</w:t>
            </w:r>
            <w:r w:rsidRPr="00AE662B">
              <w:rPr>
                <w:rFonts w:ascii="Arial" w:hAnsi="Arial" w:cs="Arial"/>
                <w:sz w:val="16"/>
                <w:szCs w:val="16"/>
              </w:rPr>
              <w:br/>
            </w:r>
            <w:r w:rsidRPr="00AE662B">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5ADFD2CC" w14:textId="77777777" w:rsidR="00AE662B" w:rsidRPr="00AE662B" w:rsidRDefault="00AE662B" w:rsidP="00AE662B">
            <w:pPr>
              <w:spacing w:after="0" w:line="240" w:lineRule="auto"/>
              <w:jc w:val="right"/>
              <w:rPr>
                <w:rFonts w:ascii="Arial" w:hAnsi="Arial" w:cs="Arial"/>
                <w:sz w:val="16"/>
                <w:szCs w:val="16"/>
              </w:rPr>
            </w:pPr>
            <w:r w:rsidRPr="00AE662B">
              <w:rPr>
                <w:rFonts w:ascii="Arial" w:hAnsi="Arial" w:cs="Arial"/>
                <w:sz w:val="16"/>
                <w:szCs w:val="16"/>
              </w:rPr>
              <w:t>2024-25 Forward estimate</w:t>
            </w:r>
            <w:r w:rsidRPr="00AE662B">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57A6D26C" w14:textId="77777777" w:rsidR="00AE662B" w:rsidRPr="00AE662B" w:rsidRDefault="00AE662B" w:rsidP="00AE662B">
            <w:pPr>
              <w:spacing w:after="0" w:line="240" w:lineRule="auto"/>
              <w:jc w:val="right"/>
              <w:rPr>
                <w:rFonts w:ascii="Arial" w:hAnsi="Arial" w:cs="Arial"/>
                <w:sz w:val="16"/>
                <w:szCs w:val="16"/>
              </w:rPr>
            </w:pPr>
            <w:r w:rsidRPr="00AE662B">
              <w:rPr>
                <w:rFonts w:ascii="Arial" w:hAnsi="Arial" w:cs="Arial"/>
                <w:sz w:val="16"/>
                <w:szCs w:val="16"/>
              </w:rPr>
              <w:t>2025-26 Forward estimate</w:t>
            </w:r>
            <w:r w:rsidRPr="00AE662B">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35E34BCE" w14:textId="77777777" w:rsidR="00AE662B" w:rsidRPr="00AE662B" w:rsidRDefault="00AE662B" w:rsidP="00AE662B">
            <w:pPr>
              <w:spacing w:after="0" w:line="240" w:lineRule="auto"/>
              <w:jc w:val="right"/>
              <w:rPr>
                <w:rFonts w:ascii="Arial" w:hAnsi="Arial" w:cs="Arial"/>
                <w:sz w:val="16"/>
                <w:szCs w:val="16"/>
              </w:rPr>
            </w:pPr>
            <w:r w:rsidRPr="00AE662B">
              <w:rPr>
                <w:rFonts w:ascii="Arial" w:hAnsi="Arial" w:cs="Arial"/>
                <w:sz w:val="16"/>
                <w:szCs w:val="16"/>
              </w:rPr>
              <w:t>2026-27</w:t>
            </w:r>
            <w:r w:rsidRPr="00AE662B">
              <w:rPr>
                <w:rFonts w:ascii="Arial" w:hAnsi="Arial" w:cs="Arial"/>
                <w:sz w:val="16"/>
                <w:szCs w:val="16"/>
              </w:rPr>
              <w:br/>
              <w:t>Forward estimate</w:t>
            </w:r>
            <w:r w:rsidRPr="00AE662B">
              <w:rPr>
                <w:rFonts w:ascii="Arial" w:hAnsi="Arial" w:cs="Arial"/>
                <w:sz w:val="16"/>
                <w:szCs w:val="16"/>
              </w:rPr>
              <w:br/>
              <w:t>$'000</w:t>
            </w:r>
          </w:p>
        </w:tc>
      </w:tr>
      <w:tr w:rsidR="00AE662B" w:rsidRPr="00AE662B" w14:paraId="1381F8FD" w14:textId="77777777" w:rsidTr="00E33831">
        <w:trPr>
          <w:trHeight w:val="204"/>
        </w:trPr>
        <w:tc>
          <w:tcPr>
            <w:tcW w:w="2100" w:type="pct"/>
            <w:tcBorders>
              <w:top w:val="nil"/>
              <w:left w:val="nil"/>
              <w:bottom w:val="nil"/>
              <w:right w:val="nil"/>
            </w:tcBorders>
            <w:shd w:val="clear" w:color="auto" w:fill="auto"/>
            <w:noWrap/>
            <w:vAlign w:val="bottom"/>
            <w:hideMark/>
          </w:tcPr>
          <w:p w14:paraId="0B24AE67" w14:textId="77777777" w:rsidR="00AE662B" w:rsidRPr="00AE662B" w:rsidRDefault="00AE662B" w:rsidP="00AE662B">
            <w:pPr>
              <w:spacing w:after="0" w:line="240" w:lineRule="auto"/>
              <w:ind w:left="113"/>
              <w:rPr>
                <w:rFonts w:ascii="Arial" w:hAnsi="Arial" w:cs="Arial"/>
                <w:sz w:val="16"/>
                <w:szCs w:val="16"/>
              </w:rPr>
            </w:pPr>
            <w:r w:rsidRPr="00AE662B">
              <w:rPr>
                <w:rFonts w:ascii="Arial" w:hAnsi="Arial" w:cs="Arial"/>
                <w:sz w:val="16"/>
                <w:szCs w:val="16"/>
              </w:rPr>
              <w:t xml:space="preserve">Outcome 1: </w:t>
            </w:r>
          </w:p>
        </w:tc>
        <w:tc>
          <w:tcPr>
            <w:tcW w:w="605" w:type="pct"/>
            <w:tcBorders>
              <w:top w:val="nil"/>
              <w:left w:val="nil"/>
              <w:bottom w:val="nil"/>
              <w:right w:val="nil"/>
            </w:tcBorders>
            <w:shd w:val="clear" w:color="auto" w:fill="auto"/>
            <w:vAlign w:val="bottom"/>
            <w:hideMark/>
          </w:tcPr>
          <w:p w14:paraId="19434F4E" w14:textId="77777777" w:rsidR="00AE662B" w:rsidRPr="00AE662B" w:rsidRDefault="00AE662B" w:rsidP="00AE662B">
            <w:pPr>
              <w:spacing w:after="0" w:line="240" w:lineRule="auto"/>
              <w:jc w:val="right"/>
              <w:rPr>
                <w:rFonts w:ascii="Arial" w:hAnsi="Arial" w:cs="Arial"/>
                <w:sz w:val="16"/>
                <w:szCs w:val="16"/>
              </w:rPr>
            </w:pPr>
          </w:p>
        </w:tc>
        <w:tc>
          <w:tcPr>
            <w:tcW w:w="574" w:type="pct"/>
            <w:tcBorders>
              <w:top w:val="nil"/>
              <w:left w:val="nil"/>
              <w:bottom w:val="nil"/>
              <w:right w:val="nil"/>
            </w:tcBorders>
            <w:shd w:val="clear" w:color="000000" w:fill="E6E6E6"/>
            <w:vAlign w:val="bottom"/>
            <w:hideMark/>
          </w:tcPr>
          <w:p w14:paraId="46462B6B" w14:textId="1E607F88" w:rsidR="00AE662B" w:rsidRPr="00AE662B" w:rsidRDefault="00AE662B" w:rsidP="00AE662B">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vAlign w:val="bottom"/>
            <w:hideMark/>
          </w:tcPr>
          <w:p w14:paraId="0CFC77AC" w14:textId="77777777" w:rsidR="00AE662B" w:rsidRPr="00AE662B" w:rsidRDefault="00AE662B" w:rsidP="00AE662B">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vAlign w:val="bottom"/>
            <w:hideMark/>
          </w:tcPr>
          <w:p w14:paraId="4C87C61E" w14:textId="77777777" w:rsidR="00AE662B" w:rsidRPr="00AE662B" w:rsidRDefault="00AE662B" w:rsidP="00AE662B">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vAlign w:val="bottom"/>
            <w:hideMark/>
          </w:tcPr>
          <w:p w14:paraId="0FC8556D" w14:textId="77777777" w:rsidR="00AE662B" w:rsidRPr="00AE662B" w:rsidRDefault="00AE662B" w:rsidP="00AE662B">
            <w:pPr>
              <w:spacing w:after="0" w:line="240" w:lineRule="auto"/>
              <w:jc w:val="right"/>
              <w:rPr>
                <w:rFonts w:ascii="Times New Roman" w:hAnsi="Times New Roman"/>
              </w:rPr>
            </w:pPr>
          </w:p>
        </w:tc>
      </w:tr>
      <w:tr w:rsidR="00D95DE9" w:rsidRPr="00AE662B" w14:paraId="7883A9A9" w14:textId="77777777" w:rsidTr="00E33831">
        <w:trPr>
          <w:trHeight w:val="204"/>
        </w:trPr>
        <w:tc>
          <w:tcPr>
            <w:tcW w:w="2100" w:type="pct"/>
            <w:tcBorders>
              <w:top w:val="nil"/>
              <w:left w:val="nil"/>
              <w:bottom w:val="nil"/>
              <w:right w:val="nil"/>
            </w:tcBorders>
            <w:shd w:val="clear" w:color="auto" w:fill="auto"/>
            <w:noWrap/>
            <w:vAlign w:val="bottom"/>
            <w:hideMark/>
          </w:tcPr>
          <w:p w14:paraId="7C39B2D6" w14:textId="77777777" w:rsidR="00D95DE9" w:rsidRPr="00AE662B" w:rsidRDefault="00D95DE9" w:rsidP="00D95DE9">
            <w:pPr>
              <w:spacing w:after="0" w:line="240" w:lineRule="auto"/>
              <w:ind w:left="227"/>
              <w:outlineLvl w:val="1"/>
              <w:rPr>
                <w:rFonts w:ascii="Arial" w:hAnsi="Arial" w:cs="Arial"/>
                <w:sz w:val="16"/>
                <w:szCs w:val="16"/>
              </w:rPr>
            </w:pPr>
            <w:r w:rsidRPr="00AE662B">
              <w:rPr>
                <w:rFonts w:ascii="Arial" w:hAnsi="Arial" w:cs="Arial"/>
                <w:sz w:val="16"/>
                <w:szCs w:val="16"/>
              </w:rPr>
              <w:t>Program 1.1: Infrastructure Investment</w:t>
            </w:r>
          </w:p>
        </w:tc>
        <w:tc>
          <w:tcPr>
            <w:tcW w:w="605" w:type="pct"/>
            <w:tcBorders>
              <w:top w:val="nil"/>
              <w:left w:val="nil"/>
              <w:bottom w:val="nil"/>
              <w:right w:val="nil"/>
            </w:tcBorders>
            <w:shd w:val="clear" w:color="auto" w:fill="auto"/>
            <w:noWrap/>
            <w:vAlign w:val="bottom"/>
            <w:hideMark/>
          </w:tcPr>
          <w:p w14:paraId="4C8EAD09" w14:textId="49F0D569" w:rsidR="00D95DE9" w:rsidRPr="00AE662B" w:rsidRDefault="00D95DE9" w:rsidP="00D95DE9">
            <w:pPr>
              <w:spacing w:after="0" w:line="240" w:lineRule="auto"/>
              <w:jc w:val="right"/>
              <w:outlineLvl w:val="1"/>
              <w:rPr>
                <w:rFonts w:ascii="Arial" w:hAnsi="Arial" w:cs="Arial"/>
                <w:sz w:val="16"/>
                <w:szCs w:val="16"/>
              </w:rPr>
            </w:pPr>
            <w:r>
              <w:rPr>
                <w:rFonts w:ascii="Arial" w:hAnsi="Arial" w:cs="Arial"/>
                <w:sz w:val="16"/>
                <w:szCs w:val="16"/>
              </w:rPr>
              <w:t>(63,877)</w:t>
            </w:r>
          </w:p>
        </w:tc>
        <w:tc>
          <w:tcPr>
            <w:tcW w:w="574" w:type="pct"/>
            <w:tcBorders>
              <w:top w:val="nil"/>
              <w:left w:val="nil"/>
              <w:bottom w:val="single" w:sz="4" w:space="0" w:color="auto"/>
              <w:right w:val="nil"/>
            </w:tcBorders>
            <w:shd w:val="clear" w:color="000000" w:fill="E6E6E6"/>
            <w:noWrap/>
            <w:vAlign w:val="bottom"/>
            <w:hideMark/>
          </w:tcPr>
          <w:p w14:paraId="1890FE53" w14:textId="0C197A40" w:rsidR="00D95DE9" w:rsidRPr="0000369A" w:rsidRDefault="00D95DE9" w:rsidP="00D95DE9">
            <w:pPr>
              <w:spacing w:after="0" w:line="240" w:lineRule="auto"/>
              <w:jc w:val="right"/>
              <w:outlineLvl w:val="1"/>
              <w:rPr>
                <w:rFonts w:ascii="Arial" w:hAnsi="Arial" w:cs="Arial"/>
                <w:bCs/>
                <w:sz w:val="16"/>
                <w:szCs w:val="16"/>
              </w:rPr>
            </w:pPr>
            <w:r w:rsidRPr="0000369A">
              <w:rPr>
                <w:rFonts w:ascii="Arial" w:hAnsi="Arial" w:cs="Arial"/>
                <w:bCs/>
                <w:sz w:val="16"/>
                <w:szCs w:val="16"/>
              </w:rPr>
              <w:t>48,972</w:t>
            </w:r>
          </w:p>
        </w:tc>
        <w:tc>
          <w:tcPr>
            <w:tcW w:w="574" w:type="pct"/>
            <w:tcBorders>
              <w:top w:val="nil"/>
              <w:left w:val="nil"/>
              <w:bottom w:val="nil"/>
              <w:right w:val="nil"/>
            </w:tcBorders>
            <w:shd w:val="clear" w:color="auto" w:fill="auto"/>
            <w:noWrap/>
            <w:vAlign w:val="bottom"/>
            <w:hideMark/>
          </w:tcPr>
          <w:p w14:paraId="0D7977A5" w14:textId="48738E0A" w:rsidR="00D95DE9" w:rsidRPr="00AE662B" w:rsidRDefault="00D95DE9" w:rsidP="00D95DE9">
            <w:pPr>
              <w:spacing w:after="0" w:line="240" w:lineRule="auto"/>
              <w:jc w:val="right"/>
              <w:outlineLvl w:val="1"/>
              <w:rPr>
                <w:rFonts w:ascii="Arial" w:hAnsi="Arial" w:cs="Arial"/>
                <w:sz w:val="16"/>
                <w:szCs w:val="16"/>
              </w:rPr>
            </w:pPr>
            <w:r>
              <w:rPr>
                <w:rFonts w:ascii="Arial" w:hAnsi="Arial" w:cs="Arial"/>
                <w:sz w:val="16"/>
                <w:szCs w:val="16"/>
              </w:rPr>
              <w:t>14,905</w:t>
            </w:r>
          </w:p>
        </w:tc>
        <w:tc>
          <w:tcPr>
            <w:tcW w:w="574" w:type="pct"/>
            <w:tcBorders>
              <w:top w:val="nil"/>
              <w:left w:val="nil"/>
              <w:bottom w:val="nil"/>
              <w:right w:val="nil"/>
            </w:tcBorders>
            <w:shd w:val="clear" w:color="auto" w:fill="auto"/>
            <w:noWrap/>
            <w:vAlign w:val="bottom"/>
            <w:hideMark/>
          </w:tcPr>
          <w:p w14:paraId="07EF9EFB" w14:textId="141CF698" w:rsidR="00D95DE9" w:rsidRPr="00AE662B" w:rsidRDefault="00D95DE9" w:rsidP="00D95DE9">
            <w:pPr>
              <w:spacing w:after="0" w:line="240" w:lineRule="auto"/>
              <w:jc w:val="right"/>
              <w:outlineLvl w:val="1"/>
              <w:rPr>
                <w:rFonts w:ascii="Arial" w:hAnsi="Arial" w:cs="Arial"/>
                <w:sz w:val="16"/>
                <w:szCs w:val="16"/>
              </w:rPr>
            </w:pPr>
            <w:r>
              <w:rPr>
                <w:rFonts w:ascii="Arial" w:hAnsi="Arial" w:cs="Arial"/>
                <w:sz w:val="16"/>
                <w:szCs w:val="16"/>
              </w:rPr>
              <w:t>-</w:t>
            </w:r>
          </w:p>
        </w:tc>
        <w:tc>
          <w:tcPr>
            <w:tcW w:w="573" w:type="pct"/>
            <w:tcBorders>
              <w:top w:val="nil"/>
              <w:left w:val="nil"/>
              <w:bottom w:val="nil"/>
              <w:right w:val="nil"/>
            </w:tcBorders>
            <w:shd w:val="clear" w:color="auto" w:fill="auto"/>
            <w:noWrap/>
            <w:vAlign w:val="bottom"/>
            <w:hideMark/>
          </w:tcPr>
          <w:p w14:paraId="0EB2B2D7" w14:textId="362CDA58" w:rsidR="00D95DE9" w:rsidRPr="00AE662B" w:rsidRDefault="00D95DE9" w:rsidP="00D95DE9">
            <w:pPr>
              <w:spacing w:after="0" w:line="240" w:lineRule="auto"/>
              <w:jc w:val="right"/>
              <w:outlineLvl w:val="1"/>
              <w:rPr>
                <w:rFonts w:ascii="Arial" w:hAnsi="Arial" w:cs="Arial"/>
                <w:sz w:val="16"/>
                <w:szCs w:val="16"/>
              </w:rPr>
            </w:pPr>
            <w:r>
              <w:rPr>
                <w:rFonts w:ascii="Arial" w:hAnsi="Arial" w:cs="Arial"/>
                <w:sz w:val="16"/>
                <w:szCs w:val="16"/>
              </w:rPr>
              <w:t>-</w:t>
            </w:r>
          </w:p>
        </w:tc>
      </w:tr>
      <w:tr w:rsidR="00D95DE9" w:rsidRPr="00AE662B" w14:paraId="2B3AD234" w14:textId="77777777" w:rsidTr="00E33831">
        <w:trPr>
          <w:trHeight w:val="204"/>
        </w:trPr>
        <w:tc>
          <w:tcPr>
            <w:tcW w:w="2100" w:type="pct"/>
            <w:tcBorders>
              <w:top w:val="nil"/>
              <w:left w:val="nil"/>
              <w:bottom w:val="single" w:sz="4" w:space="0" w:color="auto"/>
              <w:right w:val="nil"/>
            </w:tcBorders>
            <w:shd w:val="clear" w:color="auto" w:fill="auto"/>
            <w:vAlign w:val="bottom"/>
            <w:hideMark/>
          </w:tcPr>
          <w:p w14:paraId="6E10A424" w14:textId="7645F090" w:rsidR="00D95DE9" w:rsidRPr="00AE662B" w:rsidRDefault="00D95DE9" w:rsidP="00D95DE9">
            <w:pPr>
              <w:spacing w:after="0" w:line="240" w:lineRule="auto"/>
              <w:rPr>
                <w:rFonts w:ascii="Arial" w:hAnsi="Arial" w:cs="Arial"/>
                <w:b/>
                <w:bCs/>
                <w:sz w:val="16"/>
                <w:szCs w:val="16"/>
              </w:rPr>
            </w:pPr>
            <w:r w:rsidRPr="00AE662B">
              <w:rPr>
                <w:rFonts w:ascii="Arial" w:hAnsi="Arial" w:cs="Arial"/>
                <w:b/>
                <w:bCs/>
                <w:sz w:val="16"/>
                <w:szCs w:val="16"/>
              </w:rPr>
              <w:t>Total movement of administered funds</w:t>
            </w:r>
          </w:p>
        </w:tc>
        <w:tc>
          <w:tcPr>
            <w:tcW w:w="605" w:type="pct"/>
            <w:tcBorders>
              <w:top w:val="single" w:sz="4" w:space="0" w:color="auto"/>
              <w:left w:val="nil"/>
              <w:bottom w:val="single" w:sz="4" w:space="0" w:color="auto"/>
              <w:right w:val="nil"/>
            </w:tcBorders>
            <w:shd w:val="clear" w:color="auto" w:fill="auto"/>
            <w:noWrap/>
            <w:vAlign w:val="bottom"/>
            <w:hideMark/>
          </w:tcPr>
          <w:p w14:paraId="0F75DAB7" w14:textId="32FDC99E" w:rsidR="00D95DE9" w:rsidRPr="00AE662B" w:rsidRDefault="00D95DE9" w:rsidP="00D95DE9">
            <w:pPr>
              <w:spacing w:after="0" w:line="240" w:lineRule="auto"/>
              <w:jc w:val="right"/>
              <w:rPr>
                <w:rFonts w:ascii="Arial" w:hAnsi="Arial" w:cs="Arial"/>
                <w:b/>
                <w:bCs/>
                <w:sz w:val="16"/>
                <w:szCs w:val="16"/>
              </w:rPr>
            </w:pPr>
            <w:r>
              <w:rPr>
                <w:rFonts w:ascii="Arial" w:hAnsi="Arial" w:cs="Arial"/>
                <w:b/>
                <w:bCs/>
                <w:sz w:val="16"/>
                <w:szCs w:val="16"/>
              </w:rPr>
              <w:t>(63,877)</w:t>
            </w:r>
          </w:p>
        </w:tc>
        <w:tc>
          <w:tcPr>
            <w:tcW w:w="574" w:type="pct"/>
            <w:tcBorders>
              <w:top w:val="single" w:sz="4" w:space="0" w:color="auto"/>
              <w:left w:val="nil"/>
              <w:bottom w:val="single" w:sz="4" w:space="0" w:color="auto"/>
              <w:right w:val="nil"/>
            </w:tcBorders>
            <w:shd w:val="clear" w:color="000000" w:fill="E6E6E6"/>
            <w:noWrap/>
            <w:vAlign w:val="bottom"/>
            <w:hideMark/>
          </w:tcPr>
          <w:p w14:paraId="375445AB" w14:textId="71C1337D" w:rsidR="00D95DE9" w:rsidRPr="00AE662B" w:rsidRDefault="00D95DE9" w:rsidP="00D95DE9">
            <w:pPr>
              <w:spacing w:after="0" w:line="240" w:lineRule="auto"/>
              <w:jc w:val="right"/>
              <w:rPr>
                <w:rFonts w:ascii="Arial" w:hAnsi="Arial" w:cs="Arial"/>
                <w:b/>
                <w:bCs/>
                <w:sz w:val="16"/>
                <w:szCs w:val="16"/>
              </w:rPr>
            </w:pPr>
            <w:r>
              <w:rPr>
                <w:rFonts w:ascii="Arial" w:hAnsi="Arial" w:cs="Arial"/>
                <w:b/>
                <w:bCs/>
                <w:sz w:val="16"/>
                <w:szCs w:val="16"/>
              </w:rPr>
              <w:t>48,972</w:t>
            </w:r>
          </w:p>
        </w:tc>
        <w:tc>
          <w:tcPr>
            <w:tcW w:w="574" w:type="pct"/>
            <w:tcBorders>
              <w:top w:val="single" w:sz="4" w:space="0" w:color="auto"/>
              <w:left w:val="nil"/>
              <w:bottom w:val="single" w:sz="4" w:space="0" w:color="auto"/>
              <w:right w:val="nil"/>
            </w:tcBorders>
            <w:shd w:val="clear" w:color="auto" w:fill="auto"/>
            <w:noWrap/>
            <w:vAlign w:val="bottom"/>
            <w:hideMark/>
          </w:tcPr>
          <w:p w14:paraId="37018AE3" w14:textId="1BE1343B" w:rsidR="00D95DE9" w:rsidRPr="00AE662B" w:rsidRDefault="00D95DE9" w:rsidP="00D95DE9">
            <w:pPr>
              <w:spacing w:after="0" w:line="240" w:lineRule="auto"/>
              <w:jc w:val="right"/>
              <w:rPr>
                <w:rFonts w:ascii="Arial" w:hAnsi="Arial" w:cs="Arial"/>
                <w:b/>
                <w:bCs/>
                <w:sz w:val="16"/>
                <w:szCs w:val="16"/>
              </w:rPr>
            </w:pPr>
            <w:r>
              <w:rPr>
                <w:rFonts w:ascii="Arial" w:hAnsi="Arial" w:cs="Arial"/>
                <w:b/>
                <w:bCs/>
                <w:sz w:val="16"/>
                <w:szCs w:val="16"/>
              </w:rPr>
              <w:t>14,905</w:t>
            </w:r>
          </w:p>
        </w:tc>
        <w:tc>
          <w:tcPr>
            <w:tcW w:w="574" w:type="pct"/>
            <w:tcBorders>
              <w:top w:val="single" w:sz="4" w:space="0" w:color="auto"/>
              <w:left w:val="nil"/>
              <w:bottom w:val="single" w:sz="4" w:space="0" w:color="auto"/>
              <w:right w:val="nil"/>
            </w:tcBorders>
            <w:shd w:val="clear" w:color="auto" w:fill="auto"/>
            <w:noWrap/>
            <w:vAlign w:val="bottom"/>
            <w:hideMark/>
          </w:tcPr>
          <w:p w14:paraId="5139F12B" w14:textId="299D6B9D" w:rsidR="00D95DE9" w:rsidRPr="00AE662B" w:rsidRDefault="00D95DE9" w:rsidP="00D95DE9">
            <w:pPr>
              <w:spacing w:after="0" w:line="240" w:lineRule="auto"/>
              <w:jc w:val="right"/>
              <w:rPr>
                <w:rFonts w:ascii="Arial" w:hAnsi="Arial" w:cs="Arial"/>
                <w:b/>
                <w:bCs/>
                <w:sz w:val="16"/>
                <w:szCs w:val="16"/>
              </w:rPr>
            </w:pPr>
            <w:r>
              <w:rPr>
                <w:rFonts w:ascii="Arial" w:hAnsi="Arial" w:cs="Arial"/>
                <w:b/>
                <w:bCs/>
                <w:sz w:val="16"/>
                <w:szCs w:val="16"/>
              </w:rPr>
              <w:t>-</w:t>
            </w:r>
          </w:p>
        </w:tc>
        <w:tc>
          <w:tcPr>
            <w:tcW w:w="573" w:type="pct"/>
            <w:tcBorders>
              <w:top w:val="single" w:sz="4" w:space="0" w:color="auto"/>
              <w:left w:val="nil"/>
              <w:bottom w:val="single" w:sz="4" w:space="0" w:color="auto"/>
              <w:right w:val="nil"/>
            </w:tcBorders>
            <w:shd w:val="clear" w:color="auto" w:fill="auto"/>
            <w:noWrap/>
            <w:vAlign w:val="bottom"/>
            <w:hideMark/>
          </w:tcPr>
          <w:p w14:paraId="36E5DC22" w14:textId="17363802" w:rsidR="00D95DE9" w:rsidRPr="00AE662B" w:rsidRDefault="00D95DE9" w:rsidP="00D95DE9">
            <w:pPr>
              <w:spacing w:after="0" w:line="240" w:lineRule="auto"/>
              <w:jc w:val="right"/>
              <w:rPr>
                <w:rFonts w:ascii="Arial" w:hAnsi="Arial" w:cs="Arial"/>
                <w:b/>
                <w:bCs/>
                <w:sz w:val="16"/>
                <w:szCs w:val="16"/>
              </w:rPr>
            </w:pPr>
            <w:r>
              <w:rPr>
                <w:rFonts w:ascii="Arial" w:hAnsi="Arial" w:cs="Arial"/>
                <w:b/>
                <w:bCs/>
                <w:sz w:val="16"/>
                <w:szCs w:val="16"/>
              </w:rPr>
              <w:t>-</w:t>
            </w:r>
          </w:p>
        </w:tc>
      </w:tr>
    </w:tbl>
    <w:p w14:paraId="2CB3D893" w14:textId="6B839DDA" w:rsidR="00115843" w:rsidRDefault="00115843" w:rsidP="00115843">
      <w:pPr>
        <w:pStyle w:val="TableGraphic"/>
        <w:rPr>
          <w:rFonts w:ascii="Arial" w:hAnsi="Arial" w:cs="Arial"/>
          <w:sz w:val="16"/>
        </w:rPr>
      </w:pPr>
    </w:p>
    <w:tbl>
      <w:tblPr>
        <w:tblW w:w="5026" w:type="dxa"/>
        <w:tblLook w:val="04A0" w:firstRow="1" w:lastRow="0" w:firstColumn="1" w:lastColumn="0" w:noHBand="0" w:noVBand="1"/>
      </w:tblPr>
      <w:tblGrid>
        <w:gridCol w:w="3220"/>
        <w:gridCol w:w="966"/>
        <w:gridCol w:w="840"/>
      </w:tblGrid>
      <w:tr w:rsidR="00AE662B" w:rsidRPr="00AE662B" w14:paraId="608074AD" w14:textId="77777777" w:rsidTr="00AE662B">
        <w:trPr>
          <w:trHeight w:val="204"/>
        </w:trPr>
        <w:tc>
          <w:tcPr>
            <w:tcW w:w="3220" w:type="dxa"/>
            <w:tcBorders>
              <w:top w:val="single" w:sz="4" w:space="0" w:color="auto"/>
              <w:left w:val="nil"/>
              <w:bottom w:val="nil"/>
              <w:right w:val="nil"/>
            </w:tcBorders>
            <w:shd w:val="clear" w:color="auto" w:fill="auto"/>
            <w:noWrap/>
            <w:vAlign w:val="bottom"/>
            <w:hideMark/>
          </w:tcPr>
          <w:p w14:paraId="56DF6DF3" w14:textId="77777777" w:rsidR="00AE662B" w:rsidRPr="00AE662B" w:rsidRDefault="00AE662B" w:rsidP="00AE662B">
            <w:pPr>
              <w:spacing w:after="0" w:line="240" w:lineRule="auto"/>
              <w:rPr>
                <w:rFonts w:ascii="Arial" w:hAnsi="Arial" w:cs="Arial"/>
                <w:sz w:val="16"/>
                <w:szCs w:val="16"/>
              </w:rPr>
            </w:pPr>
            <w:r w:rsidRPr="00AE662B">
              <w:rPr>
                <w:rFonts w:ascii="Arial" w:hAnsi="Arial" w:cs="Arial"/>
                <w:sz w:val="16"/>
                <w:szCs w:val="16"/>
              </w:rPr>
              <w:t> </w:t>
            </w:r>
          </w:p>
        </w:tc>
        <w:tc>
          <w:tcPr>
            <w:tcW w:w="966" w:type="dxa"/>
            <w:tcBorders>
              <w:top w:val="single" w:sz="4" w:space="0" w:color="auto"/>
              <w:left w:val="nil"/>
              <w:bottom w:val="single" w:sz="4" w:space="0" w:color="auto"/>
              <w:right w:val="nil"/>
            </w:tcBorders>
            <w:shd w:val="clear" w:color="auto" w:fill="auto"/>
            <w:noWrap/>
            <w:vAlign w:val="bottom"/>
            <w:hideMark/>
          </w:tcPr>
          <w:p w14:paraId="5489D985" w14:textId="77777777" w:rsidR="00AE662B" w:rsidRPr="00AE662B" w:rsidRDefault="00AE662B" w:rsidP="00AE662B">
            <w:pPr>
              <w:spacing w:after="0" w:line="240" w:lineRule="auto"/>
              <w:jc w:val="right"/>
              <w:rPr>
                <w:rFonts w:ascii="Arial" w:hAnsi="Arial" w:cs="Arial"/>
                <w:sz w:val="16"/>
                <w:szCs w:val="16"/>
              </w:rPr>
            </w:pPr>
            <w:r w:rsidRPr="00AE662B">
              <w:rPr>
                <w:rFonts w:ascii="Arial" w:hAnsi="Arial" w:cs="Arial"/>
                <w:sz w:val="16"/>
                <w:szCs w:val="16"/>
              </w:rPr>
              <w:t>2022-23</w:t>
            </w:r>
          </w:p>
        </w:tc>
        <w:tc>
          <w:tcPr>
            <w:tcW w:w="840" w:type="dxa"/>
            <w:tcBorders>
              <w:top w:val="single" w:sz="4" w:space="0" w:color="auto"/>
              <w:left w:val="nil"/>
              <w:bottom w:val="single" w:sz="4" w:space="0" w:color="auto"/>
              <w:right w:val="nil"/>
            </w:tcBorders>
            <w:shd w:val="clear" w:color="000000" w:fill="E6E6E6"/>
            <w:noWrap/>
            <w:vAlign w:val="bottom"/>
            <w:hideMark/>
          </w:tcPr>
          <w:p w14:paraId="476A9FC7" w14:textId="77777777" w:rsidR="00AE662B" w:rsidRPr="00AE662B" w:rsidRDefault="00AE662B" w:rsidP="00AE662B">
            <w:pPr>
              <w:spacing w:after="0" w:line="240" w:lineRule="auto"/>
              <w:jc w:val="right"/>
              <w:rPr>
                <w:rFonts w:ascii="Arial" w:hAnsi="Arial" w:cs="Arial"/>
                <w:sz w:val="16"/>
                <w:szCs w:val="16"/>
              </w:rPr>
            </w:pPr>
            <w:r w:rsidRPr="00AE662B">
              <w:rPr>
                <w:rFonts w:ascii="Arial" w:hAnsi="Arial" w:cs="Arial"/>
                <w:sz w:val="16"/>
                <w:szCs w:val="16"/>
              </w:rPr>
              <w:t>2023-24</w:t>
            </w:r>
          </w:p>
        </w:tc>
      </w:tr>
      <w:tr w:rsidR="00AE662B" w:rsidRPr="00AE662B" w14:paraId="25A3F8C3" w14:textId="77777777" w:rsidTr="00AE662B">
        <w:trPr>
          <w:trHeight w:val="204"/>
        </w:trPr>
        <w:tc>
          <w:tcPr>
            <w:tcW w:w="3220" w:type="dxa"/>
            <w:tcBorders>
              <w:top w:val="nil"/>
              <w:left w:val="nil"/>
              <w:bottom w:val="single" w:sz="4" w:space="0" w:color="auto"/>
              <w:right w:val="nil"/>
            </w:tcBorders>
            <w:shd w:val="clear" w:color="auto" w:fill="auto"/>
            <w:noWrap/>
            <w:vAlign w:val="bottom"/>
            <w:hideMark/>
          </w:tcPr>
          <w:p w14:paraId="3B08F374" w14:textId="77777777" w:rsidR="00AE662B" w:rsidRPr="00AE662B" w:rsidRDefault="00AE662B" w:rsidP="00AE662B">
            <w:pPr>
              <w:spacing w:after="0" w:line="240" w:lineRule="auto"/>
              <w:rPr>
                <w:rFonts w:ascii="Arial" w:hAnsi="Arial" w:cs="Arial"/>
                <w:b/>
                <w:bCs/>
                <w:sz w:val="16"/>
                <w:szCs w:val="16"/>
              </w:rPr>
            </w:pPr>
            <w:r w:rsidRPr="00AE662B">
              <w:rPr>
                <w:rFonts w:ascii="Arial" w:hAnsi="Arial" w:cs="Arial"/>
                <w:b/>
                <w:bCs/>
                <w:sz w:val="16"/>
                <w:szCs w:val="16"/>
              </w:rPr>
              <w:t>Average staffing level (number)</w:t>
            </w:r>
          </w:p>
        </w:tc>
        <w:tc>
          <w:tcPr>
            <w:tcW w:w="966" w:type="dxa"/>
            <w:tcBorders>
              <w:top w:val="nil"/>
              <w:left w:val="nil"/>
              <w:bottom w:val="single" w:sz="4" w:space="0" w:color="auto"/>
              <w:right w:val="nil"/>
            </w:tcBorders>
            <w:shd w:val="clear" w:color="auto" w:fill="auto"/>
            <w:noWrap/>
            <w:vAlign w:val="bottom"/>
            <w:hideMark/>
          </w:tcPr>
          <w:p w14:paraId="6170847A" w14:textId="77777777" w:rsidR="00AE662B" w:rsidRPr="00AE662B" w:rsidRDefault="00AE662B" w:rsidP="00AE662B">
            <w:pPr>
              <w:spacing w:after="0" w:line="240" w:lineRule="auto"/>
              <w:jc w:val="right"/>
              <w:rPr>
                <w:rFonts w:ascii="Arial" w:hAnsi="Arial" w:cs="Arial"/>
                <w:sz w:val="16"/>
                <w:szCs w:val="16"/>
              </w:rPr>
            </w:pPr>
            <w:r w:rsidRPr="00AE662B">
              <w:rPr>
                <w:rFonts w:ascii="Arial" w:hAnsi="Arial" w:cs="Arial"/>
                <w:sz w:val="16"/>
                <w:szCs w:val="16"/>
              </w:rPr>
              <w:t xml:space="preserve">314 </w:t>
            </w:r>
          </w:p>
        </w:tc>
        <w:tc>
          <w:tcPr>
            <w:tcW w:w="840" w:type="dxa"/>
            <w:tcBorders>
              <w:top w:val="nil"/>
              <w:left w:val="nil"/>
              <w:bottom w:val="single" w:sz="4" w:space="0" w:color="auto"/>
              <w:right w:val="nil"/>
            </w:tcBorders>
            <w:shd w:val="clear" w:color="000000" w:fill="E6E6E6"/>
            <w:noWrap/>
            <w:vAlign w:val="bottom"/>
            <w:hideMark/>
          </w:tcPr>
          <w:p w14:paraId="34972645" w14:textId="1D8D9AF8" w:rsidR="00AE662B" w:rsidRPr="00AE662B" w:rsidRDefault="00D95DE9" w:rsidP="00AE662B">
            <w:pPr>
              <w:spacing w:after="0" w:line="240" w:lineRule="auto"/>
              <w:jc w:val="right"/>
              <w:rPr>
                <w:rFonts w:ascii="Arial" w:hAnsi="Arial" w:cs="Arial"/>
                <w:sz w:val="16"/>
                <w:szCs w:val="16"/>
              </w:rPr>
            </w:pPr>
            <w:r>
              <w:rPr>
                <w:rFonts w:ascii="Arial" w:hAnsi="Arial" w:cs="Arial"/>
                <w:sz w:val="16"/>
                <w:szCs w:val="16"/>
              </w:rPr>
              <w:t>309</w:t>
            </w:r>
            <w:r w:rsidR="00AE662B" w:rsidRPr="00AE662B">
              <w:rPr>
                <w:rFonts w:ascii="Arial" w:hAnsi="Arial" w:cs="Arial"/>
                <w:sz w:val="16"/>
                <w:szCs w:val="16"/>
              </w:rPr>
              <w:t xml:space="preserve"> </w:t>
            </w:r>
          </w:p>
        </w:tc>
      </w:tr>
    </w:tbl>
    <w:p w14:paraId="23931E4D" w14:textId="62A614EC" w:rsidR="00E26322" w:rsidRDefault="00E26322" w:rsidP="00977C28">
      <w:pPr>
        <w:pStyle w:val="ListParagraph"/>
        <w:numPr>
          <w:ilvl w:val="4"/>
          <w:numId w:val="145"/>
        </w:numPr>
        <w:tabs>
          <w:tab w:val="left" w:pos="426"/>
        </w:tabs>
        <w:spacing w:before="60" w:after="0" w:line="240" w:lineRule="auto"/>
        <w:ind w:left="425" w:hanging="425"/>
        <w:rPr>
          <w:rFonts w:ascii="Arial" w:hAnsi="Arial" w:cs="Arial"/>
          <w:sz w:val="16"/>
        </w:rPr>
      </w:pPr>
      <w:r>
        <w:rPr>
          <w:rFonts w:ascii="Arial" w:hAnsi="Arial" w:cs="Arial"/>
          <w:sz w:val="16"/>
        </w:rPr>
        <w:t xml:space="preserve">Relates to appropriation for corporate entities provided through the </w:t>
      </w:r>
      <w:r w:rsidR="00595948">
        <w:rPr>
          <w:rFonts w:ascii="Arial" w:hAnsi="Arial" w:cs="Arial"/>
          <w:sz w:val="16"/>
        </w:rPr>
        <w:t>D</w:t>
      </w:r>
      <w:r>
        <w:rPr>
          <w:rFonts w:ascii="Arial" w:hAnsi="Arial" w:cs="Arial"/>
          <w:sz w:val="16"/>
        </w:rPr>
        <w:t>epartment.</w:t>
      </w:r>
    </w:p>
    <w:p w14:paraId="5DFE429E" w14:textId="321DD947" w:rsidR="00E26322" w:rsidRDefault="00E26322" w:rsidP="00977C28">
      <w:pPr>
        <w:pStyle w:val="ListParagraph"/>
        <w:numPr>
          <w:ilvl w:val="4"/>
          <w:numId w:val="145"/>
        </w:numPr>
        <w:tabs>
          <w:tab w:val="left" w:pos="426"/>
        </w:tabs>
        <w:spacing w:after="0" w:line="240" w:lineRule="auto"/>
        <w:ind w:left="425" w:hanging="425"/>
        <w:rPr>
          <w:rFonts w:ascii="Arial" w:hAnsi="Arial" w:cs="Arial"/>
          <w:sz w:val="16"/>
        </w:rPr>
      </w:pPr>
      <w:r>
        <w:rPr>
          <w:rFonts w:ascii="Arial" w:hAnsi="Arial" w:cs="Arial"/>
          <w:sz w:val="16"/>
        </w:rPr>
        <w:t>Administered ‘Expenses not requiring appropriation in the Budget year’ comprise expenses relating to concessional loans, accruals, payments made from prior year appropriations and other non–cash expenses.</w:t>
      </w:r>
    </w:p>
    <w:p w14:paraId="26C35BAF" w14:textId="6D8BDE02" w:rsidR="00E26322" w:rsidRDefault="00E26322" w:rsidP="00977C28">
      <w:pPr>
        <w:pStyle w:val="ListParagraph"/>
        <w:numPr>
          <w:ilvl w:val="4"/>
          <w:numId w:val="145"/>
        </w:numPr>
        <w:tabs>
          <w:tab w:val="left" w:pos="426"/>
        </w:tabs>
        <w:spacing w:after="0" w:line="240" w:lineRule="auto"/>
        <w:ind w:left="425" w:hanging="425"/>
        <w:rPr>
          <w:rFonts w:ascii="Arial" w:hAnsi="Arial" w:cs="Arial"/>
          <w:sz w:val="16"/>
        </w:rPr>
      </w:pPr>
      <w:r>
        <w:rPr>
          <w:rFonts w:ascii="Arial" w:hAnsi="Arial" w:cs="Arial"/>
          <w:sz w:val="16"/>
        </w:rPr>
        <w:t xml:space="preserve">Departmental 'Expenses not requiring appropriation in the Budget year' are made up of depreciation expenses, amortisation expenses, </w:t>
      </w:r>
      <w:r w:rsidR="006E0842">
        <w:rPr>
          <w:rFonts w:ascii="Arial" w:hAnsi="Arial" w:cs="Arial"/>
          <w:sz w:val="16"/>
        </w:rPr>
        <w:t>and exclude right of use assets</w:t>
      </w:r>
      <w:r>
        <w:rPr>
          <w:rFonts w:ascii="Arial" w:hAnsi="Arial" w:cs="Arial"/>
          <w:sz w:val="16"/>
        </w:rPr>
        <w:t>.</w:t>
      </w:r>
    </w:p>
    <w:p w14:paraId="2FA11946" w14:textId="77777777" w:rsidR="00E26322" w:rsidRDefault="00E26322" w:rsidP="00977C28">
      <w:pPr>
        <w:pStyle w:val="ListParagraph"/>
        <w:numPr>
          <w:ilvl w:val="4"/>
          <w:numId w:val="145"/>
        </w:numPr>
        <w:tabs>
          <w:tab w:val="left" w:pos="426"/>
        </w:tabs>
        <w:spacing w:after="0" w:line="240" w:lineRule="auto"/>
        <w:ind w:left="425" w:hanging="425"/>
        <w:rPr>
          <w:rFonts w:ascii="Arial" w:hAnsi="Arial" w:cs="Arial"/>
          <w:sz w:val="16"/>
        </w:rPr>
      </w:pPr>
      <w:r>
        <w:rPr>
          <w:rFonts w:ascii="Arial" w:hAnsi="Arial" w:cs="Arial"/>
          <w:sz w:val="16"/>
        </w:rPr>
        <w:t>Figures displayed as a negative (–) represent a decrease in funds and a positive (+) represent an increase in funds.</w:t>
      </w:r>
    </w:p>
    <w:p w14:paraId="195C6BD4" w14:textId="518533FB" w:rsidR="00AE662B" w:rsidRDefault="00115843" w:rsidP="00BF5A1E">
      <w:pPr>
        <w:spacing w:before="60" w:after="0" w:line="240" w:lineRule="auto"/>
        <w:rPr>
          <w:rFonts w:ascii="Arial" w:hAnsi="Arial" w:cs="Arial"/>
          <w:sz w:val="16"/>
          <w:szCs w:val="16"/>
        </w:rPr>
      </w:pPr>
      <w:r w:rsidRPr="005378E9">
        <w:rPr>
          <w:rFonts w:ascii="Arial" w:hAnsi="Arial" w:cs="Arial"/>
          <w:sz w:val="16"/>
          <w:szCs w:val="16"/>
        </w:rPr>
        <w:t>Note: Departmental appropriation splits and totals are indicative estimates and may change in the course of the budget year as government priorities change.</w:t>
      </w:r>
    </w:p>
    <w:p w14:paraId="1FEFF0E4" w14:textId="270EDBC8" w:rsidR="00314D2B" w:rsidRPr="003B77C3" w:rsidRDefault="00115843" w:rsidP="003B7A78">
      <w:pPr>
        <w:pStyle w:val="TableHeadingcontinued"/>
        <w:spacing w:before="360"/>
      </w:pPr>
      <w:bookmarkStart w:id="15" w:name="_Hlk115445446"/>
      <w:r w:rsidRPr="00AD42E2">
        <w:t>Table 2.</w:t>
      </w:r>
      <w:r>
        <w:t>1</w:t>
      </w:r>
      <w:r w:rsidRPr="00AD42E2">
        <w:t>.</w:t>
      </w:r>
      <w:r>
        <w:t>2</w:t>
      </w:r>
      <w:r w:rsidRPr="00AD42E2">
        <w:t xml:space="preserve">: </w:t>
      </w:r>
      <w:r w:rsidR="005B1890">
        <w:t>Program Components</w:t>
      </w:r>
      <w:r w:rsidRPr="00AD42E2">
        <w:t xml:space="preserve"> for Outcome </w:t>
      </w:r>
      <w:r>
        <w:t>1</w:t>
      </w:r>
    </w:p>
    <w:tbl>
      <w:tblPr>
        <w:tblW w:w="5000" w:type="pct"/>
        <w:tblLook w:val="04A0" w:firstRow="1" w:lastRow="0" w:firstColumn="1" w:lastColumn="0" w:noHBand="0" w:noVBand="1"/>
      </w:tblPr>
      <w:tblGrid>
        <w:gridCol w:w="3309"/>
        <w:gridCol w:w="928"/>
        <w:gridCol w:w="863"/>
        <w:gridCol w:w="870"/>
        <w:gridCol w:w="870"/>
        <w:gridCol w:w="870"/>
      </w:tblGrid>
      <w:tr w:rsidR="001D29F2" w:rsidRPr="00A86423" w14:paraId="6A8DBBD0" w14:textId="77777777" w:rsidTr="00E756B9">
        <w:trPr>
          <w:trHeight w:val="204"/>
        </w:trPr>
        <w:tc>
          <w:tcPr>
            <w:tcW w:w="2146" w:type="pct"/>
            <w:tcBorders>
              <w:top w:val="single" w:sz="4" w:space="0" w:color="auto"/>
              <w:left w:val="nil"/>
              <w:bottom w:val="nil"/>
              <w:right w:val="nil"/>
            </w:tcBorders>
            <w:shd w:val="clear" w:color="auto" w:fill="auto"/>
            <w:noWrap/>
            <w:vAlign w:val="bottom"/>
            <w:hideMark/>
          </w:tcPr>
          <w:bookmarkEnd w:id="15"/>
          <w:p w14:paraId="7351807E" w14:textId="77777777" w:rsidR="001D29F2" w:rsidRPr="00A86423" w:rsidRDefault="001D29F2" w:rsidP="001D29F2">
            <w:pPr>
              <w:spacing w:after="0" w:line="240" w:lineRule="auto"/>
              <w:rPr>
                <w:rFonts w:ascii="Arial" w:hAnsi="Arial" w:cs="Arial"/>
                <w:sz w:val="16"/>
                <w:szCs w:val="16"/>
              </w:rPr>
            </w:pPr>
            <w:r w:rsidRPr="00A86423">
              <w:rPr>
                <w:rFonts w:ascii="Arial" w:hAnsi="Arial" w:cs="Arial"/>
                <w:sz w:val="16"/>
                <w:szCs w:val="16"/>
              </w:rPr>
              <w:t> </w:t>
            </w:r>
          </w:p>
        </w:tc>
        <w:tc>
          <w:tcPr>
            <w:tcW w:w="602" w:type="pct"/>
            <w:tcBorders>
              <w:top w:val="single" w:sz="4" w:space="0" w:color="auto"/>
              <w:left w:val="nil"/>
              <w:bottom w:val="nil"/>
              <w:right w:val="nil"/>
            </w:tcBorders>
            <w:shd w:val="clear" w:color="auto" w:fill="auto"/>
            <w:vAlign w:val="bottom"/>
            <w:hideMark/>
          </w:tcPr>
          <w:p w14:paraId="18BB5F95" w14:textId="08E80262" w:rsidR="001D29F2" w:rsidRPr="00A86423" w:rsidRDefault="001D29F2" w:rsidP="001D29F2">
            <w:pPr>
              <w:spacing w:after="0" w:line="240" w:lineRule="auto"/>
              <w:jc w:val="right"/>
              <w:rPr>
                <w:rFonts w:ascii="Arial" w:hAnsi="Arial" w:cs="Arial"/>
                <w:sz w:val="16"/>
                <w:szCs w:val="16"/>
              </w:rPr>
            </w:pPr>
            <w:r w:rsidRPr="00A86423">
              <w:rPr>
                <w:rFonts w:ascii="Arial" w:hAnsi="Arial" w:cs="Arial"/>
                <w:sz w:val="16"/>
                <w:szCs w:val="16"/>
              </w:rPr>
              <w:t>2022-23</w:t>
            </w:r>
            <w:r w:rsidRPr="00A86423">
              <w:rPr>
                <w:rFonts w:ascii="Arial" w:hAnsi="Arial" w:cs="Arial"/>
                <w:sz w:val="16"/>
                <w:szCs w:val="16"/>
              </w:rPr>
              <w:br/>
            </w:r>
            <w:r w:rsidR="00106E5E" w:rsidRPr="00A86423">
              <w:rPr>
                <w:rFonts w:ascii="Arial" w:hAnsi="Arial" w:cs="Arial"/>
                <w:sz w:val="16"/>
                <w:szCs w:val="16"/>
              </w:rPr>
              <w:t>Estimated actual</w:t>
            </w:r>
            <w:r w:rsidRPr="00A86423">
              <w:rPr>
                <w:rFonts w:ascii="Arial" w:hAnsi="Arial" w:cs="Arial"/>
                <w:sz w:val="16"/>
                <w:szCs w:val="16"/>
              </w:rPr>
              <w:br/>
              <w:t>$'000</w:t>
            </w:r>
          </w:p>
        </w:tc>
        <w:tc>
          <w:tcPr>
            <w:tcW w:w="560" w:type="pct"/>
            <w:tcBorders>
              <w:top w:val="single" w:sz="4" w:space="0" w:color="auto"/>
              <w:left w:val="nil"/>
              <w:bottom w:val="nil"/>
              <w:right w:val="nil"/>
            </w:tcBorders>
            <w:shd w:val="clear" w:color="000000" w:fill="E6E6E6"/>
            <w:vAlign w:val="bottom"/>
            <w:hideMark/>
          </w:tcPr>
          <w:p w14:paraId="674E89B4" w14:textId="77777777" w:rsidR="001D29F2" w:rsidRPr="00A86423" w:rsidRDefault="001D29F2" w:rsidP="001D29F2">
            <w:pPr>
              <w:spacing w:after="0" w:line="240" w:lineRule="auto"/>
              <w:jc w:val="right"/>
              <w:rPr>
                <w:rFonts w:ascii="Arial" w:hAnsi="Arial" w:cs="Arial"/>
                <w:sz w:val="16"/>
                <w:szCs w:val="16"/>
              </w:rPr>
            </w:pPr>
            <w:r w:rsidRPr="00A86423">
              <w:rPr>
                <w:rFonts w:ascii="Arial" w:hAnsi="Arial" w:cs="Arial"/>
                <w:sz w:val="16"/>
                <w:szCs w:val="16"/>
              </w:rPr>
              <w:t>2023-24</w:t>
            </w:r>
            <w:r w:rsidRPr="00A86423">
              <w:rPr>
                <w:rFonts w:ascii="Arial" w:hAnsi="Arial" w:cs="Arial"/>
                <w:sz w:val="16"/>
                <w:szCs w:val="16"/>
              </w:rPr>
              <w:br/>
              <w:t xml:space="preserve"> Budget</w:t>
            </w:r>
            <w:r w:rsidRPr="00A86423">
              <w:rPr>
                <w:rFonts w:ascii="Arial" w:hAnsi="Arial" w:cs="Arial"/>
                <w:sz w:val="16"/>
                <w:szCs w:val="16"/>
              </w:rPr>
              <w:br/>
              <w:t xml:space="preserve">                                      $'000</w:t>
            </w:r>
          </w:p>
        </w:tc>
        <w:tc>
          <w:tcPr>
            <w:tcW w:w="564" w:type="pct"/>
            <w:tcBorders>
              <w:top w:val="single" w:sz="4" w:space="0" w:color="auto"/>
              <w:left w:val="nil"/>
              <w:bottom w:val="nil"/>
              <w:right w:val="nil"/>
            </w:tcBorders>
            <w:shd w:val="clear" w:color="auto" w:fill="auto"/>
            <w:vAlign w:val="bottom"/>
            <w:hideMark/>
          </w:tcPr>
          <w:p w14:paraId="4B05AF88" w14:textId="77777777" w:rsidR="001D29F2" w:rsidRPr="00A86423" w:rsidRDefault="001D29F2" w:rsidP="001D29F2">
            <w:pPr>
              <w:spacing w:after="0" w:line="240" w:lineRule="auto"/>
              <w:jc w:val="right"/>
              <w:rPr>
                <w:rFonts w:ascii="Arial" w:hAnsi="Arial" w:cs="Arial"/>
                <w:sz w:val="16"/>
                <w:szCs w:val="16"/>
              </w:rPr>
            </w:pPr>
            <w:r w:rsidRPr="00A86423">
              <w:rPr>
                <w:rFonts w:ascii="Arial" w:hAnsi="Arial" w:cs="Arial"/>
                <w:sz w:val="16"/>
                <w:szCs w:val="16"/>
              </w:rPr>
              <w:t>2024-25</w:t>
            </w:r>
            <w:r w:rsidRPr="00A86423">
              <w:rPr>
                <w:rFonts w:ascii="Arial" w:hAnsi="Arial" w:cs="Arial"/>
                <w:sz w:val="16"/>
                <w:szCs w:val="16"/>
              </w:rPr>
              <w:br/>
              <w:t>Forward estimate</w:t>
            </w:r>
            <w:r w:rsidRPr="00A86423">
              <w:rPr>
                <w:rFonts w:ascii="Arial" w:hAnsi="Arial" w:cs="Arial"/>
                <w:sz w:val="16"/>
                <w:szCs w:val="16"/>
              </w:rPr>
              <w:br/>
              <w:t>$'000</w:t>
            </w:r>
          </w:p>
        </w:tc>
        <w:tc>
          <w:tcPr>
            <w:tcW w:w="564" w:type="pct"/>
            <w:tcBorders>
              <w:top w:val="single" w:sz="4" w:space="0" w:color="auto"/>
              <w:left w:val="nil"/>
              <w:bottom w:val="nil"/>
              <w:right w:val="nil"/>
            </w:tcBorders>
            <w:shd w:val="clear" w:color="auto" w:fill="auto"/>
            <w:vAlign w:val="bottom"/>
            <w:hideMark/>
          </w:tcPr>
          <w:p w14:paraId="342BD8E3" w14:textId="77777777" w:rsidR="001D29F2" w:rsidRPr="00A86423" w:rsidRDefault="001D29F2" w:rsidP="001D29F2">
            <w:pPr>
              <w:spacing w:after="0" w:line="240" w:lineRule="auto"/>
              <w:jc w:val="right"/>
              <w:rPr>
                <w:rFonts w:ascii="Arial" w:hAnsi="Arial" w:cs="Arial"/>
                <w:sz w:val="16"/>
                <w:szCs w:val="16"/>
              </w:rPr>
            </w:pPr>
            <w:r w:rsidRPr="00A86423">
              <w:rPr>
                <w:rFonts w:ascii="Arial" w:hAnsi="Arial" w:cs="Arial"/>
                <w:sz w:val="16"/>
                <w:szCs w:val="16"/>
              </w:rPr>
              <w:t>2025-26</w:t>
            </w:r>
            <w:r w:rsidRPr="00A86423">
              <w:rPr>
                <w:rFonts w:ascii="Arial" w:hAnsi="Arial" w:cs="Arial"/>
                <w:sz w:val="16"/>
                <w:szCs w:val="16"/>
              </w:rPr>
              <w:br/>
              <w:t>Forward estimate</w:t>
            </w:r>
            <w:r w:rsidRPr="00A86423">
              <w:rPr>
                <w:rFonts w:ascii="Arial" w:hAnsi="Arial" w:cs="Arial"/>
                <w:sz w:val="16"/>
                <w:szCs w:val="16"/>
              </w:rPr>
              <w:br/>
              <w:t>$'000</w:t>
            </w:r>
          </w:p>
        </w:tc>
        <w:tc>
          <w:tcPr>
            <w:tcW w:w="565" w:type="pct"/>
            <w:tcBorders>
              <w:top w:val="single" w:sz="4" w:space="0" w:color="auto"/>
              <w:left w:val="nil"/>
              <w:bottom w:val="nil"/>
              <w:right w:val="nil"/>
            </w:tcBorders>
            <w:shd w:val="clear" w:color="auto" w:fill="auto"/>
            <w:vAlign w:val="bottom"/>
            <w:hideMark/>
          </w:tcPr>
          <w:p w14:paraId="112C4633" w14:textId="77777777" w:rsidR="001D29F2" w:rsidRPr="00A86423" w:rsidRDefault="001D29F2" w:rsidP="001D29F2">
            <w:pPr>
              <w:spacing w:after="0" w:line="240" w:lineRule="auto"/>
              <w:jc w:val="right"/>
              <w:rPr>
                <w:rFonts w:ascii="Arial" w:hAnsi="Arial" w:cs="Arial"/>
                <w:sz w:val="16"/>
                <w:szCs w:val="16"/>
              </w:rPr>
            </w:pPr>
            <w:r w:rsidRPr="00A86423">
              <w:rPr>
                <w:rFonts w:ascii="Arial" w:hAnsi="Arial" w:cs="Arial"/>
                <w:sz w:val="16"/>
                <w:szCs w:val="16"/>
              </w:rPr>
              <w:t>2026-27</w:t>
            </w:r>
            <w:r w:rsidRPr="00A86423">
              <w:rPr>
                <w:rFonts w:ascii="Arial" w:hAnsi="Arial" w:cs="Arial"/>
                <w:sz w:val="16"/>
                <w:szCs w:val="16"/>
              </w:rPr>
              <w:br/>
              <w:t>Forward estimate</w:t>
            </w:r>
            <w:r w:rsidRPr="00A86423">
              <w:rPr>
                <w:rFonts w:ascii="Arial" w:hAnsi="Arial" w:cs="Arial"/>
                <w:sz w:val="16"/>
                <w:szCs w:val="16"/>
              </w:rPr>
              <w:br/>
              <w:t>$'000</w:t>
            </w:r>
          </w:p>
        </w:tc>
      </w:tr>
      <w:tr w:rsidR="001D29F2" w:rsidRPr="00A86423" w14:paraId="7F5F74A7" w14:textId="77777777" w:rsidTr="00E756B9">
        <w:trPr>
          <w:trHeight w:val="204"/>
        </w:trPr>
        <w:tc>
          <w:tcPr>
            <w:tcW w:w="3307" w:type="pct"/>
            <w:gridSpan w:val="3"/>
            <w:tcBorders>
              <w:top w:val="single" w:sz="4" w:space="0" w:color="auto"/>
              <w:left w:val="nil"/>
              <w:bottom w:val="single" w:sz="4" w:space="0" w:color="auto"/>
              <w:right w:val="nil"/>
            </w:tcBorders>
            <w:shd w:val="clear" w:color="000000" w:fill="E6E6E6"/>
            <w:noWrap/>
            <w:vAlign w:val="bottom"/>
            <w:hideMark/>
          </w:tcPr>
          <w:p w14:paraId="5A6AF79F" w14:textId="77777777" w:rsidR="001D29F2" w:rsidRPr="00A86423" w:rsidRDefault="001D29F2" w:rsidP="001D29F2">
            <w:pPr>
              <w:spacing w:after="0" w:line="240" w:lineRule="auto"/>
              <w:rPr>
                <w:rFonts w:ascii="Arial" w:hAnsi="Arial" w:cs="Arial"/>
                <w:b/>
                <w:bCs/>
                <w:sz w:val="16"/>
                <w:szCs w:val="16"/>
              </w:rPr>
            </w:pPr>
            <w:r w:rsidRPr="00A86423">
              <w:rPr>
                <w:rFonts w:ascii="Arial" w:hAnsi="Arial" w:cs="Arial"/>
                <w:b/>
                <w:bCs/>
                <w:sz w:val="16"/>
                <w:szCs w:val="16"/>
              </w:rPr>
              <w:t>Components for Program 1.1: Infrastructure Investment</w:t>
            </w:r>
          </w:p>
        </w:tc>
        <w:tc>
          <w:tcPr>
            <w:tcW w:w="564" w:type="pct"/>
            <w:tcBorders>
              <w:top w:val="single" w:sz="4" w:space="0" w:color="auto"/>
              <w:left w:val="nil"/>
              <w:bottom w:val="single" w:sz="4" w:space="0" w:color="auto"/>
              <w:right w:val="nil"/>
            </w:tcBorders>
            <w:shd w:val="clear" w:color="000000" w:fill="E6E6E6"/>
            <w:noWrap/>
            <w:vAlign w:val="bottom"/>
            <w:hideMark/>
          </w:tcPr>
          <w:p w14:paraId="54AA7F87" w14:textId="77777777" w:rsidR="001D29F2" w:rsidRPr="00A86423" w:rsidRDefault="001D29F2" w:rsidP="001D29F2">
            <w:pPr>
              <w:spacing w:after="0" w:line="240" w:lineRule="auto"/>
              <w:jc w:val="right"/>
              <w:rPr>
                <w:rFonts w:ascii="Arial" w:hAnsi="Arial" w:cs="Arial"/>
                <w:sz w:val="16"/>
                <w:szCs w:val="16"/>
              </w:rPr>
            </w:pPr>
            <w:r w:rsidRPr="00A86423">
              <w:rPr>
                <w:rFonts w:ascii="Arial" w:hAnsi="Arial" w:cs="Arial"/>
                <w:sz w:val="16"/>
                <w:szCs w:val="16"/>
              </w:rPr>
              <w:t> </w:t>
            </w:r>
          </w:p>
        </w:tc>
        <w:tc>
          <w:tcPr>
            <w:tcW w:w="564" w:type="pct"/>
            <w:tcBorders>
              <w:top w:val="single" w:sz="4" w:space="0" w:color="auto"/>
              <w:left w:val="nil"/>
              <w:bottom w:val="single" w:sz="4" w:space="0" w:color="auto"/>
              <w:right w:val="nil"/>
            </w:tcBorders>
            <w:shd w:val="clear" w:color="000000" w:fill="E6E6E6"/>
            <w:noWrap/>
            <w:vAlign w:val="bottom"/>
            <w:hideMark/>
          </w:tcPr>
          <w:p w14:paraId="2BEB460C" w14:textId="77777777" w:rsidR="001D29F2" w:rsidRPr="00A86423" w:rsidRDefault="001D29F2" w:rsidP="001D29F2">
            <w:pPr>
              <w:spacing w:after="0" w:line="240" w:lineRule="auto"/>
              <w:jc w:val="right"/>
              <w:rPr>
                <w:rFonts w:ascii="Arial" w:hAnsi="Arial" w:cs="Arial"/>
                <w:sz w:val="16"/>
                <w:szCs w:val="16"/>
              </w:rPr>
            </w:pPr>
            <w:r w:rsidRPr="00A86423">
              <w:rPr>
                <w:rFonts w:ascii="Arial" w:hAnsi="Arial" w:cs="Arial"/>
                <w:sz w:val="16"/>
                <w:szCs w:val="16"/>
              </w:rPr>
              <w:t> </w:t>
            </w:r>
          </w:p>
        </w:tc>
        <w:tc>
          <w:tcPr>
            <w:tcW w:w="565" w:type="pct"/>
            <w:tcBorders>
              <w:top w:val="single" w:sz="4" w:space="0" w:color="auto"/>
              <w:left w:val="nil"/>
              <w:bottom w:val="single" w:sz="4" w:space="0" w:color="auto"/>
              <w:right w:val="nil"/>
            </w:tcBorders>
            <w:shd w:val="clear" w:color="000000" w:fill="E6E6E6"/>
            <w:noWrap/>
            <w:vAlign w:val="bottom"/>
            <w:hideMark/>
          </w:tcPr>
          <w:p w14:paraId="7BEAF254" w14:textId="77777777" w:rsidR="001D29F2" w:rsidRPr="00A86423" w:rsidRDefault="001D29F2" w:rsidP="001D29F2">
            <w:pPr>
              <w:spacing w:after="0" w:line="240" w:lineRule="auto"/>
              <w:jc w:val="right"/>
              <w:rPr>
                <w:rFonts w:ascii="Arial" w:hAnsi="Arial" w:cs="Arial"/>
                <w:sz w:val="16"/>
                <w:szCs w:val="16"/>
              </w:rPr>
            </w:pPr>
            <w:r w:rsidRPr="00A86423">
              <w:rPr>
                <w:rFonts w:ascii="Arial" w:hAnsi="Arial" w:cs="Arial"/>
                <w:sz w:val="16"/>
                <w:szCs w:val="16"/>
              </w:rPr>
              <w:t> </w:t>
            </w:r>
          </w:p>
        </w:tc>
      </w:tr>
      <w:tr w:rsidR="001D29F2" w:rsidRPr="00A86423" w14:paraId="1178F0FD" w14:textId="77777777" w:rsidTr="00E756B9">
        <w:trPr>
          <w:trHeight w:val="204"/>
        </w:trPr>
        <w:tc>
          <w:tcPr>
            <w:tcW w:w="2146" w:type="pct"/>
            <w:tcBorders>
              <w:top w:val="nil"/>
              <w:left w:val="nil"/>
              <w:bottom w:val="nil"/>
              <w:right w:val="nil"/>
            </w:tcBorders>
            <w:shd w:val="clear" w:color="auto" w:fill="auto"/>
            <w:noWrap/>
            <w:vAlign w:val="bottom"/>
            <w:hideMark/>
          </w:tcPr>
          <w:p w14:paraId="0C0B197E" w14:textId="77777777" w:rsidR="001D29F2" w:rsidRPr="00A86423" w:rsidRDefault="001D29F2" w:rsidP="001D29F2">
            <w:pPr>
              <w:spacing w:after="0" w:line="240" w:lineRule="auto"/>
              <w:rPr>
                <w:rFonts w:ascii="Arial" w:hAnsi="Arial" w:cs="Arial"/>
                <w:sz w:val="16"/>
                <w:szCs w:val="16"/>
              </w:rPr>
            </w:pPr>
            <w:r w:rsidRPr="00A86423">
              <w:rPr>
                <w:rFonts w:ascii="Arial" w:hAnsi="Arial" w:cs="Arial"/>
                <w:sz w:val="16"/>
                <w:szCs w:val="16"/>
              </w:rPr>
              <w:t>Administered expenses:</w:t>
            </w:r>
          </w:p>
        </w:tc>
        <w:tc>
          <w:tcPr>
            <w:tcW w:w="602" w:type="pct"/>
            <w:tcBorders>
              <w:top w:val="nil"/>
              <w:left w:val="nil"/>
              <w:bottom w:val="nil"/>
              <w:right w:val="nil"/>
            </w:tcBorders>
            <w:shd w:val="clear" w:color="auto" w:fill="auto"/>
            <w:noWrap/>
            <w:vAlign w:val="bottom"/>
            <w:hideMark/>
          </w:tcPr>
          <w:p w14:paraId="20DD9CC4" w14:textId="77777777" w:rsidR="001D29F2" w:rsidRPr="00A86423" w:rsidRDefault="001D29F2" w:rsidP="00E33831">
            <w:pPr>
              <w:spacing w:after="0" w:line="240" w:lineRule="auto"/>
              <w:jc w:val="right"/>
              <w:rPr>
                <w:rFonts w:ascii="Arial" w:hAnsi="Arial" w:cs="Arial"/>
                <w:sz w:val="16"/>
                <w:szCs w:val="16"/>
              </w:rPr>
            </w:pPr>
          </w:p>
        </w:tc>
        <w:tc>
          <w:tcPr>
            <w:tcW w:w="560" w:type="pct"/>
            <w:tcBorders>
              <w:top w:val="nil"/>
              <w:left w:val="nil"/>
              <w:bottom w:val="nil"/>
              <w:right w:val="nil"/>
            </w:tcBorders>
            <w:shd w:val="clear" w:color="000000" w:fill="E6E6E6"/>
            <w:noWrap/>
            <w:vAlign w:val="bottom"/>
            <w:hideMark/>
          </w:tcPr>
          <w:p w14:paraId="70D3C233" w14:textId="48CF7915" w:rsidR="001D29F2" w:rsidRPr="00A86423" w:rsidRDefault="001D29F2" w:rsidP="00E33831">
            <w:pPr>
              <w:spacing w:after="0" w:line="240" w:lineRule="auto"/>
              <w:jc w:val="right"/>
              <w:rPr>
                <w:rFonts w:ascii="Arial" w:hAnsi="Arial" w:cs="Arial"/>
                <w:sz w:val="16"/>
                <w:szCs w:val="16"/>
              </w:rPr>
            </w:pPr>
          </w:p>
        </w:tc>
        <w:tc>
          <w:tcPr>
            <w:tcW w:w="564" w:type="pct"/>
            <w:tcBorders>
              <w:top w:val="nil"/>
              <w:left w:val="nil"/>
              <w:bottom w:val="nil"/>
              <w:right w:val="nil"/>
            </w:tcBorders>
            <w:shd w:val="clear" w:color="auto" w:fill="auto"/>
            <w:noWrap/>
            <w:vAlign w:val="bottom"/>
            <w:hideMark/>
          </w:tcPr>
          <w:p w14:paraId="06CE04CF" w14:textId="77777777" w:rsidR="001D29F2" w:rsidRPr="00A86423" w:rsidRDefault="001D29F2" w:rsidP="00E33831">
            <w:pPr>
              <w:spacing w:after="0" w:line="240" w:lineRule="auto"/>
              <w:jc w:val="right"/>
              <w:rPr>
                <w:rFonts w:ascii="Arial" w:hAnsi="Arial" w:cs="Arial"/>
                <w:sz w:val="16"/>
                <w:szCs w:val="16"/>
              </w:rPr>
            </w:pPr>
          </w:p>
        </w:tc>
        <w:tc>
          <w:tcPr>
            <w:tcW w:w="564" w:type="pct"/>
            <w:tcBorders>
              <w:top w:val="nil"/>
              <w:left w:val="nil"/>
              <w:bottom w:val="nil"/>
              <w:right w:val="nil"/>
            </w:tcBorders>
            <w:shd w:val="clear" w:color="auto" w:fill="auto"/>
            <w:noWrap/>
            <w:vAlign w:val="bottom"/>
            <w:hideMark/>
          </w:tcPr>
          <w:p w14:paraId="289B2A6E" w14:textId="77777777" w:rsidR="001D29F2" w:rsidRPr="00A86423" w:rsidRDefault="001D29F2" w:rsidP="00E33831">
            <w:pPr>
              <w:spacing w:after="0" w:line="240" w:lineRule="auto"/>
              <w:jc w:val="right"/>
              <w:rPr>
                <w:rFonts w:ascii="Arial" w:hAnsi="Arial" w:cs="Arial"/>
                <w:sz w:val="16"/>
                <w:szCs w:val="16"/>
              </w:rPr>
            </w:pPr>
          </w:p>
        </w:tc>
        <w:tc>
          <w:tcPr>
            <w:tcW w:w="565" w:type="pct"/>
            <w:tcBorders>
              <w:top w:val="nil"/>
              <w:left w:val="nil"/>
              <w:bottom w:val="nil"/>
              <w:right w:val="nil"/>
            </w:tcBorders>
            <w:shd w:val="clear" w:color="auto" w:fill="auto"/>
            <w:noWrap/>
            <w:vAlign w:val="bottom"/>
            <w:hideMark/>
          </w:tcPr>
          <w:p w14:paraId="63B77E66" w14:textId="77777777" w:rsidR="001D29F2" w:rsidRPr="00A86423" w:rsidRDefault="001D29F2" w:rsidP="00E33831">
            <w:pPr>
              <w:spacing w:after="0" w:line="240" w:lineRule="auto"/>
              <w:jc w:val="right"/>
              <w:rPr>
                <w:rFonts w:ascii="Arial" w:hAnsi="Arial" w:cs="Arial"/>
                <w:sz w:val="16"/>
                <w:szCs w:val="16"/>
              </w:rPr>
            </w:pPr>
          </w:p>
        </w:tc>
      </w:tr>
      <w:tr w:rsidR="006618FD" w:rsidRPr="00A86423" w14:paraId="38CD2E4A" w14:textId="77777777" w:rsidTr="00E756B9">
        <w:trPr>
          <w:trHeight w:val="204"/>
        </w:trPr>
        <w:tc>
          <w:tcPr>
            <w:tcW w:w="2146" w:type="pct"/>
            <w:tcBorders>
              <w:top w:val="nil"/>
              <w:left w:val="nil"/>
              <w:bottom w:val="nil"/>
              <w:right w:val="nil"/>
            </w:tcBorders>
            <w:shd w:val="clear" w:color="auto" w:fill="auto"/>
            <w:noWrap/>
            <w:vAlign w:val="bottom"/>
          </w:tcPr>
          <w:p w14:paraId="7E0327E2" w14:textId="0B061B41" w:rsidR="006618FD" w:rsidRPr="00A86423" w:rsidRDefault="00794BF9" w:rsidP="00794BF9">
            <w:pPr>
              <w:spacing w:after="0" w:line="240" w:lineRule="auto"/>
              <w:ind w:left="113"/>
              <w:rPr>
                <w:rFonts w:ascii="Arial" w:hAnsi="Arial" w:cs="Arial"/>
                <w:sz w:val="16"/>
                <w:szCs w:val="16"/>
              </w:rPr>
            </w:pPr>
            <w:r>
              <w:rPr>
                <w:rFonts w:ascii="Arial" w:hAnsi="Arial" w:cs="Arial"/>
                <w:sz w:val="16"/>
                <w:szCs w:val="16"/>
              </w:rPr>
              <w:t>High Speed Rail Authority - Establishment</w:t>
            </w:r>
          </w:p>
        </w:tc>
        <w:tc>
          <w:tcPr>
            <w:tcW w:w="602" w:type="pct"/>
            <w:tcBorders>
              <w:top w:val="nil"/>
              <w:left w:val="nil"/>
              <w:bottom w:val="nil"/>
              <w:right w:val="nil"/>
            </w:tcBorders>
            <w:shd w:val="clear" w:color="auto" w:fill="auto"/>
            <w:noWrap/>
            <w:vAlign w:val="bottom"/>
          </w:tcPr>
          <w:p w14:paraId="5A1E10A5" w14:textId="3DBB3B8F" w:rsidR="006618FD" w:rsidRPr="00A86423" w:rsidRDefault="00794BF9" w:rsidP="00E33831">
            <w:pPr>
              <w:spacing w:after="0" w:line="240" w:lineRule="auto"/>
              <w:jc w:val="right"/>
              <w:rPr>
                <w:rFonts w:ascii="Arial" w:hAnsi="Arial" w:cs="Arial"/>
                <w:sz w:val="16"/>
                <w:szCs w:val="16"/>
              </w:rPr>
            </w:pPr>
            <w:r>
              <w:rPr>
                <w:rFonts w:ascii="Arial" w:hAnsi="Arial" w:cs="Arial"/>
                <w:sz w:val="16"/>
                <w:szCs w:val="16"/>
              </w:rPr>
              <w:t>4,447</w:t>
            </w:r>
          </w:p>
        </w:tc>
        <w:tc>
          <w:tcPr>
            <w:tcW w:w="560" w:type="pct"/>
            <w:tcBorders>
              <w:top w:val="nil"/>
              <w:left w:val="nil"/>
              <w:bottom w:val="nil"/>
              <w:right w:val="nil"/>
            </w:tcBorders>
            <w:shd w:val="clear" w:color="000000" w:fill="E6E6E6"/>
            <w:noWrap/>
            <w:vAlign w:val="bottom"/>
          </w:tcPr>
          <w:p w14:paraId="4E717A69" w14:textId="33528896" w:rsidR="006618FD" w:rsidRPr="00A86423" w:rsidRDefault="002C712B" w:rsidP="00E33831">
            <w:pPr>
              <w:spacing w:after="0" w:line="240" w:lineRule="auto"/>
              <w:jc w:val="right"/>
              <w:rPr>
                <w:rFonts w:ascii="Arial" w:hAnsi="Arial" w:cs="Arial"/>
                <w:sz w:val="16"/>
                <w:szCs w:val="16"/>
              </w:rPr>
            </w:pPr>
            <w:r>
              <w:rPr>
                <w:rFonts w:ascii="Arial" w:hAnsi="Arial" w:cs="Arial"/>
                <w:sz w:val="16"/>
                <w:szCs w:val="16"/>
              </w:rPr>
              <w:t>-</w:t>
            </w:r>
          </w:p>
        </w:tc>
        <w:tc>
          <w:tcPr>
            <w:tcW w:w="564" w:type="pct"/>
            <w:tcBorders>
              <w:top w:val="nil"/>
              <w:left w:val="nil"/>
              <w:bottom w:val="nil"/>
              <w:right w:val="nil"/>
            </w:tcBorders>
            <w:shd w:val="clear" w:color="auto" w:fill="auto"/>
            <w:noWrap/>
            <w:vAlign w:val="bottom"/>
          </w:tcPr>
          <w:p w14:paraId="7271DA45" w14:textId="5B2DB638" w:rsidR="006618FD" w:rsidRPr="00A86423" w:rsidRDefault="002C712B" w:rsidP="00E33831">
            <w:pPr>
              <w:spacing w:after="0" w:line="240" w:lineRule="auto"/>
              <w:jc w:val="right"/>
              <w:rPr>
                <w:rFonts w:ascii="Arial" w:hAnsi="Arial" w:cs="Arial"/>
                <w:sz w:val="16"/>
                <w:szCs w:val="16"/>
              </w:rPr>
            </w:pPr>
            <w:r>
              <w:rPr>
                <w:rFonts w:ascii="Arial" w:hAnsi="Arial" w:cs="Arial"/>
                <w:sz w:val="16"/>
                <w:szCs w:val="16"/>
              </w:rPr>
              <w:t>-</w:t>
            </w:r>
          </w:p>
        </w:tc>
        <w:tc>
          <w:tcPr>
            <w:tcW w:w="564" w:type="pct"/>
            <w:tcBorders>
              <w:top w:val="nil"/>
              <w:left w:val="nil"/>
              <w:bottom w:val="nil"/>
              <w:right w:val="nil"/>
            </w:tcBorders>
            <w:shd w:val="clear" w:color="auto" w:fill="auto"/>
            <w:noWrap/>
            <w:vAlign w:val="bottom"/>
          </w:tcPr>
          <w:p w14:paraId="14CF77E3" w14:textId="444011DC" w:rsidR="006618FD" w:rsidRPr="00A86423" w:rsidRDefault="002C712B" w:rsidP="00E33831">
            <w:pPr>
              <w:spacing w:after="0" w:line="240" w:lineRule="auto"/>
              <w:jc w:val="right"/>
              <w:rPr>
                <w:rFonts w:ascii="Arial" w:hAnsi="Arial" w:cs="Arial"/>
                <w:sz w:val="16"/>
                <w:szCs w:val="16"/>
              </w:rPr>
            </w:pPr>
            <w:r>
              <w:rPr>
                <w:rFonts w:ascii="Arial" w:hAnsi="Arial" w:cs="Arial"/>
                <w:sz w:val="16"/>
                <w:szCs w:val="16"/>
              </w:rPr>
              <w:t>-</w:t>
            </w:r>
          </w:p>
        </w:tc>
        <w:tc>
          <w:tcPr>
            <w:tcW w:w="565" w:type="pct"/>
            <w:tcBorders>
              <w:top w:val="nil"/>
              <w:left w:val="nil"/>
              <w:bottom w:val="nil"/>
              <w:right w:val="nil"/>
            </w:tcBorders>
            <w:shd w:val="clear" w:color="auto" w:fill="auto"/>
            <w:noWrap/>
            <w:vAlign w:val="bottom"/>
          </w:tcPr>
          <w:p w14:paraId="76370BD0" w14:textId="1D05349B" w:rsidR="006618FD" w:rsidRPr="00A86423" w:rsidRDefault="002C712B" w:rsidP="00E33831">
            <w:pPr>
              <w:spacing w:after="0" w:line="240" w:lineRule="auto"/>
              <w:jc w:val="right"/>
              <w:rPr>
                <w:rFonts w:ascii="Arial" w:hAnsi="Arial" w:cs="Arial"/>
                <w:sz w:val="16"/>
                <w:szCs w:val="16"/>
              </w:rPr>
            </w:pPr>
            <w:r>
              <w:rPr>
                <w:rFonts w:ascii="Arial" w:hAnsi="Arial" w:cs="Arial"/>
                <w:sz w:val="16"/>
                <w:szCs w:val="16"/>
              </w:rPr>
              <w:t>-</w:t>
            </w:r>
          </w:p>
        </w:tc>
      </w:tr>
      <w:tr w:rsidR="001D29F2" w:rsidRPr="00A86423" w14:paraId="62D6E6E2" w14:textId="77777777" w:rsidTr="00E756B9">
        <w:trPr>
          <w:trHeight w:val="204"/>
        </w:trPr>
        <w:tc>
          <w:tcPr>
            <w:tcW w:w="2146" w:type="pct"/>
            <w:tcBorders>
              <w:top w:val="nil"/>
              <w:left w:val="nil"/>
              <w:bottom w:val="nil"/>
              <w:right w:val="nil"/>
            </w:tcBorders>
            <w:shd w:val="clear" w:color="auto" w:fill="auto"/>
            <w:vAlign w:val="bottom"/>
            <w:hideMark/>
          </w:tcPr>
          <w:p w14:paraId="67C1DCE5" w14:textId="1E2A757D" w:rsidR="001D29F2" w:rsidRPr="00A86423" w:rsidRDefault="001D29F2" w:rsidP="00E33831">
            <w:pPr>
              <w:spacing w:after="0" w:line="240" w:lineRule="auto"/>
              <w:ind w:left="113"/>
              <w:rPr>
                <w:rFonts w:ascii="Arial" w:hAnsi="Arial" w:cs="Arial"/>
                <w:sz w:val="16"/>
                <w:szCs w:val="16"/>
              </w:rPr>
            </w:pPr>
            <w:r w:rsidRPr="00A86423">
              <w:rPr>
                <w:rFonts w:ascii="Arial" w:hAnsi="Arial" w:cs="Arial"/>
                <w:sz w:val="16"/>
                <w:szCs w:val="16"/>
              </w:rPr>
              <w:t>Infrastructure Investment Program</w:t>
            </w:r>
            <w:r w:rsidRPr="00A86423">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134425DF" w14:textId="77777777" w:rsidR="001D29F2" w:rsidRPr="00A86423" w:rsidRDefault="001D29F2" w:rsidP="00E33831">
            <w:pPr>
              <w:spacing w:after="0" w:line="240" w:lineRule="auto"/>
              <w:ind w:firstLineChars="200" w:firstLine="320"/>
              <w:jc w:val="right"/>
              <w:rPr>
                <w:rFonts w:ascii="Arial" w:hAnsi="Arial" w:cs="Arial"/>
                <w:sz w:val="16"/>
                <w:szCs w:val="16"/>
              </w:rPr>
            </w:pPr>
          </w:p>
        </w:tc>
        <w:tc>
          <w:tcPr>
            <w:tcW w:w="560" w:type="pct"/>
            <w:tcBorders>
              <w:top w:val="nil"/>
              <w:left w:val="nil"/>
              <w:bottom w:val="nil"/>
              <w:right w:val="nil"/>
            </w:tcBorders>
            <w:shd w:val="clear" w:color="000000" w:fill="E6E6E6"/>
            <w:noWrap/>
            <w:vAlign w:val="bottom"/>
            <w:hideMark/>
          </w:tcPr>
          <w:p w14:paraId="386D85F9" w14:textId="5A65095F" w:rsidR="001D29F2" w:rsidRPr="00A86423" w:rsidRDefault="001D29F2" w:rsidP="00E33831">
            <w:pPr>
              <w:spacing w:after="0" w:line="240" w:lineRule="auto"/>
              <w:jc w:val="right"/>
              <w:rPr>
                <w:rFonts w:ascii="Arial" w:hAnsi="Arial" w:cs="Arial"/>
                <w:sz w:val="16"/>
                <w:szCs w:val="16"/>
              </w:rPr>
            </w:pPr>
          </w:p>
        </w:tc>
        <w:tc>
          <w:tcPr>
            <w:tcW w:w="564" w:type="pct"/>
            <w:tcBorders>
              <w:top w:val="nil"/>
              <w:left w:val="nil"/>
              <w:bottom w:val="nil"/>
              <w:right w:val="nil"/>
            </w:tcBorders>
            <w:shd w:val="clear" w:color="auto" w:fill="auto"/>
            <w:noWrap/>
            <w:vAlign w:val="bottom"/>
            <w:hideMark/>
          </w:tcPr>
          <w:p w14:paraId="5CB97081" w14:textId="77777777" w:rsidR="001D29F2" w:rsidRPr="00A86423" w:rsidRDefault="001D29F2" w:rsidP="00E33831">
            <w:pPr>
              <w:spacing w:after="0" w:line="240" w:lineRule="auto"/>
              <w:jc w:val="right"/>
              <w:rPr>
                <w:rFonts w:ascii="Arial" w:hAnsi="Arial" w:cs="Arial"/>
                <w:sz w:val="16"/>
                <w:szCs w:val="16"/>
              </w:rPr>
            </w:pPr>
          </w:p>
        </w:tc>
        <w:tc>
          <w:tcPr>
            <w:tcW w:w="564" w:type="pct"/>
            <w:tcBorders>
              <w:top w:val="nil"/>
              <w:left w:val="nil"/>
              <w:bottom w:val="nil"/>
              <w:right w:val="nil"/>
            </w:tcBorders>
            <w:shd w:val="clear" w:color="auto" w:fill="auto"/>
            <w:noWrap/>
            <w:vAlign w:val="bottom"/>
            <w:hideMark/>
          </w:tcPr>
          <w:p w14:paraId="511DF6E7" w14:textId="77777777" w:rsidR="001D29F2" w:rsidRPr="00A86423" w:rsidRDefault="001D29F2" w:rsidP="00E33831">
            <w:pPr>
              <w:spacing w:after="0" w:line="240" w:lineRule="auto"/>
              <w:jc w:val="right"/>
              <w:rPr>
                <w:rFonts w:ascii="Arial" w:hAnsi="Arial" w:cs="Arial"/>
                <w:sz w:val="16"/>
                <w:szCs w:val="16"/>
              </w:rPr>
            </w:pPr>
          </w:p>
        </w:tc>
        <w:tc>
          <w:tcPr>
            <w:tcW w:w="565" w:type="pct"/>
            <w:tcBorders>
              <w:top w:val="nil"/>
              <w:left w:val="nil"/>
              <w:bottom w:val="nil"/>
              <w:right w:val="nil"/>
            </w:tcBorders>
            <w:shd w:val="clear" w:color="auto" w:fill="auto"/>
            <w:noWrap/>
            <w:vAlign w:val="bottom"/>
            <w:hideMark/>
          </w:tcPr>
          <w:p w14:paraId="0595E74B" w14:textId="77777777" w:rsidR="001D29F2" w:rsidRPr="00A86423" w:rsidRDefault="001D29F2" w:rsidP="00E33831">
            <w:pPr>
              <w:spacing w:after="0" w:line="240" w:lineRule="auto"/>
              <w:jc w:val="right"/>
              <w:rPr>
                <w:rFonts w:ascii="Arial" w:hAnsi="Arial" w:cs="Arial"/>
                <w:sz w:val="16"/>
                <w:szCs w:val="16"/>
              </w:rPr>
            </w:pPr>
          </w:p>
        </w:tc>
      </w:tr>
      <w:tr w:rsidR="001D29F2" w:rsidRPr="00A86423" w14:paraId="70FDF01F" w14:textId="77777777" w:rsidTr="00E756B9">
        <w:trPr>
          <w:trHeight w:val="204"/>
        </w:trPr>
        <w:tc>
          <w:tcPr>
            <w:tcW w:w="2146" w:type="pct"/>
            <w:tcBorders>
              <w:top w:val="nil"/>
              <w:left w:val="nil"/>
              <w:bottom w:val="nil"/>
              <w:right w:val="nil"/>
            </w:tcBorders>
            <w:shd w:val="clear" w:color="auto" w:fill="auto"/>
            <w:vAlign w:val="bottom"/>
            <w:hideMark/>
          </w:tcPr>
          <w:p w14:paraId="6964669B" w14:textId="77777777" w:rsidR="001D29F2" w:rsidRPr="00A86423" w:rsidRDefault="001D29F2" w:rsidP="00E33831">
            <w:pPr>
              <w:spacing w:after="0" w:line="240" w:lineRule="auto"/>
              <w:ind w:left="227"/>
              <w:rPr>
                <w:rFonts w:ascii="Arial" w:hAnsi="Arial" w:cs="Arial"/>
                <w:sz w:val="16"/>
                <w:szCs w:val="16"/>
              </w:rPr>
            </w:pPr>
            <w:r w:rsidRPr="00A86423">
              <w:rPr>
                <w:rFonts w:ascii="Arial" w:hAnsi="Arial" w:cs="Arial"/>
                <w:sz w:val="16"/>
                <w:szCs w:val="16"/>
              </w:rPr>
              <w:t>Investment and Roads to Recovery</w:t>
            </w:r>
          </w:p>
        </w:tc>
        <w:tc>
          <w:tcPr>
            <w:tcW w:w="602" w:type="pct"/>
            <w:tcBorders>
              <w:top w:val="nil"/>
              <w:left w:val="nil"/>
              <w:bottom w:val="nil"/>
              <w:right w:val="nil"/>
            </w:tcBorders>
            <w:shd w:val="clear" w:color="auto" w:fill="auto"/>
            <w:noWrap/>
            <w:vAlign w:val="bottom"/>
            <w:hideMark/>
          </w:tcPr>
          <w:p w14:paraId="4BC147D6" w14:textId="71256D2E" w:rsidR="001D29F2" w:rsidRPr="00A86423" w:rsidRDefault="001D29F2" w:rsidP="00E33831">
            <w:pPr>
              <w:spacing w:after="0" w:line="240" w:lineRule="auto"/>
              <w:jc w:val="right"/>
              <w:rPr>
                <w:rFonts w:ascii="Arial" w:hAnsi="Arial" w:cs="Arial"/>
                <w:sz w:val="16"/>
                <w:szCs w:val="16"/>
              </w:rPr>
            </w:pPr>
            <w:r w:rsidRPr="00A86423">
              <w:rPr>
                <w:rFonts w:ascii="Arial" w:hAnsi="Arial" w:cs="Arial"/>
                <w:sz w:val="16"/>
                <w:szCs w:val="16"/>
              </w:rPr>
              <w:t>141,591</w:t>
            </w:r>
          </w:p>
        </w:tc>
        <w:tc>
          <w:tcPr>
            <w:tcW w:w="560" w:type="pct"/>
            <w:tcBorders>
              <w:top w:val="nil"/>
              <w:left w:val="nil"/>
              <w:bottom w:val="nil"/>
              <w:right w:val="nil"/>
            </w:tcBorders>
            <w:shd w:val="clear" w:color="000000" w:fill="E6E6E6"/>
            <w:noWrap/>
            <w:vAlign w:val="bottom"/>
            <w:hideMark/>
          </w:tcPr>
          <w:p w14:paraId="50EDBC6D" w14:textId="43DA7E96" w:rsidR="001D29F2" w:rsidRPr="00A86423" w:rsidRDefault="001D29F2" w:rsidP="00E33831">
            <w:pPr>
              <w:spacing w:after="0" w:line="240" w:lineRule="auto"/>
              <w:jc w:val="right"/>
              <w:rPr>
                <w:rFonts w:ascii="Arial" w:hAnsi="Arial" w:cs="Arial"/>
                <w:sz w:val="16"/>
                <w:szCs w:val="16"/>
              </w:rPr>
            </w:pPr>
            <w:r w:rsidRPr="00A86423">
              <w:rPr>
                <w:rFonts w:ascii="Arial" w:hAnsi="Arial" w:cs="Arial"/>
                <w:sz w:val="16"/>
                <w:szCs w:val="16"/>
              </w:rPr>
              <w:t>166,525</w:t>
            </w:r>
          </w:p>
        </w:tc>
        <w:tc>
          <w:tcPr>
            <w:tcW w:w="564" w:type="pct"/>
            <w:tcBorders>
              <w:top w:val="nil"/>
              <w:left w:val="nil"/>
              <w:bottom w:val="nil"/>
              <w:right w:val="nil"/>
            </w:tcBorders>
            <w:shd w:val="clear" w:color="auto" w:fill="auto"/>
            <w:noWrap/>
            <w:vAlign w:val="bottom"/>
            <w:hideMark/>
          </w:tcPr>
          <w:p w14:paraId="4B6279B7" w14:textId="30372A84" w:rsidR="001D29F2" w:rsidRPr="00A86423" w:rsidRDefault="001D29F2" w:rsidP="00E33831">
            <w:pPr>
              <w:spacing w:after="0" w:line="240" w:lineRule="auto"/>
              <w:jc w:val="right"/>
              <w:rPr>
                <w:rFonts w:ascii="Arial" w:hAnsi="Arial" w:cs="Arial"/>
                <w:sz w:val="16"/>
                <w:szCs w:val="16"/>
              </w:rPr>
            </w:pPr>
            <w:r w:rsidRPr="00A86423">
              <w:rPr>
                <w:rFonts w:ascii="Arial" w:hAnsi="Arial" w:cs="Arial"/>
                <w:sz w:val="16"/>
                <w:szCs w:val="16"/>
              </w:rPr>
              <w:t>58,904</w:t>
            </w:r>
          </w:p>
        </w:tc>
        <w:tc>
          <w:tcPr>
            <w:tcW w:w="564" w:type="pct"/>
            <w:tcBorders>
              <w:top w:val="nil"/>
              <w:left w:val="nil"/>
              <w:bottom w:val="nil"/>
              <w:right w:val="nil"/>
            </w:tcBorders>
            <w:shd w:val="clear" w:color="auto" w:fill="auto"/>
            <w:noWrap/>
            <w:vAlign w:val="bottom"/>
            <w:hideMark/>
          </w:tcPr>
          <w:p w14:paraId="1BE42C56" w14:textId="4F66E49E" w:rsidR="001D29F2" w:rsidRPr="00A86423" w:rsidRDefault="001D29F2" w:rsidP="00E33831">
            <w:pPr>
              <w:spacing w:after="0" w:line="240" w:lineRule="auto"/>
              <w:jc w:val="right"/>
              <w:rPr>
                <w:rFonts w:ascii="Arial" w:hAnsi="Arial" w:cs="Arial"/>
                <w:sz w:val="16"/>
                <w:szCs w:val="16"/>
              </w:rPr>
            </w:pPr>
            <w:r w:rsidRPr="00A86423">
              <w:rPr>
                <w:rFonts w:ascii="Arial" w:hAnsi="Arial" w:cs="Arial"/>
                <w:sz w:val="16"/>
                <w:szCs w:val="16"/>
              </w:rPr>
              <w:t>16,303</w:t>
            </w:r>
          </w:p>
        </w:tc>
        <w:tc>
          <w:tcPr>
            <w:tcW w:w="565" w:type="pct"/>
            <w:tcBorders>
              <w:top w:val="nil"/>
              <w:left w:val="nil"/>
              <w:bottom w:val="nil"/>
              <w:right w:val="nil"/>
            </w:tcBorders>
            <w:shd w:val="clear" w:color="auto" w:fill="auto"/>
            <w:noWrap/>
            <w:vAlign w:val="bottom"/>
            <w:hideMark/>
          </w:tcPr>
          <w:p w14:paraId="1B85A454" w14:textId="395D52FF" w:rsidR="001D29F2" w:rsidRPr="00A86423" w:rsidRDefault="001D29F2" w:rsidP="00E33831">
            <w:pPr>
              <w:spacing w:after="0" w:line="240" w:lineRule="auto"/>
              <w:jc w:val="right"/>
              <w:rPr>
                <w:rFonts w:ascii="Arial" w:hAnsi="Arial" w:cs="Arial"/>
                <w:sz w:val="16"/>
                <w:szCs w:val="16"/>
              </w:rPr>
            </w:pPr>
            <w:r w:rsidRPr="00A86423">
              <w:rPr>
                <w:rFonts w:ascii="Arial" w:hAnsi="Arial" w:cs="Arial"/>
                <w:sz w:val="16"/>
                <w:szCs w:val="16"/>
              </w:rPr>
              <w:t>16,613</w:t>
            </w:r>
          </w:p>
        </w:tc>
      </w:tr>
      <w:tr w:rsidR="001D29F2" w:rsidRPr="00A86423" w14:paraId="18163CA3" w14:textId="77777777" w:rsidTr="00E756B9">
        <w:trPr>
          <w:trHeight w:val="204"/>
        </w:trPr>
        <w:tc>
          <w:tcPr>
            <w:tcW w:w="2146" w:type="pct"/>
            <w:tcBorders>
              <w:top w:val="nil"/>
              <w:left w:val="nil"/>
              <w:bottom w:val="nil"/>
              <w:right w:val="nil"/>
            </w:tcBorders>
            <w:shd w:val="clear" w:color="auto" w:fill="auto"/>
            <w:noWrap/>
            <w:vAlign w:val="bottom"/>
            <w:hideMark/>
          </w:tcPr>
          <w:p w14:paraId="58F1CBA6" w14:textId="77777777" w:rsidR="001D29F2" w:rsidRPr="00A86423" w:rsidRDefault="001D29F2" w:rsidP="00E33831">
            <w:pPr>
              <w:spacing w:after="0" w:line="240" w:lineRule="auto"/>
              <w:ind w:left="227"/>
              <w:rPr>
                <w:rFonts w:ascii="Arial" w:hAnsi="Arial" w:cs="Arial"/>
                <w:sz w:val="16"/>
                <w:szCs w:val="16"/>
              </w:rPr>
            </w:pPr>
            <w:r w:rsidRPr="00A86423">
              <w:rPr>
                <w:rFonts w:ascii="Arial" w:hAnsi="Arial" w:cs="Arial"/>
                <w:sz w:val="16"/>
                <w:szCs w:val="16"/>
              </w:rPr>
              <w:t>Roads to Recovery</w:t>
            </w:r>
          </w:p>
        </w:tc>
        <w:tc>
          <w:tcPr>
            <w:tcW w:w="602" w:type="pct"/>
            <w:tcBorders>
              <w:top w:val="nil"/>
              <w:left w:val="nil"/>
              <w:bottom w:val="nil"/>
              <w:right w:val="nil"/>
            </w:tcBorders>
            <w:shd w:val="clear" w:color="auto" w:fill="auto"/>
            <w:noWrap/>
            <w:vAlign w:val="bottom"/>
            <w:hideMark/>
          </w:tcPr>
          <w:p w14:paraId="4F1E78D8" w14:textId="4C45D30F" w:rsidR="001D29F2" w:rsidRPr="00A86423" w:rsidRDefault="001D29F2" w:rsidP="00E33831">
            <w:pPr>
              <w:spacing w:after="0" w:line="240" w:lineRule="auto"/>
              <w:jc w:val="right"/>
              <w:rPr>
                <w:rFonts w:ascii="Arial" w:hAnsi="Arial" w:cs="Arial"/>
                <w:sz w:val="16"/>
                <w:szCs w:val="16"/>
              </w:rPr>
            </w:pPr>
            <w:r w:rsidRPr="00A86423">
              <w:rPr>
                <w:rFonts w:ascii="Arial" w:hAnsi="Arial" w:cs="Arial"/>
                <w:sz w:val="16"/>
                <w:szCs w:val="16"/>
              </w:rPr>
              <w:t>493,111</w:t>
            </w:r>
          </w:p>
        </w:tc>
        <w:tc>
          <w:tcPr>
            <w:tcW w:w="560" w:type="pct"/>
            <w:tcBorders>
              <w:top w:val="nil"/>
              <w:left w:val="nil"/>
              <w:bottom w:val="nil"/>
              <w:right w:val="nil"/>
            </w:tcBorders>
            <w:shd w:val="clear" w:color="000000" w:fill="E6E6E6"/>
            <w:noWrap/>
            <w:vAlign w:val="bottom"/>
            <w:hideMark/>
          </w:tcPr>
          <w:p w14:paraId="5F0ED2A1" w14:textId="2DBEB8CC" w:rsidR="001D29F2" w:rsidRPr="00A86423" w:rsidRDefault="001D29F2" w:rsidP="00E33831">
            <w:pPr>
              <w:spacing w:after="0" w:line="240" w:lineRule="auto"/>
              <w:jc w:val="right"/>
              <w:rPr>
                <w:rFonts w:ascii="Arial" w:hAnsi="Arial" w:cs="Arial"/>
                <w:sz w:val="16"/>
                <w:szCs w:val="16"/>
              </w:rPr>
            </w:pPr>
            <w:r w:rsidRPr="00A86423">
              <w:rPr>
                <w:rFonts w:ascii="Arial" w:hAnsi="Arial" w:cs="Arial"/>
                <w:sz w:val="16"/>
                <w:szCs w:val="16"/>
              </w:rPr>
              <w:t>484,210</w:t>
            </w:r>
          </w:p>
        </w:tc>
        <w:tc>
          <w:tcPr>
            <w:tcW w:w="564" w:type="pct"/>
            <w:tcBorders>
              <w:top w:val="nil"/>
              <w:left w:val="nil"/>
              <w:bottom w:val="nil"/>
              <w:right w:val="nil"/>
            </w:tcBorders>
            <w:shd w:val="clear" w:color="auto" w:fill="auto"/>
            <w:noWrap/>
            <w:vAlign w:val="bottom"/>
            <w:hideMark/>
          </w:tcPr>
          <w:p w14:paraId="56B3545C" w14:textId="08C4357E" w:rsidR="001D29F2" w:rsidRPr="00A86423" w:rsidRDefault="001D29F2" w:rsidP="00E33831">
            <w:pPr>
              <w:spacing w:after="0" w:line="240" w:lineRule="auto"/>
              <w:jc w:val="right"/>
              <w:rPr>
                <w:rFonts w:ascii="Arial" w:hAnsi="Arial" w:cs="Arial"/>
                <w:sz w:val="16"/>
                <w:szCs w:val="16"/>
              </w:rPr>
            </w:pPr>
            <w:r w:rsidRPr="00A86423">
              <w:rPr>
                <w:rFonts w:ascii="Arial" w:hAnsi="Arial" w:cs="Arial"/>
                <w:sz w:val="16"/>
                <w:szCs w:val="16"/>
              </w:rPr>
              <w:t>500,000</w:t>
            </w:r>
          </w:p>
        </w:tc>
        <w:tc>
          <w:tcPr>
            <w:tcW w:w="564" w:type="pct"/>
            <w:tcBorders>
              <w:top w:val="nil"/>
              <w:left w:val="nil"/>
              <w:bottom w:val="nil"/>
              <w:right w:val="nil"/>
            </w:tcBorders>
            <w:shd w:val="clear" w:color="auto" w:fill="auto"/>
            <w:noWrap/>
            <w:vAlign w:val="bottom"/>
            <w:hideMark/>
          </w:tcPr>
          <w:p w14:paraId="38B84083" w14:textId="6A44CBE8" w:rsidR="001D29F2" w:rsidRPr="00A86423" w:rsidRDefault="001D29F2" w:rsidP="00E33831">
            <w:pPr>
              <w:spacing w:after="0" w:line="240" w:lineRule="auto"/>
              <w:jc w:val="right"/>
              <w:rPr>
                <w:rFonts w:ascii="Arial" w:hAnsi="Arial" w:cs="Arial"/>
                <w:sz w:val="16"/>
                <w:szCs w:val="16"/>
              </w:rPr>
            </w:pPr>
            <w:r w:rsidRPr="00A86423">
              <w:rPr>
                <w:rFonts w:ascii="Arial" w:hAnsi="Arial" w:cs="Arial"/>
                <w:sz w:val="16"/>
                <w:szCs w:val="16"/>
              </w:rPr>
              <w:t>500,000</w:t>
            </w:r>
          </w:p>
        </w:tc>
        <w:tc>
          <w:tcPr>
            <w:tcW w:w="565" w:type="pct"/>
            <w:tcBorders>
              <w:top w:val="nil"/>
              <w:left w:val="nil"/>
              <w:bottom w:val="nil"/>
              <w:right w:val="nil"/>
            </w:tcBorders>
            <w:shd w:val="clear" w:color="auto" w:fill="auto"/>
            <w:noWrap/>
            <w:vAlign w:val="bottom"/>
            <w:hideMark/>
          </w:tcPr>
          <w:p w14:paraId="0F8FBB6F" w14:textId="6C4F78C4" w:rsidR="001D29F2" w:rsidRPr="00A86423" w:rsidRDefault="001D29F2" w:rsidP="00E33831">
            <w:pPr>
              <w:spacing w:after="0" w:line="240" w:lineRule="auto"/>
              <w:jc w:val="right"/>
              <w:rPr>
                <w:rFonts w:ascii="Arial" w:hAnsi="Arial" w:cs="Arial"/>
                <w:sz w:val="16"/>
                <w:szCs w:val="16"/>
              </w:rPr>
            </w:pPr>
            <w:r w:rsidRPr="00A86423">
              <w:rPr>
                <w:rFonts w:ascii="Arial" w:hAnsi="Arial" w:cs="Arial"/>
                <w:sz w:val="16"/>
                <w:szCs w:val="16"/>
              </w:rPr>
              <w:t>500,000</w:t>
            </w:r>
          </w:p>
        </w:tc>
      </w:tr>
      <w:tr w:rsidR="001D29F2" w:rsidRPr="00A86423" w14:paraId="78D2749A" w14:textId="77777777" w:rsidTr="00E756B9">
        <w:trPr>
          <w:trHeight w:val="204"/>
        </w:trPr>
        <w:tc>
          <w:tcPr>
            <w:tcW w:w="2146" w:type="pct"/>
            <w:tcBorders>
              <w:top w:val="nil"/>
              <w:left w:val="nil"/>
              <w:bottom w:val="nil"/>
              <w:right w:val="nil"/>
            </w:tcBorders>
            <w:shd w:val="clear" w:color="auto" w:fill="auto"/>
            <w:vAlign w:val="bottom"/>
            <w:hideMark/>
          </w:tcPr>
          <w:p w14:paraId="2820EC3E" w14:textId="77777777" w:rsidR="001D29F2" w:rsidRPr="00A86423" w:rsidRDefault="001D29F2" w:rsidP="00E33831">
            <w:pPr>
              <w:spacing w:after="0" w:line="240" w:lineRule="auto"/>
              <w:ind w:left="113"/>
              <w:rPr>
                <w:rFonts w:ascii="Arial" w:hAnsi="Arial" w:cs="Arial"/>
                <w:sz w:val="16"/>
                <w:szCs w:val="16"/>
              </w:rPr>
            </w:pPr>
            <w:r w:rsidRPr="00A86423">
              <w:rPr>
                <w:rFonts w:ascii="Arial" w:hAnsi="Arial" w:cs="Arial"/>
                <w:sz w:val="16"/>
                <w:szCs w:val="16"/>
              </w:rPr>
              <w:t>Regional Australia Level Crossing Program</w:t>
            </w:r>
          </w:p>
        </w:tc>
        <w:tc>
          <w:tcPr>
            <w:tcW w:w="602" w:type="pct"/>
            <w:tcBorders>
              <w:top w:val="nil"/>
              <w:left w:val="nil"/>
              <w:bottom w:val="nil"/>
              <w:right w:val="nil"/>
            </w:tcBorders>
            <w:shd w:val="clear" w:color="auto" w:fill="auto"/>
            <w:noWrap/>
            <w:vAlign w:val="bottom"/>
            <w:hideMark/>
          </w:tcPr>
          <w:p w14:paraId="1213D4C0" w14:textId="3FD8F036" w:rsidR="001D29F2" w:rsidRPr="00A86423" w:rsidRDefault="001D29F2" w:rsidP="00E33831">
            <w:pPr>
              <w:spacing w:after="0" w:line="240" w:lineRule="auto"/>
              <w:jc w:val="right"/>
              <w:rPr>
                <w:rFonts w:ascii="Arial" w:hAnsi="Arial" w:cs="Arial"/>
                <w:sz w:val="16"/>
                <w:szCs w:val="16"/>
              </w:rPr>
            </w:pPr>
            <w:r w:rsidRPr="00A86423">
              <w:rPr>
                <w:rFonts w:ascii="Arial" w:hAnsi="Arial" w:cs="Arial"/>
                <w:sz w:val="16"/>
                <w:szCs w:val="16"/>
              </w:rPr>
              <w:t>5,590</w:t>
            </w:r>
          </w:p>
        </w:tc>
        <w:tc>
          <w:tcPr>
            <w:tcW w:w="560" w:type="pct"/>
            <w:tcBorders>
              <w:top w:val="nil"/>
              <w:left w:val="nil"/>
              <w:bottom w:val="nil"/>
              <w:right w:val="nil"/>
            </w:tcBorders>
            <w:shd w:val="clear" w:color="000000" w:fill="E6E6E6"/>
            <w:noWrap/>
            <w:vAlign w:val="bottom"/>
            <w:hideMark/>
          </w:tcPr>
          <w:p w14:paraId="1DD59581" w14:textId="00842EF3" w:rsidR="001D29F2" w:rsidRPr="00A86423" w:rsidRDefault="001D29F2" w:rsidP="00E33831">
            <w:pPr>
              <w:spacing w:after="0" w:line="240" w:lineRule="auto"/>
              <w:jc w:val="right"/>
              <w:rPr>
                <w:rFonts w:ascii="Arial" w:hAnsi="Arial" w:cs="Arial"/>
                <w:sz w:val="16"/>
                <w:szCs w:val="16"/>
              </w:rPr>
            </w:pPr>
            <w:r w:rsidRPr="00A86423">
              <w:rPr>
                <w:rFonts w:ascii="Arial" w:hAnsi="Arial" w:cs="Arial"/>
                <w:sz w:val="16"/>
                <w:szCs w:val="16"/>
              </w:rPr>
              <w:t>5,370</w:t>
            </w:r>
          </w:p>
        </w:tc>
        <w:tc>
          <w:tcPr>
            <w:tcW w:w="564" w:type="pct"/>
            <w:tcBorders>
              <w:top w:val="nil"/>
              <w:left w:val="nil"/>
              <w:bottom w:val="nil"/>
              <w:right w:val="nil"/>
            </w:tcBorders>
            <w:shd w:val="clear" w:color="auto" w:fill="auto"/>
            <w:noWrap/>
            <w:vAlign w:val="bottom"/>
            <w:hideMark/>
          </w:tcPr>
          <w:p w14:paraId="25D541D8" w14:textId="6A09BFE5" w:rsidR="001D29F2" w:rsidRPr="00A86423" w:rsidRDefault="001D29F2" w:rsidP="00E33831">
            <w:pPr>
              <w:spacing w:after="0" w:line="240" w:lineRule="auto"/>
              <w:jc w:val="right"/>
              <w:rPr>
                <w:rFonts w:ascii="Arial" w:hAnsi="Arial" w:cs="Arial"/>
                <w:sz w:val="16"/>
                <w:szCs w:val="16"/>
              </w:rPr>
            </w:pPr>
            <w:r w:rsidRPr="00A86423">
              <w:rPr>
                <w:rFonts w:ascii="Arial" w:hAnsi="Arial" w:cs="Arial"/>
                <w:sz w:val="16"/>
                <w:szCs w:val="16"/>
              </w:rPr>
              <w:t>1,000</w:t>
            </w:r>
          </w:p>
        </w:tc>
        <w:tc>
          <w:tcPr>
            <w:tcW w:w="564" w:type="pct"/>
            <w:tcBorders>
              <w:top w:val="nil"/>
              <w:left w:val="nil"/>
              <w:bottom w:val="nil"/>
              <w:right w:val="nil"/>
            </w:tcBorders>
            <w:shd w:val="clear" w:color="auto" w:fill="auto"/>
            <w:noWrap/>
            <w:vAlign w:val="bottom"/>
            <w:hideMark/>
          </w:tcPr>
          <w:p w14:paraId="014BB5FE" w14:textId="1313A710" w:rsidR="001D29F2" w:rsidRPr="00A86423" w:rsidRDefault="001D29F2" w:rsidP="00E33831">
            <w:pPr>
              <w:spacing w:after="0" w:line="240" w:lineRule="auto"/>
              <w:jc w:val="right"/>
              <w:rPr>
                <w:rFonts w:ascii="Arial" w:hAnsi="Arial" w:cs="Arial"/>
                <w:sz w:val="16"/>
                <w:szCs w:val="16"/>
              </w:rPr>
            </w:pPr>
            <w:r w:rsidRPr="00A86423">
              <w:rPr>
                <w:rFonts w:ascii="Arial" w:hAnsi="Arial" w:cs="Arial"/>
                <w:sz w:val="16"/>
                <w:szCs w:val="16"/>
              </w:rPr>
              <w:t>1,500</w:t>
            </w:r>
          </w:p>
        </w:tc>
        <w:tc>
          <w:tcPr>
            <w:tcW w:w="565" w:type="pct"/>
            <w:tcBorders>
              <w:top w:val="nil"/>
              <w:left w:val="nil"/>
              <w:bottom w:val="nil"/>
              <w:right w:val="nil"/>
            </w:tcBorders>
            <w:shd w:val="clear" w:color="auto" w:fill="auto"/>
            <w:noWrap/>
            <w:vAlign w:val="bottom"/>
            <w:hideMark/>
          </w:tcPr>
          <w:p w14:paraId="50917F6E" w14:textId="73FCBAD8" w:rsidR="001D29F2" w:rsidRPr="00A86423" w:rsidRDefault="001D29F2" w:rsidP="00E33831">
            <w:pPr>
              <w:spacing w:after="0" w:line="240" w:lineRule="auto"/>
              <w:jc w:val="right"/>
              <w:rPr>
                <w:rFonts w:ascii="Arial" w:hAnsi="Arial" w:cs="Arial"/>
                <w:sz w:val="16"/>
                <w:szCs w:val="16"/>
              </w:rPr>
            </w:pPr>
            <w:r w:rsidRPr="00A86423">
              <w:rPr>
                <w:rFonts w:ascii="Arial" w:hAnsi="Arial" w:cs="Arial"/>
                <w:sz w:val="16"/>
                <w:szCs w:val="16"/>
              </w:rPr>
              <w:t>-</w:t>
            </w:r>
          </w:p>
        </w:tc>
      </w:tr>
      <w:tr w:rsidR="001D29F2" w:rsidRPr="00A86423" w14:paraId="4CA109F5" w14:textId="77777777" w:rsidTr="00E756B9">
        <w:trPr>
          <w:trHeight w:val="204"/>
        </w:trPr>
        <w:tc>
          <w:tcPr>
            <w:tcW w:w="2146" w:type="pct"/>
            <w:tcBorders>
              <w:top w:val="nil"/>
              <w:left w:val="nil"/>
              <w:bottom w:val="nil"/>
              <w:right w:val="nil"/>
            </w:tcBorders>
            <w:shd w:val="clear" w:color="auto" w:fill="auto"/>
            <w:vAlign w:val="bottom"/>
            <w:hideMark/>
          </w:tcPr>
          <w:p w14:paraId="3CD034DA" w14:textId="77777777" w:rsidR="001D29F2" w:rsidRPr="00A86423" w:rsidRDefault="001D29F2" w:rsidP="00E33831">
            <w:pPr>
              <w:spacing w:after="0" w:line="240" w:lineRule="auto"/>
              <w:ind w:left="113"/>
              <w:rPr>
                <w:rFonts w:ascii="Arial" w:hAnsi="Arial" w:cs="Arial"/>
                <w:sz w:val="16"/>
                <w:szCs w:val="16"/>
              </w:rPr>
            </w:pPr>
            <w:r w:rsidRPr="00A86423">
              <w:rPr>
                <w:rFonts w:ascii="Arial" w:hAnsi="Arial" w:cs="Arial"/>
                <w:sz w:val="16"/>
                <w:szCs w:val="16"/>
              </w:rPr>
              <w:t>Significant Projects Investment Delivery Office Specialised Advice</w:t>
            </w:r>
          </w:p>
        </w:tc>
        <w:tc>
          <w:tcPr>
            <w:tcW w:w="602" w:type="pct"/>
            <w:tcBorders>
              <w:top w:val="nil"/>
              <w:left w:val="nil"/>
              <w:bottom w:val="nil"/>
              <w:right w:val="nil"/>
            </w:tcBorders>
            <w:shd w:val="clear" w:color="auto" w:fill="auto"/>
            <w:noWrap/>
            <w:vAlign w:val="bottom"/>
            <w:hideMark/>
          </w:tcPr>
          <w:p w14:paraId="1A88613F" w14:textId="4198ECDA" w:rsidR="001D29F2" w:rsidRPr="00A86423" w:rsidRDefault="001D29F2" w:rsidP="00E33831">
            <w:pPr>
              <w:spacing w:after="0" w:line="240" w:lineRule="auto"/>
              <w:jc w:val="right"/>
              <w:rPr>
                <w:rFonts w:ascii="Arial" w:hAnsi="Arial" w:cs="Arial"/>
                <w:sz w:val="16"/>
                <w:szCs w:val="16"/>
              </w:rPr>
            </w:pPr>
            <w:r w:rsidRPr="00A86423">
              <w:rPr>
                <w:rFonts w:ascii="Arial" w:hAnsi="Arial" w:cs="Arial"/>
                <w:sz w:val="16"/>
                <w:szCs w:val="16"/>
              </w:rPr>
              <w:t>4,180</w:t>
            </w:r>
          </w:p>
        </w:tc>
        <w:tc>
          <w:tcPr>
            <w:tcW w:w="560" w:type="pct"/>
            <w:tcBorders>
              <w:top w:val="nil"/>
              <w:left w:val="nil"/>
              <w:bottom w:val="nil"/>
              <w:right w:val="nil"/>
            </w:tcBorders>
            <w:shd w:val="clear" w:color="000000" w:fill="E6E6E6"/>
            <w:noWrap/>
            <w:vAlign w:val="bottom"/>
            <w:hideMark/>
          </w:tcPr>
          <w:p w14:paraId="7D075D63" w14:textId="22C32EC1" w:rsidR="001D29F2" w:rsidRPr="00A86423" w:rsidRDefault="001D29F2" w:rsidP="00E33831">
            <w:pPr>
              <w:spacing w:after="0" w:line="240" w:lineRule="auto"/>
              <w:jc w:val="right"/>
              <w:rPr>
                <w:rFonts w:ascii="Arial" w:hAnsi="Arial" w:cs="Arial"/>
                <w:sz w:val="16"/>
                <w:szCs w:val="16"/>
              </w:rPr>
            </w:pPr>
            <w:r w:rsidRPr="00A86423">
              <w:rPr>
                <w:rFonts w:ascii="Arial" w:hAnsi="Arial" w:cs="Arial"/>
                <w:sz w:val="16"/>
                <w:szCs w:val="16"/>
              </w:rPr>
              <w:t>-</w:t>
            </w:r>
          </w:p>
        </w:tc>
        <w:tc>
          <w:tcPr>
            <w:tcW w:w="564" w:type="pct"/>
            <w:tcBorders>
              <w:top w:val="nil"/>
              <w:left w:val="nil"/>
              <w:bottom w:val="nil"/>
              <w:right w:val="nil"/>
            </w:tcBorders>
            <w:shd w:val="clear" w:color="auto" w:fill="auto"/>
            <w:noWrap/>
            <w:vAlign w:val="bottom"/>
            <w:hideMark/>
          </w:tcPr>
          <w:p w14:paraId="1E96A550" w14:textId="34E5677F" w:rsidR="001D29F2" w:rsidRPr="00A86423" w:rsidRDefault="001D29F2" w:rsidP="00E33831">
            <w:pPr>
              <w:spacing w:after="0" w:line="240" w:lineRule="auto"/>
              <w:jc w:val="right"/>
              <w:rPr>
                <w:rFonts w:ascii="Arial" w:hAnsi="Arial" w:cs="Arial"/>
                <w:sz w:val="16"/>
                <w:szCs w:val="16"/>
              </w:rPr>
            </w:pPr>
            <w:r w:rsidRPr="00A86423">
              <w:rPr>
                <w:rFonts w:ascii="Arial" w:hAnsi="Arial" w:cs="Arial"/>
                <w:sz w:val="16"/>
                <w:szCs w:val="16"/>
              </w:rPr>
              <w:t>-</w:t>
            </w:r>
          </w:p>
        </w:tc>
        <w:tc>
          <w:tcPr>
            <w:tcW w:w="564" w:type="pct"/>
            <w:tcBorders>
              <w:top w:val="nil"/>
              <w:left w:val="nil"/>
              <w:bottom w:val="nil"/>
              <w:right w:val="nil"/>
            </w:tcBorders>
            <w:shd w:val="clear" w:color="auto" w:fill="auto"/>
            <w:noWrap/>
            <w:vAlign w:val="bottom"/>
            <w:hideMark/>
          </w:tcPr>
          <w:p w14:paraId="1450BBC4" w14:textId="5FC0549E" w:rsidR="001D29F2" w:rsidRPr="00A86423" w:rsidRDefault="001D29F2" w:rsidP="00E33831">
            <w:pPr>
              <w:spacing w:after="0" w:line="240" w:lineRule="auto"/>
              <w:jc w:val="right"/>
              <w:rPr>
                <w:rFonts w:ascii="Arial" w:hAnsi="Arial" w:cs="Arial"/>
                <w:sz w:val="16"/>
                <w:szCs w:val="16"/>
              </w:rPr>
            </w:pPr>
            <w:r w:rsidRPr="00A86423">
              <w:rPr>
                <w:rFonts w:ascii="Arial" w:hAnsi="Arial" w:cs="Arial"/>
                <w:sz w:val="16"/>
                <w:szCs w:val="16"/>
              </w:rPr>
              <w:t>-</w:t>
            </w:r>
          </w:p>
        </w:tc>
        <w:tc>
          <w:tcPr>
            <w:tcW w:w="565" w:type="pct"/>
            <w:tcBorders>
              <w:top w:val="nil"/>
              <w:left w:val="nil"/>
              <w:bottom w:val="nil"/>
              <w:right w:val="nil"/>
            </w:tcBorders>
            <w:shd w:val="clear" w:color="auto" w:fill="auto"/>
            <w:noWrap/>
            <w:vAlign w:val="bottom"/>
            <w:hideMark/>
          </w:tcPr>
          <w:p w14:paraId="78400F8A" w14:textId="707B174C" w:rsidR="001D29F2" w:rsidRPr="00A86423" w:rsidRDefault="001D29F2" w:rsidP="00E33831">
            <w:pPr>
              <w:spacing w:after="0" w:line="240" w:lineRule="auto"/>
              <w:jc w:val="right"/>
              <w:rPr>
                <w:rFonts w:ascii="Arial" w:hAnsi="Arial" w:cs="Arial"/>
                <w:sz w:val="16"/>
                <w:szCs w:val="16"/>
              </w:rPr>
            </w:pPr>
            <w:r w:rsidRPr="00A86423">
              <w:rPr>
                <w:rFonts w:ascii="Arial" w:hAnsi="Arial" w:cs="Arial"/>
                <w:sz w:val="16"/>
                <w:szCs w:val="16"/>
              </w:rPr>
              <w:t>-</w:t>
            </w:r>
          </w:p>
        </w:tc>
      </w:tr>
      <w:tr w:rsidR="001D29F2" w:rsidRPr="00A86423" w14:paraId="4D6B73C2" w14:textId="77777777" w:rsidTr="00E756B9">
        <w:trPr>
          <w:trHeight w:val="204"/>
        </w:trPr>
        <w:tc>
          <w:tcPr>
            <w:tcW w:w="2146" w:type="pct"/>
            <w:tcBorders>
              <w:top w:val="nil"/>
              <w:left w:val="nil"/>
              <w:bottom w:val="nil"/>
              <w:right w:val="nil"/>
            </w:tcBorders>
            <w:shd w:val="clear" w:color="auto" w:fill="auto"/>
            <w:vAlign w:val="bottom"/>
            <w:hideMark/>
          </w:tcPr>
          <w:p w14:paraId="5907DA56" w14:textId="77777777" w:rsidR="001D29F2" w:rsidRPr="00A86423" w:rsidRDefault="001D29F2" w:rsidP="00E33831">
            <w:pPr>
              <w:spacing w:after="0" w:line="240" w:lineRule="auto"/>
              <w:ind w:left="113"/>
              <w:rPr>
                <w:rFonts w:ascii="Arial" w:hAnsi="Arial" w:cs="Arial"/>
                <w:sz w:val="16"/>
                <w:szCs w:val="16"/>
              </w:rPr>
            </w:pPr>
            <w:r w:rsidRPr="00A86423">
              <w:rPr>
                <w:rFonts w:ascii="Arial" w:hAnsi="Arial" w:cs="Arial"/>
                <w:sz w:val="16"/>
                <w:szCs w:val="16"/>
              </w:rPr>
              <w:t>Supporting National Freight and Supply Chain Priorities – Inland Rail Interface Improvement Program</w:t>
            </w:r>
          </w:p>
        </w:tc>
        <w:tc>
          <w:tcPr>
            <w:tcW w:w="602" w:type="pct"/>
            <w:tcBorders>
              <w:top w:val="nil"/>
              <w:left w:val="nil"/>
              <w:bottom w:val="nil"/>
              <w:right w:val="nil"/>
            </w:tcBorders>
            <w:shd w:val="clear" w:color="auto" w:fill="auto"/>
            <w:noWrap/>
            <w:vAlign w:val="bottom"/>
            <w:hideMark/>
          </w:tcPr>
          <w:p w14:paraId="1D500962" w14:textId="3D39C003" w:rsidR="001D29F2" w:rsidRPr="00A86423" w:rsidRDefault="001D29F2" w:rsidP="00E33831">
            <w:pPr>
              <w:spacing w:after="0" w:line="240" w:lineRule="auto"/>
              <w:jc w:val="right"/>
              <w:rPr>
                <w:rFonts w:ascii="Arial" w:hAnsi="Arial" w:cs="Arial"/>
                <w:sz w:val="16"/>
                <w:szCs w:val="16"/>
              </w:rPr>
            </w:pPr>
            <w:r w:rsidRPr="00A86423">
              <w:rPr>
                <w:rFonts w:ascii="Arial" w:hAnsi="Arial" w:cs="Arial"/>
                <w:sz w:val="16"/>
                <w:szCs w:val="16"/>
              </w:rPr>
              <w:t>18,377</w:t>
            </w:r>
          </w:p>
        </w:tc>
        <w:tc>
          <w:tcPr>
            <w:tcW w:w="560" w:type="pct"/>
            <w:tcBorders>
              <w:top w:val="nil"/>
              <w:left w:val="nil"/>
              <w:bottom w:val="nil"/>
              <w:right w:val="nil"/>
            </w:tcBorders>
            <w:shd w:val="clear" w:color="000000" w:fill="E6E6E6"/>
            <w:noWrap/>
            <w:vAlign w:val="bottom"/>
            <w:hideMark/>
          </w:tcPr>
          <w:p w14:paraId="2284BCE9" w14:textId="6B88013D" w:rsidR="001D29F2" w:rsidRPr="00A86423" w:rsidRDefault="001D29F2" w:rsidP="00E33831">
            <w:pPr>
              <w:spacing w:after="0" w:line="240" w:lineRule="auto"/>
              <w:jc w:val="right"/>
              <w:rPr>
                <w:rFonts w:ascii="Arial" w:hAnsi="Arial" w:cs="Arial"/>
                <w:sz w:val="16"/>
                <w:szCs w:val="16"/>
              </w:rPr>
            </w:pPr>
            <w:r w:rsidRPr="00A86423">
              <w:rPr>
                <w:rFonts w:ascii="Arial" w:hAnsi="Arial" w:cs="Arial"/>
                <w:sz w:val="16"/>
                <w:szCs w:val="16"/>
              </w:rPr>
              <w:t>-</w:t>
            </w:r>
          </w:p>
        </w:tc>
        <w:tc>
          <w:tcPr>
            <w:tcW w:w="564" w:type="pct"/>
            <w:tcBorders>
              <w:top w:val="nil"/>
              <w:left w:val="nil"/>
              <w:bottom w:val="nil"/>
              <w:right w:val="nil"/>
            </w:tcBorders>
            <w:shd w:val="clear" w:color="auto" w:fill="auto"/>
            <w:noWrap/>
            <w:vAlign w:val="bottom"/>
            <w:hideMark/>
          </w:tcPr>
          <w:p w14:paraId="594FF4FC" w14:textId="5BA46C4E" w:rsidR="001D29F2" w:rsidRPr="00A86423" w:rsidRDefault="001D29F2" w:rsidP="00E33831">
            <w:pPr>
              <w:spacing w:after="0" w:line="240" w:lineRule="auto"/>
              <w:jc w:val="right"/>
              <w:rPr>
                <w:rFonts w:ascii="Arial" w:hAnsi="Arial" w:cs="Arial"/>
                <w:sz w:val="16"/>
                <w:szCs w:val="16"/>
              </w:rPr>
            </w:pPr>
            <w:r w:rsidRPr="00A86423">
              <w:rPr>
                <w:rFonts w:ascii="Arial" w:hAnsi="Arial" w:cs="Arial"/>
                <w:sz w:val="16"/>
                <w:szCs w:val="16"/>
              </w:rPr>
              <w:t>-</w:t>
            </w:r>
          </w:p>
        </w:tc>
        <w:tc>
          <w:tcPr>
            <w:tcW w:w="564" w:type="pct"/>
            <w:tcBorders>
              <w:top w:val="nil"/>
              <w:left w:val="nil"/>
              <w:bottom w:val="nil"/>
              <w:right w:val="nil"/>
            </w:tcBorders>
            <w:shd w:val="clear" w:color="auto" w:fill="auto"/>
            <w:noWrap/>
            <w:vAlign w:val="bottom"/>
            <w:hideMark/>
          </w:tcPr>
          <w:p w14:paraId="6B76462E" w14:textId="4DDBE2F2" w:rsidR="001D29F2" w:rsidRPr="00A86423" w:rsidRDefault="001D29F2" w:rsidP="00E33831">
            <w:pPr>
              <w:spacing w:after="0" w:line="240" w:lineRule="auto"/>
              <w:jc w:val="right"/>
              <w:rPr>
                <w:rFonts w:ascii="Arial" w:hAnsi="Arial" w:cs="Arial"/>
                <w:sz w:val="16"/>
                <w:szCs w:val="16"/>
              </w:rPr>
            </w:pPr>
            <w:r w:rsidRPr="00A86423">
              <w:rPr>
                <w:rFonts w:ascii="Arial" w:hAnsi="Arial" w:cs="Arial"/>
                <w:sz w:val="16"/>
                <w:szCs w:val="16"/>
              </w:rPr>
              <w:t>-</w:t>
            </w:r>
          </w:p>
        </w:tc>
        <w:tc>
          <w:tcPr>
            <w:tcW w:w="565" w:type="pct"/>
            <w:tcBorders>
              <w:top w:val="nil"/>
              <w:left w:val="nil"/>
              <w:bottom w:val="nil"/>
              <w:right w:val="nil"/>
            </w:tcBorders>
            <w:shd w:val="clear" w:color="auto" w:fill="auto"/>
            <w:noWrap/>
            <w:vAlign w:val="bottom"/>
            <w:hideMark/>
          </w:tcPr>
          <w:p w14:paraId="336F3C5C" w14:textId="079E4C5D" w:rsidR="001D29F2" w:rsidRPr="00A86423" w:rsidRDefault="001D29F2" w:rsidP="00E33831">
            <w:pPr>
              <w:spacing w:after="0" w:line="240" w:lineRule="auto"/>
              <w:jc w:val="right"/>
              <w:rPr>
                <w:rFonts w:ascii="Arial" w:hAnsi="Arial" w:cs="Arial"/>
                <w:sz w:val="16"/>
                <w:szCs w:val="16"/>
              </w:rPr>
            </w:pPr>
            <w:r w:rsidRPr="00A86423">
              <w:rPr>
                <w:rFonts w:ascii="Arial" w:hAnsi="Arial" w:cs="Arial"/>
                <w:sz w:val="16"/>
                <w:szCs w:val="16"/>
              </w:rPr>
              <w:t>-</w:t>
            </w:r>
          </w:p>
        </w:tc>
      </w:tr>
      <w:tr w:rsidR="001D29F2" w:rsidRPr="00A86423" w14:paraId="4F484207" w14:textId="77777777" w:rsidTr="00E756B9">
        <w:trPr>
          <w:trHeight w:val="204"/>
        </w:trPr>
        <w:tc>
          <w:tcPr>
            <w:tcW w:w="2146" w:type="pct"/>
            <w:tcBorders>
              <w:top w:val="nil"/>
              <w:left w:val="nil"/>
              <w:bottom w:val="nil"/>
              <w:right w:val="nil"/>
            </w:tcBorders>
            <w:shd w:val="clear" w:color="auto" w:fill="auto"/>
            <w:noWrap/>
            <w:vAlign w:val="bottom"/>
            <w:hideMark/>
          </w:tcPr>
          <w:p w14:paraId="2E44A741" w14:textId="3D35C2A4" w:rsidR="001D29F2" w:rsidRPr="00A86423" w:rsidRDefault="001D29F2" w:rsidP="00E33831">
            <w:pPr>
              <w:spacing w:after="0" w:line="240" w:lineRule="auto"/>
              <w:rPr>
                <w:rFonts w:ascii="Arial" w:hAnsi="Arial" w:cs="Arial"/>
                <w:sz w:val="16"/>
                <w:szCs w:val="16"/>
              </w:rPr>
            </w:pPr>
            <w:r w:rsidRPr="00A86423">
              <w:rPr>
                <w:rFonts w:ascii="Arial" w:hAnsi="Arial" w:cs="Arial"/>
                <w:sz w:val="16"/>
                <w:szCs w:val="16"/>
              </w:rPr>
              <w:t>Payments to corporate entities</w:t>
            </w:r>
            <w:r w:rsidRPr="00A86423">
              <w:rPr>
                <w:rFonts w:ascii="Arial" w:hAnsi="Arial" w:cs="Arial"/>
                <w:sz w:val="16"/>
                <w:szCs w:val="16"/>
                <w:vertAlign w:val="superscript"/>
              </w:rPr>
              <w:t>(b)</w:t>
            </w:r>
          </w:p>
        </w:tc>
        <w:tc>
          <w:tcPr>
            <w:tcW w:w="602" w:type="pct"/>
            <w:tcBorders>
              <w:top w:val="nil"/>
              <w:left w:val="nil"/>
              <w:bottom w:val="nil"/>
              <w:right w:val="nil"/>
            </w:tcBorders>
            <w:shd w:val="clear" w:color="auto" w:fill="auto"/>
            <w:noWrap/>
            <w:vAlign w:val="bottom"/>
            <w:hideMark/>
          </w:tcPr>
          <w:p w14:paraId="1AD130EC" w14:textId="77777777" w:rsidR="001D29F2" w:rsidRPr="00A86423" w:rsidRDefault="001D29F2" w:rsidP="00E33831">
            <w:pPr>
              <w:spacing w:after="0" w:line="240" w:lineRule="auto"/>
              <w:ind w:firstLineChars="100" w:firstLine="160"/>
              <w:jc w:val="right"/>
              <w:rPr>
                <w:rFonts w:ascii="Arial" w:hAnsi="Arial" w:cs="Arial"/>
                <w:sz w:val="16"/>
                <w:szCs w:val="16"/>
              </w:rPr>
            </w:pPr>
          </w:p>
        </w:tc>
        <w:tc>
          <w:tcPr>
            <w:tcW w:w="560" w:type="pct"/>
            <w:tcBorders>
              <w:top w:val="nil"/>
              <w:left w:val="nil"/>
              <w:bottom w:val="nil"/>
              <w:right w:val="nil"/>
            </w:tcBorders>
            <w:shd w:val="clear" w:color="000000" w:fill="E6E6E6"/>
            <w:noWrap/>
            <w:vAlign w:val="bottom"/>
            <w:hideMark/>
          </w:tcPr>
          <w:p w14:paraId="664E8C13" w14:textId="5EE43538" w:rsidR="001D29F2" w:rsidRPr="00A86423" w:rsidRDefault="001D29F2" w:rsidP="00E33831">
            <w:pPr>
              <w:spacing w:after="0" w:line="240" w:lineRule="auto"/>
              <w:jc w:val="right"/>
              <w:rPr>
                <w:rFonts w:ascii="Arial" w:hAnsi="Arial" w:cs="Arial"/>
                <w:sz w:val="16"/>
                <w:szCs w:val="16"/>
              </w:rPr>
            </w:pPr>
          </w:p>
        </w:tc>
        <w:tc>
          <w:tcPr>
            <w:tcW w:w="564" w:type="pct"/>
            <w:tcBorders>
              <w:top w:val="nil"/>
              <w:left w:val="nil"/>
              <w:bottom w:val="nil"/>
              <w:right w:val="nil"/>
            </w:tcBorders>
            <w:shd w:val="clear" w:color="auto" w:fill="auto"/>
            <w:noWrap/>
            <w:vAlign w:val="bottom"/>
            <w:hideMark/>
          </w:tcPr>
          <w:p w14:paraId="6E609389" w14:textId="77777777" w:rsidR="001D29F2" w:rsidRPr="00A86423" w:rsidRDefault="001D29F2" w:rsidP="00E33831">
            <w:pPr>
              <w:spacing w:after="0" w:line="240" w:lineRule="auto"/>
              <w:jc w:val="right"/>
              <w:rPr>
                <w:rFonts w:ascii="Arial" w:hAnsi="Arial" w:cs="Arial"/>
                <w:sz w:val="16"/>
                <w:szCs w:val="16"/>
              </w:rPr>
            </w:pPr>
          </w:p>
        </w:tc>
        <w:tc>
          <w:tcPr>
            <w:tcW w:w="564" w:type="pct"/>
            <w:tcBorders>
              <w:top w:val="nil"/>
              <w:left w:val="nil"/>
              <w:bottom w:val="nil"/>
              <w:right w:val="nil"/>
            </w:tcBorders>
            <w:shd w:val="clear" w:color="auto" w:fill="auto"/>
            <w:noWrap/>
            <w:vAlign w:val="bottom"/>
            <w:hideMark/>
          </w:tcPr>
          <w:p w14:paraId="0A08D86C" w14:textId="77777777" w:rsidR="001D29F2" w:rsidRPr="00A86423" w:rsidRDefault="001D29F2" w:rsidP="00E33831">
            <w:pPr>
              <w:spacing w:after="0" w:line="240" w:lineRule="auto"/>
              <w:jc w:val="right"/>
              <w:rPr>
                <w:rFonts w:ascii="Arial" w:hAnsi="Arial" w:cs="Arial"/>
                <w:sz w:val="16"/>
                <w:szCs w:val="16"/>
              </w:rPr>
            </w:pPr>
          </w:p>
        </w:tc>
        <w:tc>
          <w:tcPr>
            <w:tcW w:w="565" w:type="pct"/>
            <w:tcBorders>
              <w:top w:val="nil"/>
              <w:left w:val="nil"/>
              <w:bottom w:val="nil"/>
              <w:right w:val="nil"/>
            </w:tcBorders>
            <w:shd w:val="clear" w:color="auto" w:fill="auto"/>
            <w:noWrap/>
            <w:vAlign w:val="bottom"/>
            <w:hideMark/>
          </w:tcPr>
          <w:p w14:paraId="10635F36" w14:textId="77777777" w:rsidR="001D29F2" w:rsidRPr="00A86423" w:rsidRDefault="001D29F2" w:rsidP="00E33831">
            <w:pPr>
              <w:spacing w:after="0" w:line="240" w:lineRule="auto"/>
              <w:jc w:val="right"/>
              <w:rPr>
                <w:rFonts w:ascii="Arial" w:hAnsi="Arial" w:cs="Arial"/>
                <w:sz w:val="16"/>
                <w:szCs w:val="16"/>
              </w:rPr>
            </w:pPr>
          </w:p>
        </w:tc>
      </w:tr>
      <w:tr w:rsidR="001D29F2" w:rsidRPr="00A86423" w14:paraId="5A1C3CC1" w14:textId="77777777" w:rsidTr="00E756B9">
        <w:trPr>
          <w:trHeight w:val="204"/>
        </w:trPr>
        <w:tc>
          <w:tcPr>
            <w:tcW w:w="2146" w:type="pct"/>
            <w:tcBorders>
              <w:top w:val="nil"/>
              <w:left w:val="nil"/>
              <w:bottom w:val="nil"/>
              <w:right w:val="nil"/>
            </w:tcBorders>
            <w:shd w:val="clear" w:color="auto" w:fill="auto"/>
            <w:vAlign w:val="bottom"/>
            <w:hideMark/>
          </w:tcPr>
          <w:p w14:paraId="2219F537" w14:textId="7789CCFA" w:rsidR="001D29F2" w:rsidRPr="00A86423" w:rsidRDefault="001D29F2" w:rsidP="00E33831">
            <w:pPr>
              <w:spacing w:after="0" w:line="240" w:lineRule="auto"/>
              <w:ind w:left="113"/>
              <w:rPr>
                <w:rFonts w:ascii="Arial" w:hAnsi="Arial" w:cs="Arial"/>
                <w:sz w:val="16"/>
                <w:szCs w:val="16"/>
              </w:rPr>
            </w:pPr>
            <w:r w:rsidRPr="00A86423">
              <w:rPr>
                <w:rFonts w:ascii="Arial" w:hAnsi="Arial" w:cs="Arial"/>
                <w:sz w:val="16"/>
                <w:szCs w:val="16"/>
              </w:rPr>
              <w:t>High Speed Rail Authority</w:t>
            </w:r>
            <w:r w:rsidR="003B7A78" w:rsidRPr="003B7A78">
              <w:rPr>
                <w:rFonts w:ascii="Arial" w:hAnsi="Arial" w:cs="Arial"/>
                <w:sz w:val="16"/>
                <w:szCs w:val="16"/>
                <w:vertAlign w:val="superscript"/>
              </w:rPr>
              <w:t>(c)</w:t>
            </w:r>
          </w:p>
        </w:tc>
        <w:tc>
          <w:tcPr>
            <w:tcW w:w="602" w:type="pct"/>
            <w:tcBorders>
              <w:top w:val="nil"/>
              <w:left w:val="nil"/>
              <w:bottom w:val="nil"/>
              <w:right w:val="nil"/>
            </w:tcBorders>
            <w:shd w:val="clear" w:color="auto" w:fill="auto"/>
            <w:noWrap/>
            <w:vAlign w:val="bottom"/>
            <w:hideMark/>
          </w:tcPr>
          <w:p w14:paraId="58E0FD52" w14:textId="2F75F55F" w:rsidR="001D29F2" w:rsidRPr="00A86423" w:rsidRDefault="00E756B9" w:rsidP="00E33831">
            <w:pPr>
              <w:spacing w:after="0" w:line="240" w:lineRule="auto"/>
              <w:jc w:val="right"/>
              <w:rPr>
                <w:rFonts w:ascii="Arial" w:hAnsi="Arial" w:cs="Arial"/>
                <w:sz w:val="16"/>
                <w:szCs w:val="16"/>
              </w:rPr>
            </w:pPr>
            <w:r>
              <w:rPr>
                <w:rFonts w:ascii="Arial" w:hAnsi="Arial" w:cs="Arial"/>
                <w:sz w:val="16"/>
                <w:szCs w:val="16"/>
              </w:rPr>
              <w:t>-</w:t>
            </w:r>
          </w:p>
        </w:tc>
        <w:tc>
          <w:tcPr>
            <w:tcW w:w="560" w:type="pct"/>
            <w:tcBorders>
              <w:top w:val="nil"/>
              <w:left w:val="nil"/>
              <w:bottom w:val="nil"/>
              <w:right w:val="nil"/>
            </w:tcBorders>
            <w:shd w:val="clear" w:color="000000" w:fill="E6E6E6"/>
            <w:noWrap/>
            <w:vAlign w:val="bottom"/>
            <w:hideMark/>
          </w:tcPr>
          <w:p w14:paraId="4A63116C" w14:textId="22E04222" w:rsidR="001D29F2" w:rsidRPr="00A86423" w:rsidRDefault="001D29F2" w:rsidP="00E33831">
            <w:pPr>
              <w:spacing w:after="0" w:line="240" w:lineRule="auto"/>
              <w:jc w:val="right"/>
              <w:rPr>
                <w:rFonts w:ascii="Arial" w:hAnsi="Arial" w:cs="Arial"/>
                <w:sz w:val="16"/>
                <w:szCs w:val="16"/>
              </w:rPr>
            </w:pPr>
            <w:r w:rsidRPr="00A86423">
              <w:rPr>
                <w:rFonts w:ascii="Arial" w:hAnsi="Arial" w:cs="Arial"/>
                <w:sz w:val="16"/>
                <w:szCs w:val="16"/>
              </w:rPr>
              <w:t>5,424</w:t>
            </w:r>
          </w:p>
        </w:tc>
        <w:tc>
          <w:tcPr>
            <w:tcW w:w="564" w:type="pct"/>
            <w:tcBorders>
              <w:top w:val="nil"/>
              <w:left w:val="nil"/>
              <w:bottom w:val="nil"/>
              <w:right w:val="nil"/>
            </w:tcBorders>
            <w:shd w:val="clear" w:color="auto" w:fill="auto"/>
            <w:noWrap/>
            <w:vAlign w:val="bottom"/>
            <w:hideMark/>
          </w:tcPr>
          <w:p w14:paraId="55A045E2" w14:textId="1055D4D1" w:rsidR="001D29F2" w:rsidRPr="00A86423" w:rsidRDefault="001D29F2" w:rsidP="00E33831">
            <w:pPr>
              <w:spacing w:after="0" w:line="240" w:lineRule="auto"/>
              <w:jc w:val="right"/>
              <w:rPr>
                <w:rFonts w:ascii="Arial" w:hAnsi="Arial" w:cs="Arial"/>
                <w:sz w:val="16"/>
                <w:szCs w:val="16"/>
              </w:rPr>
            </w:pPr>
            <w:r w:rsidRPr="00A86423">
              <w:rPr>
                <w:rFonts w:ascii="Arial" w:hAnsi="Arial" w:cs="Arial"/>
                <w:sz w:val="16"/>
                <w:szCs w:val="16"/>
              </w:rPr>
              <w:t>4,060</w:t>
            </w:r>
          </w:p>
        </w:tc>
        <w:tc>
          <w:tcPr>
            <w:tcW w:w="564" w:type="pct"/>
            <w:tcBorders>
              <w:top w:val="nil"/>
              <w:left w:val="nil"/>
              <w:bottom w:val="nil"/>
              <w:right w:val="nil"/>
            </w:tcBorders>
            <w:shd w:val="clear" w:color="auto" w:fill="auto"/>
            <w:noWrap/>
            <w:vAlign w:val="bottom"/>
            <w:hideMark/>
          </w:tcPr>
          <w:p w14:paraId="00A5CD4A" w14:textId="47D20DD2" w:rsidR="001D29F2" w:rsidRPr="00A86423" w:rsidRDefault="001D29F2" w:rsidP="00E33831">
            <w:pPr>
              <w:spacing w:after="0" w:line="240" w:lineRule="auto"/>
              <w:jc w:val="right"/>
              <w:rPr>
                <w:rFonts w:ascii="Arial" w:hAnsi="Arial" w:cs="Arial"/>
                <w:sz w:val="16"/>
                <w:szCs w:val="16"/>
              </w:rPr>
            </w:pPr>
            <w:r w:rsidRPr="00A86423">
              <w:rPr>
                <w:rFonts w:ascii="Arial" w:hAnsi="Arial" w:cs="Arial"/>
                <w:sz w:val="16"/>
                <w:szCs w:val="16"/>
              </w:rPr>
              <w:t>4,095</w:t>
            </w:r>
          </w:p>
        </w:tc>
        <w:tc>
          <w:tcPr>
            <w:tcW w:w="565" w:type="pct"/>
            <w:tcBorders>
              <w:top w:val="nil"/>
              <w:left w:val="nil"/>
              <w:bottom w:val="nil"/>
              <w:right w:val="nil"/>
            </w:tcBorders>
            <w:shd w:val="clear" w:color="auto" w:fill="auto"/>
            <w:noWrap/>
            <w:vAlign w:val="bottom"/>
            <w:hideMark/>
          </w:tcPr>
          <w:p w14:paraId="73C14FB8" w14:textId="60691E75" w:rsidR="001D29F2" w:rsidRPr="00A86423" w:rsidRDefault="001D29F2" w:rsidP="00E33831">
            <w:pPr>
              <w:spacing w:after="0" w:line="240" w:lineRule="auto"/>
              <w:jc w:val="right"/>
              <w:rPr>
                <w:rFonts w:ascii="Arial" w:hAnsi="Arial" w:cs="Arial"/>
                <w:sz w:val="16"/>
                <w:szCs w:val="16"/>
              </w:rPr>
            </w:pPr>
            <w:r w:rsidRPr="00A86423">
              <w:rPr>
                <w:rFonts w:ascii="Arial" w:hAnsi="Arial" w:cs="Arial"/>
                <w:sz w:val="16"/>
                <w:szCs w:val="16"/>
              </w:rPr>
              <w:t>-</w:t>
            </w:r>
          </w:p>
        </w:tc>
      </w:tr>
      <w:tr w:rsidR="001D29F2" w:rsidRPr="00A86423" w14:paraId="13D835DF" w14:textId="77777777" w:rsidTr="00E756B9">
        <w:trPr>
          <w:trHeight w:val="204"/>
        </w:trPr>
        <w:tc>
          <w:tcPr>
            <w:tcW w:w="2146" w:type="pct"/>
            <w:tcBorders>
              <w:top w:val="nil"/>
              <w:left w:val="nil"/>
              <w:bottom w:val="nil"/>
              <w:right w:val="nil"/>
            </w:tcBorders>
            <w:shd w:val="clear" w:color="auto" w:fill="auto"/>
            <w:vAlign w:val="bottom"/>
            <w:hideMark/>
          </w:tcPr>
          <w:p w14:paraId="0853A7AF" w14:textId="77777777" w:rsidR="001D29F2" w:rsidRPr="00A86423" w:rsidRDefault="001D29F2" w:rsidP="00E33831">
            <w:pPr>
              <w:spacing w:after="0" w:line="240" w:lineRule="auto"/>
              <w:ind w:left="113"/>
              <w:rPr>
                <w:rFonts w:ascii="Arial" w:hAnsi="Arial" w:cs="Arial"/>
                <w:sz w:val="16"/>
                <w:szCs w:val="16"/>
              </w:rPr>
            </w:pPr>
            <w:r w:rsidRPr="00A86423">
              <w:rPr>
                <w:rFonts w:ascii="Arial" w:hAnsi="Arial" w:cs="Arial"/>
                <w:sz w:val="16"/>
                <w:szCs w:val="16"/>
              </w:rPr>
              <w:t>Infrastructure Australia</w:t>
            </w:r>
          </w:p>
        </w:tc>
        <w:tc>
          <w:tcPr>
            <w:tcW w:w="602" w:type="pct"/>
            <w:tcBorders>
              <w:top w:val="nil"/>
              <w:left w:val="nil"/>
              <w:bottom w:val="nil"/>
              <w:right w:val="nil"/>
            </w:tcBorders>
            <w:shd w:val="clear" w:color="auto" w:fill="auto"/>
            <w:noWrap/>
            <w:vAlign w:val="bottom"/>
            <w:hideMark/>
          </w:tcPr>
          <w:p w14:paraId="0C54A9D0" w14:textId="3BC2614B" w:rsidR="001D29F2" w:rsidRPr="00A86423" w:rsidRDefault="001D29F2" w:rsidP="00E33831">
            <w:pPr>
              <w:spacing w:after="0" w:line="240" w:lineRule="auto"/>
              <w:jc w:val="right"/>
              <w:rPr>
                <w:rFonts w:ascii="Arial" w:hAnsi="Arial" w:cs="Arial"/>
                <w:sz w:val="16"/>
                <w:szCs w:val="16"/>
              </w:rPr>
            </w:pPr>
            <w:r w:rsidRPr="00A86423">
              <w:rPr>
                <w:rFonts w:ascii="Arial" w:hAnsi="Arial" w:cs="Arial"/>
                <w:sz w:val="16"/>
                <w:szCs w:val="16"/>
              </w:rPr>
              <w:t>12,524</w:t>
            </w:r>
          </w:p>
        </w:tc>
        <w:tc>
          <w:tcPr>
            <w:tcW w:w="560" w:type="pct"/>
            <w:tcBorders>
              <w:top w:val="nil"/>
              <w:left w:val="nil"/>
              <w:bottom w:val="nil"/>
              <w:right w:val="nil"/>
            </w:tcBorders>
            <w:shd w:val="clear" w:color="000000" w:fill="E6E6E6"/>
            <w:noWrap/>
            <w:vAlign w:val="bottom"/>
            <w:hideMark/>
          </w:tcPr>
          <w:p w14:paraId="27033DBF" w14:textId="2B1B5E94" w:rsidR="001D29F2" w:rsidRPr="00A86423" w:rsidRDefault="001D29F2" w:rsidP="00E33831">
            <w:pPr>
              <w:spacing w:after="0" w:line="240" w:lineRule="auto"/>
              <w:jc w:val="right"/>
              <w:rPr>
                <w:rFonts w:ascii="Arial" w:hAnsi="Arial" w:cs="Arial"/>
                <w:sz w:val="16"/>
                <w:szCs w:val="16"/>
              </w:rPr>
            </w:pPr>
            <w:r w:rsidRPr="00A86423">
              <w:rPr>
                <w:rFonts w:ascii="Arial" w:hAnsi="Arial" w:cs="Arial"/>
                <w:sz w:val="16"/>
                <w:szCs w:val="16"/>
              </w:rPr>
              <w:t>12,961</w:t>
            </w:r>
          </w:p>
        </w:tc>
        <w:tc>
          <w:tcPr>
            <w:tcW w:w="564" w:type="pct"/>
            <w:tcBorders>
              <w:top w:val="nil"/>
              <w:left w:val="nil"/>
              <w:bottom w:val="nil"/>
              <w:right w:val="nil"/>
            </w:tcBorders>
            <w:shd w:val="clear" w:color="auto" w:fill="auto"/>
            <w:noWrap/>
            <w:vAlign w:val="bottom"/>
            <w:hideMark/>
          </w:tcPr>
          <w:p w14:paraId="4264902B" w14:textId="54080F8F" w:rsidR="001D29F2" w:rsidRPr="00A86423" w:rsidRDefault="001D29F2" w:rsidP="00E33831">
            <w:pPr>
              <w:spacing w:after="0" w:line="240" w:lineRule="auto"/>
              <w:jc w:val="right"/>
              <w:rPr>
                <w:rFonts w:ascii="Arial" w:hAnsi="Arial" w:cs="Arial"/>
                <w:sz w:val="16"/>
                <w:szCs w:val="16"/>
              </w:rPr>
            </w:pPr>
            <w:r w:rsidRPr="00A86423">
              <w:rPr>
                <w:rFonts w:ascii="Arial" w:hAnsi="Arial" w:cs="Arial"/>
                <w:sz w:val="16"/>
                <w:szCs w:val="16"/>
              </w:rPr>
              <w:t>13,269</w:t>
            </w:r>
          </w:p>
        </w:tc>
        <w:tc>
          <w:tcPr>
            <w:tcW w:w="564" w:type="pct"/>
            <w:tcBorders>
              <w:top w:val="nil"/>
              <w:left w:val="nil"/>
              <w:bottom w:val="nil"/>
              <w:right w:val="nil"/>
            </w:tcBorders>
            <w:shd w:val="clear" w:color="auto" w:fill="auto"/>
            <w:noWrap/>
            <w:vAlign w:val="bottom"/>
            <w:hideMark/>
          </w:tcPr>
          <w:p w14:paraId="26FB9BE9" w14:textId="5449B8D7" w:rsidR="001D29F2" w:rsidRPr="00A86423" w:rsidRDefault="001D29F2" w:rsidP="00E33831">
            <w:pPr>
              <w:spacing w:after="0" w:line="240" w:lineRule="auto"/>
              <w:jc w:val="right"/>
              <w:rPr>
                <w:rFonts w:ascii="Arial" w:hAnsi="Arial" w:cs="Arial"/>
                <w:sz w:val="16"/>
                <w:szCs w:val="16"/>
              </w:rPr>
            </w:pPr>
            <w:r w:rsidRPr="00A86423">
              <w:rPr>
                <w:rFonts w:ascii="Arial" w:hAnsi="Arial" w:cs="Arial"/>
                <w:sz w:val="16"/>
                <w:szCs w:val="16"/>
              </w:rPr>
              <w:t>13,458</w:t>
            </w:r>
          </w:p>
        </w:tc>
        <w:tc>
          <w:tcPr>
            <w:tcW w:w="565" w:type="pct"/>
            <w:tcBorders>
              <w:top w:val="nil"/>
              <w:left w:val="nil"/>
              <w:bottom w:val="nil"/>
              <w:right w:val="nil"/>
            </w:tcBorders>
            <w:shd w:val="clear" w:color="auto" w:fill="auto"/>
            <w:noWrap/>
            <w:vAlign w:val="bottom"/>
            <w:hideMark/>
          </w:tcPr>
          <w:p w14:paraId="1D990EC4" w14:textId="2B44EC6B" w:rsidR="001D29F2" w:rsidRPr="00A86423" w:rsidRDefault="001D29F2" w:rsidP="00E33831">
            <w:pPr>
              <w:spacing w:after="0" w:line="240" w:lineRule="auto"/>
              <w:jc w:val="right"/>
              <w:rPr>
                <w:rFonts w:ascii="Arial" w:hAnsi="Arial" w:cs="Arial"/>
                <w:sz w:val="16"/>
                <w:szCs w:val="16"/>
              </w:rPr>
            </w:pPr>
            <w:r w:rsidRPr="00A86423">
              <w:rPr>
                <w:rFonts w:ascii="Arial" w:hAnsi="Arial" w:cs="Arial"/>
                <w:sz w:val="16"/>
                <w:szCs w:val="16"/>
              </w:rPr>
              <w:t>13,611</w:t>
            </w:r>
          </w:p>
        </w:tc>
      </w:tr>
      <w:tr w:rsidR="001D29F2" w:rsidRPr="00A86423" w14:paraId="7F001824" w14:textId="77777777" w:rsidTr="00E756B9">
        <w:trPr>
          <w:trHeight w:val="204"/>
        </w:trPr>
        <w:tc>
          <w:tcPr>
            <w:tcW w:w="2146" w:type="pct"/>
            <w:tcBorders>
              <w:top w:val="nil"/>
              <w:left w:val="nil"/>
              <w:bottom w:val="single" w:sz="4" w:space="0" w:color="auto"/>
              <w:right w:val="nil"/>
            </w:tcBorders>
            <w:shd w:val="clear" w:color="auto" w:fill="auto"/>
            <w:noWrap/>
            <w:vAlign w:val="bottom"/>
            <w:hideMark/>
          </w:tcPr>
          <w:p w14:paraId="6897561F" w14:textId="77777777" w:rsidR="001D29F2" w:rsidRPr="00A86423" w:rsidRDefault="001D29F2" w:rsidP="001D29F2">
            <w:pPr>
              <w:spacing w:after="0" w:line="240" w:lineRule="auto"/>
              <w:rPr>
                <w:rFonts w:ascii="Arial" w:hAnsi="Arial" w:cs="Arial"/>
                <w:b/>
                <w:bCs/>
                <w:sz w:val="16"/>
                <w:szCs w:val="16"/>
              </w:rPr>
            </w:pPr>
            <w:r w:rsidRPr="00A86423">
              <w:rPr>
                <w:rFonts w:ascii="Arial" w:hAnsi="Arial" w:cs="Arial"/>
                <w:b/>
                <w:bCs/>
                <w:sz w:val="16"/>
                <w:szCs w:val="16"/>
              </w:rPr>
              <w:t>Total expenses for Program 1.1</w:t>
            </w:r>
          </w:p>
        </w:tc>
        <w:tc>
          <w:tcPr>
            <w:tcW w:w="602" w:type="pct"/>
            <w:tcBorders>
              <w:top w:val="single" w:sz="4" w:space="0" w:color="auto"/>
              <w:left w:val="nil"/>
              <w:bottom w:val="single" w:sz="4" w:space="0" w:color="auto"/>
              <w:right w:val="nil"/>
            </w:tcBorders>
            <w:shd w:val="clear" w:color="auto" w:fill="auto"/>
            <w:noWrap/>
            <w:vAlign w:val="bottom"/>
            <w:hideMark/>
          </w:tcPr>
          <w:p w14:paraId="10CFC040" w14:textId="0E2E9652" w:rsidR="001D29F2" w:rsidRPr="00A86423" w:rsidRDefault="001D29F2" w:rsidP="00E33831">
            <w:pPr>
              <w:spacing w:after="0" w:line="240" w:lineRule="auto"/>
              <w:jc w:val="right"/>
              <w:rPr>
                <w:rFonts w:ascii="Arial" w:hAnsi="Arial" w:cs="Arial"/>
                <w:b/>
                <w:bCs/>
                <w:sz w:val="16"/>
                <w:szCs w:val="16"/>
              </w:rPr>
            </w:pPr>
            <w:r w:rsidRPr="00A86423">
              <w:rPr>
                <w:rFonts w:ascii="Arial" w:hAnsi="Arial" w:cs="Arial"/>
                <w:b/>
                <w:bCs/>
                <w:sz w:val="16"/>
                <w:szCs w:val="16"/>
              </w:rPr>
              <w:t>679,820</w:t>
            </w:r>
          </w:p>
        </w:tc>
        <w:tc>
          <w:tcPr>
            <w:tcW w:w="560" w:type="pct"/>
            <w:tcBorders>
              <w:top w:val="single" w:sz="4" w:space="0" w:color="auto"/>
              <w:left w:val="nil"/>
              <w:bottom w:val="single" w:sz="4" w:space="0" w:color="auto"/>
              <w:right w:val="nil"/>
            </w:tcBorders>
            <w:shd w:val="clear" w:color="000000" w:fill="E6E6E6"/>
            <w:noWrap/>
            <w:vAlign w:val="bottom"/>
            <w:hideMark/>
          </w:tcPr>
          <w:p w14:paraId="0D0F1AB0" w14:textId="2C498C46" w:rsidR="001D29F2" w:rsidRPr="00A86423" w:rsidRDefault="001D29F2" w:rsidP="00E33831">
            <w:pPr>
              <w:spacing w:after="0" w:line="240" w:lineRule="auto"/>
              <w:jc w:val="right"/>
              <w:rPr>
                <w:rFonts w:ascii="Arial" w:hAnsi="Arial" w:cs="Arial"/>
                <w:b/>
                <w:bCs/>
                <w:sz w:val="16"/>
                <w:szCs w:val="16"/>
              </w:rPr>
            </w:pPr>
            <w:r w:rsidRPr="00A86423">
              <w:rPr>
                <w:rFonts w:ascii="Arial" w:hAnsi="Arial" w:cs="Arial"/>
                <w:b/>
                <w:bCs/>
                <w:sz w:val="16"/>
                <w:szCs w:val="16"/>
              </w:rPr>
              <w:t>674,490</w:t>
            </w:r>
          </w:p>
        </w:tc>
        <w:tc>
          <w:tcPr>
            <w:tcW w:w="564" w:type="pct"/>
            <w:tcBorders>
              <w:top w:val="single" w:sz="4" w:space="0" w:color="auto"/>
              <w:left w:val="nil"/>
              <w:bottom w:val="single" w:sz="4" w:space="0" w:color="auto"/>
              <w:right w:val="nil"/>
            </w:tcBorders>
            <w:shd w:val="clear" w:color="auto" w:fill="auto"/>
            <w:noWrap/>
            <w:vAlign w:val="bottom"/>
            <w:hideMark/>
          </w:tcPr>
          <w:p w14:paraId="177F97B3" w14:textId="1C973405" w:rsidR="001D29F2" w:rsidRPr="00A86423" w:rsidRDefault="001D29F2" w:rsidP="00E33831">
            <w:pPr>
              <w:spacing w:after="0" w:line="240" w:lineRule="auto"/>
              <w:jc w:val="right"/>
              <w:rPr>
                <w:rFonts w:ascii="Arial" w:hAnsi="Arial" w:cs="Arial"/>
                <w:b/>
                <w:bCs/>
                <w:sz w:val="16"/>
                <w:szCs w:val="16"/>
              </w:rPr>
            </w:pPr>
            <w:r w:rsidRPr="00A86423">
              <w:rPr>
                <w:rFonts w:ascii="Arial" w:hAnsi="Arial" w:cs="Arial"/>
                <w:b/>
                <w:bCs/>
                <w:sz w:val="16"/>
                <w:szCs w:val="16"/>
              </w:rPr>
              <w:t>577,233</w:t>
            </w:r>
          </w:p>
        </w:tc>
        <w:tc>
          <w:tcPr>
            <w:tcW w:w="564" w:type="pct"/>
            <w:tcBorders>
              <w:top w:val="single" w:sz="4" w:space="0" w:color="auto"/>
              <w:left w:val="nil"/>
              <w:bottom w:val="single" w:sz="4" w:space="0" w:color="auto"/>
              <w:right w:val="nil"/>
            </w:tcBorders>
            <w:shd w:val="clear" w:color="auto" w:fill="auto"/>
            <w:noWrap/>
            <w:vAlign w:val="bottom"/>
            <w:hideMark/>
          </w:tcPr>
          <w:p w14:paraId="14EB65A1" w14:textId="6FB36E71" w:rsidR="001D29F2" w:rsidRPr="00A86423" w:rsidRDefault="001D29F2" w:rsidP="00E33831">
            <w:pPr>
              <w:spacing w:after="0" w:line="240" w:lineRule="auto"/>
              <w:jc w:val="right"/>
              <w:rPr>
                <w:rFonts w:ascii="Arial" w:hAnsi="Arial" w:cs="Arial"/>
                <w:b/>
                <w:bCs/>
                <w:sz w:val="16"/>
                <w:szCs w:val="16"/>
              </w:rPr>
            </w:pPr>
            <w:r w:rsidRPr="00A86423">
              <w:rPr>
                <w:rFonts w:ascii="Arial" w:hAnsi="Arial" w:cs="Arial"/>
                <w:b/>
                <w:bCs/>
                <w:sz w:val="16"/>
                <w:szCs w:val="16"/>
              </w:rPr>
              <w:t>535,356</w:t>
            </w:r>
          </w:p>
        </w:tc>
        <w:tc>
          <w:tcPr>
            <w:tcW w:w="565" w:type="pct"/>
            <w:tcBorders>
              <w:top w:val="single" w:sz="4" w:space="0" w:color="auto"/>
              <w:left w:val="nil"/>
              <w:bottom w:val="single" w:sz="4" w:space="0" w:color="auto"/>
              <w:right w:val="nil"/>
            </w:tcBorders>
            <w:shd w:val="clear" w:color="auto" w:fill="auto"/>
            <w:noWrap/>
            <w:vAlign w:val="bottom"/>
            <w:hideMark/>
          </w:tcPr>
          <w:p w14:paraId="25A67C6D" w14:textId="51A0E1F5" w:rsidR="001D29F2" w:rsidRPr="00A86423" w:rsidRDefault="001D29F2" w:rsidP="00E33831">
            <w:pPr>
              <w:spacing w:after="0" w:line="240" w:lineRule="auto"/>
              <w:jc w:val="right"/>
              <w:rPr>
                <w:rFonts w:ascii="Arial" w:hAnsi="Arial" w:cs="Arial"/>
                <w:b/>
                <w:bCs/>
                <w:sz w:val="16"/>
                <w:szCs w:val="16"/>
              </w:rPr>
            </w:pPr>
            <w:r w:rsidRPr="00A86423">
              <w:rPr>
                <w:rFonts w:ascii="Arial" w:hAnsi="Arial" w:cs="Arial"/>
                <w:b/>
                <w:bCs/>
                <w:sz w:val="16"/>
                <w:szCs w:val="16"/>
              </w:rPr>
              <w:t>530,224</w:t>
            </w:r>
          </w:p>
        </w:tc>
      </w:tr>
    </w:tbl>
    <w:p w14:paraId="15637CA1" w14:textId="77777777" w:rsidR="00E26322" w:rsidRDefault="00E26322" w:rsidP="00296CA9">
      <w:pPr>
        <w:spacing w:before="60" w:after="0"/>
        <w:rPr>
          <w:rFonts w:ascii="Arial" w:hAnsi="Arial" w:cs="Arial"/>
          <w:sz w:val="16"/>
        </w:rPr>
      </w:pPr>
      <w:r>
        <w:rPr>
          <w:rFonts w:ascii="Arial" w:hAnsi="Arial" w:cs="Arial"/>
          <w:sz w:val="16"/>
        </w:rPr>
        <w:t>Table has been prepared inclusive of 2022-23 Additional Estimates figures.</w:t>
      </w:r>
    </w:p>
    <w:p w14:paraId="4EAC9542" w14:textId="0109B6EE" w:rsidR="00E26322" w:rsidRDefault="003B77C3" w:rsidP="00977C28">
      <w:pPr>
        <w:pStyle w:val="ListParagraph"/>
        <w:numPr>
          <w:ilvl w:val="0"/>
          <w:numId w:val="146"/>
        </w:numPr>
        <w:spacing w:line="240" w:lineRule="auto"/>
        <w:ind w:left="425" w:hanging="425"/>
        <w:rPr>
          <w:rFonts w:ascii="Arial" w:hAnsi="Arial" w:cs="Arial"/>
          <w:sz w:val="16"/>
          <w:szCs w:val="16"/>
        </w:rPr>
      </w:pPr>
      <w:r w:rsidRPr="003B77C3">
        <w:rPr>
          <w:rFonts w:ascii="Arial" w:hAnsi="Arial" w:cs="Arial"/>
          <w:sz w:val="16"/>
          <w:szCs w:val="16"/>
        </w:rPr>
        <w:t>Excludes expenses relating to payments made to and through the states and territories by the Treasury for the Infrastructure Investment Program (Black Spots Projects, Bridges Renewal Program, Developing Northern Australia (Improving Cattle Supply Chains and Northern Australia Roads), Heavy Vehicle Safety and Productivity Program, Major Projects Business Case Fund, National Rail Program, Rail Investment Component, Road Investment Component</w:t>
      </w:r>
      <w:r w:rsidR="00595948">
        <w:rPr>
          <w:rFonts w:ascii="Arial" w:hAnsi="Arial" w:cs="Arial"/>
          <w:sz w:val="16"/>
          <w:szCs w:val="16"/>
        </w:rPr>
        <w:t>,</w:t>
      </w:r>
      <w:r w:rsidRPr="003B77C3">
        <w:rPr>
          <w:rFonts w:ascii="Arial" w:hAnsi="Arial" w:cs="Arial"/>
          <w:sz w:val="16"/>
          <w:szCs w:val="16"/>
        </w:rPr>
        <w:t xml:space="preserve"> Roads of Strategic Importance and Infrastructure Growth Package administered items.</w:t>
      </w:r>
    </w:p>
    <w:p w14:paraId="626D0FFB" w14:textId="77777777" w:rsidR="003B7A78" w:rsidRDefault="00E26322" w:rsidP="00977C28">
      <w:pPr>
        <w:pStyle w:val="ListParagraph"/>
        <w:numPr>
          <w:ilvl w:val="0"/>
          <w:numId w:val="146"/>
        </w:numPr>
        <w:tabs>
          <w:tab w:val="left" w:pos="426"/>
        </w:tabs>
        <w:spacing w:line="240" w:lineRule="auto"/>
        <w:ind w:left="425" w:hanging="425"/>
        <w:rPr>
          <w:rFonts w:ascii="Arial" w:hAnsi="Arial" w:cs="Arial"/>
          <w:sz w:val="16"/>
          <w:szCs w:val="16"/>
          <w:lang w:eastAsia="ja-JP"/>
        </w:rPr>
      </w:pPr>
      <w:r w:rsidRPr="003B7A78">
        <w:rPr>
          <w:rFonts w:ascii="Arial" w:hAnsi="Arial" w:cs="Arial"/>
          <w:sz w:val="16"/>
          <w:szCs w:val="16"/>
        </w:rPr>
        <w:t xml:space="preserve">Relates to appropriation for corporate entities provided through the </w:t>
      </w:r>
      <w:r w:rsidR="00E17F15" w:rsidRPr="003B7A78">
        <w:rPr>
          <w:rFonts w:ascii="Arial" w:hAnsi="Arial" w:cs="Arial"/>
          <w:sz w:val="16"/>
          <w:szCs w:val="16"/>
        </w:rPr>
        <w:t>Department</w:t>
      </w:r>
      <w:r w:rsidR="00A80BFB" w:rsidRPr="003B7A78">
        <w:rPr>
          <w:rFonts w:ascii="Arial" w:hAnsi="Arial" w:cs="Arial"/>
          <w:sz w:val="16"/>
          <w:szCs w:val="16"/>
        </w:rPr>
        <w:t>.</w:t>
      </w:r>
    </w:p>
    <w:p w14:paraId="5CE74B00" w14:textId="17DBB2F5" w:rsidR="003B7A78" w:rsidRPr="003B7A78" w:rsidRDefault="003B7A78" w:rsidP="00977C28">
      <w:pPr>
        <w:pStyle w:val="ListParagraph"/>
        <w:numPr>
          <w:ilvl w:val="0"/>
          <w:numId w:val="146"/>
        </w:numPr>
        <w:tabs>
          <w:tab w:val="left" w:pos="426"/>
        </w:tabs>
        <w:spacing w:line="240" w:lineRule="auto"/>
        <w:ind w:left="425" w:hanging="425"/>
        <w:rPr>
          <w:rFonts w:ascii="Arial" w:hAnsi="Arial" w:cs="Arial"/>
          <w:sz w:val="16"/>
          <w:szCs w:val="16"/>
          <w:lang w:eastAsia="ja-JP"/>
        </w:rPr>
      </w:pPr>
      <w:r w:rsidRPr="003B7A78">
        <w:rPr>
          <w:rFonts w:ascii="Arial" w:hAnsi="Arial" w:cs="Arial"/>
          <w:sz w:val="16"/>
          <w:szCs w:val="16"/>
          <w:lang w:eastAsia="ja-JP"/>
        </w:rPr>
        <w:t>Ongoing funding from 2026-27 will be subject to future Government considerations.</w:t>
      </w:r>
    </w:p>
    <w:p w14:paraId="2378483F" w14:textId="4BDAF4E3" w:rsidR="00115843" w:rsidRPr="00E26322" w:rsidRDefault="00115843" w:rsidP="007A5E05">
      <w:pPr>
        <w:pStyle w:val="ListParagraph"/>
        <w:tabs>
          <w:tab w:val="left" w:pos="426"/>
        </w:tabs>
        <w:ind w:left="0"/>
        <w:rPr>
          <w:rFonts w:ascii="Arial" w:hAnsi="Arial" w:cs="Arial"/>
          <w:sz w:val="16"/>
          <w:szCs w:val="16"/>
        </w:rPr>
      </w:pPr>
      <w:r w:rsidRPr="00E26322">
        <w:rPr>
          <w:highlight w:val="yellow"/>
        </w:rPr>
        <w:br w:type="page"/>
      </w:r>
      <w:r w:rsidRPr="00E26322">
        <w:rPr>
          <w:rFonts w:ascii="Arial Bold" w:eastAsia="Times New Roman" w:hAnsi="Arial Bold"/>
          <w:b/>
          <w:szCs w:val="20"/>
          <w:lang w:val="en-AU" w:eastAsia="en-AU"/>
        </w:rPr>
        <w:lastRenderedPageBreak/>
        <w:t>Table 2.1.3: Performance measure</w:t>
      </w:r>
      <w:r w:rsidR="005F455C">
        <w:rPr>
          <w:rFonts w:ascii="Arial Bold" w:eastAsia="Times New Roman" w:hAnsi="Arial Bold"/>
          <w:b/>
          <w:szCs w:val="20"/>
          <w:lang w:val="en-AU" w:eastAsia="en-AU"/>
        </w:rPr>
        <w:t>s</w:t>
      </w:r>
      <w:r w:rsidRPr="00E26322">
        <w:rPr>
          <w:rFonts w:ascii="Arial Bold" w:eastAsia="Times New Roman" w:hAnsi="Arial Bold"/>
          <w:b/>
          <w:szCs w:val="20"/>
          <w:lang w:val="en-AU" w:eastAsia="en-AU"/>
        </w:rPr>
        <w:t xml:space="preserve"> for Outcome 1</w:t>
      </w:r>
    </w:p>
    <w:p w14:paraId="58785341" w14:textId="51723522" w:rsidR="00115843" w:rsidRPr="005A19CC" w:rsidRDefault="00115843" w:rsidP="00115843">
      <w:pPr>
        <w:spacing w:before="120"/>
      </w:pPr>
      <w:r w:rsidRPr="005A19CC">
        <w:t xml:space="preserve">Table 2.1.3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the </w:t>
      </w:r>
      <w:r w:rsidR="00314D2B">
        <w:t xml:space="preserve">2023-24 </w:t>
      </w:r>
      <w:r w:rsidRPr="005A19CC">
        <w:t xml:space="preserve">Budget measures that have created new programs or materially changed existing programs are provided.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2549"/>
        <w:gridCol w:w="3590"/>
      </w:tblGrid>
      <w:tr w:rsidR="00115843" w:rsidRPr="005C11A1" w14:paraId="085A38D7" w14:textId="77777777" w:rsidTr="00F94BB7">
        <w:trPr>
          <w:trHeight w:val="569"/>
        </w:trPr>
        <w:tc>
          <w:tcPr>
            <w:tcW w:w="5000" w:type="pct"/>
            <w:gridSpan w:val="3"/>
            <w:shd w:val="clear" w:color="auto" w:fill="E6E6E6"/>
          </w:tcPr>
          <w:p w14:paraId="1B1ED190" w14:textId="6E555401" w:rsidR="00115843" w:rsidRPr="005C11A1" w:rsidRDefault="00115843" w:rsidP="00FB0D02">
            <w:pPr>
              <w:pStyle w:val="TableColumnHeadingLeft"/>
              <w:rPr>
                <w:rFonts w:cs="Arial"/>
                <w:b w:val="0"/>
              </w:rPr>
            </w:pPr>
            <w:r w:rsidRPr="005C11A1">
              <w:rPr>
                <w:rStyle w:val="TableHeadingChar"/>
                <w:rFonts w:cs="Arial"/>
                <w:b/>
              </w:rPr>
              <w:t xml:space="preserve">Outcome </w:t>
            </w:r>
            <w:r w:rsidRPr="005C11A1">
              <w:rPr>
                <w:rStyle w:val="TableHeadingChar"/>
                <w:rFonts w:cs="Arial"/>
                <w:b/>
                <w:lang w:val="en-GB"/>
              </w:rPr>
              <w:t>1</w:t>
            </w:r>
            <w:r w:rsidRPr="005C11A1">
              <w:rPr>
                <w:rFonts w:cs="Arial"/>
                <w:b w:val="0"/>
              </w:rPr>
              <w:t xml:space="preserve"> – </w:t>
            </w:r>
            <w:r w:rsidRPr="005C11A1">
              <w:rPr>
                <w:rFonts w:eastAsia="Calibri" w:cs="Arial"/>
                <w:b w:val="0"/>
                <w:lang w:eastAsia="en-US"/>
              </w:rPr>
              <w:t>Improved infrastructure across Australia through investment in and coordination of transport and other infrastructure</w:t>
            </w:r>
            <w:r w:rsidR="00D635B1">
              <w:rPr>
                <w:rFonts w:eastAsia="Calibri" w:cs="Arial"/>
                <w:b w:val="0"/>
                <w:lang w:eastAsia="en-US"/>
              </w:rPr>
              <w:t>.</w:t>
            </w:r>
          </w:p>
        </w:tc>
      </w:tr>
      <w:tr w:rsidR="00115843" w:rsidRPr="001B2F81" w14:paraId="25C4FE7F" w14:textId="77777777" w:rsidTr="00F94BB7">
        <w:trPr>
          <w:trHeight w:val="522"/>
        </w:trPr>
        <w:tc>
          <w:tcPr>
            <w:tcW w:w="5000" w:type="pct"/>
            <w:gridSpan w:val="3"/>
            <w:shd w:val="clear" w:color="auto" w:fill="E6E6E6"/>
          </w:tcPr>
          <w:p w14:paraId="08433413" w14:textId="77777777" w:rsidR="00115843" w:rsidRPr="005334F2" w:rsidRDefault="00115843" w:rsidP="00FB0D02">
            <w:pPr>
              <w:pStyle w:val="TableTextLeft"/>
              <w:rPr>
                <w:b/>
              </w:rPr>
            </w:pPr>
            <w:bookmarkStart w:id="16" w:name="Infrastructureinvestment1_1"/>
            <w:r w:rsidRPr="005A19CC">
              <w:rPr>
                <w:b/>
              </w:rPr>
              <w:t>Program 1.1</w:t>
            </w:r>
            <w:r w:rsidRPr="005A19CC">
              <w:t xml:space="preserve"> – </w:t>
            </w:r>
            <w:r w:rsidRPr="005334F2">
              <w:rPr>
                <w:b/>
              </w:rPr>
              <w:t>Infrastructure Investment</w:t>
            </w:r>
            <w:bookmarkEnd w:id="16"/>
          </w:p>
          <w:p w14:paraId="15317793" w14:textId="77777777" w:rsidR="00115843" w:rsidRPr="005134E8" w:rsidRDefault="00115843" w:rsidP="00FB0D02">
            <w:pPr>
              <w:pStyle w:val="TableTextLeft"/>
              <w:rPr>
                <w:highlight w:val="yellow"/>
              </w:rPr>
            </w:pPr>
            <w:r w:rsidRPr="005A19CC">
              <w:t>The infrastructure investment program supports economic growth, makes travel safer, increases transport access and supports regional development. It increases the efficiency, productivity, sustainability and safety of Australia's land transport infrastructure through programs and policy to improve connectivity for communities and freight.</w:t>
            </w:r>
          </w:p>
        </w:tc>
      </w:tr>
      <w:tr w:rsidR="00115843" w:rsidRPr="001B2F81" w14:paraId="73EF51D2" w14:textId="77777777" w:rsidTr="00F94BB7">
        <w:trPr>
          <w:trHeight w:val="523"/>
        </w:trPr>
        <w:tc>
          <w:tcPr>
            <w:tcW w:w="1014" w:type="pct"/>
            <w:tcBorders>
              <w:bottom w:val="double" w:sz="4" w:space="0" w:color="auto"/>
            </w:tcBorders>
          </w:tcPr>
          <w:p w14:paraId="11641B8A" w14:textId="36E366FF" w:rsidR="00115843" w:rsidRPr="00160C23" w:rsidRDefault="00115843" w:rsidP="00FB0D02">
            <w:pPr>
              <w:tabs>
                <w:tab w:val="left" w:pos="709"/>
              </w:tabs>
              <w:spacing w:before="60" w:after="60"/>
              <w:rPr>
                <w:rFonts w:ascii="Arial" w:hAnsi="Arial" w:cs="Arial"/>
                <w:b/>
                <w:sz w:val="16"/>
                <w:szCs w:val="16"/>
              </w:rPr>
            </w:pPr>
            <w:r w:rsidRPr="00BE08C4">
              <w:rPr>
                <w:rFonts w:ascii="Arial" w:eastAsia="Calibri" w:hAnsi="Arial" w:cs="Arial"/>
                <w:b/>
                <w:sz w:val="16"/>
                <w:szCs w:val="16"/>
              </w:rPr>
              <w:t>Key Activities</w:t>
            </w:r>
          </w:p>
        </w:tc>
        <w:tc>
          <w:tcPr>
            <w:tcW w:w="3986" w:type="pct"/>
            <w:gridSpan w:val="2"/>
            <w:tcBorders>
              <w:bottom w:val="double" w:sz="4" w:space="0" w:color="auto"/>
            </w:tcBorders>
          </w:tcPr>
          <w:p w14:paraId="488148F6" w14:textId="194D28BE" w:rsidR="00115843" w:rsidRPr="0040251D" w:rsidRDefault="00115843" w:rsidP="00977C28">
            <w:pPr>
              <w:numPr>
                <w:ilvl w:val="0"/>
                <w:numId w:val="9"/>
              </w:numPr>
              <w:spacing w:before="60" w:after="0" w:line="240" w:lineRule="auto"/>
              <w:ind w:left="321"/>
              <w:rPr>
                <w:rFonts w:ascii="Arial" w:eastAsia="Calibri" w:hAnsi="Arial" w:cs="Arial"/>
                <w:sz w:val="16"/>
                <w:szCs w:val="16"/>
              </w:rPr>
            </w:pPr>
            <w:r w:rsidRPr="0040251D">
              <w:rPr>
                <w:rFonts w:ascii="Arial" w:eastAsia="Calibri" w:hAnsi="Arial" w:cs="Arial"/>
                <w:sz w:val="16"/>
                <w:szCs w:val="16"/>
              </w:rPr>
              <w:t>Deliver and manage the Infrastructure Investment Program</w:t>
            </w:r>
            <w:r w:rsidR="00E26322" w:rsidRPr="00383FD5">
              <w:rPr>
                <w:rFonts w:ascii="Arial" w:hAnsi="Arial" w:cs="Arial"/>
                <w:sz w:val="16"/>
                <w:szCs w:val="16"/>
                <w:vertAlign w:val="superscript"/>
              </w:rPr>
              <w:t>(a)</w:t>
            </w:r>
          </w:p>
          <w:p w14:paraId="22D8D851" w14:textId="1BCADFB7" w:rsidR="00115843" w:rsidRPr="00160C23" w:rsidRDefault="00115843" w:rsidP="00977C28">
            <w:pPr>
              <w:numPr>
                <w:ilvl w:val="0"/>
                <w:numId w:val="9"/>
              </w:numPr>
              <w:spacing w:after="60" w:line="240" w:lineRule="auto"/>
              <w:ind w:left="321"/>
              <w:rPr>
                <w:rFonts w:ascii="Arial" w:hAnsi="Arial" w:cs="Arial"/>
                <w:i/>
                <w:sz w:val="16"/>
                <w:szCs w:val="16"/>
              </w:rPr>
            </w:pPr>
            <w:r w:rsidRPr="0040251D">
              <w:rPr>
                <w:rFonts w:ascii="Arial" w:eastAsia="Calibri" w:hAnsi="Arial" w:cs="Arial"/>
                <w:sz w:val="16"/>
                <w:szCs w:val="16"/>
              </w:rPr>
              <w:t xml:space="preserve">Lead policy with the Department of Finance </w:t>
            </w:r>
            <w:r w:rsidR="005C5CF4">
              <w:rPr>
                <w:rFonts w:ascii="Arial" w:eastAsia="Calibri" w:hAnsi="Arial" w:cs="Arial"/>
                <w:sz w:val="16"/>
                <w:szCs w:val="16"/>
              </w:rPr>
              <w:t>to</w:t>
            </w:r>
            <w:r w:rsidRPr="0040251D">
              <w:rPr>
                <w:rFonts w:ascii="Arial" w:eastAsia="Calibri" w:hAnsi="Arial" w:cs="Arial"/>
                <w:sz w:val="16"/>
                <w:szCs w:val="16"/>
              </w:rPr>
              <w:t xml:space="preserve"> shape the delivery of major transport infrastructure projects</w:t>
            </w:r>
            <w:r w:rsidR="00D635B1">
              <w:rPr>
                <w:rFonts w:ascii="Arial" w:eastAsia="Calibri" w:hAnsi="Arial" w:cs="Arial"/>
                <w:sz w:val="16"/>
                <w:szCs w:val="16"/>
              </w:rPr>
              <w:t>.</w:t>
            </w:r>
            <w:r>
              <w:rPr>
                <w:rFonts w:ascii="Arial" w:eastAsia="Calibri" w:hAnsi="Arial" w:cs="Arial"/>
                <w:sz w:val="16"/>
                <w:szCs w:val="16"/>
                <w:vertAlign w:val="superscript"/>
              </w:rPr>
              <w:t xml:space="preserve"> </w:t>
            </w:r>
          </w:p>
        </w:tc>
      </w:tr>
      <w:tr w:rsidR="00115843" w:rsidRPr="001B2F81" w14:paraId="7899E391" w14:textId="77777777" w:rsidTr="00F94BB7">
        <w:trPr>
          <w:trHeight w:val="258"/>
        </w:trPr>
        <w:tc>
          <w:tcPr>
            <w:tcW w:w="1014" w:type="pct"/>
            <w:tcBorders>
              <w:top w:val="double" w:sz="4" w:space="0" w:color="auto"/>
              <w:bottom w:val="single" w:sz="4" w:space="0" w:color="auto"/>
              <w:right w:val="single" w:sz="4" w:space="0" w:color="auto"/>
            </w:tcBorders>
          </w:tcPr>
          <w:p w14:paraId="3F22E08C" w14:textId="77777777" w:rsidR="00115843" w:rsidRPr="00707BCF" w:rsidRDefault="00115843" w:rsidP="00FB0D02">
            <w:pPr>
              <w:pStyle w:val="TableTextBase"/>
              <w:rPr>
                <w:b/>
                <w:sz w:val="16"/>
                <w:szCs w:val="16"/>
              </w:rPr>
            </w:pPr>
            <w:r w:rsidRPr="00707BCF">
              <w:rPr>
                <w:b/>
                <w:sz w:val="16"/>
                <w:szCs w:val="16"/>
              </w:rPr>
              <w:t>Year</w:t>
            </w:r>
          </w:p>
        </w:tc>
        <w:tc>
          <w:tcPr>
            <w:tcW w:w="1655" w:type="pct"/>
            <w:tcBorders>
              <w:top w:val="double" w:sz="4" w:space="0" w:color="auto"/>
              <w:left w:val="single" w:sz="4" w:space="0" w:color="auto"/>
              <w:bottom w:val="single" w:sz="4" w:space="0" w:color="auto"/>
              <w:right w:val="single" w:sz="4" w:space="0" w:color="auto"/>
            </w:tcBorders>
          </w:tcPr>
          <w:p w14:paraId="380D2D0E" w14:textId="77777777" w:rsidR="00115843" w:rsidRPr="00707BCF" w:rsidRDefault="00115843" w:rsidP="00FB0D02">
            <w:pPr>
              <w:pStyle w:val="TableTextBase"/>
              <w:rPr>
                <w:rFonts w:cs="Arial"/>
                <w:b/>
                <w:sz w:val="16"/>
                <w:szCs w:val="16"/>
              </w:rPr>
            </w:pPr>
            <w:r w:rsidRPr="00707BCF">
              <w:rPr>
                <w:rFonts w:cs="Arial"/>
                <w:b/>
                <w:sz w:val="16"/>
                <w:szCs w:val="16"/>
              </w:rPr>
              <w:t>Performance measures</w:t>
            </w:r>
          </w:p>
        </w:tc>
        <w:tc>
          <w:tcPr>
            <w:tcW w:w="2331" w:type="pct"/>
            <w:tcBorders>
              <w:top w:val="double" w:sz="4" w:space="0" w:color="auto"/>
              <w:left w:val="single" w:sz="4" w:space="0" w:color="auto"/>
              <w:bottom w:val="single" w:sz="4" w:space="0" w:color="auto"/>
            </w:tcBorders>
          </w:tcPr>
          <w:p w14:paraId="6C8655E3" w14:textId="77777777" w:rsidR="00115843" w:rsidRPr="00707BCF" w:rsidRDefault="00115843" w:rsidP="00FB0D02">
            <w:pPr>
              <w:pStyle w:val="TableTextBase"/>
              <w:rPr>
                <w:rFonts w:cs="Arial"/>
                <w:b/>
                <w:sz w:val="16"/>
                <w:szCs w:val="16"/>
              </w:rPr>
            </w:pPr>
            <w:r w:rsidRPr="00707BCF">
              <w:rPr>
                <w:rFonts w:cs="Arial"/>
                <w:b/>
                <w:sz w:val="16"/>
                <w:szCs w:val="16"/>
              </w:rPr>
              <w:t>Expected Performance Results</w:t>
            </w:r>
          </w:p>
        </w:tc>
      </w:tr>
      <w:tr w:rsidR="005B1890" w:rsidRPr="001B2F81" w14:paraId="6C0E7BE5" w14:textId="77777777" w:rsidTr="006E0842">
        <w:trPr>
          <w:cantSplit/>
          <w:trHeight w:val="771"/>
        </w:trPr>
        <w:tc>
          <w:tcPr>
            <w:tcW w:w="1014" w:type="pct"/>
            <w:vMerge w:val="restart"/>
            <w:tcBorders>
              <w:top w:val="single" w:sz="4" w:space="0" w:color="auto"/>
              <w:right w:val="single" w:sz="4" w:space="0" w:color="auto"/>
            </w:tcBorders>
          </w:tcPr>
          <w:p w14:paraId="42BC267D" w14:textId="21685647" w:rsidR="005B1890" w:rsidRPr="00FD292C" w:rsidRDefault="00E26322" w:rsidP="00FB0D02">
            <w:pPr>
              <w:pStyle w:val="TableTextBase"/>
              <w:rPr>
                <w:sz w:val="16"/>
                <w:szCs w:val="16"/>
              </w:rPr>
            </w:pPr>
            <w:r>
              <w:rPr>
                <w:sz w:val="16"/>
                <w:szCs w:val="16"/>
              </w:rPr>
              <w:t>Current</w:t>
            </w:r>
            <w:r w:rsidR="005B1890" w:rsidRPr="00FD292C">
              <w:rPr>
                <w:sz w:val="16"/>
                <w:szCs w:val="16"/>
              </w:rPr>
              <w:t xml:space="preserve"> year </w:t>
            </w:r>
            <w:r w:rsidR="005B1890" w:rsidRPr="00FD292C">
              <w:rPr>
                <w:sz w:val="16"/>
                <w:szCs w:val="16"/>
              </w:rPr>
              <w:br/>
              <w:t>202</w:t>
            </w:r>
            <w:r>
              <w:rPr>
                <w:sz w:val="16"/>
                <w:szCs w:val="16"/>
              </w:rPr>
              <w:t>2</w:t>
            </w:r>
            <w:r w:rsidR="005B1890" w:rsidRPr="00FD292C">
              <w:rPr>
                <w:sz w:val="16"/>
                <w:szCs w:val="16"/>
              </w:rPr>
              <w:t>–2</w:t>
            </w:r>
            <w:r>
              <w:rPr>
                <w:sz w:val="16"/>
                <w:szCs w:val="16"/>
              </w:rPr>
              <w:t>3</w:t>
            </w:r>
          </w:p>
        </w:tc>
        <w:tc>
          <w:tcPr>
            <w:tcW w:w="1655" w:type="pct"/>
            <w:tcBorders>
              <w:top w:val="single" w:sz="4" w:space="0" w:color="auto"/>
              <w:left w:val="single" w:sz="4" w:space="0" w:color="auto"/>
              <w:bottom w:val="single" w:sz="4" w:space="0" w:color="auto"/>
              <w:right w:val="single" w:sz="4" w:space="0" w:color="auto"/>
            </w:tcBorders>
          </w:tcPr>
          <w:p w14:paraId="471D6A24" w14:textId="74AB8A12" w:rsidR="005B1890" w:rsidRPr="00FD292C" w:rsidRDefault="00E26322" w:rsidP="00FB0D02">
            <w:pPr>
              <w:spacing w:before="60" w:after="60" w:line="240" w:lineRule="auto"/>
              <w:rPr>
                <w:sz w:val="16"/>
                <w:szCs w:val="16"/>
                <w:lang w:val="en-US"/>
              </w:rPr>
            </w:pPr>
            <w:r w:rsidRPr="00E26322">
              <w:rPr>
                <w:rFonts w:ascii="Arial" w:eastAsia="Calibri" w:hAnsi="Arial" w:cs="Arial"/>
                <w:sz w:val="16"/>
                <w:szCs w:val="16"/>
              </w:rPr>
              <w:t>Progress of land transport infrastructure investment projects</w:t>
            </w:r>
            <w:r w:rsidRPr="00E26322">
              <w:rPr>
                <w:rFonts w:ascii="Arial" w:eastAsia="Calibri" w:hAnsi="Arial" w:cs="Arial"/>
                <w:sz w:val="16"/>
                <w:szCs w:val="16"/>
                <w:vertAlign w:val="superscript"/>
              </w:rPr>
              <w:t>(b)</w:t>
            </w:r>
          </w:p>
        </w:tc>
        <w:tc>
          <w:tcPr>
            <w:tcW w:w="2331" w:type="pct"/>
            <w:tcBorders>
              <w:top w:val="single" w:sz="4" w:space="0" w:color="auto"/>
              <w:left w:val="single" w:sz="4" w:space="0" w:color="auto"/>
              <w:bottom w:val="single" w:sz="4" w:space="0" w:color="auto"/>
            </w:tcBorders>
          </w:tcPr>
          <w:p w14:paraId="69915F03" w14:textId="4DC8E1C7" w:rsidR="00F94BB7" w:rsidRDefault="00F94BB7" w:rsidP="00E26322">
            <w:pPr>
              <w:spacing w:before="60" w:after="60" w:line="240" w:lineRule="auto"/>
              <w:rPr>
                <w:rFonts w:ascii="Arial" w:eastAsia="Calibri" w:hAnsi="Arial" w:cs="Arial"/>
                <w:sz w:val="16"/>
                <w:szCs w:val="16"/>
              </w:rPr>
            </w:pPr>
            <w:r>
              <w:rPr>
                <w:rFonts w:ascii="Arial" w:eastAsia="Calibri" w:hAnsi="Arial" w:cs="Arial"/>
                <w:sz w:val="16"/>
                <w:szCs w:val="16"/>
              </w:rPr>
              <w:t>Target: By June 2023, projects progressed in accordance with agreed timeframes.</w:t>
            </w:r>
          </w:p>
          <w:p w14:paraId="2C76FE82" w14:textId="4CFEE483" w:rsidR="005B1890" w:rsidRPr="00FD292C" w:rsidRDefault="00E26322" w:rsidP="00E26322">
            <w:pPr>
              <w:spacing w:before="60" w:after="60" w:line="240" w:lineRule="auto"/>
              <w:rPr>
                <w:rFonts w:ascii="Arial" w:eastAsia="Calibri" w:hAnsi="Arial" w:cs="Arial"/>
                <w:sz w:val="16"/>
                <w:szCs w:val="16"/>
              </w:rPr>
            </w:pPr>
            <w:r>
              <w:rPr>
                <w:rFonts w:ascii="Arial" w:eastAsia="Calibri" w:hAnsi="Arial" w:cs="Arial"/>
                <w:sz w:val="16"/>
                <w:szCs w:val="16"/>
              </w:rPr>
              <w:t xml:space="preserve">Target expected to be met. </w:t>
            </w:r>
          </w:p>
        </w:tc>
      </w:tr>
      <w:tr w:rsidR="005B1890" w:rsidRPr="001B2F81" w14:paraId="7D0D67D2" w14:textId="77777777" w:rsidTr="00F94BB7">
        <w:trPr>
          <w:cantSplit/>
          <w:trHeight w:val="991"/>
        </w:trPr>
        <w:tc>
          <w:tcPr>
            <w:tcW w:w="1014" w:type="pct"/>
            <w:vMerge/>
            <w:tcBorders>
              <w:bottom w:val="double" w:sz="4" w:space="0" w:color="auto"/>
              <w:right w:val="single" w:sz="4" w:space="0" w:color="auto"/>
            </w:tcBorders>
          </w:tcPr>
          <w:p w14:paraId="02B3E2A7" w14:textId="29E4F73D" w:rsidR="005B1890" w:rsidRPr="00FD292C" w:rsidRDefault="005B1890" w:rsidP="00FB0D02">
            <w:pPr>
              <w:pStyle w:val="TableTextBase"/>
              <w:rPr>
                <w:sz w:val="16"/>
                <w:szCs w:val="16"/>
              </w:rPr>
            </w:pPr>
          </w:p>
        </w:tc>
        <w:tc>
          <w:tcPr>
            <w:tcW w:w="1655" w:type="pct"/>
            <w:tcBorders>
              <w:top w:val="single" w:sz="4" w:space="0" w:color="auto"/>
              <w:left w:val="single" w:sz="4" w:space="0" w:color="auto"/>
              <w:bottom w:val="double" w:sz="4" w:space="0" w:color="auto"/>
              <w:right w:val="single" w:sz="4" w:space="0" w:color="auto"/>
            </w:tcBorders>
          </w:tcPr>
          <w:p w14:paraId="4A0AC7DB" w14:textId="7040CA0F" w:rsidR="005B1890" w:rsidRPr="00FD292C" w:rsidRDefault="00F80402" w:rsidP="00FB0D02">
            <w:pPr>
              <w:spacing w:before="60" w:after="60" w:line="240" w:lineRule="auto"/>
              <w:rPr>
                <w:sz w:val="16"/>
                <w:szCs w:val="16"/>
                <w:lang w:val="en-US"/>
              </w:rPr>
            </w:pPr>
            <w:r w:rsidRPr="00F80402">
              <w:rPr>
                <w:rFonts w:ascii="Arial" w:eastAsia="Calibri" w:hAnsi="Arial" w:cs="Arial"/>
                <w:sz w:val="16"/>
                <w:szCs w:val="16"/>
                <w:lang w:val="en-US"/>
              </w:rPr>
              <w:t>Implementation of investment in intermodal terminals</w:t>
            </w:r>
          </w:p>
        </w:tc>
        <w:tc>
          <w:tcPr>
            <w:tcW w:w="2331" w:type="pct"/>
            <w:tcBorders>
              <w:top w:val="single" w:sz="4" w:space="0" w:color="auto"/>
              <w:left w:val="single" w:sz="4" w:space="0" w:color="auto"/>
              <w:bottom w:val="double" w:sz="4" w:space="0" w:color="auto"/>
            </w:tcBorders>
          </w:tcPr>
          <w:p w14:paraId="020C5684" w14:textId="57712B51" w:rsidR="00F94BB7" w:rsidRDefault="00F94BB7" w:rsidP="00F80402">
            <w:pPr>
              <w:pStyle w:val="TableParagraph"/>
              <w:spacing w:before="20"/>
              <w:ind w:left="32" w:right="306"/>
              <w:rPr>
                <w:color w:val="000000" w:themeColor="text1"/>
                <w:sz w:val="16"/>
                <w:szCs w:val="16"/>
                <w:lang w:val="en-US"/>
              </w:rPr>
            </w:pPr>
            <w:r>
              <w:rPr>
                <w:color w:val="000000" w:themeColor="text1"/>
                <w:sz w:val="16"/>
                <w:szCs w:val="16"/>
                <w:lang w:val="en-US"/>
              </w:rPr>
              <w:t>Target: Delivery milestones are met for each financial year.</w:t>
            </w:r>
          </w:p>
          <w:p w14:paraId="5EE4751F" w14:textId="00E59185" w:rsidR="00F80402" w:rsidRDefault="00F80402" w:rsidP="00F94BB7">
            <w:pPr>
              <w:pStyle w:val="TableParagraph"/>
              <w:spacing w:before="60" w:after="60"/>
              <w:ind w:left="32" w:right="306"/>
              <w:rPr>
                <w:color w:val="000000" w:themeColor="text1"/>
                <w:sz w:val="16"/>
                <w:szCs w:val="16"/>
                <w:lang w:val="en-US"/>
              </w:rPr>
            </w:pPr>
            <w:r>
              <w:rPr>
                <w:color w:val="000000" w:themeColor="text1"/>
                <w:sz w:val="16"/>
                <w:szCs w:val="16"/>
                <w:lang w:val="en-US"/>
              </w:rPr>
              <w:t xml:space="preserve">Target expected to be partially met: </w:t>
            </w:r>
          </w:p>
          <w:p w14:paraId="7D6E0C3C" w14:textId="77777777" w:rsidR="00F80402" w:rsidRDefault="00F80402" w:rsidP="00977C28">
            <w:pPr>
              <w:pStyle w:val="TableParagraph"/>
              <w:numPr>
                <w:ilvl w:val="0"/>
                <w:numId w:val="147"/>
              </w:numPr>
              <w:spacing w:before="20"/>
              <w:ind w:left="318" w:right="309" w:hanging="286"/>
              <w:rPr>
                <w:color w:val="000000" w:themeColor="text1"/>
                <w:sz w:val="16"/>
                <w:szCs w:val="16"/>
                <w:lang w:val="en-US"/>
              </w:rPr>
            </w:pPr>
            <w:r>
              <w:rPr>
                <w:color w:val="000000" w:themeColor="text1"/>
                <w:sz w:val="16"/>
                <w:szCs w:val="16"/>
                <w:lang w:val="en-US"/>
              </w:rPr>
              <w:t xml:space="preserve">Progress of the </w:t>
            </w:r>
            <w:proofErr w:type="spellStart"/>
            <w:r>
              <w:rPr>
                <w:color w:val="000000" w:themeColor="text1"/>
                <w:sz w:val="16"/>
                <w:szCs w:val="16"/>
                <w:lang w:val="en-US"/>
              </w:rPr>
              <w:t>Moorebank</w:t>
            </w:r>
            <w:proofErr w:type="spellEnd"/>
            <w:r>
              <w:rPr>
                <w:color w:val="000000" w:themeColor="text1"/>
                <w:sz w:val="16"/>
                <w:szCs w:val="16"/>
                <w:lang w:val="en-US"/>
              </w:rPr>
              <w:t xml:space="preserve"> Intermodal Terminal Precinct is at 53.8% based on the overall project spend compared to the Forecast Final Cost Estimate. </w:t>
            </w:r>
          </w:p>
          <w:p w14:paraId="01D8622C" w14:textId="77777777" w:rsidR="00F80402" w:rsidRDefault="00F80402" w:rsidP="00977C28">
            <w:pPr>
              <w:pStyle w:val="TableParagraph"/>
              <w:numPr>
                <w:ilvl w:val="0"/>
                <w:numId w:val="147"/>
              </w:numPr>
              <w:spacing w:before="20"/>
              <w:ind w:left="318" w:right="309" w:hanging="286"/>
              <w:rPr>
                <w:color w:val="000000" w:themeColor="text1"/>
                <w:sz w:val="16"/>
                <w:szCs w:val="16"/>
                <w:lang w:val="en-US"/>
              </w:rPr>
            </w:pPr>
            <w:r>
              <w:rPr>
                <w:color w:val="000000" w:themeColor="text1"/>
                <w:sz w:val="16"/>
                <w:szCs w:val="16"/>
                <w:lang w:val="en-US"/>
              </w:rPr>
              <w:t xml:space="preserve">National Intermodal is working with the Australian Government, the Victorian Government and industry to facilitate the delivery of intermodal terminals at two potential locations in Melbourne. </w:t>
            </w:r>
          </w:p>
          <w:p w14:paraId="3B2E5F5E" w14:textId="653AD593" w:rsidR="005B1890" w:rsidRPr="00FD292C" w:rsidRDefault="00F80402" w:rsidP="00977C28">
            <w:pPr>
              <w:pStyle w:val="TableParagraph"/>
              <w:numPr>
                <w:ilvl w:val="0"/>
                <w:numId w:val="147"/>
              </w:numPr>
              <w:spacing w:before="20" w:after="60"/>
              <w:ind w:left="318" w:right="309" w:hanging="286"/>
              <w:rPr>
                <w:rFonts w:eastAsia="Calibri"/>
                <w:sz w:val="16"/>
                <w:szCs w:val="16"/>
              </w:rPr>
            </w:pPr>
            <w:r>
              <w:rPr>
                <w:color w:val="000000" w:themeColor="text1"/>
                <w:sz w:val="16"/>
                <w:szCs w:val="16"/>
                <w:lang w:val="en-US"/>
              </w:rPr>
              <w:t>National Intermodal is contributing to the assessment of a new intermodal precinct in Southeast Queensland.</w:t>
            </w:r>
          </w:p>
        </w:tc>
      </w:tr>
    </w:tbl>
    <w:p w14:paraId="5FB71CEA" w14:textId="77777777" w:rsidR="004E08BF" w:rsidRDefault="004E08BF">
      <w:r>
        <w:br w:type="page"/>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2549"/>
        <w:gridCol w:w="3590"/>
      </w:tblGrid>
      <w:tr w:rsidR="00F80402" w:rsidRPr="005A19CC" w14:paraId="1F12991D" w14:textId="77777777" w:rsidTr="00F94BB7">
        <w:trPr>
          <w:cantSplit/>
          <w:trHeight w:val="239"/>
        </w:trPr>
        <w:tc>
          <w:tcPr>
            <w:tcW w:w="1014" w:type="pct"/>
            <w:tcBorders>
              <w:top w:val="double" w:sz="4" w:space="0" w:color="auto"/>
              <w:right w:val="single" w:sz="4" w:space="0" w:color="auto"/>
            </w:tcBorders>
          </w:tcPr>
          <w:p w14:paraId="6C4A4E26" w14:textId="42B61E59" w:rsidR="00F80402" w:rsidRPr="00F80402" w:rsidRDefault="00F80402" w:rsidP="00F80402">
            <w:pPr>
              <w:pStyle w:val="TableTextBase"/>
              <w:rPr>
                <w:b/>
                <w:sz w:val="16"/>
                <w:szCs w:val="16"/>
              </w:rPr>
            </w:pPr>
            <w:r w:rsidRPr="00F80402">
              <w:rPr>
                <w:b/>
                <w:sz w:val="16"/>
                <w:szCs w:val="16"/>
              </w:rPr>
              <w:lastRenderedPageBreak/>
              <w:t>Year</w:t>
            </w:r>
          </w:p>
        </w:tc>
        <w:tc>
          <w:tcPr>
            <w:tcW w:w="1655" w:type="pct"/>
            <w:tcBorders>
              <w:top w:val="double" w:sz="4" w:space="0" w:color="auto"/>
              <w:left w:val="single" w:sz="4" w:space="0" w:color="auto"/>
              <w:bottom w:val="single" w:sz="4" w:space="0" w:color="auto"/>
              <w:right w:val="single" w:sz="4" w:space="0" w:color="auto"/>
            </w:tcBorders>
          </w:tcPr>
          <w:p w14:paraId="79A50A40" w14:textId="621940EC" w:rsidR="00F80402" w:rsidRPr="00F80402" w:rsidRDefault="00F80402" w:rsidP="00F80402">
            <w:pPr>
              <w:spacing w:before="60" w:after="60" w:line="240" w:lineRule="auto"/>
              <w:rPr>
                <w:rFonts w:ascii="Arial" w:hAnsi="Arial"/>
                <w:b/>
                <w:sz w:val="16"/>
                <w:szCs w:val="16"/>
              </w:rPr>
            </w:pPr>
            <w:r w:rsidRPr="00F80402">
              <w:rPr>
                <w:rFonts w:ascii="Arial" w:hAnsi="Arial"/>
                <w:b/>
                <w:sz w:val="16"/>
                <w:szCs w:val="16"/>
              </w:rPr>
              <w:t>Performance measures</w:t>
            </w:r>
          </w:p>
        </w:tc>
        <w:tc>
          <w:tcPr>
            <w:tcW w:w="2331" w:type="pct"/>
            <w:tcBorders>
              <w:top w:val="double" w:sz="4" w:space="0" w:color="auto"/>
              <w:left w:val="single" w:sz="4" w:space="0" w:color="auto"/>
              <w:bottom w:val="single" w:sz="4" w:space="0" w:color="auto"/>
              <w:right w:val="single" w:sz="4" w:space="0" w:color="auto"/>
            </w:tcBorders>
          </w:tcPr>
          <w:p w14:paraId="4B874298" w14:textId="7DDC9804" w:rsidR="00F80402" w:rsidRPr="00F80402" w:rsidRDefault="00F80402" w:rsidP="00F80402">
            <w:pPr>
              <w:spacing w:before="60" w:after="60" w:line="240" w:lineRule="auto"/>
              <w:rPr>
                <w:rFonts w:ascii="Arial" w:hAnsi="Arial"/>
                <w:b/>
                <w:sz w:val="16"/>
                <w:szCs w:val="16"/>
              </w:rPr>
            </w:pPr>
            <w:r w:rsidRPr="00F80402">
              <w:rPr>
                <w:rFonts w:ascii="Arial" w:hAnsi="Arial"/>
                <w:b/>
                <w:sz w:val="16"/>
                <w:szCs w:val="16"/>
              </w:rPr>
              <w:t>Planned Performance Results</w:t>
            </w:r>
          </w:p>
        </w:tc>
      </w:tr>
      <w:tr w:rsidR="00F80402" w:rsidRPr="005A19CC" w14:paraId="0E9AB0E0" w14:textId="77777777" w:rsidTr="00F94BB7">
        <w:trPr>
          <w:cantSplit/>
          <w:trHeight w:val="769"/>
        </w:trPr>
        <w:tc>
          <w:tcPr>
            <w:tcW w:w="1014" w:type="pct"/>
            <w:vMerge w:val="restart"/>
            <w:tcBorders>
              <w:right w:val="single" w:sz="4" w:space="0" w:color="auto"/>
            </w:tcBorders>
          </w:tcPr>
          <w:p w14:paraId="0A52705A" w14:textId="541E8A9E" w:rsidR="00F80402" w:rsidRPr="00F80402" w:rsidRDefault="00F80402" w:rsidP="00F80402">
            <w:pPr>
              <w:pStyle w:val="TableTextBase"/>
              <w:rPr>
                <w:sz w:val="16"/>
                <w:szCs w:val="16"/>
              </w:rPr>
            </w:pPr>
            <w:r w:rsidRPr="00F80402">
              <w:rPr>
                <w:sz w:val="16"/>
                <w:szCs w:val="16"/>
              </w:rPr>
              <w:t xml:space="preserve">Budget </w:t>
            </w:r>
            <w:r w:rsidR="00296CA9">
              <w:rPr>
                <w:sz w:val="16"/>
                <w:szCs w:val="16"/>
              </w:rPr>
              <w:t>y</w:t>
            </w:r>
            <w:r w:rsidRPr="00F80402">
              <w:rPr>
                <w:sz w:val="16"/>
                <w:szCs w:val="16"/>
              </w:rPr>
              <w:t xml:space="preserve">ear </w:t>
            </w:r>
          </w:p>
          <w:p w14:paraId="0654D8DB" w14:textId="17ACF4B4" w:rsidR="00F80402" w:rsidRPr="00FD292C" w:rsidRDefault="00F80402" w:rsidP="00F80402">
            <w:pPr>
              <w:pStyle w:val="TableTextBase"/>
              <w:rPr>
                <w:sz w:val="16"/>
                <w:szCs w:val="16"/>
              </w:rPr>
            </w:pPr>
            <w:r w:rsidRPr="00F80402">
              <w:rPr>
                <w:sz w:val="16"/>
                <w:szCs w:val="16"/>
              </w:rPr>
              <w:t>2023-24</w:t>
            </w:r>
          </w:p>
        </w:tc>
        <w:tc>
          <w:tcPr>
            <w:tcW w:w="1655" w:type="pct"/>
            <w:tcBorders>
              <w:top w:val="single" w:sz="4" w:space="0" w:color="auto"/>
              <w:left w:val="single" w:sz="4" w:space="0" w:color="auto"/>
              <w:bottom w:val="single" w:sz="4" w:space="0" w:color="auto"/>
              <w:right w:val="single" w:sz="4" w:space="0" w:color="auto"/>
            </w:tcBorders>
          </w:tcPr>
          <w:p w14:paraId="000FFCE4" w14:textId="5FDB7091" w:rsidR="00F80402" w:rsidRPr="00FD292C" w:rsidRDefault="00F80402" w:rsidP="00F80402">
            <w:pPr>
              <w:spacing w:before="60" w:after="60" w:line="240" w:lineRule="auto"/>
              <w:rPr>
                <w:rFonts w:ascii="Arial" w:eastAsia="Calibri" w:hAnsi="Arial" w:cs="Arial"/>
                <w:sz w:val="16"/>
                <w:szCs w:val="16"/>
              </w:rPr>
            </w:pPr>
            <w:r w:rsidRPr="00F80402">
              <w:rPr>
                <w:rFonts w:ascii="Arial" w:eastAsia="Calibri" w:hAnsi="Arial" w:cs="Arial"/>
                <w:sz w:val="16"/>
                <w:szCs w:val="16"/>
              </w:rPr>
              <w:t>Progress of land transport infrastructure investment projects</w:t>
            </w:r>
          </w:p>
        </w:tc>
        <w:tc>
          <w:tcPr>
            <w:tcW w:w="2331" w:type="pct"/>
            <w:tcBorders>
              <w:top w:val="single" w:sz="4" w:space="0" w:color="auto"/>
              <w:left w:val="single" w:sz="4" w:space="0" w:color="auto"/>
              <w:bottom w:val="single" w:sz="4" w:space="0" w:color="auto"/>
              <w:right w:val="single" w:sz="4" w:space="0" w:color="auto"/>
            </w:tcBorders>
          </w:tcPr>
          <w:p w14:paraId="47FEA207" w14:textId="53D9EAC9" w:rsidR="00F80402" w:rsidRPr="00FD292C" w:rsidRDefault="00F80402" w:rsidP="00F80402">
            <w:pPr>
              <w:spacing w:before="60" w:after="60" w:line="240" w:lineRule="auto"/>
              <w:rPr>
                <w:rFonts w:ascii="Arial" w:eastAsia="Calibri" w:hAnsi="Arial" w:cs="Arial"/>
                <w:sz w:val="16"/>
                <w:szCs w:val="16"/>
              </w:rPr>
            </w:pPr>
            <w:r w:rsidRPr="00F80402">
              <w:rPr>
                <w:rFonts w:ascii="Arial" w:eastAsia="Calibri" w:hAnsi="Arial" w:cs="Arial"/>
                <w:sz w:val="16"/>
                <w:szCs w:val="16"/>
              </w:rPr>
              <w:t>By June 2024 projects progressed in accordance with agreed timeframes.</w:t>
            </w:r>
          </w:p>
        </w:tc>
      </w:tr>
      <w:tr w:rsidR="00F80402" w:rsidRPr="001B2F81" w14:paraId="5A6211D8" w14:textId="77777777" w:rsidTr="00F94BB7">
        <w:trPr>
          <w:cantSplit/>
          <w:trHeight w:val="991"/>
        </w:trPr>
        <w:tc>
          <w:tcPr>
            <w:tcW w:w="1014" w:type="pct"/>
            <w:vMerge/>
            <w:tcBorders>
              <w:bottom w:val="single" w:sz="4" w:space="0" w:color="auto"/>
              <w:right w:val="single" w:sz="4" w:space="0" w:color="auto"/>
            </w:tcBorders>
          </w:tcPr>
          <w:p w14:paraId="5F803C0B" w14:textId="220EF737" w:rsidR="00F80402" w:rsidRPr="00FD292C" w:rsidRDefault="00F80402" w:rsidP="00F80402">
            <w:pPr>
              <w:pStyle w:val="TableTextBase"/>
              <w:rPr>
                <w:sz w:val="16"/>
                <w:szCs w:val="16"/>
              </w:rPr>
            </w:pPr>
          </w:p>
        </w:tc>
        <w:tc>
          <w:tcPr>
            <w:tcW w:w="1655" w:type="pct"/>
            <w:tcBorders>
              <w:top w:val="single" w:sz="4" w:space="0" w:color="auto"/>
              <w:left w:val="single" w:sz="4" w:space="0" w:color="auto"/>
              <w:bottom w:val="single" w:sz="4" w:space="0" w:color="auto"/>
              <w:right w:val="single" w:sz="4" w:space="0" w:color="auto"/>
            </w:tcBorders>
          </w:tcPr>
          <w:p w14:paraId="558C5473" w14:textId="2316C391" w:rsidR="00F80402" w:rsidRPr="00FD292C" w:rsidRDefault="00F80402" w:rsidP="00F80402">
            <w:pPr>
              <w:pStyle w:val="TableTextBase"/>
              <w:rPr>
                <w:sz w:val="16"/>
                <w:szCs w:val="16"/>
              </w:rPr>
            </w:pPr>
            <w:r w:rsidRPr="00F80402">
              <w:rPr>
                <w:sz w:val="16"/>
                <w:szCs w:val="16"/>
              </w:rPr>
              <w:t>Implementation of investment in intermodal terminals in New South Wales, Queensland and Victoria</w:t>
            </w:r>
          </w:p>
        </w:tc>
        <w:tc>
          <w:tcPr>
            <w:tcW w:w="2331" w:type="pct"/>
            <w:tcBorders>
              <w:top w:val="single" w:sz="4" w:space="0" w:color="auto"/>
              <w:left w:val="single" w:sz="4" w:space="0" w:color="auto"/>
              <w:bottom w:val="single" w:sz="4" w:space="0" w:color="auto"/>
              <w:right w:val="single" w:sz="4" w:space="0" w:color="auto"/>
            </w:tcBorders>
          </w:tcPr>
          <w:p w14:paraId="21D3EE1A" w14:textId="67C434EA" w:rsidR="00F80402" w:rsidRPr="00FD292C" w:rsidRDefault="00F80402" w:rsidP="00F80402">
            <w:pPr>
              <w:spacing w:before="60" w:after="60" w:line="240" w:lineRule="auto"/>
              <w:rPr>
                <w:rFonts w:ascii="Arial" w:eastAsia="Calibri" w:hAnsi="Arial" w:cs="Arial"/>
                <w:sz w:val="16"/>
                <w:szCs w:val="16"/>
              </w:rPr>
            </w:pPr>
            <w:r w:rsidRPr="00F80402">
              <w:rPr>
                <w:rFonts w:ascii="Arial" w:eastAsia="Calibri" w:hAnsi="Arial" w:cs="Arial"/>
                <w:sz w:val="16"/>
                <w:szCs w:val="16"/>
              </w:rPr>
              <w:t>Planning for the Intermodal terminals in V</w:t>
            </w:r>
            <w:r w:rsidR="00530E15">
              <w:rPr>
                <w:rFonts w:ascii="Arial" w:eastAsia="Calibri" w:hAnsi="Arial" w:cs="Arial"/>
                <w:sz w:val="16"/>
                <w:szCs w:val="16"/>
              </w:rPr>
              <w:t>IC</w:t>
            </w:r>
            <w:r w:rsidRPr="00F80402">
              <w:rPr>
                <w:rFonts w:ascii="Arial" w:eastAsia="Calibri" w:hAnsi="Arial" w:cs="Arial"/>
                <w:sz w:val="16"/>
                <w:szCs w:val="16"/>
              </w:rPr>
              <w:t xml:space="preserve"> and Q</w:t>
            </w:r>
            <w:r w:rsidR="00530E15">
              <w:rPr>
                <w:rFonts w:ascii="Arial" w:eastAsia="Calibri" w:hAnsi="Arial" w:cs="Arial"/>
                <w:sz w:val="16"/>
                <w:szCs w:val="16"/>
              </w:rPr>
              <w:t>LD</w:t>
            </w:r>
            <w:r w:rsidRPr="00F80402">
              <w:rPr>
                <w:rFonts w:ascii="Arial" w:eastAsia="Calibri" w:hAnsi="Arial" w:cs="Arial"/>
                <w:sz w:val="16"/>
                <w:szCs w:val="16"/>
              </w:rPr>
              <w:t xml:space="preserve"> is in progress and will continue throughout the 2023</w:t>
            </w:r>
            <w:r w:rsidRPr="00F80402">
              <w:rPr>
                <w:rFonts w:ascii="Arial" w:eastAsia="Calibri" w:hAnsi="Arial" w:cs="Arial"/>
                <w:sz w:val="16"/>
                <w:szCs w:val="16"/>
              </w:rPr>
              <w:noBreakHyphen/>
              <w:t xml:space="preserve">24 year. For the intermodal terminal in </w:t>
            </w:r>
            <w:r w:rsidR="00530E15">
              <w:rPr>
                <w:rFonts w:ascii="Arial" w:eastAsia="Calibri" w:hAnsi="Arial" w:cs="Arial"/>
                <w:sz w:val="16"/>
                <w:szCs w:val="16"/>
              </w:rPr>
              <w:t>NSW</w:t>
            </w:r>
            <w:r w:rsidRPr="00F80402">
              <w:rPr>
                <w:rFonts w:ascii="Arial" w:eastAsia="Calibri" w:hAnsi="Arial" w:cs="Arial"/>
                <w:sz w:val="16"/>
                <w:szCs w:val="16"/>
              </w:rPr>
              <w:t>, investment milestones of National Intermodal funded works are met for each financial year.</w:t>
            </w:r>
          </w:p>
        </w:tc>
      </w:tr>
      <w:tr w:rsidR="00115843" w:rsidRPr="00296CA9" w14:paraId="4C1E2C43" w14:textId="77777777" w:rsidTr="00F94BB7">
        <w:trPr>
          <w:trHeight w:val="258"/>
        </w:trPr>
        <w:tc>
          <w:tcPr>
            <w:tcW w:w="1014" w:type="pct"/>
            <w:vMerge w:val="restart"/>
            <w:tcBorders>
              <w:top w:val="single" w:sz="4" w:space="0" w:color="auto"/>
              <w:left w:val="single" w:sz="4" w:space="0" w:color="auto"/>
              <w:right w:val="single" w:sz="4" w:space="0" w:color="auto"/>
            </w:tcBorders>
          </w:tcPr>
          <w:p w14:paraId="08DF1597" w14:textId="1D6FAB31" w:rsidR="00115843" w:rsidRPr="00296CA9" w:rsidRDefault="00115843" w:rsidP="00FB0D02">
            <w:pPr>
              <w:pStyle w:val="TableTextBase"/>
              <w:rPr>
                <w:rFonts w:cs="Arial"/>
                <w:sz w:val="16"/>
                <w:szCs w:val="16"/>
              </w:rPr>
            </w:pPr>
            <w:r w:rsidRPr="00296CA9">
              <w:rPr>
                <w:rFonts w:cs="Arial"/>
                <w:sz w:val="16"/>
                <w:szCs w:val="16"/>
              </w:rPr>
              <w:t>Forward Estimates 202</w:t>
            </w:r>
            <w:r w:rsidR="00F80402" w:rsidRPr="00296CA9">
              <w:rPr>
                <w:rFonts w:cs="Arial"/>
                <w:sz w:val="16"/>
                <w:szCs w:val="16"/>
              </w:rPr>
              <w:t>4</w:t>
            </w:r>
            <w:r w:rsidRPr="00296CA9">
              <w:rPr>
                <w:rFonts w:cs="Arial"/>
                <w:sz w:val="16"/>
                <w:szCs w:val="16"/>
              </w:rPr>
              <w:t>–2</w:t>
            </w:r>
            <w:r w:rsidR="00F80402" w:rsidRPr="00296CA9">
              <w:rPr>
                <w:rFonts w:cs="Arial"/>
                <w:sz w:val="16"/>
                <w:szCs w:val="16"/>
              </w:rPr>
              <w:t>7</w:t>
            </w:r>
          </w:p>
        </w:tc>
        <w:tc>
          <w:tcPr>
            <w:tcW w:w="1655" w:type="pct"/>
            <w:tcBorders>
              <w:top w:val="single" w:sz="4" w:space="0" w:color="auto"/>
              <w:left w:val="single" w:sz="4" w:space="0" w:color="auto"/>
              <w:bottom w:val="single" w:sz="4" w:space="0" w:color="auto"/>
              <w:right w:val="single" w:sz="4" w:space="0" w:color="auto"/>
            </w:tcBorders>
          </w:tcPr>
          <w:p w14:paraId="714C02D1" w14:textId="3D347085" w:rsidR="00115843" w:rsidRPr="00296CA9" w:rsidRDefault="00F80402" w:rsidP="00FB0D02">
            <w:pPr>
              <w:pStyle w:val="TableTextBase"/>
              <w:rPr>
                <w:rFonts w:cs="Arial"/>
                <w:sz w:val="16"/>
                <w:szCs w:val="16"/>
              </w:rPr>
            </w:pPr>
            <w:r w:rsidRPr="00296CA9">
              <w:rPr>
                <w:rFonts w:cs="Arial"/>
                <w:sz w:val="16"/>
                <w:szCs w:val="16"/>
              </w:rPr>
              <w:t xml:space="preserve">Implementation of investment in intermodal terminals in </w:t>
            </w:r>
            <w:r w:rsidR="00530E15">
              <w:rPr>
                <w:rFonts w:cs="Arial"/>
                <w:sz w:val="16"/>
                <w:szCs w:val="16"/>
              </w:rPr>
              <w:t>NSW</w:t>
            </w:r>
            <w:r w:rsidRPr="00296CA9">
              <w:rPr>
                <w:rFonts w:cs="Arial"/>
                <w:sz w:val="16"/>
                <w:szCs w:val="16"/>
              </w:rPr>
              <w:t>, Q</w:t>
            </w:r>
            <w:r w:rsidR="00530E15">
              <w:rPr>
                <w:rFonts w:cs="Arial"/>
                <w:sz w:val="16"/>
                <w:szCs w:val="16"/>
              </w:rPr>
              <w:t>LD</w:t>
            </w:r>
            <w:r w:rsidRPr="00296CA9">
              <w:rPr>
                <w:rFonts w:cs="Arial"/>
                <w:sz w:val="16"/>
                <w:szCs w:val="16"/>
              </w:rPr>
              <w:t xml:space="preserve"> and V</w:t>
            </w:r>
            <w:r w:rsidR="00530E15">
              <w:rPr>
                <w:rFonts w:cs="Arial"/>
                <w:sz w:val="16"/>
                <w:szCs w:val="16"/>
              </w:rPr>
              <w:t>IC</w:t>
            </w:r>
          </w:p>
        </w:tc>
        <w:tc>
          <w:tcPr>
            <w:tcW w:w="2331" w:type="pct"/>
            <w:tcBorders>
              <w:top w:val="single" w:sz="4" w:space="0" w:color="auto"/>
              <w:left w:val="single" w:sz="4" w:space="0" w:color="auto"/>
              <w:bottom w:val="single" w:sz="4" w:space="0" w:color="auto"/>
              <w:right w:val="single" w:sz="4" w:space="0" w:color="auto"/>
            </w:tcBorders>
          </w:tcPr>
          <w:p w14:paraId="0C14F847" w14:textId="77777777" w:rsidR="00115843" w:rsidRPr="00296CA9" w:rsidRDefault="00115843" w:rsidP="00FB0D02">
            <w:pPr>
              <w:pStyle w:val="TableTextBase"/>
              <w:rPr>
                <w:rFonts w:cs="Arial"/>
                <w:sz w:val="16"/>
                <w:szCs w:val="16"/>
              </w:rPr>
            </w:pPr>
            <w:r w:rsidRPr="00296CA9">
              <w:rPr>
                <w:rFonts w:cs="Arial"/>
                <w:sz w:val="16"/>
                <w:szCs w:val="16"/>
              </w:rPr>
              <w:t xml:space="preserve">By June 2026, National Partnership Agreement projects, land transport infrastructure projects schedules agreed with jurisdictions following the October 2022 Budget: </w:t>
            </w:r>
          </w:p>
          <w:p w14:paraId="1B856215" w14:textId="77777777" w:rsidR="00115843" w:rsidRPr="00296CA9" w:rsidRDefault="00115843" w:rsidP="00FB0D02">
            <w:pPr>
              <w:pStyle w:val="TableTextBase"/>
              <w:rPr>
                <w:rFonts w:cs="Arial"/>
                <w:sz w:val="16"/>
                <w:szCs w:val="16"/>
              </w:rPr>
            </w:pPr>
            <w:r w:rsidRPr="00296CA9">
              <w:rPr>
                <w:rFonts w:cs="Arial"/>
                <w:sz w:val="16"/>
                <w:szCs w:val="16"/>
              </w:rPr>
              <w:t xml:space="preserve">• Planning commenced on 100% of projects; </w:t>
            </w:r>
          </w:p>
          <w:p w14:paraId="6710927F" w14:textId="1C1EA775" w:rsidR="00115843" w:rsidRPr="00296CA9" w:rsidRDefault="00115843" w:rsidP="00FB0D02">
            <w:pPr>
              <w:pStyle w:val="TableTextBase"/>
              <w:rPr>
                <w:rFonts w:cs="Arial"/>
                <w:sz w:val="16"/>
                <w:szCs w:val="16"/>
              </w:rPr>
            </w:pPr>
            <w:r w:rsidRPr="00296CA9">
              <w:rPr>
                <w:rFonts w:cs="Arial"/>
                <w:sz w:val="16"/>
                <w:szCs w:val="16"/>
              </w:rPr>
              <w:t xml:space="preserve">• more than 70% are under construction; </w:t>
            </w:r>
            <w:r w:rsidR="00F94BB7">
              <w:rPr>
                <w:rFonts w:cs="Arial"/>
                <w:sz w:val="16"/>
                <w:szCs w:val="16"/>
              </w:rPr>
              <w:t>and</w:t>
            </w:r>
          </w:p>
          <w:p w14:paraId="01D10E4C" w14:textId="7948695C" w:rsidR="00115843" w:rsidRPr="00296CA9" w:rsidDel="008E1A6E" w:rsidRDefault="00115843" w:rsidP="00FB0D02">
            <w:pPr>
              <w:pStyle w:val="TableTextBase"/>
              <w:rPr>
                <w:rFonts w:cs="Arial"/>
                <w:sz w:val="16"/>
                <w:szCs w:val="16"/>
              </w:rPr>
            </w:pPr>
            <w:r w:rsidRPr="00296CA9">
              <w:rPr>
                <w:rFonts w:cs="Arial"/>
                <w:sz w:val="16"/>
                <w:szCs w:val="16"/>
              </w:rPr>
              <w:t>• more than 50% have construction completed</w:t>
            </w:r>
            <w:r w:rsidR="00F94BB7">
              <w:rPr>
                <w:rFonts w:cs="Arial"/>
                <w:sz w:val="16"/>
                <w:szCs w:val="16"/>
              </w:rPr>
              <w:t>.</w:t>
            </w:r>
          </w:p>
        </w:tc>
      </w:tr>
      <w:tr w:rsidR="00373ADD" w:rsidRPr="00296CA9" w14:paraId="1C62B309" w14:textId="77777777" w:rsidTr="00F94BB7">
        <w:trPr>
          <w:trHeight w:val="258"/>
        </w:trPr>
        <w:tc>
          <w:tcPr>
            <w:tcW w:w="1014" w:type="pct"/>
            <w:vMerge/>
            <w:tcBorders>
              <w:left w:val="single" w:sz="4" w:space="0" w:color="auto"/>
              <w:bottom w:val="single" w:sz="4" w:space="0" w:color="auto"/>
              <w:right w:val="single" w:sz="4" w:space="0" w:color="auto"/>
            </w:tcBorders>
          </w:tcPr>
          <w:p w14:paraId="3C94D817" w14:textId="77777777" w:rsidR="00373ADD" w:rsidRPr="00296CA9" w:rsidRDefault="00373ADD" w:rsidP="00373ADD">
            <w:pPr>
              <w:pStyle w:val="TableTextBase"/>
              <w:rPr>
                <w:rFonts w:cs="Arial"/>
                <w:sz w:val="16"/>
                <w:szCs w:val="16"/>
              </w:rPr>
            </w:pPr>
          </w:p>
        </w:tc>
        <w:tc>
          <w:tcPr>
            <w:tcW w:w="1655" w:type="pct"/>
            <w:tcBorders>
              <w:top w:val="single" w:sz="4" w:space="0" w:color="auto"/>
              <w:left w:val="single" w:sz="4" w:space="0" w:color="auto"/>
              <w:bottom w:val="single" w:sz="4" w:space="0" w:color="auto"/>
              <w:right w:val="single" w:sz="4" w:space="0" w:color="auto"/>
            </w:tcBorders>
          </w:tcPr>
          <w:p w14:paraId="3532BB5B" w14:textId="6C8C49B0" w:rsidR="00373ADD" w:rsidRPr="00296CA9" w:rsidRDefault="00373ADD" w:rsidP="00373ADD">
            <w:pPr>
              <w:pStyle w:val="TableTextBase"/>
              <w:rPr>
                <w:rFonts w:cs="Arial"/>
                <w:sz w:val="16"/>
                <w:szCs w:val="16"/>
              </w:rPr>
            </w:pPr>
            <w:r w:rsidRPr="00296CA9">
              <w:rPr>
                <w:rFonts w:cs="Arial"/>
                <w:sz w:val="16"/>
                <w:szCs w:val="16"/>
              </w:rPr>
              <w:t xml:space="preserve">Implementation of investment in intermodal terminals in </w:t>
            </w:r>
            <w:r w:rsidR="00530E15">
              <w:rPr>
                <w:rFonts w:cs="Arial"/>
                <w:sz w:val="16"/>
                <w:szCs w:val="16"/>
              </w:rPr>
              <w:t>NSW</w:t>
            </w:r>
            <w:r w:rsidRPr="00296CA9">
              <w:rPr>
                <w:rFonts w:cs="Arial"/>
                <w:sz w:val="16"/>
                <w:szCs w:val="16"/>
              </w:rPr>
              <w:t>, Q</w:t>
            </w:r>
            <w:r w:rsidR="00530E15">
              <w:rPr>
                <w:rFonts w:cs="Arial"/>
                <w:sz w:val="16"/>
                <w:szCs w:val="16"/>
              </w:rPr>
              <w:t>LD</w:t>
            </w:r>
            <w:r w:rsidRPr="00296CA9">
              <w:rPr>
                <w:rFonts w:cs="Arial"/>
                <w:sz w:val="16"/>
                <w:szCs w:val="16"/>
              </w:rPr>
              <w:t xml:space="preserve"> and V</w:t>
            </w:r>
            <w:r w:rsidR="00530E15">
              <w:rPr>
                <w:rFonts w:cs="Arial"/>
                <w:sz w:val="16"/>
                <w:szCs w:val="16"/>
              </w:rPr>
              <w:t>IC</w:t>
            </w:r>
          </w:p>
        </w:tc>
        <w:tc>
          <w:tcPr>
            <w:tcW w:w="2331" w:type="pct"/>
            <w:tcBorders>
              <w:top w:val="single" w:sz="4" w:space="0" w:color="auto"/>
              <w:left w:val="single" w:sz="4" w:space="0" w:color="auto"/>
              <w:bottom w:val="single" w:sz="4" w:space="0" w:color="auto"/>
              <w:right w:val="single" w:sz="4" w:space="0" w:color="auto"/>
            </w:tcBorders>
          </w:tcPr>
          <w:p w14:paraId="764A5318" w14:textId="53B987D3" w:rsidR="00373ADD" w:rsidRPr="00296CA9" w:rsidDel="008E1A6E" w:rsidRDefault="00373ADD" w:rsidP="00373ADD">
            <w:pPr>
              <w:pStyle w:val="TableTextBase"/>
              <w:rPr>
                <w:rFonts w:cs="Arial"/>
                <w:sz w:val="16"/>
                <w:szCs w:val="16"/>
              </w:rPr>
            </w:pPr>
            <w:r w:rsidRPr="00296CA9">
              <w:rPr>
                <w:rFonts w:cs="Arial"/>
                <w:color w:val="000000" w:themeColor="text1"/>
                <w:sz w:val="16"/>
                <w:szCs w:val="16"/>
              </w:rPr>
              <w:t>Planning for the Intermodal terminals in V</w:t>
            </w:r>
            <w:r w:rsidR="00530E15">
              <w:rPr>
                <w:rFonts w:cs="Arial"/>
                <w:color w:val="000000" w:themeColor="text1"/>
                <w:sz w:val="16"/>
                <w:szCs w:val="16"/>
              </w:rPr>
              <w:t>IC</w:t>
            </w:r>
            <w:r w:rsidRPr="00296CA9">
              <w:rPr>
                <w:rFonts w:cs="Arial"/>
                <w:color w:val="000000" w:themeColor="text1"/>
                <w:sz w:val="16"/>
                <w:szCs w:val="16"/>
              </w:rPr>
              <w:t xml:space="preserve"> and Q</w:t>
            </w:r>
            <w:r w:rsidR="00530E15">
              <w:rPr>
                <w:rFonts w:cs="Arial"/>
                <w:color w:val="000000" w:themeColor="text1"/>
                <w:sz w:val="16"/>
                <w:szCs w:val="16"/>
              </w:rPr>
              <w:t>LD</w:t>
            </w:r>
            <w:r w:rsidRPr="00296CA9">
              <w:rPr>
                <w:rFonts w:cs="Arial"/>
                <w:color w:val="000000" w:themeColor="text1"/>
                <w:sz w:val="16"/>
                <w:szCs w:val="16"/>
              </w:rPr>
              <w:t xml:space="preserve"> is in progress and will continue throughout the forward estimates target years. For the intermodal terminal in </w:t>
            </w:r>
            <w:r w:rsidR="00530E15">
              <w:rPr>
                <w:rFonts w:cs="Arial"/>
                <w:color w:val="000000" w:themeColor="text1"/>
                <w:sz w:val="16"/>
                <w:szCs w:val="16"/>
              </w:rPr>
              <w:t>NSW</w:t>
            </w:r>
            <w:r w:rsidRPr="00296CA9">
              <w:rPr>
                <w:rFonts w:cs="Arial"/>
                <w:color w:val="000000" w:themeColor="text1"/>
                <w:sz w:val="16"/>
                <w:szCs w:val="16"/>
              </w:rPr>
              <w:t>, investment milestones of National Intermodal funded works are met for each financial year.</w:t>
            </w:r>
          </w:p>
        </w:tc>
      </w:tr>
    </w:tbl>
    <w:p w14:paraId="50DAC639" w14:textId="77777777" w:rsidR="00373ADD" w:rsidRDefault="00373ADD" w:rsidP="00977C28">
      <w:pPr>
        <w:pStyle w:val="ListParagraph"/>
        <w:widowControl w:val="0"/>
        <w:numPr>
          <w:ilvl w:val="0"/>
          <w:numId w:val="119"/>
        </w:numPr>
        <w:autoSpaceDE w:val="0"/>
        <w:autoSpaceDN w:val="0"/>
        <w:spacing w:before="60" w:after="0" w:line="240" w:lineRule="auto"/>
        <w:ind w:left="426" w:hanging="426"/>
        <w:rPr>
          <w:rFonts w:ascii="Arial" w:hAnsi="Arial" w:cs="Arial"/>
          <w:sz w:val="16"/>
          <w:szCs w:val="16"/>
        </w:rPr>
      </w:pPr>
      <w:r>
        <w:rPr>
          <w:rFonts w:ascii="Arial" w:hAnsi="Arial" w:cs="Arial"/>
          <w:sz w:val="16"/>
          <w:szCs w:val="16"/>
        </w:rPr>
        <w:t xml:space="preserve">Further information on projects delivered under the Infrastructure Investment Program will be included in the 2023–24 Corporate Plan.  </w:t>
      </w:r>
    </w:p>
    <w:p w14:paraId="190BA52D" w14:textId="77777777" w:rsidR="00373ADD" w:rsidRDefault="00373ADD" w:rsidP="00977C28">
      <w:pPr>
        <w:pStyle w:val="ListParagraph"/>
        <w:widowControl w:val="0"/>
        <w:numPr>
          <w:ilvl w:val="0"/>
          <w:numId w:val="119"/>
        </w:numPr>
        <w:autoSpaceDE w:val="0"/>
        <w:autoSpaceDN w:val="0"/>
        <w:spacing w:before="30" w:after="120" w:line="240" w:lineRule="auto"/>
        <w:ind w:left="426" w:hanging="426"/>
        <w:rPr>
          <w:rFonts w:ascii="Arial" w:hAnsi="Arial" w:cs="Arial"/>
          <w:sz w:val="16"/>
          <w:szCs w:val="16"/>
        </w:rPr>
      </w:pPr>
      <w:r>
        <w:rPr>
          <w:rFonts w:ascii="Arial" w:hAnsi="Arial" w:cs="Arial"/>
          <w:sz w:val="16"/>
          <w:szCs w:val="16"/>
        </w:rPr>
        <w:t>This performance measure relates to projects agreed to in the October 2022–23 Budget.</w:t>
      </w:r>
    </w:p>
    <w:p w14:paraId="1B06F973" w14:textId="4A3DD54E" w:rsidR="004E26ED" w:rsidRPr="004E26ED" w:rsidRDefault="004E26ED" w:rsidP="004E26ED">
      <w:pPr>
        <w:autoSpaceDE w:val="0"/>
        <w:autoSpaceDN w:val="0"/>
        <w:spacing w:before="40" w:after="40" w:line="240" w:lineRule="auto"/>
        <w:rPr>
          <w:rFonts w:ascii="Arial" w:hAnsi="Arial" w:cs="Arial"/>
          <w:sz w:val="16"/>
          <w:szCs w:val="16"/>
        </w:rPr>
      </w:pPr>
      <w:r w:rsidRPr="004E26ED">
        <w:rPr>
          <w:rFonts w:ascii="Arial" w:hAnsi="Arial" w:cs="Arial"/>
          <w:color w:val="000000"/>
          <w:sz w:val="16"/>
          <w:szCs w:val="16"/>
        </w:rPr>
        <w:t xml:space="preserve">The </w:t>
      </w:r>
      <w:r w:rsidR="00E17F15">
        <w:rPr>
          <w:rFonts w:ascii="Arial" w:hAnsi="Arial" w:cs="Arial"/>
          <w:color w:val="000000"/>
          <w:sz w:val="16"/>
          <w:szCs w:val="16"/>
        </w:rPr>
        <w:t>Department</w:t>
      </w:r>
      <w:r w:rsidRPr="004E26ED">
        <w:rPr>
          <w:rFonts w:ascii="Arial" w:hAnsi="Arial" w:cs="Arial"/>
          <w:color w:val="000000"/>
          <w:sz w:val="16"/>
          <w:szCs w:val="16"/>
        </w:rPr>
        <w:t xml:space="preserve"> has undertaken a suite of assessment and assurance activities regarding performance measures since </w:t>
      </w:r>
      <w:r w:rsidRPr="00557DDF">
        <w:rPr>
          <w:rFonts w:ascii="Arial" w:hAnsi="Arial" w:cs="Arial"/>
          <w:color w:val="000000"/>
          <w:sz w:val="16"/>
          <w:szCs w:val="16"/>
        </w:rPr>
        <w:t>the 2022</w:t>
      </w:r>
      <w:r w:rsidR="00557DDF" w:rsidRPr="00557DDF">
        <w:rPr>
          <w:rFonts w:ascii="Arial" w:hAnsi="Arial" w:cs="Arial"/>
          <w:sz w:val="16"/>
          <w:szCs w:val="16"/>
        </w:rPr>
        <w:t>–</w:t>
      </w:r>
      <w:r w:rsidRPr="00557DDF">
        <w:rPr>
          <w:rFonts w:ascii="Arial" w:hAnsi="Arial" w:cs="Arial"/>
          <w:color w:val="000000"/>
          <w:sz w:val="16"/>
          <w:szCs w:val="16"/>
        </w:rPr>
        <w:t>23 Budget. As a result, a number of measures have been added, removed, or amended in the 2023</w:t>
      </w:r>
      <w:r w:rsidR="00557DDF" w:rsidRPr="00557DDF">
        <w:rPr>
          <w:rFonts w:ascii="Arial" w:hAnsi="Arial" w:cs="Arial"/>
          <w:sz w:val="16"/>
          <w:szCs w:val="16"/>
        </w:rPr>
        <w:t>–</w:t>
      </w:r>
      <w:r w:rsidRPr="00557DDF">
        <w:rPr>
          <w:rFonts w:ascii="Arial" w:hAnsi="Arial" w:cs="Arial"/>
          <w:color w:val="000000"/>
          <w:sz w:val="16"/>
          <w:szCs w:val="16"/>
        </w:rPr>
        <w:t>24 Portfolio</w:t>
      </w:r>
      <w:r w:rsidRPr="004E26ED">
        <w:rPr>
          <w:rFonts w:ascii="Arial" w:hAnsi="Arial" w:cs="Arial"/>
          <w:color w:val="000000"/>
          <w:sz w:val="16"/>
          <w:szCs w:val="16"/>
        </w:rPr>
        <w:t xml:space="preserve"> Budget Statements. Further details will be provided in the </w:t>
      </w:r>
      <w:r w:rsidR="0000369A">
        <w:rPr>
          <w:rFonts w:ascii="Arial" w:hAnsi="Arial" w:cs="Arial"/>
          <w:color w:val="000000"/>
          <w:sz w:val="16"/>
          <w:szCs w:val="16"/>
        </w:rPr>
        <w:t>Department’s</w:t>
      </w:r>
      <w:r w:rsidRPr="004E26ED">
        <w:rPr>
          <w:rFonts w:ascii="Arial" w:hAnsi="Arial" w:cs="Arial"/>
          <w:color w:val="000000"/>
          <w:sz w:val="16"/>
          <w:szCs w:val="16"/>
        </w:rPr>
        <w:t xml:space="preserve"> Corporate Plan 2023</w:t>
      </w:r>
      <w:r w:rsidR="00557DDF" w:rsidRPr="00557DDF">
        <w:rPr>
          <w:rFonts w:ascii="Arial" w:hAnsi="Arial" w:cs="Arial"/>
          <w:sz w:val="16"/>
          <w:szCs w:val="16"/>
        </w:rPr>
        <w:t>–</w:t>
      </w:r>
      <w:r w:rsidRPr="004E26ED">
        <w:rPr>
          <w:rFonts w:ascii="Arial" w:hAnsi="Arial" w:cs="Arial"/>
          <w:color w:val="000000"/>
          <w:sz w:val="16"/>
          <w:szCs w:val="16"/>
        </w:rPr>
        <w:t>24.  </w:t>
      </w:r>
    </w:p>
    <w:p w14:paraId="6A0CD5F3" w14:textId="77777777" w:rsidR="00115843" w:rsidRPr="007E0BF8" w:rsidRDefault="00115843" w:rsidP="00977C28">
      <w:pPr>
        <w:pStyle w:val="ListParagraph"/>
        <w:numPr>
          <w:ilvl w:val="0"/>
          <w:numId w:val="104"/>
        </w:numPr>
        <w:spacing w:after="0" w:line="240" w:lineRule="auto"/>
        <w:ind w:left="425" w:hanging="425"/>
        <w:rPr>
          <w:rFonts w:ascii="Arial" w:hAnsi="Arial" w:cs="Arial"/>
          <w:sz w:val="16"/>
          <w:szCs w:val="16"/>
        </w:rPr>
      </w:pPr>
      <w:r w:rsidRPr="007E0BF8">
        <w:rPr>
          <w:rFonts w:ascii="Arial" w:hAnsi="Arial" w:cs="Arial"/>
          <w:sz w:val="16"/>
          <w:szCs w:val="16"/>
        </w:rPr>
        <w:br w:type="page"/>
      </w:r>
    </w:p>
    <w:p w14:paraId="0978BA23" w14:textId="77777777" w:rsidR="00115843" w:rsidRPr="00C000B8" w:rsidRDefault="00115843" w:rsidP="00115843">
      <w:pPr>
        <w:pStyle w:val="Heading3-ITRDCA"/>
      </w:pPr>
      <w:bookmarkStart w:id="17" w:name="_Toc99101436"/>
      <w:bookmarkStart w:id="18" w:name="_Toc117242348"/>
      <w:r w:rsidRPr="00C000B8">
        <w:lastRenderedPageBreak/>
        <w:t xml:space="preserve">2.2 </w:t>
      </w:r>
      <w:r w:rsidRPr="00C000B8">
        <w:tab/>
        <w:t>Budgeted expenses and performance for Outcome 2</w:t>
      </w:r>
      <w:bookmarkEnd w:id="17"/>
      <w:bookmarkEnd w:id="18"/>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115843" w:rsidRPr="00FC696C" w14:paraId="72FCEDD2" w14:textId="77777777" w:rsidTr="00707BCF">
        <w:trPr>
          <w:trHeight w:val="193"/>
        </w:trPr>
        <w:tc>
          <w:tcPr>
            <w:tcW w:w="5000" w:type="pct"/>
            <w:shd w:val="clear" w:color="auto" w:fill="E6E6E6"/>
          </w:tcPr>
          <w:p w14:paraId="77898D41" w14:textId="77777777" w:rsidR="00115843" w:rsidRPr="00707BCF" w:rsidRDefault="00115843" w:rsidP="00FB0D02">
            <w:pPr>
              <w:spacing w:before="60" w:after="60" w:line="240" w:lineRule="auto"/>
              <w:rPr>
                <w:rFonts w:ascii="Arial" w:hAnsi="Arial"/>
                <w:b/>
              </w:rPr>
            </w:pPr>
            <w:r w:rsidRPr="00707BCF">
              <w:rPr>
                <w:rFonts w:ascii="Arial" w:hAnsi="Arial"/>
                <w:b/>
              </w:rPr>
              <w:t>Outcome 2: An efficient, sustainable, competitive, safe and secure transport system for all transport users through regulation, financial assistance and safety investigations</w:t>
            </w:r>
          </w:p>
        </w:tc>
      </w:tr>
    </w:tbl>
    <w:p w14:paraId="6C3C9130" w14:textId="77777777" w:rsidR="00115843" w:rsidRPr="005E6F2B" w:rsidRDefault="00115843" w:rsidP="00115843">
      <w:pPr>
        <w:pStyle w:val="NoSpacing"/>
      </w:pPr>
    </w:p>
    <w:p w14:paraId="6A9AE109" w14:textId="77777777" w:rsidR="00115843" w:rsidRDefault="00115843" w:rsidP="00115843">
      <w:pPr>
        <w:pStyle w:val="Heading4"/>
      </w:pPr>
      <w:r w:rsidRPr="005E6F2B">
        <w:t xml:space="preserve">Linked programs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115843" w:rsidRPr="00A26263" w14:paraId="78F88C02" w14:textId="77777777" w:rsidTr="00FB0D02">
        <w:trPr>
          <w:cantSplit/>
          <w:trHeight w:val="113"/>
        </w:trPr>
        <w:tc>
          <w:tcPr>
            <w:tcW w:w="5000" w:type="pct"/>
            <w:tcBorders>
              <w:top w:val="single" w:sz="4" w:space="0" w:color="auto"/>
              <w:left w:val="single" w:sz="4" w:space="0" w:color="auto"/>
              <w:bottom w:val="nil"/>
              <w:right w:val="single" w:sz="4" w:space="0" w:color="auto"/>
            </w:tcBorders>
          </w:tcPr>
          <w:p w14:paraId="52B80730" w14:textId="77777777" w:rsidR="00115843" w:rsidRPr="00A26263" w:rsidRDefault="00115843" w:rsidP="00FB0D02">
            <w:pPr>
              <w:spacing w:before="60" w:after="60" w:line="240" w:lineRule="auto"/>
              <w:rPr>
                <w:b/>
                <w:highlight w:val="yellow"/>
              </w:rPr>
            </w:pPr>
            <w:r w:rsidRPr="00A26263">
              <w:rPr>
                <w:b/>
                <w:lang w:val="x-none" w:eastAsia="x-none"/>
              </w:rPr>
              <w:t>Australian Trade and Investment Commission</w:t>
            </w:r>
          </w:p>
        </w:tc>
      </w:tr>
      <w:tr w:rsidR="00115843" w:rsidRPr="00A26263" w14:paraId="47F624A5" w14:textId="77777777" w:rsidTr="00FB0D02">
        <w:trPr>
          <w:cantSplit/>
          <w:trHeight w:val="113"/>
        </w:trPr>
        <w:tc>
          <w:tcPr>
            <w:tcW w:w="5000" w:type="pct"/>
            <w:tcBorders>
              <w:top w:val="nil"/>
              <w:left w:val="single" w:sz="4" w:space="0" w:color="auto"/>
              <w:bottom w:val="single" w:sz="4" w:space="0" w:color="auto"/>
              <w:right w:val="single" w:sz="4" w:space="0" w:color="auto"/>
            </w:tcBorders>
          </w:tcPr>
          <w:p w14:paraId="7220252E" w14:textId="77777777" w:rsidR="00115843" w:rsidRPr="00A26263" w:rsidRDefault="00115843" w:rsidP="00FB0D02">
            <w:pPr>
              <w:spacing w:before="60" w:after="60"/>
              <w:rPr>
                <w:b/>
                <w:lang w:val="x-none" w:eastAsia="x-none"/>
              </w:rPr>
            </w:pPr>
            <w:r w:rsidRPr="00A26263">
              <w:rPr>
                <w:b/>
                <w:lang w:val="x-none" w:eastAsia="x-none"/>
              </w:rPr>
              <w:t>Programs</w:t>
            </w:r>
          </w:p>
          <w:p w14:paraId="7EA208E1" w14:textId="77777777" w:rsidR="00314D2B" w:rsidRDefault="00314D2B" w:rsidP="00977C28">
            <w:pPr>
              <w:numPr>
                <w:ilvl w:val="0"/>
                <w:numId w:val="53"/>
              </w:numPr>
              <w:spacing w:before="60" w:after="60" w:line="240" w:lineRule="auto"/>
              <w:ind w:left="357" w:hanging="357"/>
              <w:rPr>
                <w:rFonts w:eastAsia="Calibri"/>
              </w:rPr>
            </w:pPr>
            <w:r>
              <w:rPr>
                <w:lang w:val="en-US"/>
              </w:rPr>
              <w:t>Program</w:t>
            </w:r>
            <w:r>
              <w:rPr>
                <w:rFonts w:eastAsia="Calibri"/>
              </w:rPr>
              <w:t xml:space="preserve"> 1.2: Programs to Promote Australia’s </w:t>
            </w:r>
            <w:r>
              <w:t>exporters to expand internationally, attract productive international investment, and grow the visitor economy</w:t>
            </w:r>
          </w:p>
          <w:p w14:paraId="293B95E7" w14:textId="77777777" w:rsidR="00314D2B" w:rsidRDefault="00314D2B" w:rsidP="00314D2B">
            <w:pPr>
              <w:spacing w:before="60" w:after="120" w:line="240" w:lineRule="auto"/>
              <w:rPr>
                <w:rFonts w:eastAsiaTheme="minorHAnsi"/>
                <w:b/>
                <w:lang w:val="x-none" w:eastAsia="x-none"/>
              </w:rPr>
            </w:pPr>
            <w:r>
              <w:rPr>
                <w:rFonts w:eastAsiaTheme="minorHAnsi"/>
                <w:b/>
                <w:lang w:val="x-none" w:eastAsia="x-none"/>
              </w:rPr>
              <w:t>Contribution to Outcome 2 made by linked programs</w:t>
            </w:r>
          </w:p>
          <w:p w14:paraId="5E5397DF" w14:textId="24CBFAE1" w:rsidR="00115843" w:rsidRPr="00A26263" w:rsidRDefault="00314D2B" w:rsidP="00314D2B">
            <w:pPr>
              <w:spacing w:after="60" w:line="240" w:lineRule="auto"/>
              <w:rPr>
                <w:rFonts w:eastAsiaTheme="minorHAnsi"/>
                <w:b/>
              </w:rPr>
            </w:pPr>
            <w:r>
              <w:rPr>
                <w:rFonts w:eastAsiaTheme="minorHAnsi"/>
                <w:lang w:val="x-none" w:eastAsia="x-none"/>
              </w:rPr>
              <w:t>The Department</w:t>
            </w:r>
            <w:r w:rsidR="00383FD5">
              <w:rPr>
                <w:rFonts w:eastAsiaTheme="minorHAnsi"/>
                <w:lang w:val="en-US" w:eastAsia="x-none"/>
              </w:rPr>
              <w:t xml:space="preserve"> </w:t>
            </w:r>
            <w:r>
              <w:rPr>
                <w:rFonts w:eastAsiaTheme="minorHAnsi"/>
                <w:lang w:val="x-none" w:eastAsia="x-none"/>
              </w:rPr>
              <w:t xml:space="preserve">works closely with the Australian Trade and Investment Commission (Austrade) </w:t>
            </w:r>
            <w:r>
              <w:rPr>
                <w:rFonts w:eastAsiaTheme="minorHAnsi"/>
                <w:lang w:eastAsia="x-none"/>
              </w:rPr>
              <w:t>to support tourism demand</w:t>
            </w:r>
            <w:r w:rsidR="00F94BB7">
              <w:rPr>
                <w:rFonts w:eastAsiaTheme="minorHAnsi"/>
                <w:lang w:eastAsia="x-none"/>
              </w:rPr>
              <w:t xml:space="preserve"> </w:t>
            </w:r>
            <w:r>
              <w:rPr>
                <w:rFonts w:eastAsiaTheme="minorHAnsi"/>
                <w:lang w:eastAsia="x-none"/>
              </w:rPr>
              <w:t>driving infrastructure in Australia’s regions through regional grants programs.</w:t>
            </w:r>
            <w:r>
              <w:rPr>
                <w:rFonts w:eastAsiaTheme="minorHAnsi"/>
                <w:lang w:val="x-none" w:eastAsia="x-none"/>
              </w:rPr>
              <w:t xml:space="preserve"> </w:t>
            </w:r>
            <w:r>
              <w:rPr>
                <w:rFonts w:ascii="Times New Roman" w:eastAsiaTheme="minorHAnsi" w:hAnsi="Times New Roman"/>
                <w:szCs w:val="24"/>
              </w:rPr>
              <w:t xml:space="preserve"> </w:t>
            </w:r>
          </w:p>
        </w:tc>
      </w:tr>
      <w:tr w:rsidR="00115843" w:rsidRPr="00A26263" w14:paraId="362F4E6C" w14:textId="77777777" w:rsidTr="00FB0D02">
        <w:trPr>
          <w:trHeight w:val="2156"/>
          <w:tblHeader/>
        </w:trPr>
        <w:tc>
          <w:tcPr>
            <w:tcW w:w="5000" w:type="pct"/>
          </w:tcPr>
          <w:p w14:paraId="48E8B797" w14:textId="77777777" w:rsidR="00115843" w:rsidRPr="00A26263" w:rsidRDefault="00115843" w:rsidP="00FB0D02">
            <w:pPr>
              <w:spacing w:before="60" w:after="60" w:line="240" w:lineRule="auto"/>
              <w:rPr>
                <w:b/>
              </w:rPr>
            </w:pPr>
            <w:r w:rsidRPr="00A26263">
              <w:rPr>
                <w:b/>
              </w:rPr>
              <w:t>Services Australia</w:t>
            </w:r>
          </w:p>
          <w:p w14:paraId="22D7FA0B" w14:textId="77777777" w:rsidR="00115843" w:rsidRPr="00A26263" w:rsidRDefault="00115843" w:rsidP="00373ADD">
            <w:pPr>
              <w:spacing w:before="120" w:after="60" w:line="240" w:lineRule="auto"/>
              <w:rPr>
                <w:b/>
              </w:rPr>
            </w:pPr>
            <w:r w:rsidRPr="00A26263">
              <w:rPr>
                <w:b/>
              </w:rPr>
              <w:t>Programs</w:t>
            </w:r>
          </w:p>
          <w:p w14:paraId="5B3A86D2" w14:textId="77777777" w:rsidR="00314D2B" w:rsidRDefault="00314D2B" w:rsidP="00977C28">
            <w:pPr>
              <w:numPr>
                <w:ilvl w:val="0"/>
                <w:numId w:val="53"/>
              </w:numPr>
              <w:spacing w:before="60" w:after="60" w:line="240" w:lineRule="auto"/>
              <w:rPr>
                <w:lang w:val="en-US"/>
              </w:rPr>
            </w:pPr>
            <w:r>
              <w:rPr>
                <w:lang w:val="en-US"/>
              </w:rPr>
              <w:t>Program 1.1 – Strategy and Corporate Enabling</w:t>
            </w:r>
          </w:p>
          <w:p w14:paraId="6F52FF4D" w14:textId="77777777" w:rsidR="00314D2B" w:rsidRDefault="00314D2B" w:rsidP="00977C28">
            <w:pPr>
              <w:numPr>
                <w:ilvl w:val="0"/>
                <w:numId w:val="53"/>
              </w:numPr>
              <w:spacing w:before="60" w:after="60" w:line="240" w:lineRule="auto"/>
              <w:rPr>
                <w:lang w:val="en-US"/>
              </w:rPr>
            </w:pPr>
            <w:r>
              <w:rPr>
                <w:lang w:val="en-US"/>
              </w:rPr>
              <w:t>Program 1.2 – Customer Service Delivery</w:t>
            </w:r>
          </w:p>
          <w:p w14:paraId="5E192515" w14:textId="77777777" w:rsidR="00314D2B" w:rsidRDefault="00314D2B" w:rsidP="00977C28">
            <w:pPr>
              <w:numPr>
                <w:ilvl w:val="0"/>
                <w:numId w:val="53"/>
              </w:numPr>
              <w:spacing w:before="60" w:after="60" w:line="240" w:lineRule="auto"/>
              <w:rPr>
                <w:lang w:val="en-US"/>
              </w:rPr>
            </w:pPr>
            <w:r>
              <w:rPr>
                <w:lang w:val="en-US"/>
              </w:rPr>
              <w:t>Program 1.3 – Technology and Transformation</w:t>
            </w:r>
          </w:p>
          <w:p w14:paraId="05B07711" w14:textId="77777777" w:rsidR="00314D2B" w:rsidRDefault="00314D2B" w:rsidP="00314D2B">
            <w:pPr>
              <w:spacing w:before="60" w:after="60" w:line="240" w:lineRule="auto"/>
              <w:rPr>
                <w:b/>
                <w:i/>
              </w:rPr>
            </w:pPr>
            <w:r>
              <w:rPr>
                <w:b/>
                <w:lang w:val="en-US"/>
              </w:rPr>
              <w:t>Contribution to Outcome 2 made by linked programs</w:t>
            </w:r>
          </w:p>
          <w:p w14:paraId="555843D6" w14:textId="5DD471E2" w:rsidR="00115843" w:rsidRPr="00A26263" w:rsidRDefault="00314D2B" w:rsidP="00314D2B">
            <w:pPr>
              <w:spacing w:after="60" w:line="240" w:lineRule="auto"/>
            </w:pPr>
            <w:r>
              <w:t>The above linkage relates to payments made by Services Australia on behalf of the Department for the Tasmanian Freight Equalisation Scheme and the Bass Strait Passenger Vehicle Equalisation Scheme.</w:t>
            </w:r>
          </w:p>
        </w:tc>
      </w:tr>
    </w:tbl>
    <w:p w14:paraId="4FE04B5E" w14:textId="77777777" w:rsidR="00115843" w:rsidRDefault="00115843" w:rsidP="00115843">
      <w:pPr>
        <w:rPr>
          <w:rFonts w:ascii="Arial Bold" w:hAnsi="Arial Bold"/>
        </w:rPr>
      </w:pPr>
      <w:r>
        <w:br w:type="page"/>
      </w:r>
    </w:p>
    <w:p w14:paraId="6AB82F96" w14:textId="77777777" w:rsidR="00115843" w:rsidRDefault="00115843" w:rsidP="00115843">
      <w:pPr>
        <w:pStyle w:val="Heading4"/>
      </w:pPr>
      <w:r w:rsidRPr="00446612">
        <w:lastRenderedPageBreak/>
        <w:t xml:space="preserve">Budgeted expenses for Outcome </w:t>
      </w:r>
      <w:r>
        <w:t>2</w:t>
      </w:r>
    </w:p>
    <w:p w14:paraId="3706708C" w14:textId="77777777" w:rsidR="00115843" w:rsidRPr="00541FB4" w:rsidRDefault="00115843" w:rsidP="00115843">
      <w:r w:rsidRPr="00541FB4">
        <w:t xml:space="preserve">This table shows how much the </w:t>
      </w:r>
      <w:r>
        <w:t>Department</w:t>
      </w:r>
      <w:r w:rsidRPr="00541FB4">
        <w:t xml:space="preserve"> intends to spend (on an accrual basis) on achieving the outcome, broken down by program, as well as by </w:t>
      </w:r>
      <w:r>
        <w:t>a</w:t>
      </w:r>
      <w:r w:rsidRPr="00541FB4">
        <w:t xml:space="preserve">dministered and </w:t>
      </w:r>
      <w:r>
        <w:t>d</w:t>
      </w:r>
      <w:r w:rsidRPr="00541FB4">
        <w:t>epartmental funding sources.</w:t>
      </w:r>
    </w:p>
    <w:p w14:paraId="0D1889A6" w14:textId="77777777" w:rsidR="00115843" w:rsidRDefault="00115843" w:rsidP="00115843">
      <w:pPr>
        <w:pStyle w:val="TableHeadingcontinued"/>
      </w:pPr>
      <w:r w:rsidRPr="00AD42E2">
        <w:t>Table 2.</w:t>
      </w:r>
      <w:r>
        <w:t>2</w:t>
      </w:r>
      <w:r w:rsidRPr="00AD42E2">
        <w:t>.</w:t>
      </w:r>
      <w:r>
        <w:t>1</w:t>
      </w:r>
      <w:r w:rsidRPr="00AD42E2">
        <w:t xml:space="preserve">: Budgeted expenses for Outcome </w:t>
      </w:r>
      <w:r>
        <w:t xml:space="preserve">2 </w:t>
      </w:r>
    </w:p>
    <w:tbl>
      <w:tblPr>
        <w:tblW w:w="5000" w:type="pct"/>
        <w:tblLook w:val="04A0" w:firstRow="1" w:lastRow="0" w:firstColumn="1" w:lastColumn="0" w:noHBand="0" w:noVBand="1"/>
      </w:tblPr>
      <w:tblGrid>
        <w:gridCol w:w="3233"/>
        <w:gridCol w:w="898"/>
        <w:gridCol w:w="30"/>
        <w:gridCol w:w="864"/>
        <w:gridCol w:w="11"/>
        <w:gridCol w:w="876"/>
        <w:gridCol w:w="9"/>
        <w:gridCol w:w="867"/>
        <w:gridCol w:w="29"/>
        <w:gridCol w:w="847"/>
        <w:gridCol w:w="46"/>
      </w:tblGrid>
      <w:tr w:rsidR="00B85A2A" w:rsidRPr="00A86423" w14:paraId="15DDFB85" w14:textId="77777777" w:rsidTr="006E0842">
        <w:trPr>
          <w:gridAfter w:val="1"/>
          <w:wAfter w:w="30" w:type="pct"/>
          <w:trHeight w:val="204"/>
        </w:trPr>
        <w:tc>
          <w:tcPr>
            <w:tcW w:w="2097" w:type="pct"/>
            <w:tcBorders>
              <w:top w:val="single" w:sz="4" w:space="0" w:color="auto"/>
              <w:left w:val="nil"/>
              <w:bottom w:val="nil"/>
              <w:right w:val="nil"/>
            </w:tcBorders>
            <w:shd w:val="clear" w:color="auto" w:fill="auto"/>
            <w:noWrap/>
            <w:vAlign w:val="bottom"/>
            <w:hideMark/>
          </w:tcPr>
          <w:p w14:paraId="5642DABA" w14:textId="77777777" w:rsidR="00B85A2A" w:rsidRPr="00A86423" w:rsidRDefault="00B85A2A" w:rsidP="00B85A2A">
            <w:pPr>
              <w:spacing w:after="0" w:line="240" w:lineRule="auto"/>
              <w:rPr>
                <w:rFonts w:ascii="Arial" w:hAnsi="Arial" w:cs="Arial"/>
                <w:sz w:val="16"/>
                <w:szCs w:val="16"/>
              </w:rPr>
            </w:pPr>
            <w:r w:rsidRPr="00A86423">
              <w:rPr>
                <w:rFonts w:ascii="Arial" w:hAnsi="Arial" w:cs="Arial"/>
                <w:sz w:val="16"/>
                <w:szCs w:val="16"/>
              </w:rPr>
              <w:t> </w:t>
            </w:r>
          </w:p>
        </w:tc>
        <w:tc>
          <w:tcPr>
            <w:tcW w:w="602" w:type="pct"/>
            <w:gridSpan w:val="2"/>
            <w:tcBorders>
              <w:top w:val="single" w:sz="4" w:space="0" w:color="auto"/>
              <w:left w:val="nil"/>
              <w:bottom w:val="nil"/>
              <w:right w:val="nil"/>
            </w:tcBorders>
            <w:shd w:val="clear" w:color="auto" w:fill="auto"/>
            <w:vAlign w:val="bottom"/>
            <w:hideMark/>
          </w:tcPr>
          <w:p w14:paraId="5DCDE7F6" w14:textId="77777777" w:rsidR="00B85A2A" w:rsidRPr="00A86423" w:rsidRDefault="00B85A2A" w:rsidP="00B85A2A">
            <w:pPr>
              <w:spacing w:after="0" w:line="240" w:lineRule="auto"/>
              <w:jc w:val="right"/>
              <w:rPr>
                <w:rFonts w:ascii="Arial" w:hAnsi="Arial" w:cs="Arial"/>
                <w:sz w:val="16"/>
                <w:szCs w:val="16"/>
              </w:rPr>
            </w:pPr>
            <w:r w:rsidRPr="00A86423">
              <w:rPr>
                <w:rFonts w:ascii="Arial" w:hAnsi="Arial" w:cs="Arial"/>
                <w:sz w:val="16"/>
                <w:szCs w:val="16"/>
              </w:rPr>
              <w:t>2022-23</w:t>
            </w:r>
            <w:r w:rsidRPr="00A86423">
              <w:rPr>
                <w:rFonts w:ascii="Arial" w:hAnsi="Arial" w:cs="Arial"/>
                <w:sz w:val="16"/>
                <w:szCs w:val="16"/>
              </w:rPr>
              <w:br/>
              <w:t>Estimated  actual</w:t>
            </w:r>
            <w:r w:rsidRPr="00A86423">
              <w:rPr>
                <w:rFonts w:ascii="Arial" w:hAnsi="Arial" w:cs="Arial"/>
                <w:sz w:val="16"/>
                <w:szCs w:val="16"/>
              </w:rPr>
              <w:br/>
              <w:t>$'000</w:t>
            </w:r>
          </w:p>
        </w:tc>
        <w:tc>
          <w:tcPr>
            <w:tcW w:w="567" w:type="pct"/>
            <w:gridSpan w:val="2"/>
            <w:tcBorders>
              <w:top w:val="single" w:sz="4" w:space="0" w:color="auto"/>
              <w:left w:val="nil"/>
              <w:bottom w:val="nil"/>
              <w:right w:val="nil"/>
            </w:tcBorders>
            <w:shd w:val="clear" w:color="000000" w:fill="E6E6E6"/>
            <w:vAlign w:val="bottom"/>
            <w:hideMark/>
          </w:tcPr>
          <w:p w14:paraId="3F48B2C4" w14:textId="77777777" w:rsidR="00B85A2A" w:rsidRPr="00A86423" w:rsidRDefault="00B85A2A" w:rsidP="00B85A2A">
            <w:pPr>
              <w:spacing w:after="0" w:line="240" w:lineRule="auto"/>
              <w:jc w:val="right"/>
              <w:rPr>
                <w:rFonts w:ascii="Arial" w:hAnsi="Arial" w:cs="Arial"/>
                <w:sz w:val="16"/>
                <w:szCs w:val="16"/>
              </w:rPr>
            </w:pPr>
            <w:r w:rsidRPr="00A86423">
              <w:rPr>
                <w:rFonts w:ascii="Arial" w:hAnsi="Arial" w:cs="Arial"/>
                <w:sz w:val="16"/>
                <w:szCs w:val="16"/>
              </w:rPr>
              <w:t>2023-24</w:t>
            </w:r>
            <w:r w:rsidRPr="00A86423">
              <w:rPr>
                <w:rFonts w:ascii="Arial" w:hAnsi="Arial" w:cs="Arial"/>
                <w:sz w:val="16"/>
                <w:szCs w:val="16"/>
              </w:rPr>
              <w:br/>
              <w:t xml:space="preserve"> Budget</w:t>
            </w:r>
            <w:r w:rsidRPr="00A86423">
              <w:rPr>
                <w:rFonts w:ascii="Arial" w:hAnsi="Arial" w:cs="Arial"/>
                <w:sz w:val="16"/>
                <w:szCs w:val="16"/>
              </w:rPr>
              <w:br/>
              <w:t xml:space="preserve">                                      $'000</w:t>
            </w:r>
          </w:p>
        </w:tc>
        <w:tc>
          <w:tcPr>
            <w:tcW w:w="568" w:type="pct"/>
            <w:tcBorders>
              <w:top w:val="single" w:sz="4" w:space="0" w:color="auto"/>
              <w:left w:val="nil"/>
              <w:bottom w:val="nil"/>
              <w:right w:val="nil"/>
            </w:tcBorders>
            <w:shd w:val="clear" w:color="auto" w:fill="auto"/>
            <w:vAlign w:val="bottom"/>
            <w:hideMark/>
          </w:tcPr>
          <w:p w14:paraId="62FEE058" w14:textId="77777777" w:rsidR="00B85A2A" w:rsidRPr="00A86423" w:rsidRDefault="00B85A2A" w:rsidP="00B85A2A">
            <w:pPr>
              <w:spacing w:after="0" w:line="240" w:lineRule="auto"/>
              <w:jc w:val="right"/>
              <w:rPr>
                <w:rFonts w:ascii="Arial" w:hAnsi="Arial" w:cs="Arial"/>
                <w:sz w:val="16"/>
                <w:szCs w:val="16"/>
              </w:rPr>
            </w:pPr>
            <w:r w:rsidRPr="00A86423">
              <w:rPr>
                <w:rFonts w:ascii="Arial" w:hAnsi="Arial" w:cs="Arial"/>
                <w:sz w:val="16"/>
                <w:szCs w:val="16"/>
              </w:rPr>
              <w:t>2024-25</w:t>
            </w:r>
            <w:r w:rsidRPr="00A86423">
              <w:rPr>
                <w:rFonts w:ascii="Arial" w:hAnsi="Arial" w:cs="Arial"/>
                <w:sz w:val="16"/>
                <w:szCs w:val="16"/>
              </w:rPr>
              <w:br/>
              <w:t>Forward estimate</w:t>
            </w:r>
            <w:r w:rsidRPr="00A86423">
              <w:rPr>
                <w:rFonts w:ascii="Arial" w:hAnsi="Arial" w:cs="Arial"/>
                <w:sz w:val="16"/>
                <w:szCs w:val="16"/>
              </w:rPr>
              <w:br/>
              <w:t>$'000</w:t>
            </w:r>
          </w:p>
        </w:tc>
        <w:tc>
          <w:tcPr>
            <w:tcW w:w="568" w:type="pct"/>
            <w:gridSpan w:val="2"/>
            <w:tcBorders>
              <w:top w:val="single" w:sz="4" w:space="0" w:color="auto"/>
              <w:left w:val="nil"/>
              <w:bottom w:val="nil"/>
              <w:right w:val="nil"/>
            </w:tcBorders>
            <w:shd w:val="clear" w:color="auto" w:fill="auto"/>
            <w:vAlign w:val="bottom"/>
            <w:hideMark/>
          </w:tcPr>
          <w:p w14:paraId="66F17352" w14:textId="77777777" w:rsidR="00B85A2A" w:rsidRPr="00A86423" w:rsidRDefault="00B85A2A" w:rsidP="00B85A2A">
            <w:pPr>
              <w:spacing w:after="0" w:line="240" w:lineRule="auto"/>
              <w:jc w:val="right"/>
              <w:rPr>
                <w:rFonts w:ascii="Arial" w:hAnsi="Arial" w:cs="Arial"/>
                <w:sz w:val="16"/>
                <w:szCs w:val="16"/>
              </w:rPr>
            </w:pPr>
            <w:r w:rsidRPr="00A86423">
              <w:rPr>
                <w:rFonts w:ascii="Arial" w:hAnsi="Arial" w:cs="Arial"/>
                <w:sz w:val="16"/>
                <w:szCs w:val="16"/>
              </w:rPr>
              <w:t>2025-26</w:t>
            </w:r>
            <w:r w:rsidRPr="00A86423">
              <w:rPr>
                <w:rFonts w:ascii="Arial" w:hAnsi="Arial" w:cs="Arial"/>
                <w:sz w:val="16"/>
                <w:szCs w:val="16"/>
              </w:rPr>
              <w:br/>
              <w:t>Forward estimate</w:t>
            </w:r>
            <w:r w:rsidRPr="00A86423">
              <w:rPr>
                <w:rFonts w:ascii="Arial" w:hAnsi="Arial" w:cs="Arial"/>
                <w:sz w:val="16"/>
                <w:szCs w:val="16"/>
              </w:rPr>
              <w:br/>
              <w:t>$'000</w:t>
            </w:r>
          </w:p>
        </w:tc>
        <w:tc>
          <w:tcPr>
            <w:tcW w:w="568" w:type="pct"/>
            <w:gridSpan w:val="2"/>
            <w:tcBorders>
              <w:top w:val="single" w:sz="4" w:space="0" w:color="auto"/>
              <w:left w:val="nil"/>
              <w:bottom w:val="nil"/>
              <w:right w:val="nil"/>
            </w:tcBorders>
            <w:shd w:val="clear" w:color="auto" w:fill="auto"/>
            <w:vAlign w:val="bottom"/>
            <w:hideMark/>
          </w:tcPr>
          <w:p w14:paraId="57E20B72" w14:textId="77777777" w:rsidR="00B85A2A" w:rsidRPr="00A86423" w:rsidRDefault="00B85A2A" w:rsidP="00B85A2A">
            <w:pPr>
              <w:spacing w:after="0" w:line="240" w:lineRule="auto"/>
              <w:jc w:val="right"/>
              <w:rPr>
                <w:rFonts w:ascii="Arial" w:hAnsi="Arial" w:cs="Arial"/>
                <w:sz w:val="16"/>
                <w:szCs w:val="16"/>
              </w:rPr>
            </w:pPr>
            <w:r w:rsidRPr="00A86423">
              <w:rPr>
                <w:rFonts w:ascii="Arial" w:hAnsi="Arial" w:cs="Arial"/>
                <w:sz w:val="16"/>
                <w:szCs w:val="16"/>
              </w:rPr>
              <w:t>2026-27</w:t>
            </w:r>
            <w:r w:rsidRPr="00A86423">
              <w:rPr>
                <w:rFonts w:ascii="Arial" w:hAnsi="Arial" w:cs="Arial"/>
                <w:sz w:val="16"/>
                <w:szCs w:val="16"/>
              </w:rPr>
              <w:br/>
              <w:t>Forward estimate</w:t>
            </w:r>
            <w:r w:rsidRPr="00A86423">
              <w:rPr>
                <w:rFonts w:ascii="Arial" w:hAnsi="Arial" w:cs="Arial"/>
                <w:sz w:val="16"/>
                <w:szCs w:val="16"/>
              </w:rPr>
              <w:br/>
              <w:t>$'000</w:t>
            </w:r>
          </w:p>
        </w:tc>
      </w:tr>
      <w:tr w:rsidR="00B85A2A" w:rsidRPr="00A86423" w14:paraId="69425C07" w14:textId="77777777" w:rsidTr="006E0842">
        <w:trPr>
          <w:gridAfter w:val="1"/>
          <w:wAfter w:w="30" w:type="pct"/>
          <w:trHeight w:val="204"/>
        </w:trPr>
        <w:tc>
          <w:tcPr>
            <w:tcW w:w="2097" w:type="pct"/>
            <w:tcBorders>
              <w:top w:val="single" w:sz="4" w:space="0" w:color="auto"/>
              <w:left w:val="nil"/>
              <w:bottom w:val="single" w:sz="4" w:space="0" w:color="auto"/>
              <w:right w:val="nil"/>
            </w:tcBorders>
            <w:shd w:val="clear" w:color="000000" w:fill="E6E6E6"/>
            <w:noWrap/>
            <w:vAlign w:val="bottom"/>
            <w:hideMark/>
          </w:tcPr>
          <w:p w14:paraId="0006CE66" w14:textId="77777777" w:rsidR="00B85A2A" w:rsidRPr="00A86423" w:rsidRDefault="00B85A2A" w:rsidP="00B85A2A">
            <w:pPr>
              <w:spacing w:after="0" w:line="240" w:lineRule="auto"/>
              <w:rPr>
                <w:rFonts w:ascii="Arial" w:hAnsi="Arial" w:cs="Arial"/>
                <w:b/>
                <w:bCs/>
                <w:sz w:val="16"/>
                <w:szCs w:val="16"/>
              </w:rPr>
            </w:pPr>
            <w:r w:rsidRPr="00A86423">
              <w:rPr>
                <w:rFonts w:ascii="Arial" w:hAnsi="Arial" w:cs="Arial"/>
                <w:b/>
                <w:bCs/>
                <w:sz w:val="16"/>
                <w:szCs w:val="16"/>
              </w:rPr>
              <w:t xml:space="preserve">Program 2.1: Surface Transport </w:t>
            </w:r>
          </w:p>
        </w:tc>
        <w:tc>
          <w:tcPr>
            <w:tcW w:w="602" w:type="pct"/>
            <w:gridSpan w:val="2"/>
            <w:tcBorders>
              <w:top w:val="single" w:sz="4" w:space="0" w:color="auto"/>
              <w:left w:val="nil"/>
              <w:bottom w:val="single" w:sz="4" w:space="0" w:color="auto"/>
              <w:right w:val="nil"/>
            </w:tcBorders>
            <w:shd w:val="clear" w:color="000000" w:fill="E6E6E6"/>
            <w:noWrap/>
            <w:vAlign w:val="bottom"/>
            <w:hideMark/>
          </w:tcPr>
          <w:p w14:paraId="2028D18F" w14:textId="77777777"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 </w:t>
            </w:r>
          </w:p>
        </w:tc>
        <w:tc>
          <w:tcPr>
            <w:tcW w:w="567" w:type="pct"/>
            <w:gridSpan w:val="2"/>
            <w:tcBorders>
              <w:top w:val="single" w:sz="4" w:space="0" w:color="auto"/>
              <w:left w:val="nil"/>
              <w:bottom w:val="single" w:sz="4" w:space="0" w:color="auto"/>
              <w:right w:val="nil"/>
            </w:tcBorders>
            <w:shd w:val="clear" w:color="000000" w:fill="E6E6E6"/>
            <w:noWrap/>
            <w:vAlign w:val="bottom"/>
            <w:hideMark/>
          </w:tcPr>
          <w:p w14:paraId="58FC1EC2" w14:textId="77777777"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 </w:t>
            </w:r>
          </w:p>
        </w:tc>
        <w:tc>
          <w:tcPr>
            <w:tcW w:w="568" w:type="pct"/>
            <w:tcBorders>
              <w:top w:val="single" w:sz="4" w:space="0" w:color="auto"/>
              <w:left w:val="nil"/>
              <w:bottom w:val="single" w:sz="4" w:space="0" w:color="auto"/>
              <w:right w:val="nil"/>
            </w:tcBorders>
            <w:shd w:val="clear" w:color="000000" w:fill="E6E6E6"/>
            <w:noWrap/>
            <w:vAlign w:val="bottom"/>
            <w:hideMark/>
          </w:tcPr>
          <w:p w14:paraId="5B34EEB6" w14:textId="77777777"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 </w:t>
            </w:r>
          </w:p>
        </w:tc>
        <w:tc>
          <w:tcPr>
            <w:tcW w:w="568" w:type="pct"/>
            <w:gridSpan w:val="2"/>
            <w:tcBorders>
              <w:top w:val="single" w:sz="4" w:space="0" w:color="auto"/>
              <w:left w:val="nil"/>
              <w:bottom w:val="single" w:sz="4" w:space="0" w:color="auto"/>
              <w:right w:val="nil"/>
            </w:tcBorders>
            <w:shd w:val="clear" w:color="000000" w:fill="E6E6E6"/>
            <w:noWrap/>
            <w:vAlign w:val="bottom"/>
            <w:hideMark/>
          </w:tcPr>
          <w:p w14:paraId="18B6AE16" w14:textId="77777777"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 </w:t>
            </w:r>
          </w:p>
        </w:tc>
        <w:tc>
          <w:tcPr>
            <w:tcW w:w="568" w:type="pct"/>
            <w:gridSpan w:val="2"/>
            <w:tcBorders>
              <w:top w:val="single" w:sz="4" w:space="0" w:color="auto"/>
              <w:left w:val="nil"/>
              <w:bottom w:val="single" w:sz="4" w:space="0" w:color="auto"/>
              <w:right w:val="nil"/>
            </w:tcBorders>
            <w:shd w:val="clear" w:color="000000" w:fill="E6E6E6"/>
            <w:noWrap/>
            <w:vAlign w:val="bottom"/>
            <w:hideMark/>
          </w:tcPr>
          <w:p w14:paraId="33414009" w14:textId="77777777"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 </w:t>
            </w:r>
          </w:p>
        </w:tc>
      </w:tr>
      <w:tr w:rsidR="00B85A2A" w:rsidRPr="00A86423" w14:paraId="390D3663" w14:textId="77777777" w:rsidTr="006E0842">
        <w:trPr>
          <w:gridAfter w:val="1"/>
          <w:wAfter w:w="30" w:type="pct"/>
          <w:trHeight w:val="204"/>
        </w:trPr>
        <w:tc>
          <w:tcPr>
            <w:tcW w:w="2097" w:type="pct"/>
            <w:tcBorders>
              <w:top w:val="nil"/>
              <w:left w:val="nil"/>
              <w:bottom w:val="nil"/>
              <w:right w:val="nil"/>
            </w:tcBorders>
            <w:shd w:val="clear" w:color="auto" w:fill="auto"/>
            <w:noWrap/>
            <w:vAlign w:val="bottom"/>
            <w:hideMark/>
          </w:tcPr>
          <w:p w14:paraId="31D172AD" w14:textId="77777777" w:rsidR="00B85A2A" w:rsidRPr="00A86423" w:rsidRDefault="00B85A2A" w:rsidP="00B85A2A">
            <w:pPr>
              <w:spacing w:after="0" w:line="240" w:lineRule="auto"/>
              <w:rPr>
                <w:rFonts w:ascii="Arial" w:hAnsi="Arial" w:cs="Arial"/>
                <w:sz w:val="16"/>
                <w:szCs w:val="16"/>
              </w:rPr>
            </w:pPr>
            <w:r w:rsidRPr="00A86423">
              <w:rPr>
                <w:rFonts w:ascii="Arial" w:hAnsi="Arial" w:cs="Arial"/>
                <w:sz w:val="16"/>
                <w:szCs w:val="16"/>
              </w:rPr>
              <w:t>Administered expenses</w:t>
            </w:r>
          </w:p>
        </w:tc>
        <w:tc>
          <w:tcPr>
            <w:tcW w:w="602" w:type="pct"/>
            <w:gridSpan w:val="2"/>
            <w:tcBorders>
              <w:top w:val="nil"/>
              <w:left w:val="nil"/>
              <w:bottom w:val="nil"/>
              <w:right w:val="nil"/>
            </w:tcBorders>
            <w:shd w:val="clear" w:color="auto" w:fill="auto"/>
            <w:noWrap/>
            <w:vAlign w:val="bottom"/>
            <w:hideMark/>
          </w:tcPr>
          <w:p w14:paraId="4B293389" w14:textId="77777777" w:rsidR="00B85A2A" w:rsidRPr="00A86423" w:rsidRDefault="00B85A2A" w:rsidP="00E84A95">
            <w:pPr>
              <w:spacing w:after="0" w:line="240" w:lineRule="auto"/>
              <w:jc w:val="right"/>
              <w:rPr>
                <w:rFonts w:ascii="Arial" w:hAnsi="Arial" w:cs="Arial"/>
                <w:sz w:val="16"/>
                <w:szCs w:val="16"/>
              </w:rPr>
            </w:pPr>
          </w:p>
        </w:tc>
        <w:tc>
          <w:tcPr>
            <w:tcW w:w="567" w:type="pct"/>
            <w:gridSpan w:val="2"/>
            <w:tcBorders>
              <w:top w:val="nil"/>
              <w:left w:val="nil"/>
              <w:bottom w:val="nil"/>
              <w:right w:val="nil"/>
            </w:tcBorders>
            <w:shd w:val="clear" w:color="000000" w:fill="E6E6E6"/>
            <w:noWrap/>
            <w:vAlign w:val="bottom"/>
            <w:hideMark/>
          </w:tcPr>
          <w:p w14:paraId="06AADCB3" w14:textId="117F1591" w:rsidR="00B85A2A" w:rsidRPr="00A86423" w:rsidRDefault="00B85A2A" w:rsidP="00E84A95">
            <w:pPr>
              <w:spacing w:after="0" w:line="240" w:lineRule="auto"/>
              <w:jc w:val="right"/>
              <w:rPr>
                <w:rFonts w:ascii="Arial" w:hAnsi="Arial" w:cs="Arial"/>
                <w:sz w:val="16"/>
                <w:szCs w:val="16"/>
              </w:rPr>
            </w:pPr>
          </w:p>
        </w:tc>
        <w:tc>
          <w:tcPr>
            <w:tcW w:w="568" w:type="pct"/>
            <w:tcBorders>
              <w:top w:val="nil"/>
              <w:left w:val="nil"/>
              <w:bottom w:val="nil"/>
              <w:right w:val="nil"/>
            </w:tcBorders>
            <w:shd w:val="clear" w:color="auto" w:fill="auto"/>
            <w:noWrap/>
            <w:vAlign w:val="bottom"/>
            <w:hideMark/>
          </w:tcPr>
          <w:p w14:paraId="63E16EE8" w14:textId="77777777" w:rsidR="00B85A2A" w:rsidRPr="00A86423" w:rsidRDefault="00B85A2A" w:rsidP="00E84A95">
            <w:pPr>
              <w:spacing w:after="0" w:line="240" w:lineRule="auto"/>
              <w:jc w:val="right"/>
              <w:rPr>
                <w:rFonts w:ascii="Arial" w:hAnsi="Arial" w:cs="Arial"/>
                <w:sz w:val="16"/>
                <w:szCs w:val="16"/>
              </w:rPr>
            </w:pPr>
          </w:p>
        </w:tc>
        <w:tc>
          <w:tcPr>
            <w:tcW w:w="568" w:type="pct"/>
            <w:gridSpan w:val="2"/>
            <w:tcBorders>
              <w:top w:val="nil"/>
              <w:left w:val="nil"/>
              <w:bottom w:val="nil"/>
              <w:right w:val="nil"/>
            </w:tcBorders>
            <w:shd w:val="clear" w:color="auto" w:fill="auto"/>
            <w:noWrap/>
            <w:vAlign w:val="bottom"/>
            <w:hideMark/>
          </w:tcPr>
          <w:p w14:paraId="5A6896BE" w14:textId="77777777" w:rsidR="00B85A2A" w:rsidRPr="00A86423" w:rsidRDefault="00B85A2A" w:rsidP="00E84A95">
            <w:pPr>
              <w:spacing w:after="0" w:line="240" w:lineRule="auto"/>
              <w:jc w:val="right"/>
              <w:rPr>
                <w:rFonts w:ascii="Arial" w:hAnsi="Arial" w:cs="Arial"/>
                <w:sz w:val="16"/>
                <w:szCs w:val="16"/>
              </w:rPr>
            </w:pPr>
          </w:p>
        </w:tc>
        <w:tc>
          <w:tcPr>
            <w:tcW w:w="568" w:type="pct"/>
            <w:gridSpan w:val="2"/>
            <w:tcBorders>
              <w:top w:val="nil"/>
              <w:left w:val="nil"/>
              <w:bottom w:val="nil"/>
              <w:right w:val="nil"/>
            </w:tcBorders>
            <w:shd w:val="clear" w:color="auto" w:fill="auto"/>
            <w:noWrap/>
            <w:vAlign w:val="bottom"/>
            <w:hideMark/>
          </w:tcPr>
          <w:p w14:paraId="796BD667" w14:textId="77777777" w:rsidR="00B85A2A" w:rsidRPr="00A86423" w:rsidRDefault="00B85A2A" w:rsidP="00E84A95">
            <w:pPr>
              <w:spacing w:after="0" w:line="240" w:lineRule="auto"/>
              <w:jc w:val="right"/>
              <w:rPr>
                <w:rFonts w:ascii="Arial" w:hAnsi="Arial" w:cs="Arial"/>
                <w:sz w:val="16"/>
                <w:szCs w:val="16"/>
              </w:rPr>
            </w:pPr>
          </w:p>
        </w:tc>
      </w:tr>
      <w:tr w:rsidR="00B85A2A" w:rsidRPr="00A86423" w14:paraId="2DC5E453" w14:textId="77777777" w:rsidTr="006E0842">
        <w:trPr>
          <w:gridAfter w:val="1"/>
          <w:wAfter w:w="30" w:type="pct"/>
          <w:trHeight w:val="204"/>
        </w:trPr>
        <w:tc>
          <w:tcPr>
            <w:tcW w:w="2097" w:type="pct"/>
            <w:tcBorders>
              <w:top w:val="nil"/>
              <w:left w:val="nil"/>
              <w:bottom w:val="nil"/>
              <w:right w:val="nil"/>
            </w:tcBorders>
            <w:shd w:val="clear" w:color="auto" w:fill="auto"/>
            <w:vAlign w:val="bottom"/>
            <w:hideMark/>
          </w:tcPr>
          <w:p w14:paraId="4AEC4F4D" w14:textId="747CADC5" w:rsidR="00B85A2A" w:rsidRPr="00A86423" w:rsidRDefault="00B85A2A" w:rsidP="00E84A95">
            <w:pPr>
              <w:spacing w:after="0" w:line="240" w:lineRule="auto"/>
              <w:ind w:left="113"/>
              <w:rPr>
                <w:rFonts w:ascii="Arial" w:hAnsi="Arial" w:cs="Arial"/>
                <w:sz w:val="16"/>
                <w:szCs w:val="16"/>
              </w:rPr>
            </w:pPr>
            <w:r w:rsidRPr="00A86423">
              <w:rPr>
                <w:rFonts w:ascii="Arial" w:hAnsi="Arial" w:cs="Arial"/>
                <w:sz w:val="16"/>
                <w:szCs w:val="16"/>
              </w:rPr>
              <w:t>Ordinary annual services (Appropriation Bill No. 1)</w:t>
            </w:r>
            <w:r w:rsidRPr="00A86423">
              <w:rPr>
                <w:rFonts w:ascii="Arial" w:hAnsi="Arial" w:cs="Arial"/>
                <w:sz w:val="16"/>
                <w:szCs w:val="16"/>
                <w:vertAlign w:val="superscript"/>
              </w:rPr>
              <w:t>(a)</w:t>
            </w:r>
          </w:p>
        </w:tc>
        <w:tc>
          <w:tcPr>
            <w:tcW w:w="602" w:type="pct"/>
            <w:gridSpan w:val="2"/>
            <w:tcBorders>
              <w:top w:val="nil"/>
              <w:left w:val="nil"/>
              <w:bottom w:val="nil"/>
              <w:right w:val="nil"/>
            </w:tcBorders>
            <w:shd w:val="clear" w:color="auto" w:fill="auto"/>
            <w:noWrap/>
            <w:vAlign w:val="bottom"/>
            <w:hideMark/>
          </w:tcPr>
          <w:p w14:paraId="66AB26EB" w14:textId="536B1692"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248,012</w:t>
            </w:r>
          </w:p>
        </w:tc>
        <w:tc>
          <w:tcPr>
            <w:tcW w:w="567" w:type="pct"/>
            <w:gridSpan w:val="2"/>
            <w:tcBorders>
              <w:top w:val="nil"/>
              <w:left w:val="nil"/>
              <w:bottom w:val="nil"/>
              <w:right w:val="nil"/>
            </w:tcBorders>
            <w:shd w:val="clear" w:color="000000" w:fill="E6E6E6"/>
            <w:noWrap/>
            <w:vAlign w:val="bottom"/>
            <w:hideMark/>
          </w:tcPr>
          <w:p w14:paraId="4F00FF6E" w14:textId="4E4DB009"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252,535</w:t>
            </w:r>
          </w:p>
        </w:tc>
        <w:tc>
          <w:tcPr>
            <w:tcW w:w="568" w:type="pct"/>
            <w:tcBorders>
              <w:top w:val="nil"/>
              <w:left w:val="nil"/>
              <w:bottom w:val="nil"/>
              <w:right w:val="nil"/>
            </w:tcBorders>
            <w:shd w:val="clear" w:color="auto" w:fill="auto"/>
            <w:noWrap/>
            <w:vAlign w:val="bottom"/>
            <w:hideMark/>
          </w:tcPr>
          <w:p w14:paraId="7453F4AD" w14:textId="156730AC"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258,076</w:t>
            </w:r>
          </w:p>
        </w:tc>
        <w:tc>
          <w:tcPr>
            <w:tcW w:w="568" w:type="pct"/>
            <w:gridSpan w:val="2"/>
            <w:tcBorders>
              <w:top w:val="nil"/>
              <w:left w:val="nil"/>
              <w:bottom w:val="nil"/>
              <w:right w:val="nil"/>
            </w:tcBorders>
            <w:shd w:val="clear" w:color="auto" w:fill="auto"/>
            <w:noWrap/>
            <w:vAlign w:val="bottom"/>
            <w:hideMark/>
          </w:tcPr>
          <w:p w14:paraId="53DE8942" w14:textId="32C30370"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261,310</w:t>
            </w:r>
          </w:p>
        </w:tc>
        <w:tc>
          <w:tcPr>
            <w:tcW w:w="568" w:type="pct"/>
            <w:gridSpan w:val="2"/>
            <w:tcBorders>
              <w:top w:val="nil"/>
              <w:left w:val="nil"/>
              <w:bottom w:val="nil"/>
              <w:right w:val="nil"/>
            </w:tcBorders>
            <w:shd w:val="clear" w:color="auto" w:fill="auto"/>
            <w:noWrap/>
            <w:vAlign w:val="bottom"/>
            <w:hideMark/>
          </w:tcPr>
          <w:p w14:paraId="1B447EEC" w14:textId="7E67A811"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255,793</w:t>
            </w:r>
          </w:p>
        </w:tc>
      </w:tr>
      <w:tr w:rsidR="00B85A2A" w:rsidRPr="00A86423" w14:paraId="15D8882A" w14:textId="77777777" w:rsidTr="006E0842">
        <w:trPr>
          <w:gridAfter w:val="1"/>
          <w:wAfter w:w="30" w:type="pct"/>
          <w:trHeight w:val="204"/>
        </w:trPr>
        <w:tc>
          <w:tcPr>
            <w:tcW w:w="2097" w:type="pct"/>
            <w:tcBorders>
              <w:top w:val="nil"/>
              <w:left w:val="nil"/>
              <w:bottom w:val="nil"/>
              <w:right w:val="nil"/>
            </w:tcBorders>
            <w:shd w:val="clear" w:color="auto" w:fill="auto"/>
            <w:vAlign w:val="bottom"/>
            <w:hideMark/>
          </w:tcPr>
          <w:p w14:paraId="1BD50DA9" w14:textId="77777777" w:rsidR="00B85A2A" w:rsidRPr="00A86423" w:rsidRDefault="00B85A2A" w:rsidP="00E84A95">
            <w:pPr>
              <w:spacing w:after="0" w:line="240" w:lineRule="auto"/>
              <w:ind w:left="113"/>
              <w:rPr>
                <w:rFonts w:ascii="Arial" w:hAnsi="Arial" w:cs="Arial"/>
                <w:sz w:val="16"/>
                <w:szCs w:val="16"/>
              </w:rPr>
            </w:pPr>
            <w:r w:rsidRPr="00A86423">
              <w:rPr>
                <w:rFonts w:ascii="Arial" w:hAnsi="Arial" w:cs="Arial"/>
                <w:sz w:val="16"/>
                <w:szCs w:val="16"/>
              </w:rPr>
              <w:t>Special Appropriations</w:t>
            </w:r>
          </w:p>
        </w:tc>
        <w:tc>
          <w:tcPr>
            <w:tcW w:w="602" w:type="pct"/>
            <w:gridSpan w:val="2"/>
            <w:tcBorders>
              <w:top w:val="nil"/>
              <w:left w:val="nil"/>
              <w:bottom w:val="nil"/>
              <w:right w:val="nil"/>
            </w:tcBorders>
            <w:shd w:val="clear" w:color="auto" w:fill="auto"/>
            <w:noWrap/>
            <w:vAlign w:val="bottom"/>
            <w:hideMark/>
          </w:tcPr>
          <w:p w14:paraId="5779C723" w14:textId="77777777" w:rsidR="00B85A2A" w:rsidRPr="00A86423" w:rsidRDefault="00B85A2A" w:rsidP="00E84A95">
            <w:pPr>
              <w:spacing w:after="0" w:line="240" w:lineRule="auto"/>
              <w:ind w:firstLineChars="100" w:firstLine="160"/>
              <w:jc w:val="right"/>
              <w:rPr>
                <w:rFonts w:ascii="Arial" w:hAnsi="Arial" w:cs="Arial"/>
                <w:sz w:val="16"/>
                <w:szCs w:val="16"/>
              </w:rPr>
            </w:pPr>
          </w:p>
        </w:tc>
        <w:tc>
          <w:tcPr>
            <w:tcW w:w="567" w:type="pct"/>
            <w:gridSpan w:val="2"/>
            <w:tcBorders>
              <w:top w:val="nil"/>
              <w:left w:val="nil"/>
              <w:bottom w:val="nil"/>
              <w:right w:val="nil"/>
            </w:tcBorders>
            <w:shd w:val="clear" w:color="000000" w:fill="E6E6E6"/>
            <w:noWrap/>
            <w:vAlign w:val="bottom"/>
            <w:hideMark/>
          </w:tcPr>
          <w:p w14:paraId="75D97323" w14:textId="69A77FD8" w:rsidR="00B85A2A" w:rsidRPr="00A86423" w:rsidRDefault="00B85A2A" w:rsidP="00E84A95">
            <w:pPr>
              <w:spacing w:after="0" w:line="240" w:lineRule="auto"/>
              <w:jc w:val="right"/>
              <w:rPr>
                <w:rFonts w:ascii="Arial" w:hAnsi="Arial" w:cs="Arial"/>
                <w:sz w:val="16"/>
                <w:szCs w:val="16"/>
              </w:rPr>
            </w:pPr>
          </w:p>
        </w:tc>
        <w:tc>
          <w:tcPr>
            <w:tcW w:w="568" w:type="pct"/>
            <w:tcBorders>
              <w:top w:val="nil"/>
              <w:left w:val="nil"/>
              <w:bottom w:val="nil"/>
              <w:right w:val="nil"/>
            </w:tcBorders>
            <w:shd w:val="clear" w:color="auto" w:fill="auto"/>
            <w:noWrap/>
            <w:vAlign w:val="bottom"/>
            <w:hideMark/>
          </w:tcPr>
          <w:p w14:paraId="3222F55C" w14:textId="77777777" w:rsidR="00B85A2A" w:rsidRPr="00A86423" w:rsidRDefault="00B85A2A" w:rsidP="00E84A95">
            <w:pPr>
              <w:spacing w:after="0" w:line="240" w:lineRule="auto"/>
              <w:jc w:val="right"/>
              <w:rPr>
                <w:rFonts w:ascii="Arial" w:hAnsi="Arial" w:cs="Arial"/>
                <w:sz w:val="16"/>
                <w:szCs w:val="16"/>
              </w:rPr>
            </w:pPr>
          </w:p>
        </w:tc>
        <w:tc>
          <w:tcPr>
            <w:tcW w:w="568" w:type="pct"/>
            <w:gridSpan w:val="2"/>
            <w:tcBorders>
              <w:top w:val="nil"/>
              <w:left w:val="nil"/>
              <w:bottom w:val="nil"/>
              <w:right w:val="nil"/>
            </w:tcBorders>
            <w:shd w:val="clear" w:color="auto" w:fill="auto"/>
            <w:noWrap/>
            <w:vAlign w:val="bottom"/>
            <w:hideMark/>
          </w:tcPr>
          <w:p w14:paraId="022B96C7" w14:textId="77777777" w:rsidR="00B85A2A" w:rsidRPr="00A86423" w:rsidRDefault="00B85A2A" w:rsidP="00E84A95">
            <w:pPr>
              <w:spacing w:after="0" w:line="240" w:lineRule="auto"/>
              <w:jc w:val="right"/>
              <w:rPr>
                <w:rFonts w:ascii="Arial" w:hAnsi="Arial" w:cs="Arial"/>
                <w:sz w:val="16"/>
                <w:szCs w:val="16"/>
              </w:rPr>
            </w:pPr>
          </w:p>
        </w:tc>
        <w:tc>
          <w:tcPr>
            <w:tcW w:w="568" w:type="pct"/>
            <w:gridSpan w:val="2"/>
            <w:tcBorders>
              <w:top w:val="nil"/>
              <w:left w:val="nil"/>
              <w:bottom w:val="nil"/>
              <w:right w:val="nil"/>
            </w:tcBorders>
            <w:shd w:val="clear" w:color="auto" w:fill="auto"/>
            <w:noWrap/>
            <w:vAlign w:val="bottom"/>
            <w:hideMark/>
          </w:tcPr>
          <w:p w14:paraId="5D44074A" w14:textId="77777777" w:rsidR="00B85A2A" w:rsidRPr="00A86423" w:rsidRDefault="00B85A2A" w:rsidP="00E84A95">
            <w:pPr>
              <w:spacing w:after="0" w:line="240" w:lineRule="auto"/>
              <w:jc w:val="right"/>
              <w:rPr>
                <w:rFonts w:ascii="Arial" w:hAnsi="Arial" w:cs="Arial"/>
                <w:sz w:val="16"/>
                <w:szCs w:val="16"/>
              </w:rPr>
            </w:pPr>
          </w:p>
        </w:tc>
      </w:tr>
      <w:tr w:rsidR="00B85A2A" w:rsidRPr="00A86423" w14:paraId="366FDB1B" w14:textId="77777777" w:rsidTr="006E0842">
        <w:trPr>
          <w:gridAfter w:val="1"/>
          <w:wAfter w:w="30" w:type="pct"/>
          <w:trHeight w:val="204"/>
        </w:trPr>
        <w:tc>
          <w:tcPr>
            <w:tcW w:w="2097" w:type="pct"/>
            <w:tcBorders>
              <w:top w:val="nil"/>
              <w:left w:val="nil"/>
              <w:bottom w:val="nil"/>
              <w:right w:val="nil"/>
            </w:tcBorders>
            <w:shd w:val="clear" w:color="000000" w:fill="FFFFFF"/>
            <w:vAlign w:val="bottom"/>
            <w:hideMark/>
          </w:tcPr>
          <w:p w14:paraId="2EEC7B6A" w14:textId="75B8396B" w:rsidR="00B85A2A" w:rsidRPr="00A86423" w:rsidRDefault="00B85A2A" w:rsidP="00E84A95">
            <w:pPr>
              <w:spacing w:after="0" w:line="240" w:lineRule="auto"/>
              <w:ind w:left="227"/>
              <w:rPr>
                <w:rFonts w:ascii="Arial" w:hAnsi="Arial" w:cs="Arial"/>
                <w:i/>
                <w:iCs/>
                <w:sz w:val="16"/>
                <w:szCs w:val="16"/>
              </w:rPr>
            </w:pPr>
            <w:r w:rsidRPr="00A86423">
              <w:rPr>
                <w:rFonts w:ascii="Arial" w:hAnsi="Arial" w:cs="Arial"/>
                <w:i/>
                <w:iCs/>
                <w:sz w:val="16"/>
                <w:szCs w:val="16"/>
              </w:rPr>
              <w:t>Australian Maritime Safety Authority Act 1990</w:t>
            </w:r>
            <w:r w:rsidRPr="00A86423">
              <w:rPr>
                <w:rFonts w:ascii="Arial" w:hAnsi="Arial" w:cs="Arial"/>
                <w:i/>
                <w:iCs/>
                <w:sz w:val="16"/>
                <w:szCs w:val="16"/>
                <w:vertAlign w:val="superscript"/>
              </w:rPr>
              <w:t>(b)</w:t>
            </w:r>
          </w:p>
        </w:tc>
        <w:tc>
          <w:tcPr>
            <w:tcW w:w="602" w:type="pct"/>
            <w:gridSpan w:val="2"/>
            <w:tcBorders>
              <w:top w:val="nil"/>
              <w:left w:val="nil"/>
              <w:bottom w:val="nil"/>
              <w:right w:val="nil"/>
            </w:tcBorders>
            <w:shd w:val="clear" w:color="auto" w:fill="auto"/>
            <w:noWrap/>
            <w:vAlign w:val="bottom"/>
            <w:hideMark/>
          </w:tcPr>
          <w:p w14:paraId="41476846" w14:textId="59E0826B"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134,098</w:t>
            </w:r>
          </w:p>
        </w:tc>
        <w:tc>
          <w:tcPr>
            <w:tcW w:w="567" w:type="pct"/>
            <w:gridSpan w:val="2"/>
            <w:tcBorders>
              <w:top w:val="nil"/>
              <w:left w:val="nil"/>
              <w:bottom w:val="nil"/>
              <w:right w:val="nil"/>
            </w:tcBorders>
            <w:shd w:val="clear" w:color="000000" w:fill="E6E6E6"/>
            <w:noWrap/>
            <w:vAlign w:val="bottom"/>
            <w:hideMark/>
          </w:tcPr>
          <w:p w14:paraId="6B782C4E" w14:textId="14F833DE"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136,515</w:t>
            </w:r>
          </w:p>
        </w:tc>
        <w:tc>
          <w:tcPr>
            <w:tcW w:w="568" w:type="pct"/>
            <w:tcBorders>
              <w:top w:val="nil"/>
              <w:left w:val="nil"/>
              <w:bottom w:val="nil"/>
              <w:right w:val="nil"/>
            </w:tcBorders>
            <w:shd w:val="clear" w:color="auto" w:fill="auto"/>
            <w:noWrap/>
            <w:vAlign w:val="bottom"/>
            <w:hideMark/>
          </w:tcPr>
          <w:p w14:paraId="7C48953B" w14:textId="10EA7BD5"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154,845</w:t>
            </w:r>
          </w:p>
        </w:tc>
        <w:tc>
          <w:tcPr>
            <w:tcW w:w="568" w:type="pct"/>
            <w:gridSpan w:val="2"/>
            <w:tcBorders>
              <w:top w:val="nil"/>
              <w:left w:val="nil"/>
              <w:bottom w:val="nil"/>
              <w:right w:val="nil"/>
            </w:tcBorders>
            <w:shd w:val="clear" w:color="auto" w:fill="auto"/>
            <w:noWrap/>
            <w:vAlign w:val="bottom"/>
            <w:hideMark/>
          </w:tcPr>
          <w:p w14:paraId="07920407" w14:textId="0E9D45FE"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157,958</w:t>
            </w:r>
          </w:p>
        </w:tc>
        <w:tc>
          <w:tcPr>
            <w:tcW w:w="568" w:type="pct"/>
            <w:gridSpan w:val="2"/>
            <w:tcBorders>
              <w:top w:val="nil"/>
              <w:left w:val="nil"/>
              <w:bottom w:val="nil"/>
              <w:right w:val="nil"/>
            </w:tcBorders>
            <w:shd w:val="clear" w:color="auto" w:fill="auto"/>
            <w:noWrap/>
            <w:vAlign w:val="bottom"/>
            <w:hideMark/>
          </w:tcPr>
          <w:p w14:paraId="07B1434F" w14:textId="4292C9CF"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161,138</w:t>
            </w:r>
          </w:p>
        </w:tc>
      </w:tr>
      <w:tr w:rsidR="00B85A2A" w:rsidRPr="00A86423" w14:paraId="3FB4860E" w14:textId="77777777" w:rsidTr="006E0842">
        <w:trPr>
          <w:gridAfter w:val="1"/>
          <w:wAfter w:w="30" w:type="pct"/>
          <w:trHeight w:val="204"/>
        </w:trPr>
        <w:tc>
          <w:tcPr>
            <w:tcW w:w="2097" w:type="pct"/>
            <w:tcBorders>
              <w:top w:val="nil"/>
              <w:left w:val="nil"/>
              <w:bottom w:val="nil"/>
              <w:right w:val="nil"/>
            </w:tcBorders>
            <w:shd w:val="clear" w:color="000000" w:fill="FFFFFF"/>
            <w:vAlign w:val="bottom"/>
            <w:hideMark/>
          </w:tcPr>
          <w:p w14:paraId="7C35777E" w14:textId="77777777" w:rsidR="00B85A2A" w:rsidRPr="00A86423" w:rsidRDefault="00B85A2A" w:rsidP="00E84A95">
            <w:pPr>
              <w:spacing w:after="0" w:line="240" w:lineRule="auto"/>
              <w:ind w:left="227"/>
              <w:rPr>
                <w:rFonts w:ascii="Arial" w:hAnsi="Arial" w:cs="Arial"/>
                <w:i/>
                <w:iCs/>
                <w:sz w:val="16"/>
                <w:szCs w:val="16"/>
              </w:rPr>
            </w:pPr>
            <w:r w:rsidRPr="00A86423">
              <w:rPr>
                <w:rFonts w:ascii="Arial" w:hAnsi="Arial" w:cs="Arial"/>
                <w:i/>
                <w:iCs/>
                <w:sz w:val="16"/>
                <w:szCs w:val="16"/>
              </w:rPr>
              <w:t>Protection of the Sea (Oil Pollution Compensation Funds) Act 1993</w:t>
            </w:r>
          </w:p>
        </w:tc>
        <w:tc>
          <w:tcPr>
            <w:tcW w:w="602" w:type="pct"/>
            <w:gridSpan w:val="2"/>
            <w:tcBorders>
              <w:top w:val="nil"/>
              <w:left w:val="nil"/>
              <w:bottom w:val="nil"/>
              <w:right w:val="nil"/>
            </w:tcBorders>
            <w:shd w:val="clear" w:color="auto" w:fill="auto"/>
            <w:noWrap/>
            <w:vAlign w:val="bottom"/>
            <w:hideMark/>
          </w:tcPr>
          <w:p w14:paraId="2A361110" w14:textId="1454EE4E"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600</w:t>
            </w:r>
          </w:p>
        </w:tc>
        <w:tc>
          <w:tcPr>
            <w:tcW w:w="567" w:type="pct"/>
            <w:gridSpan w:val="2"/>
            <w:tcBorders>
              <w:top w:val="nil"/>
              <w:left w:val="nil"/>
              <w:bottom w:val="nil"/>
              <w:right w:val="nil"/>
            </w:tcBorders>
            <w:shd w:val="clear" w:color="000000" w:fill="E6E6E6"/>
            <w:noWrap/>
            <w:vAlign w:val="bottom"/>
            <w:hideMark/>
          </w:tcPr>
          <w:p w14:paraId="7739690D" w14:textId="1946F397"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600</w:t>
            </w:r>
          </w:p>
        </w:tc>
        <w:tc>
          <w:tcPr>
            <w:tcW w:w="568" w:type="pct"/>
            <w:tcBorders>
              <w:top w:val="nil"/>
              <w:left w:val="nil"/>
              <w:bottom w:val="nil"/>
              <w:right w:val="nil"/>
            </w:tcBorders>
            <w:shd w:val="clear" w:color="auto" w:fill="auto"/>
            <w:noWrap/>
            <w:vAlign w:val="bottom"/>
            <w:hideMark/>
          </w:tcPr>
          <w:p w14:paraId="70801A8B" w14:textId="51FBA5BF"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600</w:t>
            </w:r>
          </w:p>
        </w:tc>
        <w:tc>
          <w:tcPr>
            <w:tcW w:w="568" w:type="pct"/>
            <w:gridSpan w:val="2"/>
            <w:tcBorders>
              <w:top w:val="nil"/>
              <w:left w:val="nil"/>
              <w:bottom w:val="nil"/>
              <w:right w:val="nil"/>
            </w:tcBorders>
            <w:shd w:val="clear" w:color="auto" w:fill="auto"/>
            <w:noWrap/>
            <w:vAlign w:val="bottom"/>
            <w:hideMark/>
          </w:tcPr>
          <w:p w14:paraId="7D874C64" w14:textId="3E126B93"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600</w:t>
            </w:r>
          </w:p>
        </w:tc>
        <w:tc>
          <w:tcPr>
            <w:tcW w:w="568" w:type="pct"/>
            <w:gridSpan w:val="2"/>
            <w:tcBorders>
              <w:top w:val="nil"/>
              <w:left w:val="nil"/>
              <w:bottom w:val="nil"/>
              <w:right w:val="nil"/>
            </w:tcBorders>
            <w:shd w:val="clear" w:color="auto" w:fill="auto"/>
            <w:noWrap/>
            <w:vAlign w:val="bottom"/>
            <w:hideMark/>
          </w:tcPr>
          <w:p w14:paraId="4A8A88F2" w14:textId="63B5C26A"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600</w:t>
            </w:r>
          </w:p>
        </w:tc>
      </w:tr>
      <w:tr w:rsidR="00B85A2A" w:rsidRPr="00A86423" w14:paraId="2D0AD2F9" w14:textId="77777777" w:rsidTr="007A5E05">
        <w:trPr>
          <w:gridAfter w:val="1"/>
          <w:wAfter w:w="30" w:type="pct"/>
          <w:trHeight w:val="204"/>
        </w:trPr>
        <w:tc>
          <w:tcPr>
            <w:tcW w:w="2097" w:type="pct"/>
            <w:tcBorders>
              <w:top w:val="nil"/>
              <w:left w:val="nil"/>
              <w:bottom w:val="nil"/>
              <w:right w:val="nil"/>
            </w:tcBorders>
            <w:shd w:val="clear" w:color="auto" w:fill="auto"/>
            <w:vAlign w:val="bottom"/>
            <w:hideMark/>
          </w:tcPr>
          <w:p w14:paraId="0B878E45" w14:textId="02CA7170" w:rsidR="00B85A2A" w:rsidRPr="00A86423" w:rsidRDefault="00B85A2A" w:rsidP="00E84A95">
            <w:pPr>
              <w:spacing w:after="0" w:line="240" w:lineRule="auto"/>
              <w:ind w:left="113"/>
              <w:rPr>
                <w:rFonts w:ascii="Arial" w:hAnsi="Arial" w:cs="Arial"/>
                <w:sz w:val="16"/>
                <w:szCs w:val="16"/>
              </w:rPr>
            </w:pPr>
            <w:r w:rsidRPr="00A86423">
              <w:rPr>
                <w:rFonts w:ascii="Arial" w:hAnsi="Arial" w:cs="Arial"/>
                <w:sz w:val="16"/>
                <w:szCs w:val="16"/>
              </w:rPr>
              <w:t>Payments to corporate entities</w:t>
            </w:r>
            <w:r w:rsidRPr="00A86423">
              <w:rPr>
                <w:rFonts w:ascii="Arial" w:hAnsi="Arial" w:cs="Arial"/>
                <w:sz w:val="16"/>
                <w:szCs w:val="16"/>
                <w:vertAlign w:val="superscript"/>
              </w:rPr>
              <w:t>(b)</w:t>
            </w:r>
          </w:p>
        </w:tc>
        <w:tc>
          <w:tcPr>
            <w:tcW w:w="602" w:type="pct"/>
            <w:gridSpan w:val="2"/>
            <w:tcBorders>
              <w:top w:val="nil"/>
              <w:left w:val="nil"/>
              <w:bottom w:val="single" w:sz="4" w:space="0" w:color="auto"/>
              <w:right w:val="nil"/>
            </w:tcBorders>
            <w:shd w:val="clear" w:color="auto" w:fill="auto"/>
            <w:noWrap/>
            <w:vAlign w:val="bottom"/>
            <w:hideMark/>
          </w:tcPr>
          <w:p w14:paraId="6A69B5F8" w14:textId="4EF03872"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95,534</w:t>
            </w:r>
          </w:p>
        </w:tc>
        <w:tc>
          <w:tcPr>
            <w:tcW w:w="567" w:type="pct"/>
            <w:gridSpan w:val="2"/>
            <w:tcBorders>
              <w:top w:val="nil"/>
              <w:left w:val="nil"/>
              <w:bottom w:val="single" w:sz="4" w:space="0" w:color="auto"/>
              <w:right w:val="nil"/>
            </w:tcBorders>
            <w:shd w:val="clear" w:color="000000" w:fill="E6E6E6"/>
            <w:noWrap/>
            <w:vAlign w:val="bottom"/>
            <w:hideMark/>
          </w:tcPr>
          <w:p w14:paraId="7476E12E" w14:textId="70B24261"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103,431</w:t>
            </w:r>
          </w:p>
        </w:tc>
        <w:tc>
          <w:tcPr>
            <w:tcW w:w="568" w:type="pct"/>
            <w:tcBorders>
              <w:top w:val="nil"/>
              <w:left w:val="nil"/>
              <w:bottom w:val="single" w:sz="4" w:space="0" w:color="auto"/>
              <w:right w:val="nil"/>
            </w:tcBorders>
            <w:shd w:val="clear" w:color="auto" w:fill="auto"/>
            <w:noWrap/>
            <w:vAlign w:val="bottom"/>
            <w:hideMark/>
          </w:tcPr>
          <w:p w14:paraId="0FA985BE" w14:textId="01A982B2"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90,262</w:t>
            </w:r>
          </w:p>
        </w:tc>
        <w:tc>
          <w:tcPr>
            <w:tcW w:w="568" w:type="pct"/>
            <w:gridSpan w:val="2"/>
            <w:tcBorders>
              <w:top w:val="nil"/>
              <w:left w:val="nil"/>
              <w:bottom w:val="single" w:sz="4" w:space="0" w:color="auto"/>
              <w:right w:val="nil"/>
            </w:tcBorders>
            <w:shd w:val="clear" w:color="auto" w:fill="auto"/>
            <w:noWrap/>
            <w:vAlign w:val="bottom"/>
            <w:hideMark/>
          </w:tcPr>
          <w:p w14:paraId="757C9061" w14:textId="5F079917"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91,727</w:t>
            </w:r>
          </w:p>
        </w:tc>
        <w:tc>
          <w:tcPr>
            <w:tcW w:w="568" w:type="pct"/>
            <w:gridSpan w:val="2"/>
            <w:tcBorders>
              <w:top w:val="nil"/>
              <w:left w:val="nil"/>
              <w:bottom w:val="single" w:sz="4" w:space="0" w:color="auto"/>
              <w:right w:val="nil"/>
            </w:tcBorders>
            <w:shd w:val="clear" w:color="auto" w:fill="auto"/>
            <w:noWrap/>
            <w:vAlign w:val="bottom"/>
            <w:hideMark/>
          </w:tcPr>
          <w:p w14:paraId="46BBC895" w14:textId="4188EA90"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91,878</w:t>
            </w:r>
          </w:p>
        </w:tc>
      </w:tr>
      <w:tr w:rsidR="00B85A2A" w:rsidRPr="00A86423" w14:paraId="2C637497" w14:textId="77777777" w:rsidTr="007A5E05">
        <w:trPr>
          <w:gridAfter w:val="1"/>
          <w:wAfter w:w="30" w:type="pct"/>
          <w:trHeight w:val="204"/>
        </w:trPr>
        <w:tc>
          <w:tcPr>
            <w:tcW w:w="2097" w:type="pct"/>
            <w:tcBorders>
              <w:top w:val="nil"/>
              <w:left w:val="nil"/>
              <w:bottom w:val="single" w:sz="4" w:space="0" w:color="auto"/>
              <w:right w:val="nil"/>
            </w:tcBorders>
            <w:shd w:val="clear" w:color="auto" w:fill="auto"/>
            <w:noWrap/>
            <w:vAlign w:val="bottom"/>
            <w:hideMark/>
          </w:tcPr>
          <w:p w14:paraId="0318AD7C" w14:textId="77777777" w:rsidR="00B85A2A" w:rsidRPr="00A86423" w:rsidRDefault="00B85A2A" w:rsidP="00B85A2A">
            <w:pPr>
              <w:spacing w:after="0" w:line="240" w:lineRule="auto"/>
              <w:rPr>
                <w:rFonts w:ascii="Arial" w:hAnsi="Arial" w:cs="Arial"/>
                <w:b/>
                <w:bCs/>
                <w:sz w:val="16"/>
                <w:szCs w:val="16"/>
              </w:rPr>
            </w:pPr>
            <w:r w:rsidRPr="00A86423">
              <w:rPr>
                <w:rFonts w:ascii="Arial" w:hAnsi="Arial" w:cs="Arial"/>
                <w:b/>
                <w:bCs/>
                <w:sz w:val="16"/>
                <w:szCs w:val="16"/>
              </w:rPr>
              <w:t>Total expenses for Program 2.1</w:t>
            </w:r>
          </w:p>
        </w:tc>
        <w:tc>
          <w:tcPr>
            <w:tcW w:w="602" w:type="pct"/>
            <w:gridSpan w:val="2"/>
            <w:tcBorders>
              <w:top w:val="single" w:sz="4" w:space="0" w:color="auto"/>
              <w:left w:val="nil"/>
              <w:bottom w:val="single" w:sz="4" w:space="0" w:color="auto"/>
              <w:right w:val="nil"/>
            </w:tcBorders>
            <w:shd w:val="clear" w:color="auto" w:fill="auto"/>
            <w:noWrap/>
            <w:vAlign w:val="bottom"/>
            <w:hideMark/>
          </w:tcPr>
          <w:p w14:paraId="64C41BC0" w14:textId="7E63761E" w:rsidR="00B85A2A" w:rsidRPr="00A86423" w:rsidRDefault="00B85A2A" w:rsidP="00E84A95">
            <w:pPr>
              <w:spacing w:after="0" w:line="240" w:lineRule="auto"/>
              <w:jc w:val="right"/>
              <w:rPr>
                <w:rFonts w:ascii="Arial" w:hAnsi="Arial" w:cs="Arial"/>
                <w:b/>
                <w:bCs/>
                <w:sz w:val="16"/>
                <w:szCs w:val="16"/>
              </w:rPr>
            </w:pPr>
            <w:r w:rsidRPr="00A86423">
              <w:rPr>
                <w:rFonts w:ascii="Arial" w:hAnsi="Arial" w:cs="Arial"/>
                <w:b/>
                <w:bCs/>
                <w:sz w:val="16"/>
                <w:szCs w:val="16"/>
              </w:rPr>
              <w:t>478,244</w:t>
            </w:r>
          </w:p>
        </w:tc>
        <w:tc>
          <w:tcPr>
            <w:tcW w:w="567" w:type="pct"/>
            <w:gridSpan w:val="2"/>
            <w:tcBorders>
              <w:top w:val="single" w:sz="4" w:space="0" w:color="auto"/>
              <w:left w:val="nil"/>
              <w:bottom w:val="single" w:sz="4" w:space="0" w:color="auto"/>
              <w:right w:val="nil"/>
            </w:tcBorders>
            <w:shd w:val="clear" w:color="000000" w:fill="E6E6E6"/>
            <w:noWrap/>
            <w:vAlign w:val="bottom"/>
            <w:hideMark/>
          </w:tcPr>
          <w:p w14:paraId="52698D50" w14:textId="48B75B87" w:rsidR="00B85A2A" w:rsidRPr="00A86423" w:rsidRDefault="00B85A2A" w:rsidP="00E84A95">
            <w:pPr>
              <w:spacing w:after="0" w:line="240" w:lineRule="auto"/>
              <w:jc w:val="right"/>
              <w:rPr>
                <w:rFonts w:ascii="Arial" w:hAnsi="Arial" w:cs="Arial"/>
                <w:b/>
                <w:bCs/>
                <w:sz w:val="16"/>
                <w:szCs w:val="16"/>
              </w:rPr>
            </w:pPr>
            <w:r w:rsidRPr="00A86423">
              <w:rPr>
                <w:rFonts w:ascii="Arial" w:hAnsi="Arial" w:cs="Arial"/>
                <w:b/>
                <w:bCs/>
                <w:sz w:val="16"/>
                <w:szCs w:val="16"/>
              </w:rPr>
              <w:t>493,081</w:t>
            </w:r>
          </w:p>
        </w:tc>
        <w:tc>
          <w:tcPr>
            <w:tcW w:w="568" w:type="pct"/>
            <w:tcBorders>
              <w:top w:val="single" w:sz="4" w:space="0" w:color="auto"/>
              <w:left w:val="nil"/>
              <w:bottom w:val="single" w:sz="4" w:space="0" w:color="auto"/>
              <w:right w:val="nil"/>
            </w:tcBorders>
            <w:shd w:val="clear" w:color="auto" w:fill="auto"/>
            <w:noWrap/>
            <w:vAlign w:val="bottom"/>
            <w:hideMark/>
          </w:tcPr>
          <w:p w14:paraId="365F0A82" w14:textId="3D3F22FC" w:rsidR="00B85A2A" w:rsidRPr="00A86423" w:rsidRDefault="00B85A2A" w:rsidP="00E84A95">
            <w:pPr>
              <w:spacing w:after="0" w:line="240" w:lineRule="auto"/>
              <w:jc w:val="right"/>
              <w:rPr>
                <w:rFonts w:ascii="Arial" w:hAnsi="Arial" w:cs="Arial"/>
                <w:b/>
                <w:bCs/>
                <w:sz w:val="16"/>
                <w:szCs w:val="16"/>
              </w:rPr>
            </w:pPr>
            <w:r w:rsidRPr="00A86423">
              <w:rPr>
                <w:rFonts w:ascii="Arial" w:hAnsi="Arial" w:cs="Arial"/>
                <w:b/>
                <w:bCs/>
                <w:sz w:val="16"/>
                <w:szCs w:val="16"/>
              </w:rPr>
              <w:t>503,783</w:t>
            </w:r>
          </w:p>
        </w:tc>
        <w:tc>
          <w:tcPr>
            <w:tcW w:w="568" w:type="pct"/>
            <w:gridSpan w:val="2"/>
            <w:tcBorders>
              <w:top w:val="single" w:sz="4" w:space="0" w:color="auto"/>
              <w:left w:val="nil"/>
              <w:bottom w:val="single" w:sz="4" w:space="0" w:color="auto"/>
              <w:right w:val="nil"/>
            </w:tcBorders>
            <w:shd w:val="clear" w:color="auto" w:fill="auto"/>
            <w:noWrap/>
            <w:vAlign w:val="bottom"/>
            <w:hideMark/>
          </w:tcPr>
          <w:p w14:paraId="7722EBE6" w14:textId="3A2DE853" w:rsidR="00B85A2A" w:rsidRPr="00A86423" w:rsidRDefault="00B85A2A" w:rsidP="00E84A95">
            <w:pPr>
              <w:spacing w:after="0" w:line="240" w:lineRule="auto"/>
              <w:jc w:val="right"/>
              <w:rPr>
                <w:rFonts w:ascii="Arial" w:hAnsi="Arial" w:cs="Arial"/>
                <w:b/>
                <w:bCs/>
                <w:sz w:val="16"/>
                <w:szCs w:val="16"/>
              </w:rPr>
            </w:pPr>
            <w:r w:rsidRPr="00A86423">
              <w:rPr>
                <w:rFonts w:ascii="Arial" w:hAnsi="Arial" w:cs="Arial"/>
                <w:b/>
                <w:bCs/>
                <w:sz w:val="16"/>
                <w:szCs w:val="16"/>
              </w:rPr>
              <w:t>511,595</w:t>
            </w:r>
          </w:p>
        </w:tc>
        <w:tc>
          <w:tcPr>
            <w:tcW w:w="568" w:type="pct"/>
            <w:gridSpan w:val="2"/>
            <w:tcBorders>
              <w:top w:val="single" w:sz="4" w:space="0" w:color="auto"/>
              <w:left w:val="nil"/>
              <w:bottom w:val="single" w:sz="4" w:space="0" w:color="auto"/>
              <w:right w:val="nil"/>
            </w:tcBorders>
            <w:shd w:val="clear" w:color="auto" w:fill="auto"/>
            <w:noWrap/>
            <w:vAlign w:val="bottom"/>
            <w:hideMark/>
          </w:tcPr>
          <w:p w14:paraId="11C0CC1F" w14:textId="0E369CA2" w:rsidR="00B85A2A" w:rsidRPr="00A86423" w:rsidRDefault="00B85A2A" w:rsidP="00E84A95">
            <w:pPr>
              <w:spacing w:after="0" w:line="240" w:lineRule="auto"/>
              <w:jc w:val="right"/>
              <w:rPr>
                <w:rFonts w:ascii="Arial" w:hAnsi="Arial" w:cs="Arial"/>
                <w:b/>
                <w:bCs/>
                <w:sz w:val="16"/>
                <w:szCs w:val="16"/>
              </w:rPr>
            </w:pPr>
            <w:r w:rsidRPr="00A86423">
              <w:rPr>
                <w:rFonts w:ascii="Arial" w:hAnsi="Arial" w:cs="Arial"/>
                <w:b/>
                <w:bCs/>
                <w:sz w:val="16"/>
                <w:szCs w:val="16"/>
              </w:rPr>
              <w:t>509,409</w:t>
            </w:r>
          </w:p>
        </w:tc>
      </w:tr>
      <w:tr w:rsidR="00B85A2A" w:rsidRPr="00A86423" w14:paraId="244F4EB4" w14:textId="77777777" w:rsidTr="006E0842">
        <w:trPr>
          <w:trHeight w:val="204"/>
        </w:trPr>
        <w:tc>
          <w:tcPr>
            <w:tcW w:w="2097" w:type="pct"/>
            <w:tcBorders>
              <w:top w:val="single" w:sz="4" w:space="0" w:color="auto"/>
              <w:left w:val="nil"/>
              <w:bottom w:val="single" w:sz="4" w:space="0" w:color="auto"/>
              <w:right w:val="nil"/>
            </w:tcBorders>
            <w:shd w:val="clear" w:color="000000" w:fill="E6E6E6"/>
            <w:noWrap/>
            <w:vAlign w:val="bottom"/>
            <w:hideMark/>
          </w:tcPr>
          <w:p w14:paraId="5631829E" w14:textId="77777777" w:rsidR="00B85A2A" w:rsidRPr="00A86423" w:rsidRDefault="00B85A2A" w:rsidP="00B85A2A">
            <w:pPr>
              <w:spacing w:after="0" w:line="240" w:lineRule="auto"/>
              <w:rPr>
                <w:rFonts w:ascii="Arial" w:hAnsi="Arial" w:cs="Arial"/>
                <w:b/>
                <w:bCs/>
                <w:sz w:val="16"/>
                <w:szCs w:val="16"/>
              </w:rPr>
            </w:pPr>
            <w:r w:rsidRPr="00A86423">
              <w:rPr>
                <w:rFonts w:ascii="Arial" w:hAnsi="Arial" w:cs="Arial"/>
                <w:b/>
                <w:bCs/>
                <w:sz w:val="16"/>
                <w:szCs w:val="16"/>
              </w:rPr>
              <w:t xml:space="preserve">Program 2.2: Road Safety </w:t>
            </w:r>
          </w:p>
        </w:tc>
        <w:tc>
          <w:tcPr>
            <w:tcW w:w="582" w:type="pct"/>
            <w:tcBorders>
              <w:top w:val="single" w:sz="4" w:space="0" w:color="auto"/>
              <w:left w:val="nil"/>
              <w:bottom w:val="single" w:sz="4" w:space="0" w:color="auto"/>
              <w:right w:val="nil"/>
            </w:tcBorders>
            <w:shd w:val="clear" w:color="000000" w:fill="E6E6E6"/>
            <w:noWrap/>
            <w:vAlign w:val="bottom"/>
            <w:hideMark/>
          </w:tcPr>
          <w:p w14:paraId="446CCF79" w14:textId="77777777"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 </w:t>
            </w:r>
          </w:p>
        </w:tc>
        <w:tc>
          <w:tcPr>
            <w:tcW w:w="580" w:type="pct"/>
            <w:gridSpan w:val="2"/>
            <w:tcBorders>
              <w:top w:val="single" w:sz="4" w:space="0" w:color="auto"/>
              <w:left w:val="nil"/>
              <w:bottom w:val="single" w:sz="4" w:space="0" w:color="auto"/>
              <w:right w:val="nil"/>
            </w:tcBorders>
            <w:shd w:val="clear" w:color="000000" w:fill="E6E6E6"/>
            <w:noWrap/>
            <w:vAlign w:val="bottom"/>
            <w:hideMark/>
          </w:tcPr>
          <w:p w14:paraId="1D603A43" w14:textId="77777777"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 </w:t>
            </w:r>
          </w:p>
        </w:tc>
        <w:tc>
          <w:tcPr>
            <w:tcW w:w="581" w:type="pct"/>
            <w:gridSpan w:val="3"/>
            <w:tcBorders>
              <w:top w:val="single" w:sz="4" w:space="0" w:color="auto"/>
              <w:left w:val="nil"/>
              <w:bottom w:val="single" w:sz="4" w:space="0" w:color="auto"/>
              <w:right w:val="nil"/>
            </w:tcBorders>
            <w:shd w:val="clear" w:color="000000" w:fill="E6E6E6"/>
            <w:noWrap/>
            <w:vAlign w:val="bottom"/>
            <w:hideMark/>
          </w:tcPr>
          <w:p w14:paraId="0FA7E5FF" w14:textId="77777777"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 </w:t>
            </w:r>
          </w:p>
        </w:tc>
        <w:tc>
          <w:tcPr>
            <w:tcW w:w="581" w:type="pct"/>
            <w:gridSpan w:val="2"/>
            <w:tcBorders>
              <w:top w:val="single" w:sz="4" w:space="0" w:color="auto"/>
              <w:left w:val="nil"/>
              <w:bottom w:val="single" w:sz="4" w:space="0" w:color="auto"/>
              <w:right w:val="nil"/>
            </w:tcBorders>
            <w:shd w:val="clear" w:color="000000" w:fill="E6E6E6"/>
            <w:noWrap/>
            <w:vAlign w:val="bottom"/>
            <w:hideMark/>
          </w:tcPr>
          <w:p w14:paraId="372F3051" w14:textId="77777777"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 </w:t>
            </w:r>
          </w:p>
        </w:tc>
        <w:tc>
          <w:tcPr>
            <w:tcW w:w="579" w:type="pct"/>
            <w:gridSpan w:val="2"/>
            <w:tcBorders>
              <w:top w:val="single" w:sz="4" w:space="0" w:color="auto"/>
              <w:left w:val="nil"/>
              <w:bottom w:val="single" w:sz="4" w:space="0" w:color="auto"/>
              <w:right w:val="nil"/>
            </w:tcBorders>
            <w:shd w:val="clear" w:color="000000" w:fill="E6E6E6"/>
            <w:noWrap/>
            <w:vAlign w:val="bottom"/>
            <w:hideMark/>
          </w:tcPr>
          <w:p w14:paraId="285D749C" w14:textId="77777777"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 </w:t>
            </w:r>
          </w:p>
        </w:tc>
      </w:tr>
      <w:tr w:rsidR="00B85A2A" w:rsidRPr="00A86423" w14:paraId="3131D461" w14:textId="77777777" w:rsidTr="006E0842">
        <w:trPr>
          <w:trHeight w:val="204"/>
        </w:trPr>
        <w:tc>
          <w:tcPr>
            <w:tcW w:w="2097" w:type="pct"/>
            <w:tcBorders>
              <w:top w:val="nil"/>
              <w:left w:val="nil"/>
              <w:bottom w:val="nil"/>
              <w:right w:val="nil"/>
            </w:tcBorders>
            <w:shd w:val="clear" w:color="auto" w:fill="auto"/>
            <w:noWrap/>
            <w:vAlign w:val="bottom"/>
            <w:hideMark/>
          </w:tcPr>
          <w:p w14:paraId="118B148D" w14:textId="77777777" w:rsidR="00B85A2A" w:rsidRPr="00A86423" w:rsidRDefault="00B85A2A" w:rsidP="00B85A2A">
            <w:pPr>
              <w:spacing w:after="0" w:line="240" w:lineRule="auto"/>
              <w:rPr>
                <w:rFonts w:ascii="Arial" w:hAnsi="Arial" w:cs="Arial"/>
                <w:sz w:val="16"/>
                <w:szCs w:val="16"/>
              </w:rPr>
            </w:pPr>
            <w:r w:rsidRPr="00A86423">
              <w:rPr>
                <w:rFonts w:ascii="Arial" w:hAnsi="Arial" w:cs="Arial"/>
                <w:sz w:val="16"/>
                <w:szCs w:val="16"/>
              </w:rPr>
              <w:t>Administered expenses</w:t>
            </w:r>
          </w:p>
        </w:tc>
        <w:tc>
          <w:tcPr>
            <w:tcW w:w="582" w:type="pct"/>
            <w:tcBorders>
              <w:top w:val="nil"/>
              <w:left w:val="nil"/>
              <w:bottom w:val="nil"/>
              <w:right w:val="nil"/>
            </w:tcBorders>
            <w:shd w:val="clear" w:color="auto" w:fill="auto"/>
            <w:noWrap/>
            <w:vAlign w:val="bottom"/>
            <w:hideMark/>
          </w:tcPr>
          <w:p w14:paraId="1FA031CD" w14:textId="77777777" w:rsidR="00B85A2A" w:rsidRPr="00A86423" w:rsidRDefault="00B85A2A" w:rsidP="00E84A95">
            <w:pPr>
              <w:spacing w:after="0" w:line="240" w:lineRule="auto"/>
              <w:jc w:val="right"/>
              <w:rPr>
                <w:rFonts w:ascii="Arial" w:hAnsi="Arial" w:cs="Arial"/>
                <w:sz w:val="16"/>
                <w:szCs w:val="16"/>
              </w:rPr>
            </w:pPr>
          </w:p>
        </w:tc>
        <w:tc>
          <w:tcPr>
            <w:tcW w:w="580" w:type="pct"/>
            <w:gridSpan w:val="2"/>
            <w:tcBorders>
              <w:top w:val="nil"/>
              <w:left w:val="nil"/>
              <w:bottom w:val="nil"/>
              <w:right w:val="nil"/>
            </w:tcBorders>
            <w:shd w:val="clear" w:color="000000" w:fill="E6E6E6"/>
            <w:noWrap/>
            <w:vAlign w:val="bottom"/>
            <w:hideMark/>
          </w:tcPr>
          <w:p w14:paraId="5FA35160" w14:textId="1AD8184F" w:rsidR="00B85A2A" w:rsidRPr="00A86423" w:rsidRDefault="00B85A2A" w:rsidP="00E84A95">
            <w:pPr>
              <w:spacing w:after="0" w:line="240" w:lineRule="auto"/>
              <w:jc w:val="right"/>
              <w:rPr>
                <w:rFonts w:ascii="Arial" w:hAnsi="Arial" w:cs="Arial"/>
                <w:sz w:val="16"/>
                <w:szCs w:val="16"/>
              </w:rPr>
            </w:pPr>
          </w:p>
        </w:tc>
        <w:tc>
          <w:tcPr>
            <w:tcW w:w="581" w:type="pct"/>
            <w:gridSpan w:val="3"/>
            <w:tcBorders>
              <w:top w:val="nil"/>
              <w:left w:val="nil"/>
              <w:bottom w:val="nil"/>
              <w:right w:val="nil"/>
            </w:tcBorders>
            <w:shd w:val="clear" w:color="auto" w:fill="auto"/>
            <w:noWrap/>
            <w:vAlign w:val="bottom"/>
            <w:hideMark/>
          </w:tcPr>
          <w:p w14:paraId="1775A9CB" w14:textId="77777777" w:rsidR="00B85A2A" w:rsidRPr="00A86423" w:rsidRDefault="00B85A2A" w:rsidP="00E84A95">
            <w:pPr>
              <w:spacing w:after="0" w:line="240" w:lineRule="auto"/>
              <w:jc w:val="right"/>
              <w:rPr>
                <w:rFonts w:ascii="Arial" w:hAnsi="Arial" w:cs="Arial"/>
                <w:sz w:val="16"/>
                <w:szCs w:val="16"/>
              </w:rPr>
            </w:pPr>
          </w:p>
        </w:tc>
        <w:tc>
          <w:tcPr>
            <w:tcW w:w="581" w:type="pct"/>
            <w:gridSpan w:val="2"/>
            <w:tcBorders>
              <w:top w:val="nil"/>
              <w:left w:val="nil"/>
              <w:bottom w:val="nil"/>
              <w:right w:val="nil"/>
            </w:tcBorders>
            <w:shd w:val="clear" w:color="auto" w:fill="auto"/>
            <w:noWrap/>
            <w:vAlign w:val="bottom"/>
            <w:hideMark/>
          </w:tcPr>
          <w:p w14:paraId="17FF8307" w14:textId="77777777" w:rsidR="00B85A2A" w:rsidRPr="00A86423" w:rsidRDefault="00B85A2A" w:rsidP="00E84A95">
            <w:pPr>
              <w:spacing w:after="0" w:line="240" w:lineRule="auto"/>
              <w:jc w:val="right"/>
              <w:rPr>
                <w:rFonts w:ascii="Arial" w:hAnsi="Arial" w:cs="Arial"/>
                <w:sz w:val="16"/>
                <w:szCs w:val="16"/>
              </w:rPr>
            </w:pPr>
          </w:p>
        </w:tc>
        <w:tc>
          <w:tcPr>
            <w:tcW w:w="579" w:type="pct"/>
            <w:gridSpan w:val="2"/>
            <w:tcBorders>
              <w:top w:val="nil"/>
              <w:left w:val="nil"/>
              <w:bottom w:val="nil"/>
              <w:right w:val="nil"/>
            </w:tcBorders>
            <w:shd w:val="clear" w:color="auto" w:fill="auto"/>
            <w:noWrap/>
            <w:vAlign w:val="bottom"/>
            <w:hideMark/>
          </w:tcPr>
          <w:p w14:paraId="40525273" w14:textId="77777777" w:rsidR="00B85A2A" w:rsidRPr="00A86423" w:rsidRDefault="00B85A2A" w:rsidP="00E84A95">
            <w:pPr>
              <w:spacing w:after="0" w:line="240" w:lineRule="auto"/>
              <w:jc w:val="right"/>
              <w:rPr>
                <w:rFonts w:ascii="Arial" w:hAnsi="Arial" w:cs="Arial"/>
                <w:sz w:val="16"/>
                <w:szCs w:val="16"/>
              </w:rPr>
            </w:pPr>
          </w:p>
        </w:tc>
      </w:tr>
      <w:tr w:rsidR="00B85A2A" w:rsidRPr="00A86423" w14:paraId="68D9F4E6" w14:textId="77777777" w:rsidTr="006E0842">
        <w:trPr>
          <w:trHeight w:val="204"/>
        </w:trPr>
        <w:tc>
          <w:tcPr>
            <w:tcW w:w="2097" w:type="pct"/>
            <w:tcBorders>
              <w:top w:val="nil"/>
              <w:left w:val="nil"/>
              <w:bottom w:val="nil"/>
              <w:right w:val="nil"/>
            </w:tcBorders>
            <w:shd w:val="clear" w:color="auto" w:fill="auto"/>
            <w:vAlign w:val="bottom"/>
            <w:hideMark/>
          </w:tcPr>
          <w:p w14:paraId="5FAD5578" w14:textId="38310B35" w:rsidR="00B85A2A" w:rsidRPr="00A86423" w:rsidRDefault="00B85A2A" w:rsidP="00E84A95">
            <w:pPr>
              <w:spacing w:after="0" w:line="240" w:lineRule="auto"/>
              <w:ind w:left="113"/>
              <w:rPr>
                <w:rFonts w:ascii="Arial" w:hAnsi="Arial" w:cs="Arial"/>
                <w:sz w:val="16"/>
                <w:szCs w:val="16"/>
              </w:rPr>
            </w:pPr>
            <w:r w:rsidRPr="00A86423">
              <w:rPr>
                <w:rFonts w:ascii="Arial" w:hAnsi="Arial" w:cs="Arial"/>
                <w:sz w:val="16"/>
                <w:szCs w:val="16"/>
              </w:rPr>
              <w:t>Ordinary annual services (Appropriation Bill No. 1)</w:t>
            </w:r>
          </w:p>
        </w:tc>
        <w:tc>
          <w:tcPr>
            <w:tcW w:w="582" w:type="pct"/>
            <w:tcBorders>
              <w:top w:val="nil"/>
              <w:left w:val="nil"/>
              <w:bottom w:val="nil"/>
              <w:right w:val="nil"/>
            </w:tcBorders>
            <w:shd w:val="clear" w:color="auto" w:fill="auto"/>
            <w:noWrap/>
            <w:vAlign w:val="bottom"/>
            <w:hideMark/>
          </w:tcPr>
          <w:p w14:paraId="17B4BA55" w14:textId="6F2955A7"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13,500</w:t>
            </w:r>
          </w:p>
        </w:tc>
        <w:tc>
          <w:tcPr>
            <w:tcW w:w="580" w:type="pct"/>
            <w:gridSpan w:val="2"/>
            <w:tcBorders>
              <w:top w:val="nil"/>
              <w:left w:val="nil"/>
              <w:bottom w:val="nil"/>
              <w:right w:val="nil"/>
            </w:tcBorders>
            <w:shd w:val="clear" w:color="000000" w:fill="E6E6E6"/>
            <w:noWrap/>
            <w:vAlign w:val="bottom"/>
            <w:hideMark/>
          </w:tcPr>
          <w:p w14:paraId="0B5D0B46" w14:textId="1FC7E866"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13,660</w:t>
            </w:r>
          </w:p>
        </w:tc>
        <w:tc>
          <w:tcPr>
            <w:tcW w:w="581" w:type="pct"/>
            <w:gridSpan w:val="3"/>
            <w:tcBorders>
              <w:top w:val="nil"/>
              <w:left w:val="nil"/>
              <w:bottom w:val="nil"/>
              <w:right w:val="nil"/>
            </w:tcBorders>
            <w:shd w:val="clear" w:color="auto" w:fill="auto"/>
            <w:noWrap/>
            <w:vAlign w:val="bottom"/>
            <w:hideMark/>
          </w:tcPr>
          <w:p w14:paraId="0B863F58" w14:textId="532B46ED"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18,970</w:t>
            </w:r>
          </w:p>
        </w:tc>
        <w:tc>
          <w:tcPr>
            <w:tcW w:w="581" w:type="pct"/>
            <w:gridSpan w:val="2"/>
            <w:tcBorders>
              <w:top w:val="nil"/>
              <w:left w:val="nil"/>
              <w:bottom w:val="nil"/>
              <w:right w:val="nil"/>
            </w:tcBorders>
            <w:shd w:val="clear" w:color="auto" w:fill="auto"/>
            <w:noWrap/>
            <w:vAlign w:val="bottom"/>
            <w:hideMark/>
          </w:tcPr>
          <w:p w14:paraId="3838CE50" w14:textId="3E4CE2F1"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18,130</w:t>
            </w:r>
          </w:p>
        </w:tc>
        <w:tc>
          <w:tcPr>
            <w:tcW w:w="579" w:type="pct"/>
            <w:gridSpan w:val="2"/>
            <w:tcBorders>
              <w:top w:val="nil"/>
              <w:left w:val="nil"/>
              <w:bottom w:val="nil"/>
              <w:right w:val="nil"/>
            </w:tcBorders>
            <w:shd w:val="clear" w:color="auto" w:fill="auto"/>
            <w:noWrap/>
            <w:vAlign w:val="bottom"/>
            <w:hideMark/>
          </w:tcPr>
          <w:p w14:paraId="764FA781" w14:textId="26AB0028"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3,040</w:t>
            </w:r>
          </w:p>
        </w:tc>
      </w:tr>
      <w:tr w:rsidR="00B85A2A" w:rsidRPr="00A86423" w14:paraId="41614891" w14:textId="77777777" w:rsidTr="006E0842">
        <w:trPr>
          <w:trHeight w:val="204"/>
        </w:trPr>
        <w:tc>
          <w:tcPr>
            <w:tcW w:w="2097" w:type="pct"/>
            <w:tcBorders>
              <w:top w:val="nil"/>
              <w:left w:val="nil"/>
              <w:bottom w:val="nil"/>
              <w:right w:val="nil"/>
            </w:tcBorders>
            <w:shd w:val="clear" w:color="auto" w:fill="auto"/>
            <w:vAlign w:val="bottom"/>
            <w:hideMark/>
          </w:tcPr>
          <w:p w14:paraId="0C951145" w14:textId="44CD41D1" w:rsidR="00B85A2A" w:rsidRPr="00A86423" w:rsidRDefault="00B85A2A" w:rsidP="00E84A95">
            <w:pPr>
              <w:spacing w:after="0" w:line="240" w:lineRule="auto"/>
              <w:ind w:left="113"/>
              <w:rPr>
                <w:rFonts w:ascii="Arial" w:hAnsi="Arial" w:cs="Arial"/>
                <w:sz w:val="16"/>
                <w:szCs w:val="16"/>
              </w:rPr>
            </w:pPr>
            <w:r w:rsidRPr="00A86423">
              <w:rPr>
                <w:rFonts w:ascii="Arial" w:hAnsi="Arial" w:cs="Arial"/>
                <w:sz w:val="16"/>
                <w:szCs w:val="16"/>
              </w:rPr>
              <w:t>Expenses not requiring appropriation in the Budget year</w:t>
            </w:r>
            <w:r w:rsidRPr="00A86423">
              <w:rPr>
                <w:rFonts w:ascii="Arial" w:hAnsi="Arial" w:cs="Arial"/>
                <w:sz w:val="16"/>
                <w:szCs w:val="16"/>
                <w:vertAlign w:val="superscript"/>
              </w:rPr>
              <w:t>(c)</w:t>
            </w:r>
          </w:p>
        </w:tc>
        <w:tc>
          <w:tcPr>
            <w:tcW w:w="582" w:type="pct"/>
            <w:tcBorders>
              <w:top w:val="nil"/>
              <w:left w:val="nil"/>
              <w:bottom w:val="nil"/>
              <w:right w:val="nil"/>
            </w:tcBorders>
            <w:shd w:val="clear" w:color="auto" w:fill="auto"/>
            <w:noWrap/>
            <w:vAlign w:val="bottom"/>
            <w:hideMark/>
          </w:tcPr>
          <w:p w14:paraId="4DC44541" w14:textId="0931D8C0"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595</w:t>
            </w:r>
          </w:p>
        </w:tc>
        <w:tc>
          <w:tcPr>
            <w:tcW w:w="580" w:type="pct"/>
            <w:gridSpan w:val="2"/>
            <w:tcBorders>
              <w:top w:val="nil"/>
              <w:left w:val="nil"/>
              <w:bottom w:val="nil"/>
              <w:right w:val="nil"/>
            </w:tcBorders>
            <w:shd w:val="clear" w:color="000000" w:fill="E6E6E6"/>
            <w:noWrap/>
            <w:vAlign w:val="bottom"/>
            <w:hideMark/>
          </w:tcPr>
          <w:p w14:paraId="7DA1A97F" w14:textId="5854E589"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w:t>
            </w:r>
          </w:p>
        </w:tc>
        <w:tc>
          <w:tcPr>
            <w:tcW w:w="581" w:type="pct"/>
            <w:gridSpan w:val="3"/>
            <w:tcBorders>
              <w:top w:val="nil"/>
              <w:left w:val="nil"/>
              <w:bottom w:val="nil"/>
              <w:right w:val="nil"/>
            </w:tcBorders>
            <w:shd w:val="clear" w:color="auto" w:fill="auto"/>
            <w:noWrap/>
            <w:vAlign w:val="bottom"/>
            <w:hideMark/>
          </w:tcPr>
          <w:p w14:paraId="3DF07A01" w14:textId="4BF6A3EB"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w:t>
            </w:r>
          </w:p>
        </w:tc>
        <w:tc>
          <w:tcPr>
            <w:tcW w:w="581" w:type="pct"/>
            <w:gridSpan w:val="2"/>
            <w:tcBorders>
              <w:top w:val="nil"/>
              <w:left w:val="nil"/>
              <w:bottom w:val="nil"/>
              <w:right w:val="nil"/>
            </w:tcBorders>
            <w:shd w:val="clear" w:color="auto" w:fill="auto"/>
            <w:noWrap/>
            <w:vAlign w:val="bottom"/>
            <w:hideMark/>
          </w:tcPr>
          <w:p w14:paraId="4D853E6C" w14:textId="4FFB3E78"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w:t>
            </w:r>
          </w:p>
        </w:tc>
        <w:tc>
          <w:tcPr>
            <w:tcW w:w="579" w:type="pct"/>
            <w:gridSpan w:val="2"/>
            <w:tcBorders>
              <w:top w:val="nil"/>
              <w:left w:val="nil"/>
              <w:bottom w:val="nil"/>
              <w:right w:val="nil"/>
            </w:tcBorders>
            <w:shd w:val="clear" w:color="auto" w:fill="auto"/>
            <w:noWrap/>
            <w:vAlign w:val="bottom"/>
            <w:hideMark/>
          </w:tcPr>
          <w:p w14:paraId="0BB888B5" w14:textId="74986219"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w:t>
            </w:r>
          </w:p>
        </w:tc>
      </w:tr>
      <w:tr w:rsidR="00B85A2A" w:rsidRPr="00A86423" w14:paraId="6E7684DA" w14:textId="77777777" w:rsidTr="006E0842">
        <w:trPr>
          <w:trHeight w:val="204"/>
        </w:trPr>
        <w:tc>
          <w:tcPr>
            <w:tcW w:w="2097" w:type="pct"/>
            <w:tcBorders>
              <w:top w:val="nil"/>
              <w:left w:val="nil"/>
              <w:bottom w:val="single" w:sz="4" w:space="0" w:color="auto"/>
              <w:right w:val="nil"/>
            </w:tcBorders>
            <w:shd w:val="clear" w:color="auto" w:fill="auto"/>
            <w:noWrap/>
            <w:vAlign w:val="bottom"/>
            <w:hideMark/>
          </w:tcPr>
          <w:p w14:paraId="4C29C116" w14:textId="77777777" w:rsidR="00B85A2A" w:rsidRPr="00A86423" w:rsidRDefault="00B85A2A" w:rsidP="00B85A2A">
            <w:pPr>
              <w:spacing w:after="0" w:line="240" w:lineRule="auto"/>
              <w:rPr>
                <w:rFonts w:ascii="Arial" w:hAnsi="Arial" w:cs="Arial"/>
                <w:b/>
                <w:bCs/>
                <w:sz w:val="16"/>
                <w:szCs w:val="16"/>
              </w:rPr>
            </w:pPr>
            <w:r w:rsidRPr="00A86423">
              <w:rPr>
                <w:rFonts w:ascii="Arial" w:hAnsi="Arial" w:cs="Arial"/>
                <w:b/>
                <w:bCs/>
                <w:sz w:val="16"/>
                <w:szCs w:val="16"/>
              </w:rPr>
              <w:t>Total expenses for Program 2.2</w:t>
            </w:r>
          </w:p>
        </w:tc>
        <w:tc>
          <w:tcPr>
            <w:tcW w:w="582" w:type="pct"/>
            <w:tcBorders>
              <w:top w:val="single" w:sz="4" w:space="0" w:color="auto"/>
              <w:left w:val="nil"/>
              <w:bottom w:val="single" w:sz="4" w:space="0" w:color="auto"/>
              <w:right w:val="nil"/>
            </w:tcBorders>
            <w:shd w:val="clear" w:color="auto" w:fill="auto"/>
            <w:noWrap/>
            <w:vAlign w:val="bottom"/>
            <w:hideMark/>
          </w:tcPr>
          <w:p w14:paraId="78E13DBC" w14:textId="14F8577D" w:rsidR="00B85A2A" w:rsidRPr="00A86423" w:rsidRDefault="00B85A2A" w:rsidP="00E84A95">
            <w:pPr>
              <w:spacing w:after="0" w:line="240" w:lineRule="auto"/>
              <w:jc w:val="right"/>
              <w:rPr>
                <w:rFonts w:ascii="Arial" w:hAnsi="Arial" w:cs="Arial"/>
                <w:b/>
                <w:bCs/>
                <w:sz w:val="16"/>
                <w:szCs w:val="16"/>
              </w:rPr>
            </w:pPr>
            <w:r w:rsidRPr="00A86423">
              <w:rPr>
                <w:rFonts w:ascii="Arial" w:hAnsi="Arial" w:cs="Arial"/>
                <w:b/>
                <w:bCs/>
                <w:sz w:val="16"/>
                <w:szCs w:val="16"/>
              </w:rPr>
              <w:t>14,095</w:t>
            </w:r>
          </w:p>
        </w:tc>
        <w:tc>
          <w:tcPr>
            <w:tcW w:w="580" w:type="pct"/>
            <w:gridSpan w:val="2"/>
            <w:tcBorders>
              <w:top w:val="single" w:sz="4" w:space="0" w:color="auto"/>
              <w:left w:val="nil"/>
              <w:bottom w:val="single" w:sz="4" w:space="0" w:color="auto"/>
              <w:right w:val="nil"/>
            </w:tcBorders>
            <w:shd w:val="clear" w:color="000000" w:fill="E6E6E6"/>
            <w:noWrap/>
            <w:vAlign w:val="bottom"/>
            <w:hideMark/>
          </w:tcPr>
          <w:p w14:paraId="740A3FD8" w14:textId="16411A5F" w:rsidR="00B85A2A" w:rsidRPr="00A86423" w:rsidRDefault="00B85A2A" w:rsidP="00E84A95">
            <w:pPr>
              <w:spacing w:after="0" w:line="240" w:lineRule="auto"/>
              <w:jc w:val="right"/>
              <w:rPr>
                <w:rFonts w:ascii="Arial" w:hAnsi="Arial" w:cs="Arial"/>
                <w:b/>
                <w:bCs/>
                <w:sz w:val="16"/>
                <w:szCs w:val="16"/>
              </w:rPr>
            </w:pPr>
            <w:r w:rsidRPr="00A86423">
              <w:rPr>
                <w:rFonts w:ascii="Arial" w:hAnsi="Arial" w:cs="Arial"/>
                <w:b/>
                <w:bCs/>
                <w:sz w:val="16"/>
                <w:szCs w:val="16"/>
              </w:rPr>
              <w:t>13,660</w:t>
            </w:r>
          </w:p>
        </w:tc>
        <w:tc>
          <w:tcPr>
            <w:tcW w:w="581" w:type="pct"/>
            <w:gridSpan w:val="3"/>
            <w:tcBorders>
              <w:top w:val="single" w:sz="4" w:space="0" w:color="auto"/>
              <w:left w:val="nil"/>
              <w:bottom w:val="single" w:sz="4" w:space="0" w:color="auto"/>
              <w:right w:val="nil"/>
            </w:tcBorders>
            <w:shd w:val="clear" w:color="auto" w:fill="auto"/>
            <w:noWrap/>
            <w:vAlign w:val="bottom"/>
            <w:hideMark/>
          </w:tcPr>
          <w:p w14:paraId="484026B2" w14:textId="5A9D7EAF" w:rsidR="00B85A2A" w:rsidRPr="00A86423" w:rsidRDefault="00B85A2A" w:rsidP="00E84A95">
            <w:pPr>
              <w:spacing w:after="0" w:line="240" w:lineRule="auto"/>
              <w:jc w:val="right"/>
              <w:rPr>
                <w:rFonts w:ascii="Arial" w:hAnsi="Arial" w:cs="Arial"/>
                <w:b/>
                <w:bCs/>
                <w:sz w:val="16"/>
                <w:szCs w:val="16"/>
              </w:rPr>
            </w:pPr>
            <w:r w:rsidRPr="00A86423">
              <w:rPr>
                <w:rFonts w:ascii="Arial" w:hAnsi="Arial" w:cs="Arial"/>
                <w:b/>
                <w:bCs/>
                <w:sz w:val="16"/>
                <w:szCs w:val="16"/>
              </w:rPr>
              <w:t>18,970</w:t>
            </w:r>
          </w:p>
        </w:tc>
        <w:tc>
          <w:tcPr>
            <w:tcW w:w="581" w:type="pct"/>
            <w:gridSpan w:val="2"/>
            <w:tcBorders>
              <w:top w:val="single" w:sz="4" w:space="0" w:color="auto"/>
              <w:left w:val="nil"/>
              <w:bottom w:val="single" w:sz="4" w:space="0" w:color="auto"/>
              <w:right w:val="nil"/>
            </w:tcBorders>
            <w:shd w:val="clear" w:color="auto" w:fill="auto"/>
            <w:noWrap/>
            <w:vAlign w:val="bottom"/>
            <w:hideMark/>
          </w:tcPr>
          <w:p w14:paraId="601963C9" w14:textId="6711E70C" w:rsidR="00B85A2A" w:rsidRPr="00A86423" w:rsidRDefault="00B85A2A" w:rsidP="00E84A95">
            <w:pPr>
              <w:spacing w:after="0" w:line="240" w:lineRule="auto"/>
              <w:jc w:val="right"/>
              <w:rPr>
                <w:rFonts w:ascii="Arial" w:hAnsi="Arial" w:cs="Arial"/>
                <w:b/>
                <w:bCs/>
                <w:sz w:val="16"/>
                <w:szCs w:val="16"/>
              </w:rPr>
            </w:pPr>
            <w:r w:rsidRPr="00A86423">
              <w:rPr>
                <w:rFonts w:ascii="Arial" w:hAnsi="Arial" w:cs="Arial"/>
                <w:b/>
                <w:bCs/>
                <w:sz w:val="16"/>
                <w:szCs w:val="16"/>
              </w:rPr>
              <w:t>18,130</w:t>
            </w:r>
          </w:p>
        </w:tc>
        <w:tc>
          <w:tcPr>
            <w:tcW w:w="579" w:type="pct"/>
            <w:gridSpan w:val="2"/>
            <w:tcBorders>
              <w:top w:val="single" w:sz="4" w:space="0" w:color="auto"/>
              <w:left w:val="nil"/>
              <w:bottom w:val="single" w:sz="4" w:space="0" w:color="auto"/>
              <w:right w:val="nil"/>
            </w:tcBorders>
            <w:shd w:val="clear" w:color="auto" w:fill="auto"/>
            <w:noWrap/>
            <w:vAlign w:val="bottom"/>
            <w:hideMark/>
          </w:tcPr>
          <w:p w14:paraId="49161027" w14:textId="34D9B1A5" w:rsidR="00B85A2A" w:rsidRPr="00A86423" w:rsidRDefault="00B85A2A" w:rsidP="00E84A95">
            <w:pPr>
              <w:spacing w:after="0" w:line="240" w:lineRule="auto"/>
              <w:jc w:val="right"/>
              <w:rPr>
                <w:rFonts w:ascii="Arial" w:hAnsi="Arial" w:cs="Arial"/>
                <w:b/>
                <w:bCs/>
                <w:sz w:val="16"/>
                <w:szCs w:val="16"/>
              </w:rPr>
            </w:pPr>
            <w:r w:rsidRPr="00A86423">
              <w:rPr>
                <w:rFonts w:ascii="Arial" w:hAnsi="Arial" w:cs="Arial"/>
                <w:b/>
                <w:bCs/>
                <w:sz w:val="16"/>
                <w:szCs w:val="16"/>
              </w:rPr>
              <w:t>3,040</w:t>
            </w:r>
          </w:p>
        </w:tc>
      </w:tr>
      <w:tr w:rsidR="00B85A2A" w:rsidRPr="00A86423" w14:paraId="3448DAEC" w14:textId="77777777" w:rsidTr="006E0842">
        <w:trPr>
          <w:trHeight w:val="204"/>
        </w:trPr>
        <w:tc>
          <w:tcPr>
            <w:tcW w:w="2097" w:type="pct"/>
            <w:tcBorders>
              <w:top w:val="single" w:sz="4" w:space="0" w:color="auto"/>
              <w:left w:val="nil"/>
              <w:bottom w:val="single" w:sz="4" w:space="0" w:color="auto"/>
              <w:right w:val="nil"/>
            </w:tcBorders>
            <w:shd w:val="clear" w:color="000000" w:fill="E6E6E6"/>
            <w:noWrap/>
            <w:vAlign w:val="bottom"/>
            <w:hideMark/>
          </w:tcPr>
          <w:p w14:paraId="637C25F1" w14:textId="77777777" w:rsidR="00B85A2A" w:rsidRPr="00A86423" w:rsidRDefault="00B85A2A" w:rsidP="00B85A2A">
            <w:pPr>
              <w:spacing w:after="0" w:line="240" w:lineRule="auto"/>
              <w:rPr>
                <w:rFonts w:ascii="Arial" w:hAnsi="Arial" w:cs="Arial"/>
                <w:b/>
                <w:bCs/>
                <w:sz w:val="16"/>
                <w:szCs w:val="16"/>
              </w:rPr>
            </w:pPr>
            <w:r w:rsidRPr="00A86423">
              <w:rPr>
                <w:rFonts w:ascii="Arial" w:hAnsi="Arial" w:cs="Arial"/>
                <w:b/>
                <w:bCs/>
                <w:sz w:val="16"/>
                <w:szCs w:val="16"/>
              </w:rPr>
              <w:t xml:space="preserve">Program 2.3: Air Transport </w:t>
            </w:r>
          </w:p>
        </w:tc>
        <w:tc>
          <w:tcPr>
            <w:tcW w:w="582" w:type="pct"/>
            <w:tcBorders>
              <w:top w:val="single" w:sz="4" w:space="0" w:color="auto"/>
              <w:left w:val="nil"/>
              <w:bottom w:val="single" w:sz="4" w:space="0" w:color="auto"/>
              <w:right w:val="nil"/>
            </w:tcBorders>
            <w:shd w:val="clear" w:color="000000" w:fill="E6E6E6"/>
            <w:noWrap/>
            <w:vAlign w:val="bottom"/>
            <w:hideMark/>
          </w:tcPr>
          <w:p w14:paraId="2CC86DC9" w14:textId="77777777"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 </w:t>
            </w:r>
          </w:p>
        </w:tc>
        <w:tc>
          <w:tcPr>
            <w:tcW w:w="580" w:type="pct"/>
            <w:gridSpan w:val="2"/>
            <w:tcBorders>
              <w:top w:val="single" w:sz="4" w:space="0" w:color="auto"/>
              <w:left w:val="nil"/>
              <w:bottom w:val="single" w:sz="4" w:space="0" w:color="auto"/>
              <w:right w:val="nil"/>
            </w:tcBorders>
            <w:shd w:val="clear" w:color="000000" w:fill="E6E6E6"/>
            <w:noWrap/>
            <w:vAlign w:val="bottom"/>
            <w:hideMark/>
          </w:tcPr>
          <w:p w14:paraId="20288CB1" w14:textId="77777777"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 </w:t>
            </w:r>
          </w:p>
        </w:tc>
        <w:tc>
          <w:tcPr>
            <w:tcW w:w="581" w:type="pct"/>
            <w:gridSpan w:val="3"/>
            <w:tcBorders>
              <w:top w:val="single" w:sz="4" w:space="0" w:color="auto"/>
              <w:left w:val="nil"/>
              <w:bottom w:val="single" w:sz="4" w:space="0" w:color="auto"/>
              <w:right w:val="nil"/>
            </w:tcBorders>
            <w:shd w:val="clear" w:color="000000" w:fill="E6E6E6"/>
            <w:noWrap/>
            <w:vAlign w:val="bottom"/>
            <w:hideMark/>
          </w:tcPr>
          <w:p w14:paraId="4EAA1F84" w14:textId="77777777"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 </w:t>
            </w:r>
          </w:p>
        </w:tc>
        <w:tc>
          <w:tcPr>
            <w:tcW w:w="581" w:type="pct"/>
            <w:gridSpan w:val="2"/>
            <w:tcBorders>
              <w:top w:val="single" w:sz="4" w:space="0" w:color="auto"/>
              <w:left w:val="nil"/>
              <w:bottom w:val="single" w:sz="4" w:space="0" w:color="auto"/>
              <w:right w:val="nil"/>
            </w:tcBorders>
            <w:shd w:val="clear" w:color="000000" w:fill="E6E6E6"/>
            <w:noWrap/>
            <w:vAlign w:val="bottom"/>
            <w:hideMark/>
          </w:tcPr>
          <w:p w14:paraId="6F87F426" w14:textId="77777777"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 </w:t>
            </w:r>
          </w:p>
        </w:tc>
        <w:tc>
          <w:tcPr>
            <w:tcW w:w="579" w:type="pct"/>
            <w:gridSpan w:val="2"/>
            <w:tcBorders>
              <w:top w:val="single" w:sz="4" w:space="0" w:color="auto"/>
              <w:left w:val="nil"/>
              <w:bottom w:val="single" w:sz="4" w:space="0" w:color="auto"/>
              <w:right w:val="nil"/>
            </w:tcBorders>
            <w:shd w:val="clear" w:color="000000" w:fill="E6E6E6"/>
            <w:noWrap/>
            <w:vAlign w:val="bottom"/>
            <w:hideMark/>
          </w:tcPr>
          <w:p w14:paraId="4DAE56E8" w14:textId="77777777"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 </w:t>
            </w:r>
          </w:p>
        </w:tc>
      </w:tr>
      <w:tr w:rsidR="00B85A2A" w:rsidRPr="00A86423" w14:paraId="63A36811" w14:textId="77777777" w:rsidTr="006E0842">
        <w:trPr>
          <w:trHeight w:val="204"/>
        </w:trPr>
        <w:tc>
          <w:tcPr>
            <w:tcW w:w="2097" w:type="pct"/>
            <w:tcBorders>
              <w:top w:val="nil"/>
              <w:left w:val="nil"/>
              <w:bottom w:val="nil"/>
              <w:right w:val="nil"/>
            </w:tcBorders>
            <w:shd w:val="clear" w:color="auto" w:fill="auto"/>
            <w:noWrap/>
            <w:vAlign w:val="bottom"/>
            <w:hideMark/>
          </w:tcPr>
          <w:p w14:paraId="6A036500" w14:textId="77777777" w:rsidR="00B85A2A" w:rsidRPr="00A86423" w:rsidRDefault="00B85A2A" w:rsidP="00B85A2A">
            <w:pPr>
              <w:spacing w:after="0" w:line="240" w:lineRule="auto"/>
              <w:rPr>
                <w:rFonts w:ascii="Arial" w:hAnsi="Arial" w:cs="Arial"/>
                <w:sz w:val="16"/>
                <w:szCs w:val="16"/>
              </w:rPr>
            </w:pPr>
            <w:r w:rsidRPr="00A86423">
              <w:rPr>
                <w:rFonts w:ascii="Arial" w:hAnsi="Arial" w:cs="Arial"/>
                <w:sz w:val="16"/>
                <w:szCs w:val="16"/>
              </w:rPr>
              <w:t>Administered expenses</w:t>
            </w:r>
          </w:p>
        </w:tc>
        <w:tc>
          <w:tcPr>
            <w:tcW w:w="582" w:type="pct"/>
            <w:tcBorders>
              <w:top w:val="nil"/>
              <w:left w:val="nil"/>
              <w:bottom w:val="nil"/>
              <w:right w:val="nil"/>
            </w:tcBorders>
            <w:shd w:val="clear" w:color="auto" w:fill="auto"/>
            <w:noWrap/>
            <w:vAlign w:val="bottom"/>
            <w:hideMark/>
          </w:tcPr>
          <w:p w14:paraId="1F46A5F7" w14:textId="77777777" w:rsidR="00B85A2A" w:rsidRPr="00A86423" w:rsidRDefault="00B85A2A" w:rsidP="00E84A95">
            <w:pPr>
              <w:spacing w:after="0" w:line="240" w:lineRule="auto"/>
              <w:jc w:val="right"/>
              <w:rPr>
                <w:rFonts w:ascii="Arial" w:hAnsi="Arial" w:cs="Arial"/>
                <w:sz w:val="16"/>
                <w:szCs w:val="16"/>
              </w:rPr>
            </w:pPr>
          </w:p>
        </w:tc>
        <w:tc>
          <w:tcPr>
            <w:tcW w:w="580" w:type="pct"/>
            <w:gridSpan w:val="2"/>
            <w:tcBorders>
              <w:top w:val="nil"/>
              <w:left w:val="nil"/>
              <w:bottom w:val="nil"/>
              <w:right w:val="nil"/>
            </w:tcBorders>
            <w:shd w:val="clear" w:color="000000" w:fill="E6E6E6"/>
            <w:noWrap/>
            <w:vAlign w:val="bottom"/>
            <w:hideMark/>
          </w:tcPr>
          <w:p w14:paraId="7459BCF5" w14:textId="3A201B4B" w:rsidR="00B85A2A" w:rsidRPr="00A86423" w:rsidRDefault="00B85A2A" w:rsidP="00E84A95">
            <w:pPr>
              <w:spacing w:after="0" w:line="240" w:lineRule="auto"/>
              <w:jc w:val="right"/>
              <w:rPr>
                <w:rFonts w:ascii="Arial" w:hAnsi="Arial" w:cs="Arial"/>
                <w:sz w:val="16"/>
                <w:szCs w:val="16"/>
              </w:rPr>
            </w:pPr>
          </w:p>
        </w:tc>
        <w:tc>
          <w:tcPr>
            <w:tcW w:w="581" w:type="pct"/>
            <w:gridSpan w:val="3"/>
            <w:tcBorders>
              <w:top w:val="nil"/>
              <w:left w:val="nil"/>
              <w:bottom w:val="nil"/>
              <w:right w:val="nil"/>
            </w:tcBorders>
            <w:shd w:val="clear" w:color="auto" w:fill="auto"/>
            <w:noWrap/>
            <w:vAlign w:val="bottom"/>
            <w:hideMark/>
          </w:tcPr>
          <w:p w14:paraId="31B3071B" w14:textId="77777777" w:rsidR="00B85A2A" w:rsidRPr="00A86423" w:rsidRDefault="00B85A2A" w:rsidP="00E84A95">
            <w:pPr>
              <w:spacing w:after="0" w:line="240" w:lineRule="auto"/>
              <w:jc w:val="right"/>
              <w:rPr>
                <w:rFonts w:ascii="Arial" w:hAnsi="Arial" w:cs="Arial"/>
                <w:sz w:val="16"/>
                <w:szCs w:val="16"/>
              </w:rPr>
            </w:pPr>
          </w:p>
        </w:tc>
        <w:tc>
          <w:tcPr>
            <w:tcW w:w="581" w:type="pct"/>
            <w:gridSpan w:val="2"/>
            <w:tcBorders>
              <w:top w:val="nil"/>
              <w:left w:val="nil"/>
              <w:bottom w:val="nil"/>
              <w:right w:val="nil"/>
            </w:tcBorders>
            <w:shd w:val="clear" w:color="auto" w:fill="auto"/>
            <w:noWrap/>
            <w:vAlign w:val="bottom"/>
            <w:hideMark/>
          </w:tcPr>
          <w:p w14:paraId="3C245347" w14:textId="77777777" w:rsidR="00B85A2A" w:rsidRPr="00A86423" w:rsidRDefault="00B85A2A" w:rsidP="00E84A95">
            <w:pPr>
              <w:spacing w:after="0" w:line="240" w:lineRule="auto"/>
              <w:jc w:val="right"/>
              <w:rPr>
                <w:rFonts w:ascii="Arial" w:hAnsi="Arial" w:cs="Arial"/>
                <w:sz w:val="16"/>
                <w:szCs w:val="16"/>
              </w:rPr>
            </w:pPr>
          </w:p>
        </w:tc>
        <w:tc>
          <w:tcPr>
            <w:tcW w:w="579" w:type="pct"/>
            <w:gridSpan w:val="2"/>
            <w:tcBorders>
              <w:top w:val="nil"/>
              <w:left w:val="nil"/>
              <w:bottom w:val="nil"/>
              <w:right w:val="nil"/>
            </w:tcBorders>
            <w:shd w:val="clear" w:color="auto" w:fill="auto"/>
            <w:noWrap/>
            <w:vAlign w:val="bottom"/>
            <w:hideMark/>
          </w:tcPr>
          <w:p w14:paraId="589B94AC" w14:textId="77777777" w:rsidR="00B85A2A" w:rsidRPr="00A86423" w:rsidRDefault="00B85A2A" w:rsidP="00E84A95">
            <w:pPr>
              <w:spacing w:after="0" w:line="240" w:lineRule="auto"/>
              <w:jc w:val="right"/>
              <w:rPr>
                <w:rFonts w:ascii="Arial" w:hAnsi="Arial" w:cs="Arial"/>
                <w:sz w:val="16"/>
                <w:szCs w:val="16"/>
              </w:rPr>
            </w:pPr>
          </w:p>
        </w:tc>
      </w:tr>
      <w:tr w:rsidR="00B85A2A" w:rsidRPr="00A86423" w14:paraId="0FDCCB60" w14:textId="77777777" w:rsidTr="006E0842">
        <w:trPr>
          <w:trHeight w:val="204"/>
        </w:trPr>
        <w:tc>
          <w:tcPr>
            <w:tcW w:w="2097" w:type="pct"/>
            <w:tcBorders>
              <w:top w:val="nil"/>
              <w:left w:val="nil"/>
              <w:bottom w:val="nil"/>
              <w:right w:val="nil"/>
            </w:tcBorders>
            <w:shd w:val="clear" w:color="auto" w:fill="auto"/>
            <w:vAlign w:val="bottom"/>
            <w:hideMark/>
          </w:tcPr>
          <w:p w14:paraId="0EDC4F5C" w14:textId="29417494" w:rsidR="00B85A2A" w:rsidRPr="00A86423" w:rsidRDefault="00B85A2A" w:rsidP="00E84A95">
            <w:pPr>
              <w:spacing w:after="0" w:line="240" w:lineRule="auto"/>
              <w:ind w:left="113"/>
              <w:rPr>
                <w:rFonts w:ascii="Arial" w:hAnsi="Arial" w:cs="Arial"/>
                <w:sz w:val="16"/>
                <w:szCs w:val="16"/>
              </w:rPr>
            </w:pPr>
            <w:r w:rsidRPr="00A86423">
              <w:rPr>
                <w:rFonts w:ascii="Arial" w:hAnsi="Arial" w:cs="Arial"/>
                <w:sz w:val="16"/>
                <w:szCs w:val="16"/>
              </w:rPr>
              <w:t>Ordinary annual services (Appropriation Bill No. 1)</w:t>
            </w:r>
          </w:p>
        </w:tc>
        <w:tc>
          <w:tcPr>
            <w:tcW w:w="582" w:type="pct"/>
            <w:tcBorders>
              <w:top w:val="nil"/>
              <w:left w:val="nil"/>
              <w:bottom w:val="nil"/>
              <w:right w:val="nil"/>
            </w:tcBorders>
            <w:shd w:val="clear" w:color="auto" w:fill="auto"/>
            <w:noWrap/>
            <w:vAlign w:val="bottom"/>
            <w:hideMark/>
          </w:tcPr>
          <w:p w14:paraId="34DD4793" w14:textId="7CC3DF7D"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72,384</w:t>
            </w:r>
          </w:p>
        </w:tc>
        <w:tc>
          <w:tcPr>
            <w:tcW w:w="580" w:type="pct"/>
            <w:gridSpan w:val="2"/>
            <w:tcBorders>
              <w:top w:val="nil"/>
              <w:left w:val="nil"/>
              <w:bottom w:val="nil"/>
              <w:right w:val="nil"/>
            </w:tcBorders>
            <w:shd w:val="clear" w:color="000000" w:fill="E6E6E6"/>
            <w:noWrap/>
            <w:vAlign w:val="bottom"/>
            <w:hideMark/>
          </w:tcPr>
          <w:p w14:paraId="280FB35D" w14:textId="0161B70D"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122,517</w:t>
            </w:r>
          </w:p>
        </w:tc>
        <w:tc>
          <w:tcPr>
            <w:tcW w:w="581" w:type="pct"/>
            <w:gridSpan w:val="3"/>
            <w:tcBorders>
              <w:top w:val="nil"/>
              <w:left w:val="nil"/>
              <w:bottom w:val="nil"/>
              <w:right w:val="nil"/>
            </w:tcBorders>
            <w:shd w:val="clear" w:color="auto" w:fill="auto"/>
            <w:noWrap/>
            <w:vAlign w:val="bottom"/>
            <w:hideMark/>
          </w:tcPr>
          <w:p w14:paraId="7D60ABE8" w14:textId="1CB80BEC"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151,823</w:t>
            </w:r>
          </w:p>
        </w:tc>
        <w:tc>
          <w:tcPr>
            <w:tcW w:w="581" w:type="pct"/>
            <w:gridSpan w:val="2"/>
            <w:tcBorders>
              <w:top w:val="nil"/>
              <w:left w:val="nil"/>
              <w:bottom w:val="nil"/>
              <w:right w:val="nil"/>
            </w:tcBorders>
            <w:shd w:val="clear" w:color="auto" w:fill="auto"/>
            <w:noWrap/>
            <w:vAlign w:val="bottom"/>
            <w:hideMark/>
          </w:tcPr>
          <w:p w14:paraId="00AFDB2C" w14:textId="5BAE17ED"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182,432</w:t>
            </w:r>
          </w:p>
        </w:tc>
        <w:tc>
          <w:tcPr>
            <w:tcW w:w="579" w:type="pct"/>
            <w:gridSpan w:val="2"/>
            <w:tcBorders>
              <w:top w:val="nil"/>
              <w:left w:val="nil"/>
              <w:bottom w:val="nil"/>
              <w:right w:val="nil"/>
            </w:tcBorders>
            <w:shd w:val="clear" w:color="auto" w:fill="auto"/>
            <w:noWrap/>
            <w:vAlign w:val="bottom"/>
            <w:hideMark/>
          </w:tcPr>
          <w:p w14:paraId="7577CC12" w14:textId="40D8D778"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67,343</w:t>
            </w:r>
          </w:p>
        </w:tc>
      </w:tr>
      <w:tr w:rsidR="00B85A2A" w:rsidRPr="00A86423" w14:paraId="7093F73C" w14:textId="77777777" w:rsidTr="006E0842">
        <w:trPr>
          <w:trHeight w:val="204"/>
        </w:trPr>
        <w:tc>
          <w:tcPr>
            <w:tcW w:w="2097" w:type="pct"/>
            <w:tcBorders>
              <w:top w:val="nil"/>
              <w:left w:val="nil"/>
              <w:bottom w:val="nil"/>
              <w:right w:val="nil"/>
            </w:tcBorders>
            <w:shd w:val="clear" w:color="auto" w:fill="auto"/>
            <w:vAlign w:val="bottom"/>
            <w:hideMark/>
          </w:tcPr>
          <w:p w14:paraId="2472D20E" w14:textId="213A296F" w:rsidR="00B85A2A" w:rsidRPr="00A86423" w:rsidRDefault="00B85A2A" w:rsidP="00E84A95">
            <w:pPr>
              <w:spacing w:after="0" w:line="240" w:lineRule="auto"/>
              <w:ind w:left="113"/>
              <w:rPr>
                <w:rFonts w:ascii="Arial" w:hAnsi="Arial" w:cs="Arial"/>
                <w:sz w:val="16"/>
                <w:szCs w:val="16"/>
              </w:rPr>
            </w:pPr>
            <w:r w:rsidRPr="00A86423">
              <w:rPr>
                <w:rFonts w:ascii="Arial" w:hAnsi="Arial" w:cs="Arial"/>
                <w:sz w:val="16"/>
                <w:szCs w:val="16"/>
              </w:rPr>
              <w:t>Payments to corporate entities</w:t>
            </w:r>
            <w:r w:rsidRPr="00A86423">
              <w:rPr>
                <w:rFonts w:ascii="Arial" w:hAnsi="Arial" w:cs="Arial"/>
                <w:sz w:val="16"/>
                <w:szCs w:val="16"/>
                <w:vertAlign w:val="superscript"/>
              </w:rPr>
              <w:t>(b)</w:t>
            </w:r>
          </w:p>
        </w:tc>
        <w:tc>
          <w:tcPr>
            <w:tcW w:w="582" w:type="pct"/>
            <w:tcBorders>
              <w:top w:val="nil"/>
              <w:left w:val="nil"/>
              <w:bottom w:val="nil"/>
              <w:right w:val="nil"/>
            </w:tcBorders>
            <w:shd w:val="clear" w:color="auto" w:fill="auto"/>
            <w:noWrap/>
            <w:vAlign w:val="bottom"/>
            <w:hideMark/>
          </w:tcPr>
          <w:p w14:paraId="63F1350E" w14:textId="59CEFC32"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91,155</w:t>
            </w:r>
          </w:p>
        </w:tc>
        <w:tc>
          <w:tcPr>
            <w:tcW w:w="580" w:type="pct"/>
            <w:gridSpan w:val="2"/>
            <w:tcBorders>
              <w:top w:val="nil"/>
              <w:left w:val="nil"/>
              <w:bottom w:val="nil"/>
              <w:right w:val="nil"/>
            </w:tcBorders>
            <w:shd w:val="clear" w:color="000000" w:fill="E6E6E6"/>
            <w:noWrap/>
            <w:vAlign w:val="bottom"/>
            <w:hideMark/>
          </w:tcPr>
          <w:p w14:paraId="378D4F59" w14:textId="74ADEFB0"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107,602</w:t>
            </w:r>
          </w:p>
        </w:tc>
        <w:tc>
          <w:tcPr>
            <w:tcW w:w="581" w:type="pct"/>
            <w:gridSpan w:val="3"/>
            <w:tcBorders>
              <w:top w:val="nil"/>
              <w:left w:val="nil"/>
              <w:bottom w:val="nil"/>
              <w:right w:val="nil"/>
            </w:tcBorders>
            <w:shd w:val="clear" w:color="auto" w:fill="auto"/>
            <w:noWrap/>
            <w:vAlign w:val="bottom"/>
            <w:hideMark/>
          </w:tcPr>
          <w:p w14:paraId="4329ED70" w14:textId="4FD137DC"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41,536</w:t>
            </w:r>
          </w:p>
        </w:tc>
        <w:tc>
          <w:tcPr>
            <w:tcW w:w="581" w:type="pct"/>
            <w:gridSpan w:val="2"/>
            <w:tcBorders>
              <w:top w:val="nil"/>
              <w:left w:val="nil"/>
              <w:bottom w:val="nil"/>
              <w:right w:val="nil"/>
            </w:tcBorders>
            <w:shd w:val="clear" w:color="auto" w:fill="auto"/>
            <w:noWrap/>
            <w:vAlign w:val="bottom"/>
            <w:hideMark/>
          </w:tcPr>
          <w:p w14:paraId="3A86AEF0" w14:textId="2858D5C1"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42,089</w:t>
            </w:r>
          </w:p>
        </w:tc>
        <w:tc>
          <w:tcPr>
            <w:tcW w:w="579" w:type="pct"/>
            <w:gridSpan w:val="2"/>
            <w:tcBorders>
              <w:top w:val="nil"/>
              <w:left w:val="nil"/>
              <w:bottom w:val="nil"/>
              <w:right w:val="nil"/>
            </w:tcBorders>
            <w:shd w:val="clear" w:color="auto" w:fill="auto"/>
            <w:noWrap/>
            <w:vAlign w:val="bottom"/>
            <w:hideMark/>
          </w:tcPr>
          <w:p w14:paraId="5BF21171" w14:textId="730D16FD"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42,885</w:t>
            </w:r>
          </w:p>
        </w:tc>
      </w:tr>
      <w:tr w:rsidR="00B85A2A" w:rsidRPr="00A86423" w14:paraId="02AFB519" w14:textId="77777777" w:rsidTr="006E0842">
        <w:trPr>
          <w:trHeight w:val="204"/>
        </w:trPr>
        <w:tc>
          <w:tcPr>
            <w:tcW w:w="2097" w:type="pct"/>
            <w:tcBorders>
              <w:top w:val="nil"/>
              <w:left w:val="nil"/>
              <w:bottom w:val="nil"/>
              <w:right w:val="nil"/>
            </w:tcBorders>
            <w:shd w:val="clear" w:color="auto" w:fill="auto"/>
            <w:noWrap/>
            <w:vAlign w:val="bottom"/>
            <w:hideMark/>
          </w:tcPr>
          <w:p w14:paraId="7780BB2B" w14:textId="77777777" w:rsidR="00B85A2A" w:rsidRPr="00A86423" w:rsidRDefault="00B85A2A" w:rsidP="00E84A95">
            <w:pPr>
              <w:spacing w:after="0" w:line="240" w:lineRule="auto"/>
              <w:ind w:left="113"/>
              <w:rPr>
                <w:rFonts w:ascii="Arial" w:hAnsi="Arial" w:cs="Arial"/>
                <w:sz w:val="16"/>
                <w:szCs w:val="16"/>
              </w:rPr>
            </w:pPr>
            <w:r w:rsidRPr="00A86423">
              <w:rPr>
                <w:rFonts w:ascii="Arial" w:hAnsi="Arial" w:cs="Arial"/>
                <w:sz w:val="16"/>
                <w:szCs w:val="16"/>
              </w:rPr>
              <w:t>Special Appropriations</w:t>
            </w:r>
          </w:p>
        </w:tc>
        <w:tc>
          <w:tcPr>
            <w:tcW w:w="582" w:type="pct"/>
            <w:tcBorders>
              <w:top w:val="nil"/>
              <w:left w:val="nil"/>
              <w:bottom w:val="nil"/>
              <w:right w:val="nil"/>
            </w:tcBorders>
            <w:shd w:val="clear" w:color="auto" w:fill="auto"/>
            <w:noWrap/>
            <w:vAlign w:val="bottom"/>
            <w:hideMark/>
          </w:tcPr>
          <w:p w14:paraId="209962EC" w14:textId="77777777" w:rsidR="00B85A2A" w:rsidRPr="00A86423" w:rsidRDefault="00B85A2A" w:rsidP="00E84A95">
            <w:pPr>
              <w:spacing w:after="0" w:line="240" w:lineRule="auto"/>
              <w:ind w:firstLineChars="100" w:firstLine="160"/>
              <w:jc w:val="right"/>
              <w:rPr>
                <w:rFonts w:ascii="Arial" w:hAnsi="Arial" w:cs="Arial"/>
                <w:sz w:val="16"/>
                <w:szCs w:val="16"/>
              </w:rPr>
            </w:pPr>
          </w:p>
        </w:tc>
        <w:tc>
          <w:tcPr>
            <w:tcW w:w="580" w:type="pct"/>
            <w:gridSpan w:val="2"/>
            <w:tcBorders>
              <w:top w:val="nil"/>
              <w:left w:val="nil"/>
              <w:bottom w:val="nil"/>
              <w:right w:val="nil"/>
            </w:tcBorders>
            <w:shd w:val="clear" w:color="000000" w:fill="E6E6E6"/>
            <w:noWrap/>
            <w:vAlign w:val="bottom"/>
            <w:hideMark/>
          </w:tcPr>
          <w:p w14:paraId="3774CCC7" w14:textId="5837EBDC" w:rsidR="00B85A2A" w:rsidRPr="00A86423" w:rsidRDefault="00B85A2A" w:rsidP="00E84A95">
            <w:pPr>
              <w:spacing w:after="0" w:line="240" w:lineRule="auto"/>
              <w:jc w:val="right"/>
              <w:rPr>
                <w:rFonts w:ascii="Arial" w:hAnsi="Arial" w:cs="Arial"/>
                <w:sz w:val="16"/>
                <w:szCs w:val="16"/>
              </w:rPr>
            </w:pPr>
          </w:p>
        </w:tc>
        <w:tc>
          <w:tcPr>
            <w:tcW w:w="581" w:type="pct"/>
            <w:gridSpan w:val="3"/>
            <w:tcBorders>
              <w:top w:val="nil"/>
              <w:left w:val="nil"/>
              <w:bottom w:val="nil"/>
              <w:right w:val="nil"/>
            </w:tcBorders>
            <w:shd w:val="clear" w:color="auto" w:fill="auto"/>
            <w:noWrap/>
            <w:vAlign w:val="bottom"/>
            <w:hideMark/>
          </w:tcPr>
          <w:p w14:paraId="16E0CE5B" w14:textId="77777777" w:rsidR="00B85A2A" w:rsidRPr="00A86423" w:rsidRDefault="00B85A2A" w:rsidP="00E84A95">
            <w:pPr>
              <w:spacing w:after="0" w:line="240" w:lineRule="auto"/>
              <w:jc w:val="right"/>
              <w:rPr>
                <w:rFonts w:ascii="Arial" w:hAnsi="Arial" w:cs="Arial"/>
                <w:sz w:val="16"/>
                <w:szCs w:val="16"/>
              </w:rPr>
            </w:pPr>
          </w:p>
        </w:tc>
        <w:tc>
          <w:tcPr>
            <w:tcW w:w="581" w:type="pct"/>
            <w:gridSpan w:val="2"/>
            <w:tcBorders>
              <w:top w:val="nil"/>
              <w:left w:val="nil"/>
              <w:bottom w:val="nil"/>
              <w:right w:val="nil"/>
            </w:tcBorders>
            <w:shd w:val="clear" w:color="auto" w:fill="auto"/>
            <w:noWrap/>
            <w:vAlign w:val="bottom"/>
            <w:hideMark/>
          </w:tcPr>
          <w:p w14:paraId="4959274A" w14:textId="77777777" w:rsidR="00B85A2A" w:rsidRPr="00A86423" w:rsidRDefault="00B85A2A" w:rsidP="00E84A95">
            <w:pPr>
              <w:spacing w:after="0" w:line="240" w:lineRule="auto"/>
              <w:jc w:val="right"/>
              <w:rPr>
                <w:rFonts w:ascii="Arial" w:hAnsi="Arial" w:cs="Arial"/>
                <w:sz w:val="16"/>
                <w:szCs w:val="16"/>
              </w:rPr>
            </w:pPr>
          </w:p>
        </w:tc>
        <w:tc>
          <w:tcPr>
            <w:tcW w:w="579" w:type="pct"/>
            <w:gridSpan w:val="2"/>
            <w:tcBorders>
              <w:top w:val="nil"/>
              <w:left w:val="nil"/>
              <w:bottom w:val="nil"/>
              <w:right w:val="nil"/>
            </w:tcBorders>
            <w:shd w:val="clear" w:color="auto" w:fill="auto"/>
            <w:noWrap/>
            <w:vAlign w:val="bottom"/>
            <w:hideMark/>
          </w:tcPr>
          <w:p w14:paraId="7C451E7E" w14:textId="77777777" w:rsidR="00B85A2A" w:rsidRPr="00A86423" w:rsidRDefault="00B85A2A" w:rsidP="00E84A95">
            <w:pPr>
              <w:spacing w:after="0" w:line="240" w:lineRule="auto"/>
              <w:jc w:val="right"/>
              <w:rPr>
                <w:rFonts w:ascii="Arial" w:hAnsi="Arial" w:cs="Arial"/>
                <w:sz w:val="16"/>
                <w:szCs w:val="16"/>
              </w:rPr>
            </w:pPr>
          </w:p>
        </w:tc>
      </w:tr>
      <w:tr w:rsidR="00B85A2A" w:rsidRPr="00A86423" w14:paraId="50E3D27D" w14:textId="77777777" w:rsidTr="006E0842">
        <w:trPr>
          <w:trHeight w:val="204"/>
        </w:trPr>
        <w:tc>
          <w:tcPr>
            <w:tcW w:w="2097" w:type="pct"/>
            <w:tcBorders>
              <w:top w:val="nil"/>
              <w:left w:val="nil"/>
              <w:bottom w:val="nil"/>
              <w:right w:val="nil"/>
            </w:tcBorders>
            <w:shd w:val="clear" w:color="auto" w:fill="auto"/>
            <w:vAlign w:val="bottom"/>
            <w:hideMark/>
          </w:tcPr>
          <w:p w14:paraId="29C33429" w14:textId="1505231F" w:rsidR="00B85A2A" w:rsidRPr="00A86423" w:rsidRDefault="00B85A2A" w:rsidP="00E84A95">
            <w:pPr>
              <w:spacing w:after="0" w:line="240" w:lineRule="auto"/>
              <w:ind w:left="227"/>
              <w:rPr>
                <w:rFonts w:ascii="Arial" w:hAnsi="Arial" w:cs="Arial"/>
                <w:i/>
                <w:iCs/>
                <w:sz w:val="16"/>
                <w:szCs w:val="16"/>
              </w:rPr>
            </w:pPr>
            <w:r w:rsidRPr="00A86423">
              <w:rPr>
                <w:rFonts w:ascii="Arial" w:hAnsi="Arial" w:cs="Arial"/>
                <w:i/>
                <w:iCs/>
                <w:sz w:val="16"/>
                <w:szCs w:val="16"/>
              </w:rPr>
              <w:t>Aviation Fuel Revenues (Special Appropriation) Act 1988</w:t>
            </w:r>
            <w:r w:rsidRPr="00A86423">
              <w:rPr>
                <w:rFonts w:ascii="Arial" w:hAnsi="Arial" w:cs="Arial"/>
                <w:i/>
                <w:iCs/>
                <w:sz w:val="16"/>
                <w:szCs w:val="16"/>
                <w:vertAlign w:val="superscript"/>
              </w:rPr>
              <w:t>(b)</w:t>
            </w:r>
          </w:p>
        </w:tc>
        <w:tc>
          <w:tcPr>
            <w:tcW w:w="582" w:type="pct"/>
            <w:tcBorders>
              <w:top w:val="nil"/>
              <w:left w:val="nil"/>
              <w:bottom w:val="nil"/>
              <w:right w:val="nil"/>
            </w:tcBorders>
            <w:shd w:val="clear" w:color="auto" w:fill="auto"/>
            <w:noWrap/>
            <w:vAlign w:val="bottom"/>
            <w:hideMark/>
          </w:tcPr>
          <w:p w14:paraId="40B4C597" w14:textId="74602BD0"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115,000</w:t>
            </w:r>
          </w:p>
        </w:tc>
        <w:tc>
          <w:tcPr>
            <w:tcW w:w="580" w:type="pct"/>
            <w:gridSpan w:val="2"/>
            <w:tcBorders>
              <w:top w:val="nil"/>
              <w:left w:val="nil"/>
              <w:bottom w:val="nil"/>
              <w:right w:val="nil"/>
            </w:tcBorders>
            <w:shd w:val="clear" w:color="000000" w:fill="E6E6E6"/>
            <w:noWrap/>
            <w:vAlign w:val="bottom"/>
            <w:hideMark/>
          </w:tcPr>
          <w:p w14:paraId="720D0147" w14:textId="287DC30D"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88,100</w:t>
            </w:r>
          </w:p>
        </w:tc>
        <w:tc>
          <w:tcPr>
            <w:tcW w:w="581" w:type="pct"/>
            <w:gridSpan w:val="3"/>
            <w:tcBorders>
              <w:top w:val="nil"/>
              <w:left w:val="nil"/>
              <w:bottom w:val="nil"/>
              <w:right w:val="nil"/>
            </w:tcBorders>
            <w:shd w:val="clear" w:color="auto" w:fill="auto"/>
            <w:noWrap/>
            <w:vAlign w:val="bottom"/>
            <w:hideMark/>
          </w:tcPr>
          <w:p w14:paraId="77F6EF4F" w14:textId="7BB08031"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91,700</w:t>
            </w:r>
          </w:p>
        </w:tc>
        <w:tc>
          <w:tcPr>
            <w:tcW w:w="581" w:type="pct"/>
            <w:gridSpan w:val="2"/>
            <w:tcBorders>
              <w:top w:val="nil"/>
              <w:left w:val="nil"/>
              <w:bottom w:val="nil"/>
              <w:right w:val="nil"/>
            </w:tcBorders>
            <w:shd w:val="clear" w:color="auto" w:fill="auto"/>
            <w:noWrap/>
            <w:vAlign w:val="bottom"/>
            <w:hideMark/>
          </w:tcPr>
          <w:p w14:paraId="5747A6E7" w14:textId="3D32DA07"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92,200</w:t>
            </w:r>
          </w:p>
        </w:tc>
        <w:tc>
          <w:tcPr>
            <w:tcW w:w="579" w:type="pct"/>
            <w:gridSpan w:val="2"/>
            <w:tcBorders>
              <w:top w:val="nil"/>
              <w:left w:val="nil"/>
              <w:bottom w:val="nil"/>
              <w:right w:val="nil"/>
            </w:tcBorders>
            <w:shd w:val="clear" w:color="auto" w:fill="auto"/>
            <w:noWrap/>
            <w:vAlign w:val="bottom"/>
            <w:hideMark/>
          </w:tcPr>
          <w:p w14:paraId="72DAD9D6" w14:textId="62E30CB1"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92,200</w:t>
            </w:r>
          </w:p>
        </w:tc>
      </w:tr>
      <w:tr w:rsidR="00B85A2A" w:rsidRPr="00A86423" w14:paraId="7810B1C5" w14:textId="77777777" w:rsidTr="006E0842">
        <w:trPr>
          <w:trHeight w:val="204"/>
        </w:trPr>
        <w:tc>
          <w:tcPr>
            <w:tcW w:w="2097" w:type="pct"/>
            <w:tcBorders>
              <w:top w:val="nil"/>
              <w:left w:val="nil"/>
              <w:bottom w:val="nil"/>
              <w:right w:val="nil"/>
            </w:tcBorders>
            <w:shd w:val="clear" w:color="auto" w:fill="auto"/>
            <w:vAlign w:val="bottom"/>
            <w:hideMark/>
          </w:tcPr>
          <w:p w14:paraId="4F0EE70B" w14:textId="180CC732" w:rsidR="00B85A2A" w:rsidRPr="00A86423" w:rsidRDefault="00B85A2A" w:rsidP="00E84A95">
            <w:pPr>
              <w:spacing w:after="0" w:line="240" w:lineRule="auto"/>
              <w:ind w:left="227"/>
              <w:rPr>
                <w:rFonts w:ascii="Arial" w:hAnsi="Arial" w:cs="Arial"/>
                <w:i/>
                <w:iCs/>
                <w:sz w:val="16"/>
                <w:szCs w:val="16"/>
              </w:rPr>
            </w:pPr>
            <w:r w:rsidRPr="00A86423">
              <w:rPr>
                <w:rFonts w:ascii="Arial" w:hAnsi="Arial" w:cs="Arial"/>
                <w:i/>
                <w:iCs/>
                <w:sz w:val="16"/>
                <w:szCs w:val="16"/>
              </w:rPr>
              <w:t>RPAS levy (Special Appropriation) Act 2020</w:t>
            </w:r>
            <w:r w:rsidRPr="00A86423">
              <w:rPr>
                <w:rFonts w:ascii="Arial" w:hAnsi="Arial" w:cs="Arial"/>
                <w:sz w:val="16"/>
                <w:szCs w:val="16"/>
                <w:vertAlign w:val="superscript"/>
              </w:rPr>
              <w:t>(b)</w:t>
            </w:r>
          </w:p>
        </w:tc>
        <w:tc>
          <w:tcPr>
            <w:tcW w:w="582" w:type="pct"/>
            <w:tcBorders>
              <w:top w:val="nil"/>
              <w:left w:val="nil"/>
              <w:bottom w:val="nil"/>
              <w:right w:val="nil"/>
            </w:tcBorders>
            <w:shd w:val="clear" w:color="auto" w:fill="auto"/>
            <w:noWrap/>
            <w:vAlign w:val="bottom"/>
            <w:hideMark/>
          </w:tcPr>
          <w:p w14:paraId="09C25E7A" w14:textId="3B6ACD73"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1,832</w:t>
            </w:r>
          </w:p>
        </w:tc>
        <w:tc>
          <w:tcPr>
            <w:tcW w:w="580" w:type="pct"/>
            <w:gridSpan w:val="2"/>
            <w:tcBorders>
              <w:top w:val="nil"/>
              <w:left w:val="nil"/>
              <w:bottom w:val="nil"/>
              <w:right w:val="nil"/>
            </w:tcBorders>
            <w:shd w:val="clear" w:color="000000" w:fill="E6E6E6"/>
            <w:noWrap/>
            <w:vAlign w:val="bottom"/>
            <w:hideMark/>
          </w:tcPr>
          <w:p w14:paraId="00AF1AC2" w14:textId="0B5884E1"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1,000</w:t>
            </w:r>
          </w:p>
        </w:tc>
        <w:tc>
          <w:tcPr>
            <w:tcW w:w="581" w:type="pct"/>
            <w:gridSpan w:val="3"/>
            <w:tcBorders>
              <w:top w:val="nil"/>
              <w:left w:val="nil"/>
              <w:bottom w:val="nil"/>
              <w:right w:val="nil"/>
            </w:tcBorders>
            <w:shd w:val="clear" w:color="auto" w:fill="auto"/>
            <w:noWrap/>
            <w:vAlign w:val="bottom"/>
            <w:hideMark/>
          </w:tcPr>
          <w:p w14:paraId="58A22CF0" w14:textId="5DEE65E2"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28,490</w:t>
            </w:r>
          </w:p>
        </w:tc>
        <w:tc>
          <w:tcPr>
            <w:tcW w:w="581" w:type="pct"/>
            <w:gridSpan w:val="2"/>
            <w:tcBorders>
              <w:top w:val="nil"/>
              <w:left w:val="nil"/>
              <w:bottom w:val="nil"/>
              <w:right w:val="nil"/>
            </w:tcBorders>
            <w:shd w:val="clear" w:color="auto" w:fill="auto"/>
            <w:noWrap/>
            <w:vAlign w:val="bottom"/>
            <w:hideMark/>
          </w:tcPr>
          <w:p w14:paraId="60A2D053" w14:textId="1DC76725"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28,490</w:t>
            </w:r>
          </w:p>
        </w:tc>
        <w:tc>
          <w:tcPr>
            <w:tcW w:w="579" w:type="pct"/>
            <w:gridSpan w:val="2"/>
            <w:tcBorders>
              <w:top w:val="nil"/>
              <w:left w:val="nil"/>
              <w:bottom w:val="nil"/>
              <w:right w:val="nil"/>
            </w:tcBorders>
            <w:shd w:val="clear" w:color="auto" w:fill="auto"/>
            <w:noWrap/>
            <w:vAlign w:val="bottom"/>
            <w:hideMark/>
          </w:tcPr>
          <w:p w14:paraId="611EDCFD" w14:textId="05CCBA55"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28,490</w:t>
            </w:r>
          </w:p>
        </w:tc>
      </w:tr>
      <w:tr w:rsidR="00B85A2A" w:rsidRPr="00A86423" w14:paraId="1ADEC1E1" w14:textId="77777777" w:rsidTr="006E0842">
        <w:trPr>
          <w:trHeight w:val="204"/>
        </w:trPr>
        <w:tc>
          <w:tcPr>
            <w:tcW w:w="2097" w:type="pct"/>
            <w:tcBorders>
              <w:top w:val="nil"/>
              <w:left w:val="nil"/>
              <w:bottom w:val="nil"/>
              <w:right w:val="nil"/>
            </w:tcBorders>
            <w:shd w:val="clear" w:color="auto" w:fill="auto"/>
            <w:vAlign w:val="bottom"/>
            <w:hideMark/>
          </w:tcPr>
          <w:p w14:paraId="3380C6EE" w14:textId="2E82363A" w:rsidR="00B85A2A" w:rsidRPr="00A86423" w:rsidRDefault="00B85A2A" w:rsidP="00E84A95">
            <w:pPr>
              <w:spacing w:after="0" w:line="240" w:lineRule="auto"/>
              <w:ind w:left="113"/>
              <w:rPr>
                <w:rFonts w:ascii="Arial" w:hAnsi="Arial" w:cs="Arial"/>
                <w:sz w:val="16"/>
                <w:szCs w:val="16"/>
              </w:rPr>
            </w:pPr>
            <w:r w:rsidRPr="00A86423">
              <w:rPr>
                <w:rFonts w:ascii="Arial" w:hAnsi="Arial" w:cs="Arial"/>
                <w:sz w:val="16"/>
                <w:szCs w:val="16"/>
              </w:rPr>
              <w:t>Expenses not requiring appropriation in the Budget year</w:t>
            </w:r>
            <w:r w:rsidRPr="00A86423">
              <w:rPr>
                <w:rFonts w:ascii="Arial" w:hAnsi="Arial" w:cs="Arial"/>
                <w:sz w:val="16"/>
                <w:szCs w:val="16"/>
                <w:vertAlign w:val="superscript"/>
              </w:rPr>
              <w:t>(c)</w:t>
            </w:r>
          </w:p>
        </w:tc>
        <w:tc>
          <w:tcPr>
            <w:tcW w:w="582" w:type="pct"/>
            <w:tcBorders>
              <w:top w:val="nil"/>
              <w:left w:val="nil"/>
              <w:bottom w:val="nil"/>
              <w:right w:val="nil"/>
            </w:tcBorders>
            <w:shd w:val="clear" w:color="auto" w:fill="auto"/>
            <w:noWrap/>
            <w:vAlign w:val="bottom"/>
            <w:hideMark/>
          </w:tcPr>
          <w:p w14:paraId="6E5C75BF" w14:textId="1A14F1B9"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124,842</w:t>
            </w:r>
          </w:p>
        </w:tc>
        <w:tc>
          <w:tcPr>
            <w:tcW w:w="580" w:type="pct"/>
            <w:gridSpan w:val="2"/>
            <w:tcBorders>
              <w:top w:val="nil"/>
              <w:left w:val="nil"/>
              <w:bottom w:val="nil"/>
              <w:right w:val="nil"/>
            </w:tcBorders>
            <w:shd w:val="clear" w:color="000000" w:fill="E6E6E6"/>
            <w:noWrap/>
            <w:vAlign w:val="bottom"/>
            <w:hideMark/>
          </w:tcPr>
          <w:p w14:paraId="6C1DFFB1" w14:textId="308A0B71"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95,894</w:t>
            </w:r>
          </w:p>
        </w:tc>
        <w:tc>
          <w:tcPr>
            <w:tcW w:w="581" w:type="pct"/>
            <w:gridSpan w:val="3"/>
            <w:tcBorders>
              <w:top w:val="nil"/>
              <w:left w:val="nil"/>
              <w:bottom w:val="nil"/>
              <w:right w:val="nil"/>
            </w:tcBorders>
            <w:shd w:val="clear" w:color="auto" w:fill="auto"/>
            <w:noWrap/>
            <w:vAlign w:val="bottom"/>
            <w:hideMark/>
          </w:tcPr>
          <w:p w14:paraId="55E72B4D" w14:textId="77777777"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(21,634)</w:t>
            </w:r>
          </w:p>
        </w:tc>
        <w:tc>
          <w:tcPr>
            <w:tcW w:w="581" w:type="pct"/>
            <w:gridSpan w:val="2"/>
            <w:tcBorders>
              <w:top w:val="nil"/>
              <w:left w:val="nil"/>
              <w:bottom w:val="nil"/>
              <w:right w:val="nil"/>
            </w:tcBorders>
            <w:shd w:val="clear" w:color="auto" w:fill="auto"/>
            <w:noWrap/>
            <w:vAlign w:val="bottom"/>
            <w:hideMark/>
          </w:tcPr>
          <w:p w14:paraId="20750882" w14:textId="3AE5C199"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w:t>
            </w:r>
          </w:p>
        </w:tc>
        <w:tc>
          <w:tcPr>
            <w:tcW w:w="579" w:type="pct"/>
            <w:gridSpan w:val="2"/>
            <w:tcBorders>
              <w:top w:val="nil"/>
              <w:left w:val="nil"/>
              <w:bottom w:val="nil"/>
              <w:right w:val="nil"/>
            </w:tcBorders>
            <w:shd w:val="clear" w:color="auto" w:fill="auto"/>
            <w:noWrap/>
            <w:vAlign w:val="bottom"/>
            <w:hideMark/>
          </w:tcPr>
          <w:p w14:paraId="44D42D68" w14:textId="1B40D25E"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w:t>
            </w:r>
          </w:p>
        </w:tc>
      </w:tr>
      <w:tr w:rsidR="00B85A2A" w:rsidRPr="00A86423" w14:paraId="3B0A0FF1" w14:textId="77777777" w:rsidTr="006E0842">
        <w:trPr>
          <w:trHeight w:val="204"/>
        </w:trPr>
        <w:tc>
          <w:tcPr>
            <w:tcW w:w="2097" w:type="pct"/>
            <w:tcBorders>
              <w:top w:val="nil"/>
              <w:left w:val="nil"/>
              <w:bottom w:val="single" w:sz="4" w:space="0" w:color="auto"/>
              <w:right w:val="nil"/>
            </w:tcBorders>
            <w:shd w:val="clear" w:color="auto" w:fill="auto"/>
            <w:noWrap/>
            <w:vAlign w:val="bottom"/>
            <w:hideMark/>
          </w:tcPr>
          <w:p w14:paraId="6EC09912" w14:textId="77777777" w:rsidR="00B85A2A" w:rsidRPr="00A86423" w:rsidRDefault="00B85A2A" w:rsidP="00B85A2A">
            <w:pPr>
              <w:spacing w:after="0" w:line="240" w:lineRule="auto"/>
              <w:rPr>
                <w:rFonts w:ascii="Arial" w:hAnsi="Arial" w:cs="Arial"/>
                <w:b/>
                <w:bCs/>
                <w:sz w:val="16"/>
                <w:szCs w:val="16"/>
              </w:rPr>
            </w:pPr>
            <w:r w:rsidRPr="00A86423">
              <w:rPr>
                <w:rFonts w:ascii="Arial" w:hAnsi="Arial" w:cs="Arial"/>
                <w:b/>
                <w:bCs/>
                <w:sz w:val="16"/>
                <w:szCs w:val="16"/>
              </w:rPr>
              <w:t>Total expenses for Program 2.3</w:t>
            </w:r>
          </w:p>
        </w:tc>
        <w:tc>
          <w:tcPr>
            <w:tcW w:w="582" w:type="pct"/>
            <w:tcBorders>
              <w:top w:val="single" w:sz="4" w:space="0" w:color="auto"/>
              <w:left w:val="nil"/>
              <w:bottom w:val="single" w:sz="4" w:space="0" w:color="auto"/>
              <w:right w:val="nil"/>
            </w:tcBorders>
            <w:shd w:val="clear" w:color="auto" w:fill="auto"/>
            <w:noWrap/>
            <w:vAlign w:val="bottom"/>
            <w:hideMark/>
          </w:tcPr>
          <w:p w14:paraId="6DBD3A8D" w14:textId="20D31413" w:rsidR="00B85A2A" w:rsidRPr="00A86423" w:rsidRDefault="00B85A2A" w:rsidP="00E84A95">
            <w:pPr>
              <w:spacing w:after="0" w:line="240" w:lineRule="auto"/>
              <w:jc w:val="right"/>
              <w:rPr>
                <w:rFonts w:ascii="Arial" w:hAnsi="Arial" w:cs="Arial"/>
                <w:b/>
                <w:bCs/>
                <w:sz w:val="16"/>
                <w:szCs w:val="16"/>
              </w:rPr>
            </w:pPr>
            <w:r w:rsidRPr="00A86423">
              <w:rPr>
                <w:rFonts w:ascii="Arial" w:hAnsi="Arial" w:cs="Arial"/>
                <w:b/>
                <w:bCs/>
                <w:sz w:val="16"/>
                <w:szCs w:val="16"/>
              </w:rPr>
              <w:t>405,213</w:t>
            </w:r>
          </w:p>
        </w:tc>
        <w:tc>
          <w:tcPr>
            <w:tcW w:w="580" w:type="pct"/>
            <w:gridSpan w:val="2"/>
            <w:tcBorders>
              <w:top w:val="single" w:sz="4" w:space="0" w:color="auto"/>
              <w:left w:val="nil"/>
              <w:bottom w:val="single" w:sz="4" w:space="0" w:color="auto"/>
              <w:right w:val="nil"/>
            </w:tcBorders>
            <w:shd w:val="clear" w:color="000000" w:fill="E6E6E6"/>
            <w:noWrap/>
            <w:vAlign w:val="bottom"/>
            <w:hideMark/>
          </w:tcPr>
          <w:p w14:paraId="0F7C2C89" w14:textId="5CB5F205" w:rsidR="00B85A2A" w:rsidRPr="00A86423" w:rsidRDefault="00B85A2A" w:rsidP="00E84A95">
            <w:pPr>
              <w:spacing w:after="0" w:line="240" w:lineRule="auto"/>
              <w:jc w:val="right"/>
              <w:rPr>
                <w:rFonts w:ascii="Arial" w:hAnsi="Arial" w:cs="Arial"/>
                <w:b/>
                <w:bCs/>
                <w:sz w:val="16"/>
                <w:szCs w:val="16"/>
              </w:rPr>
            </w:pPr>
            <w:r w:rsidRPr="00A86423">
              <w:rPr>
                <w:rFonts w:ascii="Arial" w:hAnsi="Arial" w:cs="Arial"/>
                <w:b/>
                <w:bCs/>
                <w:sz w:val="16"/>
                <w:szCs w:val="16"/>
              </w:rPr>
              <w:t>415,113</w:t>
            </w:r>
          </w:p>
        </w:tc>
        <w:tc>
          <w:tcPr>
            <w:tcW w:w="581" w:type="pct"/>
            <w:gridSpan w:val="3"/>
            <w:tcBorders>
              <w:top w:val="single" w:sz="4" w:space="0" w:color="auto"/>
              <w:left w:val="nil"/>
              <w:bottom w:val="single" w:sz="4" w:space="0" w:color="auto"/>
              <w:right w:val="nil"/>
            </w:tcBorders>
            <w:shd w:val="clear" w:color="auto" w:fill="auto"/>
            <w:noWrap/>
            <w:vAlign w:val="bottom"/>
            <w:hideMark/>
          </w:tcPr>
          <w:p w14:paraId="29C53A3E" w14:textId="4B1290D8" w:rsidR="00B85A2A" w:rsidRPr="00A86423" w:rsidRDefault="00B85A2A" w:rsidP="00E84A95">
            <w:pPr>
              <w:spacing w:after="0" w:line="240" w:lineRule="auto"/>
              <w:jc w:val="right"/>
              <w:rPr>
                <w:rFonts w:ascii="Arial" w:hAnsi="Arial" w:cs="Arial"/>
                <w:b/>
                <w:bCs/>
                <w:sz w:val="16"/>
                <w:szCs w:val="16"/>
              </w:rPr>
            </w:pPr>
            <w:r w:rsidRPr="00A86423">
              <w:rPr>
                <w:rFonts w:ascii="Arial" w:hAnsi="Arial" w:cs="Arial"/>
                <w:b/>
                <w:bCs/>
                <w:sz w:val="16"/>
                <w:szCs w:val="16"/>
              </w:rPr>
              <w:t>291,915</w:t>
            </w:r>
          </w:p>
        </w:tc>
        <w:tc>
          <w:tcPr>
            <w:tcW w:w="581" w:type="pct"/>
            <w:gridSpan w:val="2"/>
            <w:tcBorders>
              <w:top w:val="single" w:sz="4" w:space="0" w:color="auto"/>
              <w:left w:val="nil"/>
              <w:bottom w:val="single" w:sz="4" w:space="0" w:color="auto"/>
              <w:right w:val="nil"/>
            </w:tcBorders>
            <w:shd w:val="clear" w:color="auto" w:fill="auto"/>
            <w:noWrap/>
            <w:vAlign w:val="bottom"/>
            <w:hideMark/>
          </w:tcPr>
          <w:p w14:paraId="0E583864" w14:textId="224B7EF2" w:rsidR="00B85A2A" w:rsidRPr="00A86423" w:rsidRDefault="00B85A2A" w:rsidP="00E84A95">
            <w:pPr>
              <w:spacing w:after="0" w:line="240" w:lineRule="auto"/>
              <w:jc w:val="right"/>
              <w:rPr>
                <w:rFonts w:ascii="Arial" w:hAnsi="Arial" w:cs="Arial"/>
                <w:b/>
                <w:bCs/>
                <w:sz w:val="16"/>
                <w:szCs w:val="16"/>
              </w:rPr>
            </w:pPr>
            <w:r w:rsidRPr="00A86423">
              <w:rPr>
                <w:rFonts w:ascii="Arial" w:hAnsi="Arial" w:cs="Arial"/>
                <w:b/>
                <w:bCs/>
                <w:sz w:val="16"/>
                <w:szCs w:val="16"/>
              </w:rPr>
              <w:t>345,211</w:t>
            </w:r>
          </w:p>
        </w:tc>
        <w:tc>
          <w:tcPr>
            <w:tcW w:w="579" w:type="pct"/>
            <w:gridSpan w:val="2"/>
            <w:tcBorders>
              <w:top w:val="single" w:sz="4" w:space="0" w:color="auto"/>
              <w:left w:val="nil"/>
              <w:bottom w:val="single" w:sz="4" w:space="0" w:color="auto"/>
              <w:right w:val="nil"/>
            </w:tcBorders>
            <w:shd w:val="clear" w:color="auto" w:fill="auto"/>
            <w:noWrap/>
            <w:vAlign w:val="bottom"/>
            <w:hideMark/>
          </w:tcPr>
          <w:p w14:paraId="6977FBF7" w14:textId="4551C089" w:rsidR="00B85A2A" w:rsidRPr="00A86423" w:rsidRDefault="00B85A2A" w:rsidP="00E84A95">
            <w:pPr>
              <w:spacing w:after="0" w:line="240" w:lineRule="auto"/>
              <w:jc w:val="right"/>
              <w:rPr>
                <w:rFonts w:ascii="Arial" w:hAnsi="Arial" w:cs="Arial"/>
                <w:b/>
                <w:bCs/>
                <w:sz w:val="16"/>
                <w:szCs w:val="16"/>
              </w:rPr>
            </w:pPr>
            <w:r w:rsidRPr="00A86423">
              <w:rPr>
                <w:rFonts w:ascii="Arial" w:hAnsi="Arial" w:cs="Arial"/>
                <w:b/>
                <w:bCs/>
                <w:sz w:val="16"/>
                <w:szCs w:val="16"/>
              </w:rPr>
              <w:t>230,918</w:t>
            </w:r>
          </w:p>
        </w:tc>
      </w:tr>
    </w:tbl>
    <w:p w14:paraId="6DC23F3A" w14:textId="5EEF620E" w:rsidR="00E84A95" w:rsidRDefault="00E84A95">
      <w:pPr>
        <w:spacing w:after="0" w:line="240" w:lineRule="auto"/>
      </w:pPr>
      <w:r>
        <w:br w:type="page"/>
      </w:r>
    </w:p>
    <w:p w14:paraId="57747FFC" w14:textId="77777777" w:rsidR="00115843" w:rsidRDefault="00115843" w:rsidP="00115843">
      <w:pPr>
        <w:spacing w:after="0" w:line="240" w:lineRule="auto"/>
      </w:pPr>
    </w:p>
    <w:p w14:paraId="31DF93DD" w14:textId="2E8C3ADB" w:rsidR="00115843" w:rsidRDefault="00115843" w:rsidP="00115843">
      <w:pPr>
        <w:pStyle w:val="TableHeadingcontinued"/>
      </w:pPr>
      <w:r w:rsidRPr="00AD42E2">
        <w:t>Table 2.</w:t>
      </w:r>
      <w:r>
        <w:t>2</w:t>
      </w:r>
      <w:r w:rsidRPr="00AD42E2">
        <w:t>.</w:t>
      </w:r>
      <w:r>
        <w:t>1</w:t>
      </w:r>
      <w:r w:rsidRPr="00AD42E2">
        <w:t xml:space="preserve">: Budgeted expenses for Outcome </w:t>
      </w:r>
      <w:r>
        <w:t>2 (continued)</w:t>
      </w:r>
    </w:p>
    <w:tbl>
      <w:tblPr>
        <w:tblW w:w="5000" w:type="pct"/>
        <w:tblLook w:val="04A0" w:firstRow="1" w:lastRow="0" w:firstColumn="1" w:lastColumn="0" w:noHBand="0" w:noVBand="1"/>
      </w:tblPr>
      <w:tblGrid>
        <w:gridCol w:w="3213"/>
        <w:gridCol w:w="21"/>
        <w:gridCol w:w="25"/>
        <w:gridCol w:w="864"/>
        <w:gridCol w:w="45"/>
        <w:gridCol w:w="19"/>
        <w:gridCol w:w="831"/>
        <w:gridCol w:w="51"/>
        <w:gridCol w:w="31"/>
        <w:gridCol w:w="14"/>
        <w:gridCol w:w="808"/>
        <w:gridCol w:w="23"/>
        <w:gridCol w:w="17"/>
        <w:gridCol w:w="806"/>
        <w:gridCol w:w="25"/>
        <w:gridCol w:w="12"/>
        <w:gridCol w:w="9"/>
        <w:gridCol w:w="865"/>
        <w:gridCol w:w="31"/>
      </w:tblGrid>
      <w:tr w:rsidR="00B85A2A" w:rsidRPr="00A86423" w14:paraId="19DC1768" w14:textId="77777777" w:rsidTr="007A5E05">
        <w:trPr>
          <w:gridAfter w:val="1"/>
          <w:wAfter w:w="21" w:type="pct"/>
          <w:trHeight w:val="204"/>
        </w:trPr>
        <w:tc>
          <w:tcPr>
            <w:tcW w:w="2084" w:type="pct"/>
            <w:tcBorders>
              <w:top w:val="single" w:sz="4" w:space="0" w:color="auto"/>
              <w:left w:val="nil"/>
              <w:bottom w:val="nil"/>
              <w:right w:val="nil"/>
            </w:tcBorders>
            <w:shd w:val="clear" w:color="auto" w:fill="auto"/>
            <w:noWrap/>
            <w:vAlign w:val="bottom"/>
            <w:hideMark/>
          </w:tcPr>
          <w:p w14:paraId="337E92D1" w14:textId="77777777" w:rsidR="00B85A2A" w:rsidRPr="00A86423" w:rsidRDefault="00B85A2A" w:rsidP="00B85A2A">
            <w:pPr>
              <w:spacing w:after="0" w:line="240" w:lineRule="auto"/>
              <w:rPr>
                <w:rFonts w:ascii="Arial" w:hAnsi="Arial" w:cs="Arial"/>
                <w:sz w:val="16"/>
                <w:szCs w:val="16"/>
              </w:rPr>
            </w:pPr>
            <w:r w:rsidRPr="00A86423">
              <w:rPr>
                <w:rFonts w:ascii="Arial" w:hAnsi="Arial" w:cs="Arial"/>
                <w:sz w:val="16"/>
                <w:szCs w:val="16"/>
              </w:rPr>
              <w:t> </w:t>
            </w:r>
          </w:p>
        </w:tc>
        <w:tc>
          <w:tcPr>
            <w:tcW w:w="619" w:type="pct"/>
            <w:gridSpan w:val="4"/>
            <w:tcBorders>
              <w:top w:val="single" w:sz="4" w:space="0" w:color="auto"/>
              <w:left w:val="nil"/>
              <w:bottom w:val="nil"/>
              <w:right w:val="nil"/>
            </w:tcBorders>
            <w:shd w:val="clear" w:color="auto" w:fill="auto"/>
            <w:vAlign w:val="bottom"/>
            <w:hideMark/>
          </w:tcPr>
          <w:p w14:paraId="19D32D00" w14:textId="77777777" w:rsidR="00B85A2A" w:rsidRPr="00A86423" w:rsidRDefault="00B85A2A" w:rsidP="00B85A2A">
            <w:pPr>
              <w:spacing w:after="0" w:line="240" w:lineRule="auto"/>
              <w:jc w:val="right"/>
              <w:rPr>
                <w:rFonts w:ascii="Arial" w:hAnsi="Arial" w:cs="Arial"/>
                <w:sz w:val="16"/>
                <w:szCs w:val="16"/>
              </w:rPr>
            </w:pPr>
            <w:r w:rsidRPr="00A86423">
              <w:rPr>
                <w:rFonts w:ascii="Arial" w:hAnsi="Arial" w:cs="Arial"/>
                <w:sz w:val="16"/>
                <w:szCs w:val="16"/>
              </w:rPr>
              <w:t>2022-23</w:t>
            </w:r>
            <w:r w:rsidRPr="00A86423">
              <w:rPr>
                <w:rFonts w:ascii="Arial" w:hAnsi="Arial" w:cs="Arial"/>
                <w:sz w:val="16"/>
                <w:szCs w:val="16"/>
              </w:rPr>
              <w:br/>
              <w:t>Estimated  actual</w:t>
            </w:r>
            <w:r w:rsidRPr="00A86423">
              <w:rPr>
                <w:rFonts w:ascii="Arial" w:hAnsi="Arial" w:cs="Arial"/>
                <w:sz w:val="16"/>
                <w:szCs w:val="16"/>
              </w:rPr>
              <w:br/>
              <w:t>$'000</w:t>
            </w:r>
          </w:p>
        </w:tc>
        <w:tc>
          <w:tcPr>
            <w:tcW w:w="584" w:type="pct"/>
            <w:gridSpan w:val="3"/>
            <w:tcBorders>
              <w:top w:val="single" w:sz="4" w:space="0" w:color="auto"/>
              <w:left w:val="nil"/>
              <w:bottom w:val="nil"/>
              <w:right w:val="nil"/>
            </w:tcBorders>
            <w:shd w:val="clear" w:color="000000" w:fill="E6E6E6"/>
            <w:vAlign w:val="bottom"/>
            <w:hideMark/>
          </w:tcPr>
          <w:p w14:paraId="55722101" w14:textId="77777777" w:rsidR="00B85A2A" w:rsidRPr="00A86423" w:rsidRDefault="00B85A2A" w:rsidP="00B85A2A">
            <w:pPr>
              <w:spacing w:after="0" w:line="240" w:lineRule="auto"/>
              <w:jc w:val="right"/>
              <w:rPr>
                <w:rFonts w:ascii="Arial" w:hAnsi="Arial" w:cs="Arial"/>
                <w:sz w:val="16"/>
                <w:szCs w:val="16"/>
              </w:rPr>
            </w:pPr>
            <w:r w:rsidRPr="00A86423">
              <w:rPr>
                <w:rFonts w:ascii="Arial" w:hAnsi="Arial" w:cs="Arial"/>
                <w:sz w:val="16"/>
                <w:szCs w:val="16"/>
              </w:rPr>
              <w:t>2023-24</w:t>
            </w:r>
            <w:r w:rsidRPr="00A86423">
              <w:rPr>
                <w:rFonts w:ascii="Arial" w:hAnsi="Arial" w:cs="Arial"/>
                <w:sz w:val="16"/>
                <w:szCs w:val="16"/>
              </w:rPr>
              <w:br/>
              <w:t xml:space="preserve"> Budget</w:t>
            </w:r>
            <w:r w:rsidRPr="00A86423">
              <w:rPr>
                <w:rFonts w:ascii="Arial" w:hAnsi="Arial" w:cs="Arial"/>
                <w:sz w:val="16"/>
                <w:szCs w:val="16"/>
              </w:rPr>
              <w:br/>
              <w:t xml:space="preserve">                                      $'000</w:t>
            </w:r>
          </w:p>
        </w:tc>
        <w:tc>
          <w:tcPr>
            <w:tcW w:w="553" w:type="pct"/>
            <w:gridSpan w:val="3"/>
            <w:tcBorders>
              <w:top w:val="single" w:sz="4" w:space="0" w:color="auto"/>
              <w:left w:val="nil"/>
              <w:bottom w:val="nil"/>
              <w:right w:val="nil"/>
            </w:tcBorders>
            <w:shd w:val="clear" w:color="auto" w:fill="auto"/>
            <w:vAlign w:val="bottom"/>
            <w:hideMark/>
          </w:tcPr>
          <w:p w14:paraId="1669128F" w14:textId="77777777" w:rsidR="00B85A2A" w:rsidRPr="00A86423" w:rsidRDefault="00B85A2A" w:rsidP="00B85A2A">
            <w:pPr>
              <w:spacing w:after="0" w:line="240" w:lineRule="auto"/>
              <w:jc w:val="right"/>
              <w:rPr>
                <w:rFonts w:ascii="Arial" w:hAnsi="Arial" w:cs="Arial"/>
                <w:sz w:val="16"/>
                <w:szCs w:val="16"/>
              </w:rPr>
            </w:pPr>
            <w:r w:rsidRPr="00A86423">
              <w:rPr>
                <w:rFonts w:ascii="Arial" w:hAnsi="Arial" w:cs="Arial"/>
                <w:sz w:val="16"/>
                <w:szCs w:val="16"/>
              </w:rPr>
              <w:t>2024-25</w:t>
            </w:r>
            <w:r w:rsidRPr="00A86423">
              <w:rPr>
                <w:rFonts w:ascii="Arial" w:hAnsi="Arial" w:cs="Arial"/>
                <w:sz w:val="16"/>
                <w:szCs w:val="16"/>
              </w:rPr>
              <w:br/>
              <w:t>Forward estimate</w:t>
            </w:r>
            <w:r w:rsidRPr="00A86423">
              <w:rPr>
                <w:rFonts w:ascii="Arial" w:hAnsi="Arial" w:cs="Arial"/>
                <w:sz w:val="16"/>
                <w:szCs w:val="16"/>
              </w:rPr>
              <w:br/>
              <w:t>$'000</w:t>
            </w:r>
          </w:p>
        </w:tc>
        <w:tc>
          <w:tcPr>
            <w:tcW w:w="549" w:type="pct"/>
            <w:gridSpan w:val="3"/>
            <w:tcBorders>
              <w:top w:val="single" w:sz="4" w:space="0" w:color="auto"/>
              <w:left w:val="nil"/>
              <w:bottom w:val="nil"/>
              <w:right w:val="nil"/>
            </w:tcBorders>
            <w:shd w:val="clear" w:color="auto" w:fill="auto"/>
            <w:vAlign w:val="bottom"/>
            <w:hideMark/>
          </w:tcPr>
          <w:p w14:paraId="57F9C0B4" w14:textId="77777777" w:rsidR="00B85A2A" w:rsidRPr="00A86423" w:rsidRDefault="00B85A2A" w:rsidP="00B85A2A">
            <w:pPr>
              <w:spacing w:after="0" w:line="240" w:lineRule="auto"/>
              <w:jc w:val="right"/>
              <w:rPr>
                <w:rFonts w:ascii="Arial" w:hAnsi="Arial" w:cs="Arial"/>
                <w:sz w:val="16"/>
                <w:szCs w:val="16"/>
              </w:rPr>
            </w:pPr>
            <w:r w:rsidRPr="00A86423">
              <w:rPr>
                <w:rFonts w:ascii="Arial" w:hAnsi="Arial" w:cs="Arial"/>
                <w:sz w:val="16"/>
                <w:szCs w:val="16"/>
              </w:rPr>
              <w:t>2025-26</w:t>
            </w:r>
            <w:r w:rsidRPr="00A86423">
              <w:rPr>
                <w:rFonts w:ascii="Arial" w:hAnsi="Arial" w:cs="Arial"/>
                <w:sz w:val="16"/>
                <w:szCs w:val="16"/>
              </w:rPr>
              <w:br/>
              <w:t>Forward estimate</w:t>
            </w:r>
            <w:r w:rsidRPr="00A86423">
              <w:rPr>
                <w:rFonts w:ascii="Arial" w:hAnsi="Arial" w:cs="Arial"/>
                <w:sz w:val="16"/>
                <w:szCs w:val="16"/>
              </w:rPr>
              <w:br/>
              <w:t>$'000</w:t>
            </w:r>
          </w:p>
        </w:tc>
        <w:tc>
          <w:tcPr>
            <w:tcW w:w="591" w:type="pct"/>
            <w:gridSpan w:val="4"/>
            <w:tcBorders>
              <w:top w:val="single" w:sz="4" w:space="0" w:color="auto"/>
              <w:left w:val="nil"/>
              <w:bottom w:val="nil"/>
              <w:right w:val="nil"/>
            </w:tcBorders>
            <w:shd w:val="clear" w:color="auto" w:fill="auto"/>
            <w:vAlign w:val="bottom"/>
            <w:hideMark/>
          </w:tcPr>
          <w:p w14:paraId="2362A18B" w14:textId="77777777" w:rsidR="00B85A2A" w:rsidRPr="00A86423" w:rsidRDefault="00B85A2A" w:rsidP="00B85A2A">
            <w:pPr>
              <w:spacing w:after="0" w:line="240" w:lineRule="auto"/>
              <w:jc w:val="right"/>
              <w:rPr>
                <w:rFonts w:ascii="Arial" w:hAnsi="Arial" w:cs="Arial"/>
                <w:sz w:val="16"/>
                <w:szCs w:val="16"/>
              </w:rPr>
            </w:pPr>
            <w:r w:rsidRPr="00A86423">
              <w:rPr>
                <w:rFonts w:ascii="Arial" w:hAnsi="Arial" w:cs="Arial"/>
                <w:sz w:val="16"/>
                <w:szCs w:val="16"/>
              </w:rPr>
              <w:t>2026-27</w:t>
            </w:r>
            <w:r w:rsidRPr="00A86423">
              <w:rPr>
                <w:rFonts w:ascii="Arial" w:hAnsi="Arial" w:cs="Arial"/>
                <w:sz w:val="16"/>
                <w:szCs w:val="16"/>
              </w:rPr>
              <w:br/>
              <w:t>Forward estimate</w:t>
            </w:r>
            <w:r w:rsidRPr="00A86423">
              <w:rPr>
                <w:rFonts w:ascii="Arial" w:hAnsi="Arial" w:cs="Arial"/>
                <w:sz w:val="16"/>
                <w:szCs w:val="16"/>
              </w:rPr>
              <w:br/>
              <w:t>$'000</w:t>
            </w:r>
          </w:p>
        </w:tc>
      </w:tr>
      <w:tr w:rsidR="00B85A2A" w:rsidRPr="00A86423" w14:paraId="0AD405D0" w14:textId="77777777" w:rsidTr="007A5E05">
        <w:trPr>
          <w:gridAfter w:val="1"/>
          <w:wAfter w:w="21" w:type="pct"/>
          <w:trHeight w:val="204"/>
        </w:trPr>
        <w:tc>
          <w:tcPr>
            <w:tcW w:w="2674" w:type="pct"/>
            <w:gridSpan w:val="4"/>
            <w:tcBorders>
              <w:top w:val="single" w:sz="4" w:space="0" w:color="auto"/>
              <w:left w:val="nil"/>
              <w:bottom w:val="single" w:sz="4" w:space="0" w:color="auto"/>
              <w:right w:val="nil"/>
            </w:tcBorders>
            <w:shd w:val="clear" w:color="000000" w:fill="E6E6E6"/>
            <w:noWrap/>
            <w:vAlign w:val="bottom"/>
            <w:hideMark/>
          </w:tcPr>
          <w:p w14:paraId="7425D2FB" w14:textId="77777777" w:rsidR="00B85A2A" w:rsidRPr="00A86423" w:rsidRDefault="00B85A2A" w:rsidP="00B85A2A">
            <w:pPr>
              <w:spacing w:after="0" w:line="240" w:lineRule="auto"/>
              <w:rPr>
                <w:rFonts w:ascii="Arial" w:hAnsi="Arial" w:cs="Arial"/>
                <w:b/>
                <w:bCs/>
                <w:sz w:val="16"/>
                <w:szCs w:val="16"/>
              </w:rPr>
            </w:pPr>
            <w:r w:rsidRPr="00A86423">
              <w:rPr>
                <w:rFonts w:ascii="Arial" w:hAnsi="Arial" w:cs="Arial"/>
                <w:b/>
                <w:bCs/>
                <w:sz w:val="16"/>
                <w:szCs w:val="16"/>
              </w:rPr>
              <w:t>Program 2.4 Program Support for Outcome 2</w:t>
            </w:r>
          </w:p>
        </w:tc>
        <w:tc>
          <w:tcPr>
            <w:tcW w:w="580" w:type="pct"/>
            <w:gridSpan w:val="3"/>
            <w:tcBorders>
              <w:top w:val="single" w:sz="4" w:space="0" w:color="auto"/>
              <w:left w:val="nil"/>
              <w:bottom w:val="single" w:sz="4" w:space="0" w:color="auto"/>
              <w:right w:val="nil"/>
            </w:tcBorders>
            <w:shd w:val="clear" w:color="000000" w:fill="E6E6E6"/>
            <w:noWrap/>
            <w:vAlign w:val="bottom"/>
            <w:hideMark/>
          </w:tcPr>
          <w:p w14:paraId="6A1BDACC" w14:textId="77777777" w:rsidR="00B85A2A" w:rsidRPr="00A86423" w:rsidRDefault="00B85A2A" w:rsidP="00B85A2A">
            <w:pPr>
              <w:spacing w:after="0" w:line="240" w:lineRule="auto"/>
              <w:rPr>
                <w:rFonts w:ascii="Arial" w:hAnsi="Arial" w:cs="Arial"/>
                <w:sz w:val="16"/>
                <w:szCs w:val="16"/>
              </w:rPr>
            </w:pPr>
            <w:r w:rsidRPr="00A86423">
              <w:rPr>
                <w:rFonts w:ascii="Arial" w:hAnsi="Arial" w:cs="Arial"/>
                <w:sz w:val="16"/>
                <w:szCs w:val="16"/>
              </w:rPr>
              <w:t> </w:t>
            </w:r>
          </w:p>
        </w:tc>
        <w:tc>
          <w:tcPr>
            <w:tcW w:w="585" w:type="pct"/>
            <w:gridSpan w:val="4"/>
            <w:tcBorders>
              <w:top w:val="single" w:sz="4" w:space="0" w:color="auto"/>
              <w:left w:val="nil"/>
              <w:bottom w:val="single" w:sz="4" w:space="0" w:color="auto"/>
              <w:right w:val="nil"/>
            </w:tcBorders>
            <w:shd w:val="clear" w:color="000000" w:fill="E6E6E6"/>
            <w:noWrap/>
            <w:vAlign w:val="bottom"/>
            <w:hideMark/>
          </w:tcPr>
          <w:p w14:paraId="49A5A870" w14:textId="77777777" w:rsidR="00B85A2A" w:rsidRPr="00A86423" w:rsidRDefault="00B85A2A" w:rsidP="00B85A2A">
            <w:pPr>
              <w:spacing w:after="0" w:line="240" w:lineRule="auto"/>
              <w:rPr>
                <w:rFonts w:ascii="Arial" w:hAnsi="Arial" w:cs="Arial"/>
                <w:sz w:val="16"/>
                <w:szCs w:val="16"/>
              </w:rPr>
            </w:pPr>
            <w:r w:rsidRPr="00A86423">
              <w:rPr>
                <w:rFonts w:ascii="Arial" w:hAnsi="Arial" w:cs="Arial"/>
                <w:sz w:val="16"/>
                <w:szCs w:val="16"/>
              </w:rPr>
              <w:t> </w:t>
            </w:r>
          </w:p>
        </w:tc>
        <w:tc>
          <w:tcPr>
            <w:tcW w:w="565" w:type="pct"/>
            <w:gridSpan w:val="4"/>
            <w:tcBorders>
              <w:top w:val="single" w:sz="4" w:space="0" w:color="auto"/>
              <w:left w:val="nil"/>
              <w:bottom w:val="single" w:sz="4" w:space="0" w:color="auto"/>
              <w:right w:val="nil"/>
            </w:tcBorders>
            <w:shd w:val="clear" w:color="000000" w:fill="E6E6E6"/>
            <w:noWrap/>
            <w:vAlign w:val="bottom"/>
            <w:hideMark/>
          </w:tcPr>
          <w:p w14:paraId="733BB2D7" w14:textId="77777777" w:rsidR="00B85A2A" w:rsidRPr="00A86423" w:rsidRDefault="00B85A2A" w:rsidP="00B85A2A">
            <w:pPr>
              <w:spacing w:after="0" w:line="240" w:lineRule="auto"/>
              <w:rPr>
                <w:rFonts w:ascii="Arial" w:hAnsi="Arial" w:cs="Arial"/>
                <w:sz w:val="16"/>
                <w:szCs w:val="16"/>
              </w:rPr>
            </w:pPr>
            <w:r w:rsidRPr="00A86423">
              <w:rPr>
                <w:rFonts w:ascii="Arial" w:hAnsi="Arial" w:cs="Arial"/>
                <w:sz w:val="16"/>
                <w:szCs w:val="16"/>
              </w:rPr>
              <w:t> </w:t>
            </w:r>
          </w:p>
        </w:tc>
        <w:tc>
          <w:tcPr>
            <w:tcW w:w="575" w:type="pct"/>
            <w:gridSpan w:val="3"/>
            <w:tcBorders>
              <w:top w:val="single" w:sz="4" w:space="0" w:color="auto"/>
              <w:left w:val="nil"/>
              <w:bottom w:val="single" w:sz="4" w:space="0" w:color="auto"/>
              <w:right w:val="nil"/>
            </w:tcBorders>
            <w:shd w:val="clear" w:color="000000" w:fill="E6E6E6"/>
            <w:noWrap/>
            <w:vAlign w:val="bottom"/>
            <w:hideMark/>
          </w:tcPr>
          <w:p w14:paraId="5448E05C" w14:textId="77777777" w:rsidR="00B85A2A" w:rsidRPr="00A86423" w:rsidRDefault="00B85A2A" w:rsidP="00B85A2A">
            <w:pPr>
              <w:spacing w:after="0" w:line="240" w:lineRule="auto"/>
              <w:rPr>
                <w:rFonts w:ascii="Arial" w:hAnsi="Arial" w:cs="Arial"/>
                <w:sz w:val="16"/>
                <w:szCs w:val="16"/>
              </w:rPr>
            </w:pPr>
            <w:r w:rsidRPr="00A86423">
              <w:rPr>
                <w:rFonts w:ascii="Arial" w:hAnsi="Arial" w:cs="Arial"/>
                <w:sz w:val="16"/>
                <w:szCs w:val="16"/>
              </w:rPr>
              <w:t> </w:t>
            </w:r>
          </w:p>
        </w:tc>
      </w:tr>
      <w:tr w:rsidR="00B85A2A" w:rsidRPr="00A86423" w14:paraId="7372247B" w14:textId="77777777" w:rsidTr="007A5E05">
        <w:trPr>
          <w:gridAfter w:val="1"/>
          <w:wAfter w:w="21" w:type="pct"/>
          <w:trHeight w:val="204"/>
        </w:trPr>
        <w:tc>
          <w:tcPr>
            <w:tcW w:w="2113" w:type="pct"/>
            <w:gridSpan w:val="3"/>
            <w:tcBorders>
              <w:top w:val="nil"/>
              <w:left w:val="nil"/>
              <w:bottom w:val="nil"/>
              <w:right w:val="nil"/>
            </w:tcBorders>
            <w:shd w:val="clear" w:color="auto" w:fill="auto"/>
            <w:noWrap/>
            <w:vAlign w:val="bottom"/>
            <w:hideMark/>
          </w:tcPr>
          <w:p w14:paraId="02EFAE9E" w14:textId="77777777" w:rsidR="00B85A2A" w:rsidRPr="00A86423" w:rsidRDefault="00B85A2A" w:rsidP="00B85A2A">
            <w:pPr>
              <w:spacing w:after="0" w:line="240" w:lineRule="auto"/>
              <w:rPr>
                <w:rFonts w:ascii="Arial" w:hAnsi="Arial" w:cs="Arial"/>
                <w:sz w:val="16"/>
                <w:szCs w:val="16"/>
              </w:rPr>
            </w:pPr>
            <w:r w:rsidRPr="00A86423">
              <w:rPr>
                <w:rFonts w:ascii="Arial" w:hAnsi="Arial" w:cs="Arial"/>
                <w:sz w:val="16"/>
                <w:szCs w:val="16"/>
              </w:rPr>
              <w:t>Departmental expenses</w:t>
            </w:r>
          </w:p>
        </w:tc>
        <w:tc>
          <w:tcPr>
            <w:tcW w:w="589" w:type="pct"/>
            <w:gridSpan w:val="2"/>
            <w:tcBorders>
              <w:top w:val="nil"/>
              <w:left w:val="nil"/>
              <w:bottom w:val="nil"/>
              <w:right w:val="nil"/>
            </w:tcBorders>
            <w:shd w:val="clear" w:color="auto" w:fill="auto"/>
            <w:noWrap/>
            <w:vAlign w:val="bottom"/>
            <w:hideMark/>
          </w:tcPr>
          <w:p w14:paraId="400AA3C3" w14:textId="77777777" w:rsidR="00B85A2A" w:rsidRPr="00A86423" w:rsidRDefault="00B85A2A" w:rsidP="00E84A95">
            <w:pPr>
              <w:spacing w:after="0" w:line="240" w:lineRule="auto"/>
              <w:jc w:val="right"/>
              <w:rPr>
                <w:rFonts w:ascii="Arial" w:hAnsi="Arial" w:cs="Arial"/>
                <w:sz w:val="16"/>
                <w:szCs w:val="16"/>
              </w:rPr>
            </w:pPr>
          </w:p>
        </w:tc>
        <w:tc>
          <w:tcPr>
            <w:tcW w:w="584" w:type="pct"/>
            <w:gridSpan w:val="3"/>
            <w:tcBorders>
              <w:top w:val="nil"/>
              <w:left w:val="nil"/>
              <w:bottom w:val="nil"/>
              <w:right w:val="nil"/>
            </w:tcBorders>
            <w:shd w:val="clear" w:color="000000" w:fill="E6E6E6"/>
            <w:noWrap/>
            <w:vAlign w:val="bottom"/>
            <w:hideMark/>
          </w:tcPr>
          <w:p w14:paraId="73394ACD" w14:textId="11055B17" w:rsidR="00B85A2A" w:rsidRPr="00A86423" w:rsidRDefault="00B85A2A" w:rsidP="00E84A95">
            <w:pPr>
              <w:spacing w:after="0" w:line="240" w:lineRule="auto"/>
              <w:jc w:val="right"/>
              <w:rPr>
                <w:rFonts w:ascii="Arial" w:hAnsi="Arial" w:cs="Arial"/>
                <w:sz w:val="16"/>
                <w:szCs w:val="16"/>
              </w:rPr>
            </w:pPr>
          </w:p>
        </w:tc>
        <w:tc>
          <w:tcPr>
            <w:tcW w:w="568" w:type="pct"/>
            <w:gridSpan w:val="4"/>
            <w:tcBorders>
              <w:top w:val="nil"/>
              <w:left w:val="nil"/>
              <w:bottom w:val="nil"/>
              <w:right w:val="nil"/>
            </w:tcBorders>
            <w:shd w:val="clear" w:color="auto" w:fill="auto"/>
            <w:noWrap/>
            <w:vAlign w:val="bottom"/>
            <w:hideMark/>
          </w:tcPr>
          <w:p w14:paraId="77F79EF1" w14:textId="77777777" w:rsidR="00B85A2A" w:rsidRPr="00A86423" w:rsidRDefault="00B85A2A" w:rsidP="00E84A95">
            <w:pPr>
              <w:spacing w:after="0" w:line="240" w:lineRule="auto"/>
              <w:jc w:val="right"/>
              <w:rPr>
                <w:rFonts w:ascii="Arial" w:hAnsi="Arial" w:cs="Arial"/>
                <w:sz w:val="16"/>
                <w:szCs w:val="16"/>
              </w:rPr>
            </w:pPr>
          </w:p>
        </w:tc>
        <w:tc>
          <w:tcPr>
            <w:tcW w:w="564" w:type="pct"/>
            <w:gridSpan w:val="5"/>
            <w:tcBorders>
              <w:top w:val="nil"/>
              <w:left w:val="nil"/>
              <w:bottom w:val="nil"/>
              <w:right w:val="nil"/>
            </w:tcBorders>
            <w:shd w:val="clear" w:color="auto" w:fill="auto"/>
            <w:noWrap/>
            <w:vAlign w:val="bottom"/>
            <w:hideMark/>
          </w:tcPr>
          <w:p w14:paraId="71998925" w14:textId="77777777" w:rsidR="00B85A2A" w:rsidRPr="00A86423" w:rsidRDefault="00B85A2A" w:rsidP="00E84A95">
            <w:pPr>
              <w:spacing w:after="0" w:line="240" w:lineRule="auto"/>
              <w:jc w:val="right"/>
              <w:rPr>
                <w:rFonts w:ascii="Arial" w:hAnsi="Arial" w:cs="Arial"/>
                <w:sz w:val="16"/>
                <w:szCs w:val="16"/>
              </w:rPr>
            </w:pPr>
          </w:p>
        </w:tc>
        <w:tc>
          <w:tcPr>
            <w:tcW w:w="560" w:type="pct"/>
            <w:tcBorders>
              <w:top w:val="nil"/>
              <w:left w:val="nil"/>
              <w:bottom w:val="nil"/>
              <w:right w:val="nil"/>
            </w:tcBorders>
            <w:shd w:val="clear" w:color="auto" w:fill="auto"/>
            <w:noWrap/>
            <w:vAlign w:val="bottom"/>
            <w:hideMark/>
          </w:tcPr>
          <w:p w14:paraId="2A2F4B8D" w14:textId="77777777" w:rsidR="00B85A2A" w:rsidRPr="00A86423" w:rsidRDefault="00B85A2A" w:rsidP="00E84A95">
            <w:pPr>
              <w:spacing w:after="0" w:line="240" w:lineRule="auto"/>
              <w:jc w:val="right"/>
              <w:rPr>
                <w:rFonts w:ascii="Arial" w:hAnsi="Arial" w:cs="Arial"/>
                <w:sz w:val="16"/>
                <w:szCs w:val="16"/>
              </w:rPr>
            </w:pPr>
          </w:p>
        </w:tc>
      </w:tr>
      <w:tr w:rsidR="00B85A2A" w:rsidRPr="00A86423" w14:paraId="5004B40C" w14:textId="77777777" w:rsidTr="007A5E05">
        <w:trPr>
          <w:gridAfter w:val="1"/>
          <w:wAfter w:w="21" w:type="pct"/>
          <w:trHeight w:val="204"/>
        </w:trPr>
        <w:tc>
          <w:tcPr>
            <w:tcW w:w="2113" w:type="pct"/>
            <w:gridSpan w:val="3"/>
            <w:tcBorders>
              <w:top w:val="nil"/>
              <w:left w:val="nil"/>
              <w:bottom w:val="nil"/>
              <w:right w:val="nil"/>
            </w:tcBorders>
            <w:shd w:val="clear" w:color="auto" w:fill="auto"/>
            <w:vAlign w:val="bottom"/>
            <w:hideMark/>
          </w:tcPr>
          <w:p w14:paraId="7CEE6EBA" w14:textId="77777777" w:rsidR="00B85A2A" w:rsidRPr="00A86423" w:rsidRDefault="00B85A2A" w:rsidP="00E84A95">
            <w:pPr>
              <w:spacing w:after="0" w:line="240" w:lineRule="auto"/>
              <w:ind w:left="113"/>
              <w:rPr>
                <w:rFonts w:ascii="Arial" w:hAnsi="Arial" w:cs="Arial"/>
                <w:sz w:val="16"/>
                <w:szCs w:val="16"/>
              </w:rPr>
            </w:pPr>
            <w:r w:rsidRPr="00A86423">
              <w:rPr>
                <w:rFonts w:ascii="Arial" w:hAnsi="Arial" w:cs="Arial"/>
                <w:sz w:val="16"/>
                <w:szCs w:val="16"/>
              </w:rPr>
              <w:t>Departmental appropriation</w:t>
            </w:r>
          </w:p>
        </w:tc>
        <w:tc>
          <w:tcPr>
            <w:tcW w:w="589" w:type="pct"/>
            <w:gridSpan w:val="2"/>
            <w:tcBorders>
              <w:top w:val="nil"/>
              <w:left w:val="nil"/>
              <w:bottom w:val="nil"/>
              <w:right w:val="nil"/>
            </w:tcBorders>
            <w:shd w:val="clear" w:color="auto" w:fill="auto"/>
            <w:vAlign w:val="bottom"/>
            <w:hideMark/>
          </w:tcPr>
          <w:p w14:paraId="621AD313" w14:textId="1584300A"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113,831</w:t>
            </w:r>
          </w:p>
        </w:tc>
        <w:tc>
          <w:tcPr>
            <w:tcW w:w="584" w:type="pct"/>
            <w:gridSpan w:val="3"/>
            <w:tcBorders>
              <w:top w:val="nil"/>
              <w:left w:val="nil"/>
              <w:bottom w:val="nil"/>
              <w:right w:val="nil"/>
            </w:tcBorders>
            <w:shd w:val="clear" w:color="000000" w:fill="E6E6E6"/>
            <w:vAlign w:val="bottom"/>
            <w:hideMark/>
          </w:tcPr>
          <w:p w14:paraId="3A206355" w14:textId="0B33A955"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138,288</w:t>
            </w:r>
          </w:p>
        </w:tc>
        <w:tc>
          <w:tcPr>
            <w:tcW w:w="568" w:type="pct"/>
            <w:gridSpan w:val="4"/>
            <w:tcBorders>
              <w:top w:val="nil"/>
              <w:left w:val="nil"/>
              <w:bottom w:val="nil"/>
              <w:right w:val="nil"/>
            </w:tcBorders>
            <w:shd w:val="clear" w:color="auto" w:fill="auto"/>
            <w:vAlign w:val="bottom"/>
            <w:hideMark/>
          </w:tcPr>
          <w:p w14:paraId="078F8F25" w14:textId="57F3D01C"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117,865</w:t>
            </w:r>
          </w:p>
        </w:tc>
        <w:tc>
          <w:tcPr>
            <w:tcW w:w="564" w:type="pct"/>
            <w:gridSpan w:val="5"/>
            <w:tcBorders>
              <w:top w:val="nil"/>
              <w:left w:val="nil"/>
              <w:bottom w:val="nil"/>
              <w:right w:val="nil"/>
            </w:tcBorders>
            <w:shd w:val="clear" w:color="auto" w:fill="auto"/>
            <w:vAlign w:val="bottom"/>
            <w:hideMark/>
          </w:tcPr>
          <w:p w14:paraId="29733B0F" w14:textId="3F839EC9"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115,411</w:t>
            </w:r>
          </w:p>
        </w:tc>
        <w:tc>
          <w:tcPr>
            <w:tcW w:w="560" w:type="pct"/>
            <w:tcBorders>
              <w:top w:val="nil"/>
              <w:left w:val="nil"/>
              <w:bottom w:val="nil"/>
              <w:right w:val="nil"/>
            </w:tcBorders>
            <w:shd w:val="clear" w:color="auto" w:fill="auto"/>
            <w:vAlign w:val="bottom"/>
            <w:hideMark/>
          </w:tcPr>
          <w:p w14:paraId="44AD8644" w14:textId="376F4BFA"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122,822</w:t>
            </w:r>
          </w:p>
        </w:tc>
      </w:tr>
      <w:tr w:rsidR="00B85A2A" w:rsidRPr="00A86423" w14:paraId="3E601850" w14:textId="77777777" w:rsidTr="007A5E05">
        <w:trPr>
          <w:gridAfter w:val="1"/>
          <w:wAfter w:w="21" w:type="pct"/>
          <w:trHeight w:val="204"/>
        </w:trPr>
        <w:tc>
          <w:tcPr>
            <w:tcW w:w="2113" w:type="pct"/>
            <w:gridSpan w:val="3"/>
            <w:tcBorders>
              <w:top w:val="nil"/>
              <w:left w:val="nil"/>
              <w:bottom w:val="nil"/>
              <w:right w:val="nil"/>
            </w:tcBorders>
            <w:shd w:val="clear" w:color="auto" w:fill="auto"/>
            <w:vAlign w:val="bottom"/>
            <w:hideMark/>
          </w:tcPr>
          <w:p w14:paraId="5F7C05ED" w14:textId="60A7E805" w:rsidR="00B85A2A" w:rsidRPr="00A86423" w:rsidRDefault="00B85A2A" w:rsidP="00E84A95">
            <w:pPr>
              <w:spacing w:after="0" w:line="240" w:lineRule="auto"/>
              <w:ind w:left="113"/>
              <w:rPr>
                <w:rFonts w:ascii="Arial" w:hAnsi="Arial" w:cs="Arial"/>
                <w:sz w:val="16"/>
                <w:szCs w:val="16"/>
              </w:rPr>
            </w:pPr>
            <w:r w:rsidRPr="00A86423">
              <w:rPr>
                <w:rFonts w:ascii="Arial" w:hAnsi="Arial" w:cs="Arial"/>
                <w:sz w:val="16"/>
                <w:szCs w:val="16"/>
              </w:rPr>
              <w:t>s74 external revenues</w:t>
            </w:r>
            <w:r w:rsidRPr="00A86423">
              <w:rPr>
                <w:rFonts w:ascii="Arial" w:hAnsi="Arial" w:cs="Arial"/>
                <w:sz w:val="16"/>
                <w:szCs w:val="16"/>
                <w:vertAlign w:val="superscript"/>
              </w:rPr>
              <w:t>(d)</w:t>
            </w:r>
          </w:p>
        </w:tc>
        <w:tc>
          <w:tcPr>
            <w:tcW w:w="589" w:type="pct"/>
            <w:gridSpan w:val="2"/>
            <w:tcBorders>
              <w:top w:val="nil"/>
              <w:left w:val="nil"/>
              <w:bottom w:val="nil"/>
              <w:right w:val="nil"/>
            </w:tcBorders>
            <w:shd w:val="clear" w:color="auto" w:fill="auto"/>
            <w:vAlign w:val="bottom"/>
            <w:hideMark/>
          </w:tcPr>
          <w:p w14:paraId="33FC3F92" w14:textId="43C2902F"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4,155</w:t>
            </w:r>
          </w:p>
        </w:tc>
        <w:tc>
          <w:tcPr>
            <w:tcW w:w="584" w:type="pct"/>
            <w:gridSpan w:val="3"/>
            <w:tcBorders>
              <w:top w:val="nil"/>
              <w:left w:val="nil"/>
              <w:bottom w:val="nil"/>
              <w:right w:val="nil"/>
            </w:tcBorders>
            <w:shd w:val="clear" w:color="000000" w:fill="E6E6E6"/>
            <w:vAlign w:val="bottom"/>
            <w:hideMark/>
          </w:tcPr>
          <w:p w14:paraId="6F1FA225" w14:textId="1A22372A"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4,182</w:t>
            </w:r>
          </w:p>
        </w:tc>
        <w:tc>
          <w:tcPr>
            <w:tcW w:w="568" w:type="pct"/>
            <w:gridSpan w:val="4"/>
            <w:tcBorders>
              <w:top w:val="nil"/>
              <w:left w:val="nil"/>
              <w:bottom w:val="nil"/>
              <w:right w:val="nil"/>
            </w:tcBorders>
            <w:shd w:val="clear" w:color="auto" w:fill="auto"/>
            <w:vAlign w:val="bottom"/>
            <w:hideMark/>
          </w:tcPr>
          <w:p w14:paraId="2B9C6B0A" w14:textId="2DAB02CD"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4,182</w:t>
            </w:r>
          </w:p>
        </w:tc>
        <w:tc>
          <w:tcPr>
            <w:tcW w:w="564" w:type="pct"/>
            <w:gridSpan w:val="5"/>
            <w:tcBorders>
              <w:top w:val="nil"/>
              <w:left w:val="nil"/>
              <w:bottom w:val="nil"/>
              <w:right w:val="nil"/>
            </w:tcBorders>
            <w:shd w:val="clear" w:color="auto" w:fill="auto"/>
            <w:vAlign w:val="bottom"/>
            <w:hideMark/>
          </w:tcPr>
          <w:p w14:paraId="2AC33361" w14:textId="14974353"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4,182</w:t>
            </w:r>
          </w:p>
        </w:tc>
        <w:tc>
          <w:tcPr>
            <w:tcW w:w="560" w:type="pct"/>
            <w:tcBorders>
              <w:top w:val="nil"/>
              <w:left w:val="nil"/>
              <w:bottom w:val="nil"/>
              <w:right w:val="nil"/>
            </w:tcBorders>
            <w:shd w:val="clear" w:color="auto" w:fill="auto"/>
            <w:vAlign w:val="bottom"/>
            <w:hideMark/>
          </w:tcPr>
          <w:p w14:paraId="1D96D46D" w14:textId="09FE7A42"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4,182</w:t>
            </w:r>
          </w:p>
        </w:tc>
      </w:tr>
      <w:tr w:rsidR="00B85A2A" w:rsidRPr="00A86423" w14:paraId="32220FD6" w14:textId="77777777" w:rsidTr="007A5E05">
        <w:trPr>
          <w:gridAfter w:val="1"/>
          <w:wAfter w:w="21" w:type="pct"/>
          <w:trHeight w:val="204"/>
        </w:trPr>
        <w:tc>
          <w:tcPr>
            <w:tcW w:w="2113" w:type="pct"/>
            <w:gridSpan w:val="3"/>
            <w:tcBorders>
              <w:top w:val="nil"/>
              <w:left w:val="nil"/>
              <w:bottom w:val="nil"/>
              <w:right w:val="nil"/>
            </w:tcBorders>
            <w:shd w:val="clear" w:color="auto" w:fill="auto"/>
            <w:vAlign w:val="bottom"/>
            <w:hideMark/>
          </w:tcPr>
          <w:p w14:paraId="0791902E" w14:textId="61A984A1" w:rsidR="00B85A2A" w:rsidRPr="00A86423" w:rsidRDefault="00B85A2A" w:rsidP="00E84A95">
            <w:pPr>
              <w:spacing w:after="0" w:line="240" w:lineRule="auto"/>
              <w:ind w:left="113"/>
              <w:rPr>
                <w:rFonts w:ascii="Arial" w:hAnsi="Arial" w:cs="Arial"/>
                <w:sz w:val="16"/>
                <w:szCs w:val="16"/>
              </w:rPr>
            </w:pPr>
            <w:r w:rsidRPr="00A86423">
              <w:rPr>
                <w:rFonts w:ascii="Arial" w:hAnsi="Arial" w:cs="Arial"/>
                <w:sz w:val="16"/>
                <w:szCs w:val="16"/>
              </w:rPr>
              <w:t>Expenses not requiring appropriation in the Budget year</w:t>
            </w:r>
            <w:r w:rsidRPr="00A86423">
              <w:rPr>
                <w:rFonts w:ascii="Arial" w:hAnsi="Arial" w:cs="Arial"/>
                <w:sz w:val="16"/>
                <w:szCs w:val="16"/>
                <w:vertAlign w:val="superscript"/>
              </w:rPr>
              <w:t>(e)</w:t>
            </w:r>
          </w:p>
        </w:tc>
        <w:tc>
          <w:tcPr>
            <w:tcW w:w="589" w:type="pct"/>
            <w:gridSpan w:val="2"/>
            <w:tcBorders>
              <w:top w:val="nil"/>
              <w:left w:val="nil"/>
              <w:bottom w:val="nil"/>
              <w:right w:val="nil"/>
            </w:tcBorders>
            <w:shd w:val="clear" w:color="auto" w:fill="auto"/>
            <w:vAlign w:val="bottom"/>
            <w:hideMark/>
          </w:tcPr>
          <w:p w14:paraId="7654E363" w14:textId="02A4E4D0"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4,311</w:t>
            </w:r>
          </w:p>
        </w:tc>
        <w:tc>
          <w:tcPr>
            <w:tcW w:w="584" w:type="pct"/>
            <w:gridSpan w:val="3"/>
            <w:tcBorders>
              <w:top w:val="nil"/>
              <w:left w:val="nil"/>
              <w:bottom w:val="nil"/>
              <w:right w:val="nil"/>
            </w:tcBorders>
            <w:shd w:val="clear" w:color="000000" w:fill="E6E6E6"/>
            <w:vAlign w:val="bottom"/>
            <w:hideMark/>
          </w:tcPr>
          <w:p w14:paraId="31A45363" w14:textId="0AEAA0D6"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10,551</w:t>
            </w:r>
          </w:p>
        </w:tc>
        <w:tc>
          <w:tcPr>
            <w:tcW w:w="568" w:type="pct"/>
            <w:gridSpan w:val="4"/>
            <w:tcBorders>
              <w:top w:val="nil"/>
              <w:left w:val="nil"/>
              <w:bottom w:val="nil"/>
              <w:right w:val="nil"/>
            </w:tcBorders>
            <w:shd w:val="clear" w:color="auto" w:fill="auto"/>
            <w:vAlign w:val="bottom"/>
            <w:hideMark/>
          </w:tcPr>
          <w:p w14:paraId="081FD1B6" w14:textId="6628D7BB"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10,469</w:t>
            </w:r>
          </w:p>
        </w:tc>
        <w:tc>
          <w:tcPr>
            <w:tcW w:w="564" w:type="pct"/>
            <w:gridSpan w:val="5"/>
            <w:tcBorders>
              <w:top w:val="nil"/>
              <w:left w:val="nil"/>
              <w:bottom w:val="nil"/>
              <w:right w:val="nil"/>
            </w:tcBorders>
            <w:shd w:val="clear" w:color="auto" w:fill="auto"/>
            <w:vAlign w:val="bottom"/>
            <w:hideMark/>
          </w:tcPr>
          <w:p w14:paraId="47BCF74D" w14:textId="47E9154A"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10,469</w:t>
            </w:r>
          </w:p>
        </w:tc>
        <w:tc>
          <w:tcPr>
            <w:tcW w:w="560" w:type="pct"/>
            <w:tcBorders>
              <w:top w:val="nil"/>
              <w:left w:val="nil"/>
              <w:bottom w:val="nil"/>
              <w:right w:val="nil"/>
            </w:tcBorders>
            <w:shd w:val="clear" w:color="auto" w:fill="auto"/>
            <w:vAlign w:val="bottom"/>
            <w:hideMark/>
          </w:tcPr>
          <w:p w14:paraId="37682A0D" w14:textId="53E285CF"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10,469</w:t>
            </w:r>
          </w:p>
        </w:tc>
      </w:tr>
      <w:tr w:rsidR="00B85A2A" w:rsidRPr="00A86423" w14:paraId="4D444AE9" w14:textId="77777777" w:rsidTr="007A5E05">
        <w:trPr>
          <w:gridAfter w:val="1"/>
          <w:wAfter w:w="21" w:type="pct"/>
          <w:trHeight w:val="204"/>
        </w:trPr>
        <w:tc>
          <w:tcPr>
            <w:tcW w:w="2113" w:type="pct"/>
            <w:gridSpan w:val="3"/>
            <w:tcBorders>
              <w:top w:val="nil"/>
              <w:left w:val="nil"/>
              <w:bottom w:val="single" w:sz="4" w:space="0" w:color="auto"/>
              <w:right w:val="nil"/>
            </w:tcBorders>
            <w:shd w:val="clear" w:color="auto" w:fill="auto"/>
            <w:noWrap/>
            <w:vAlign w:val="bottom"/>
            <w:hideMark/>
          </w:tcPr>
          <w:p w14:paraId="5FC659C9" w14:textId="77777777" w:rsidR="00B85A2A" w:rsidRPr="00A86423" w:rsidRDefault="00B85A2A" w:rsidP="00B85A2A">
            <w:pPr>
              <w:spacing w:after="0" w:line="240" w:lineRule="auto"/>
              <w:rPr>
                <w:rFonts w:ascii="Arial" w:hAnsi="Arial" w:cs="Arial"/>
                <w:b/>
                <w:bCs/>
                <w:sz w:val="16"/>
                <w:szCs w:val="16"/>
              </w:rPr>
            </w:pPr>
            <w:r w:rsidRPr="00A86423">
              <w:rPr>
                <w:rFonts w:ascii="Arial" w:hAnsi="Arial" w:cs="Arial"/>
                <w:b/>
                <w:bCs/>
                <w:sz w:val="16"/>
                <w:szCs w:val="16"/>
              </w:rPr>
              <w:t>Total expenses for Program 2.4</w:t>
            </w:r>
          </w:p>
        </w:tc>
        <w:tc>
          <w:tcPr>
            <w:tcW w:w="589" w:type="pct"/>
            <w:gridSpan w:val="2"/>
            <w:tcBorders>
              <w:top w:val="single" w:sz="4" w:space="0" w:color="auto"/>
              <w:left w:val="nil"/>
              <w:bottom w:val="single" w:sz="4" w:space="0" w:color="auto"/>
              <w:right w:val="nil"/>
            </w:tcBorders>
            <w:shd w:val="clear" w:color="auto" w:fill="auto"/>
            <w:noWrap/>
            <w:vAlign w:val="bottom"/>
            <w:hideMark/>
          </w:tcPr>
          <w:p w14:paraId="576F5414" w14:textId="34342C71" w:rsidR="00B85A2A" w:rsidRPr="00A86423" w:rsidRDefault="00B85A2A" w:rsidP="00E84A95">
            <w:pPr>
              <w:spacing w:after="0" w:line="240" w:lineRule="auto"/>
              <w:jc w:val="right"/>
              <w:rPr>
                <w:rFonts w:ascii="Arial" w:hAnsi="Arial" w:cs="Arial"/>
                <w:b/>
                <w:bCs/>
                <w:sz w:val="16"/>
                <w:szCs w:val="16"/>
              </w:rPr>
            </w:pPr>
            <w:r w:rsidRPr="00A86423">
              <w:rPr>
                <w:rFonts w:ascii="Arial" w:hAnsi="Arial" w:cs="Arial"/>
                <w:b/>
                <w:bCs/>
                <w:sz w:val="16"/>
                <w:szCs w:val="16"/>
              </w:rPr>
              <w:t>122,297</w:t>
            </w:r>
          </w:p>
        </w:tc>
        <w:tc>
          <w:tcPr>
            <w:tcW w:w="584" w:type="pct"/>
            <w:gridSpan w:val="3"/>
            <w:tcBorders>
              <w:top w:val="single" w:sz="4" w:space="0" w:color="auto"/>
              <w:left w:val="nil"/>
              <w:bottom w:val="single" w:sz="4" w:space="0" w:color="auto"/>
              <w:right w:val="nil"/>
            </w:tcBorders>
            <w:shd w:val="clear" w:color="000000" w:fill="E6E6E6"/>
            <w:noWrap/>
            <w:vAlign w:val="bottom"/>
            <w:hideMark/>
          </w:tcPr>
          <w:p w14:paraId="64F957DC" w14:textId="5099C783" w:rsidR="00B85A2A" w:rsidRPr="00A86423" w:rsidRDefault="00B85A2A" w:rsidP="00E84A95">
            <w:pPr>
              <w:spacing w:after="0" w:line="240" w:lineRule="auto"/>
              <w:jc w:val="right"/>
              <w:rPr>
                <w:rFonts w:ascii="Arial" w:hAnsi="Arial" w:cs="Arial"/>
                <w:b/>
                <w:bCs/>
                <w:sz w:val="16"/>
                <w:szCs w:val="16"/>
              </w:rPr>
            </w:pPr>
            <w:r w:rsidRPr="00A86423">
              <w:rPr>
                <w:rFonts w:ascii="Arial" w:hAnsi="Arial" w:cs="Arial"/>
                <w:b/>
                <w:bCs/>
                <w:sz w:val="16"/>
                <w:szCs w:val="16"/>
              </w:rPr>
              <w:t>153,021</w:t>
            </w:r>
          </w:p>
        </w:tc>
        <w:tc>
          <w:tcPr>
            <w:tcW w:w="568" w:type="pct"/>
            <w:gridSpan w:val="4"/>
            <w:tcBorders>
              <w:top w:val="single" w:sz="4" w:space="0" w:color="auto"/>
              <w:left w:val="nil"/>
              <w:bottom w:val="single" w:sz="4" w:space="0" w:color="auto"/>
              <w:right w:val="nil"/>
            </w:tcBorders>
            <w:shd w:val="clear" w:color="auto" w:fill="auto"/>
            <w:noWrap/>
            <w:vAlign w:val="bottom"/>
            <w:hideMark/>
          </w:tcPr>
          <w:p w14:paraId="4CAC6F88" w14:textId="3687CBF9" w:rsidR="00B85A2A" w:rsidRPr="00A86423" w:rsidRDefault="00B85A2A" w:rsidP="00E84A95">
            <w:pPr>
              <w:spacing w:after="0" w:line="240" w:lineRule="auto"/>
              <w:jc w:val="right"/>
              <w:rPr>
                <w:rFonts w:ascii="Arial" w:hAnsi="Arial" w:cs="Arial"/>
                <w:b/>
                <w:bCs/>
                <w:sz w:val="16"/>
                <w:szCs w:val="16"/>
              </w:rPr>
            </w:pPr>
            <w:r w:rsidRPr="00A86423">
              <w:rPr>
                <w:rFonts w:ascii="Arial" w:hAnsi="Arial" w:cs="Arial"/>
                <w:b/>
                <w:bCs/>
                <w:sz w:val="16"/>
                <w:szCs w:val="16"/>
              </w:rPr>
              <w:t>132,516</w:t>
            </w:r>
          </w:p>
        </w:tc>
        <w:tc>
          <w:tcPr>
            <w:tcW w:w="564" w:type="pct"/>
            <w:gridSpan w:val="5"/>
            <w:tcBorders>
              <w:top w:val="single" w:sz="4" w:space="0" w:color="auto"/>
              <w:left w:val="nil"/>
              <w:bottom w:val="single" w:sz="4" w:space="0" w:color="auto"/>
              <w:right w:val="nil"/>
            </w:tcBorders>
            <w:shd w:val="clear" w:color="auto" w:fill="auto"/>
            <w:noWrap/>
            <w:vAlign w:val="bottom"/>
            <w:hideMark/>
          </w:tcPr>
          <w:p w14:paraId="0E3FA1BB" w14:textId="12A8F211" w:rsidR="00B85A2A" w:rsidRPr="00A86423" w:rsidRDefault="00B85A2A" w:rsidP="00E84A95">
            <w:pPr>
              <w:spacing w:after="0" w:line="240" w:lineRule="auto"/>
              <w:jc w:val="right"/>
              <w:rPr>
                <w:rFonts w:ascii="Arial" w:hAnsi="Arial" w:cs="Arial"/>
                <w:b/>
                <w:bCs/>
                <w:sz w:val="16"/>
                <w:szCs w:val="16"/>
              </w:rPr>
            </w:pPr>
            <w:r w:rsidRPr="00A86423">
              <w:rPr>
                <w:rFonts w:ascii="Arial" w:hAnsi="Arial" w:cs="Arial"/>
                <w:b/>
                <w:bCs/>
                <w:sz w:val="16"/>
                <w:szCs w:val="16"/>
              </w:rPr>
              <w:t>130,062</w:t>
            </w:r>
          </w:p>
        </w:tc>
        <w:tc>
          <w:tcPr>
            <w:tcW w:w="560" w:type="pct"/>
            <w:tcBorders>
              <w:top w:val="single" w:sz="4" w:space="0" w:color="auto"/>
              <w:left w:val="nil"/>
              <w:bottom w:val="single" w:sz="4" w:space="0" w:color="auto"/>
              <w:right w:val="nil"/>
            </w:tcBorders>
            <w:shd w:val="clear" w:color="auto" w:fill="auto"/>
            <w:noWrap/>
            <w:vAlign w:val="bottom"/>
            <w:hideMark/>
          </w:tcPr>
          <w:p w14:paraId="3A2C36EF" w14:textId="765B2B26" w:rsidR="00B85A2A" w:rsidRPr="00A86423" w:rsidRDefault="00B85A2A" w:rsidP="00E84A95">
            <w:pPr>
              <w:spacing w:after="0" w:line="240" w:lineRule="auto"/>
              <w:jc w:val="right"/>
              <w:rPr>
                <w:rFonts w:ascii="Arial" w:hAnsi="Arial" w:cs="Arial"/>
                <w:b/>
                <w:bCs/>
                <w:sz w:val="16"/>
                <w:szCs w:val="16"/>
              </w:rPr>
            </w:pPr>
            <w:r w:rsidRPr="00A86423">
              <w:rPr>
                <w:rFonts w:ascii="Arial" w:hAnsi="Arial" w:cs="Arial"/>
                <w:b/>
                <w:bCs/>
                <w:sz w:val="16"/>
                <w:szCs w:val="16"/>
              </w:rPr>
              <w:t>137,473</w:t>
            </w:r>
          </w:p>
        </w:tc>
      </w:tr>
      <w:tr w:rsidR="00E84A95" w:rsidRPr="00A86423" w14:paraId="567247E3" w14:textId="77777777" w:rsidTr="007A5E05">
        <w:trPr>
          <w:gridAfter w:val="1"/>
          <w:wAfter w:w="21" w:type="pct"/>
          <w:trHeight w:val="204"/>
        </w:trPr>
        <w:tc>
          <w:tcPr>
            <w:tcW w:w="2715" w:type="pct"/>
            <w:gridSpan w:val="6"/>
            <w:tcBorders>
              <w:top w:val="single" w:sz="4" w:space="0" w:color="auto"/>
              <w:left w:val="nil"/>
              <w:bottom w:val="single" w:sz="4" w:space="0" w:color="auto"/>
              <w:right w:val="nil"/>
            </w:tcBorders>
            <w:shd w:val="clear" w:color="000000" w:fill="E6E6E6"/>
            <w:noWrap/>
            <w:vAlign w:val="bottom"/>
            <w:hideMark/>
          </w:tcPr>
          <w:p w14:paraId="19B7C05E" w14:textId="77777777" w:rsidR="00B85A2A" w:rsidRPr="00A86423" w:rsidRDefault="00B85A2A" w:rsidP="00B85A2A">
            <w:pPr>
              <w:spacing w:after="0" w:line="240" w:lineRule="auto"/>
              <w:rPr>
                <w:rFonts w:ascii="Arial" w:hAnsi="Arial" w:cs="Arial"/>
                <w:b/>
                <w:bCs/>
                <w:sz w:val="16"/>
                <w:szCs w:val="16"/>
              </w:rPr>
            </w:pPr>
            <w:r w:rsidRPr="00A86423">
              <w:rPr>
                <w:rFonts w:ascii="Arial" w:hAnsi="Arial" w:cs="Arial"/>
                <w:b/>
                <w:bCs/>
                <w:sz w:val="16"/>
                <w:szCs w:val="16"/>
              </w:rPr>
              <w:t>Outcome 2 Totals by appropriation type</w:t>
            </w:r>
          </w:p>
        </w:tc>
        <w:tc>
          <w:tcPr>
            <w:tcW w:w="601" w:type="pct"/>
            <w:gridSpan w:val="4"/>
            <w:tcBorders>
              <w:top w:val="single" w:sz="4" w:space="0" w:color="auto"/>
              <w:left w:val="nil"/>
              <w:bottom w:val="single" w:sz="4" w:space="0" w:color="auto"/>
              <w:right w:val="nil"/>
            </w:tcBorders>
            <w:shd w:val="clear" w:color="000000" w:fill="E6E6E6"/>
            <w:noWrap/>
            <w:vAlign w:val="bottom"/>
            <w:hideMark/>
          </w:tcPr>
          <w:p w14:paraId="395B9550" w14:textId="77777777" w:rsidR="00B85A2A" w:rsidRPr="00A86423" w:rsidRDefault="00B85A2A" w:rsidP="007A5E05">
            <w:pPr>
              <w:spacing w:after="0" w:line="240" w:lineRule="auto"/>
              <w:jc w:val="right"/>
              <w:rPr>
                <w:rFonts w:ascii="Arial" w:hAnsi="Arial" w:cs="Arial"/>
                <w:sz w:val="16"/>
                <w:szCs w:val="16"/>
              </w:rPr>
            </w:pPr>
            <w:r w:rsidRPr="00A86423">
              <w:rPr>
                <w:rFonts w:ascii="Arial" w:hAnsi="Arial" w:cs="Arial"/>
                <w:sz w:val="16"/>
                <w:szCs w:val="16"/>
              </w:rPr>
              <w:t> </w:t>
            </w:r>
          </w:p>
        </w:tc>
        <w:tc>
          <w:tcPr>
            <w:tcW w:w="550" w:type="pct"/>
            <w:gridSpan w:val="3"/>
            <w:tcBorders>
              <w:top w:val="single" w:sz="4" w:space="0" w:color="auto"/>
              <w:left w:val="nil"/>
              <w:bottom w:val="single" w:sz="4" w:space="0" w:color="auto"/>
              <w:right w:val="nil"/>
            </w:tcBorders>
            <w:shd w:val="clear" w:color="000000" w:fill="E6E6E6"/>
            <w:noWrap/>
            <w:vAlign w:val="bottom"/>
            <w:hideMark/>
          </w:tcPr>
          <w:p w14:paraId="097BFCA0" w14:textId="77777777" w:rsidR="00B85A2A" w:rsidRPr="00A86423" w:rsidRDefault="00B85A2A" w:rsidP="007A5E05">
            <w:pPr>
              <w:spacing w:after="0" w:line="240" w:lineRule="auto"/>
              <w:jc w:val="right"/>
              <w:rPr>
                <w:rFonts w:ascii="Arial" w:hAnsi="Arial" w:cs="Arial"/>
                <w:sz w:val="16"/>
                <w:szCs w:val="16"/>
              </w:rPr>
            </w:pPr>
            <w:r w:rsidRPr="00A86423">
              <w:rPr>
                <w:rFonts w:ascii="Arial" w:hAnsi="Arial" w:cs="Arial"/>
                <w:sz w:val="16"/>
                <w:szCs w:val="16"/>
              </w:rPr>
              <w:t> </w:t>
            </w:r>
          </w:p>
        </w:tc>
        <w:tc>
          <w:tcPr>
            <w:tcW w:w="547" w:type="pct"/>
            <w:gridSpan w:val="3"/>
            <w:tcBorders>
              <w:top w:val="single" w:sz="4" w:space="0" w:color="auto"/>
              <w:left w:val="nil"/>
              <w:bottom w:val="single" w:sz="4" w:space="0" w:color="auto"/>
              <w:right w:val="nil"/>
            </w:tcBorders>
            <w:shd w:val="clear" w:color="000000" w:fill="E6E6E6"/>
            <w:noWrap/>
            <w:vAlign w:val="bottom"/>
            <w:hideMark/>
          </w:tcPr>
          <w:p w14:paraId="74974270" w14:textId="77777777" w:rsidR="00B85A2A" w:rsidRPr="00A86423" w:rsidRDefault="00B85A2A" w:rsidP="007A5E05">
            <w:pPr>
              <w:spacing w:after="0" w:line="240" w:lineRule="auto"/>
              <w:jc w:val="right"/>
              <w:rPr>
                <w:rFonts w:ascii="Arial" w:hAnsi="Arial" w:cs="Arial"/>
                <w:sz w:val="16"/>
                <w:szCs w:val="16"/>
              </w:rPr>
            </w:pPr>
            <w:r w:rsidRPr="00A86423">
              <w:rPr>
                <w:rFonts w:ascii="Arial" w:hAnsi="Arial" w:cs="Arial"/>
                <w:sz w:val="16"/>
                <w:szCs w:val="16"/>
              </w:rPr>
              <w:t> </w:t>
            </w:r>
          </w:p>
        </w:tc>
        <w:tc>
          <w:tcPr>
            <w:tcW w:w="566" w:type="pct"/>
            <w:gridSpan w:val="2"/>
            <w:tcBorders>
              <w:top w:val="single" w:sz="4" w:space="0" w:color="auto"/>
              <w:left w:val="nil"/>
              <w:bottom w:val="single" w:sz="4" w:space="0" w:color="auto"/>
              <w:right w:val="nil"/>
            </w:tcBorders>
            <w:shd w:val="clear" w:color="000000" w:fill="E6E6E6"/>
            <w:noWrap/>
            <w:vAlign w:val="bottom"/>
            <w:hideMark/>
          </w:tcPr>
          <w:p w14:paraId="69DCCB5B" w14:textId="77777777" w:rsidR="00B85A2A" w:rsidRPr="00A86423" w:rsidRDefault="00B85A2A" w:rsidP="007A5E05">
            <w:pPr>
              <w:spacing w:after="0" w:line="240" w:lineRule="auto"/>
              <w:jc w:val="right"/>
              <w:rPr>
                <w:rFonts w:ascii="Arial" w:hAnsi="Arial" w:cs="Arial"/>
                <w:sz w:val="16"/>
                <w:szCs w:val="16"/>
              </w:rPr>
            </w:pPr>
            <w:r w:rsidRPr="00A86423">
              <w:rPr>
                <w:rFonts w:ascii="Arial" w:hAnsi="Arial" w:cs="Arial"/>
                <w:sz w:val="16"/>
                <w:szCs w:val="16"/>
              </w:rPr>
              <w:t> </w:t>
            </w:r>
          </w:p>
        </w:tc>
      </w:tr>
      <w:tr w:rsidR="00A86423" w:rsidRPr="00A86423" w14:paraId="6B37FC56" w14:textId="77777777" w:rsidTr="007A5E05">
        <w:trPr>
          <w:trHeight w:val="204"/>
        </w:trPr>
        <w:tc>
          <w:tcPr>
            <w:tcW w:w="2097" w:type="pct"/>
            <w:gridSpan w:val="2"/>
            <w:tcBorders>
              <w:top w:val="nil"/>
              <w:left w:val="nil"/>
              <w:bottom w:val="nil"/>
              <w:right w:val="nil"/>
            </w:tcBorders>
            <w:shd w:val="clear" w:color="auto" w:fill="auto"/>
            <w:noWrap/>
            <w:vAlign w:val="bottom"/>
            <w:hideMark/>
          </w:tcPr>
          <w:p w14:paraId="793CA388" w14:textId="77777777" w:rsidR="00B85A2A" w:rsidRPr="00A86423" w:rsidRDefault="00B85A2A" w:rsidP="00B85A2A">
            <w:pPr>
              <w:spacing w:after="0" w:line="240" w:lineRule="auto"/>
              <w:rPr>
                <w:rFonts w:ascii="Arial" w:hAnsi="Arial" w:cs="Arial"/>
                <w:sz w:val="16"/>
                <w:szCs w:val="16"/>
              </w:rPr>
            </w:pPr>
            <w:r w:rsidRPr="00A86423">
              <w:rPr>
                <w:rFonts w:ascii="Arial" w:hAnsi="Arial" w:cs="Arial"/>
                <w:sz w:val="16"/>
                <w:szCs w:val="16"/>
              </w:rPr>
              <w:t>Administered expenses</w:t>
            </w:r>
          </w:p>
        </w:tc>
        <w:tc>
          <w:tcPr>
            <w:tcW w:w="605" w:type="pct"/>
            <w:gridSpan w:val="3"/>
            <w:tcBorders>
              <w:top w:val="nil"/>
              <w:left w:val="nil"/>
              <w:bottom w:val="nil"/>
              <w:right w:val="nil"/>
            </w:tcBorders>
            <w:shd w:val="clear" w:color="auto" w:fill="auto"/>
            <w:noWrap/>
            <w:vAlign w:val="bottom"/>
            <w:hideMark/>
          </w:tcPr>
          <w:p w14:paraId="265A90F8" w14:textId="77777777" w:rsidR="00B85A2A" w:rsidRPr="00A86423" w:rsidRDefault="00B85A2A" w:rsidP="00E84A95">
            <w:pPr>
              <w:spacing w:after="0" w:line="240" w:lineRule="auto"/>
              <w:jc w:val="right"/>
              <w:rPr>
                <w:rFonts w:ascii="Arial" w:hAnsi="Arial" w:cs="Arial"/>
                <w:sz w:val="16"/>
                <w:szCs w:val="16"/>
              </w:rPr>
            </w:pPr>
          </w:p>
        </w:tc>
        <w:tc>
          <w:tcPr>
            <w:tcW w:w="604" w:type="pct"/>
            <w:gridSpan w:val="4"/>
            <w:tcBorders>
              <w:top w:val="nil"/>
              <w:left w:val="nil"/>
              <w:bottom w:val="nil"/>
              <w:right w:val="nil"/>
            </w:tcBorders>
            <w:shd w:val="clear" w:color="000000" w:fill="E6E6E6"/>
            <w:noWrap/>
            <w:vAlign w:val="bottom"/>
            <w:hideMark/>
          </w:tcPr>
          <w:p w14:paraId="7B78379B" w14:textId="08D2DC5A" w:rsidR="00B85A2A" w:rsidRPr="00A86423" w:rsidRDefault="00B85A2A" w:rsidP="00E84A95">
            <w:pPr>
              <w:spacing w:after="0" w:line="240" w:lineRule="auto"/>
              <w:jc w:val="right"/>
              <w:rPr>
                <w:rFonts w:ascii="Arial" w:hAnsi="Arial" w:cs="Arial"/>
                <w:sz w:val="16"/>
                <w:szCs w:val="16"/>
              </w:rPr>
            </w:pPr>
          </w:p>
        </w:tc>
        <w:tc>
          <w:tcPr>
            <w:tcW w:w="548" w:type="pct"/>
            <w:gridSpan w:val="3"/>
            <w:tcBorders>
              <w:top w:val="nil"/>
              <w:left w:val="nil"/>
              <w:bottom w:val="nil"/>
              <w:right w:val="nil"/>
            </w:tcBorders>
            <w:shd w:val="clear" w:color="auto" w:fill="auto"/>
            <w:noWrap/>
            <w:vAlign w:val="bottom"/>
            <w:hideMark/>
          </w:tcPr>
          <w:p w14:paraId="4DFA3A61" w14:textId="77777777" w:rsidR="00B85A2A" w:rsidRPr="00A86423" w:rsidRDefault="00B85A2A" w:rsidP="00E84A95">
            <w:pPr>
              <w:spacing w:after="0" w:line="240" w:lineRule="auto"/>
              <w:jc w:val="right"/>
              <w:rPr>
                <w:rFonts w:ascii="Arial" w:hAnsi="Arial" w:cs="Arial"/>
                <w:sz w:val="16"/>
                <w:szCs w:val="16"/>
              </w:rPr>
            </w:pPr>
          </w:p>
        </w:tc>
        <w:tc>
          <w:tcPr>
            <w:tcW w:w="549" w:type="pct"/>
            <w:gridSpan w:val="3"/>
            <w:tcBorders>
              <w:top w:val="nil"/>
              <w:left w:val="nil"/>
              <w:bottom w:val="nil"/>
              <w:right w:val="nil"/>
            </w:tcBorders>
            <w:shd w:val="clear" w:color="auto" w:fill="auto"/>
            <w:noWrap/>
            <w:vAlign w:val="bottom"/>
            <w:hideMark/>
          </w:tcPr>
          <w:p w14:paraId="139E8BDC" w14:textId="77777777" w:rsidR="00B85A2A" w:rsidRPr="00A86423" w:rsidRDefault="00B85A2A" w:rsidP="00E84A95">
            <w:pPr>
              <w:spacing w:after="0" w:line="240" w:lineRule="auto"/>
              <w:jc w:val="right"/>
              <w:rPr>
                <w:rFonts w:ascii="Arial" w:hAnsi="Arial" w:cs="Arial"/>
                <w:sz w:val="16"/>
                <w:szCs w:val="16"/>
              </w:rPr>
            </w:pPr>
          </w:p>
        </w:tc>
        <w:tc>
          <w:tcPr>
            <w:tcW w:w="596" w:type="pct"/>
            <w:gridSpan w:val="4"/>
            <w:tcBorders>
              <w:top w:val="nil"/>
              <w:left w:val="nil"/>
              <w:bottom w:val="nil"/>
              <w:right w:val="nil"/>
            </w:tcBorders>
            <w:shd w:val="clear" w:color="auto" w:fill="auto"/>
            <w:noWrap/>
            <w:vAlign w:val="bottom"/>
            <w:hideMark/>
          </w:tcPr>
          <w:p w14:paraId="44682A9F" w14:textId="77777777" w:rsidR="00B85A2A" w:rsidRPr="00A86423" w:rsidRDefault="00B85A2A" w:rsidP="00E84A95">
            <w:pPr>
              <w:spacing w:after="0" w:line="240" w:lineRule="auto"/>
              <w:jc w:val="right"/>
              <w:rPr>
                <w:rFonts w:ascii="Arial" w:hAnsi="Arial" w:cs="Arial"/>
                <w:sz w:val="16"/>
                <w:szCs w:val="16"/>
              </w:rPr>
            </w:pPr>
          </w:p>
        </w:tc>
      </w:tr>
      <w:tr w:rsidR="00A86423" w:rsidRPr="00A86423" w14:paraId="37E02FF8" w14:textId="77777777" w:rsidTr="007A5E05">
        <w:trPr>
          <w:trHeight w:val="204"/>
        </w:trPr>
        <w:tc>
          <w:tcPr>
            <w:tcW w:w="2097" w:type="pct"/>
            <w:gridSpan w:val="2"/>
            <w:tcBorders>
              <w:top w:val="nil"/>
              <w:left w:val="nil"/>
              <w:bottom w:val="nil"/>
              <w:right w:val="nil"/>
            </w:tcBorders>
            <w:shd w:val="clear" w:color="auto" w:fill="auto"/>
            <w:vAlign w:val="bottom"/>
            <w:hideMark/>
          </w:tcPr>
          <w:p w14:paraId="5DD862A1" w14:textId="1AB32966" w:rsidR="00B85A2A" w:rsidRPr="00A86423" w:rsidRDefault="00B85A2A" w:rsidP="00E84A95">
            <w:pPr>
              <w:spacing w:after="0" w:line="240" w:lineRule="auto"/>
              <w:ind w:left="113"/>
              <w:rPr>
                <w:rFonts w:ascii="Arial" w:hAnsi="Arial" w:cs="Arial"/>
                <w:sz w:val="16"/>
                <w:szCs w:val="16"/>
              </w:rPr>
            </w:pPr>
            <w:r w:rsidRPr="00A86423">
              <w:rPr>
                <w:rFonts w:ascii="Arial" w:hAnsi="Arial" w:cs="Arial"/>
                <w:sz w:val="16"/>
                <w:szCs w:val="16"/>
              </w:rPr>
              <w:t>Ordinary annual services (Appropriation Bill No. 1)</w:t>
            </w:r>
          </w:p>
        </w:tc>
        <w:tc>
          <w:tcPr>
            <w:tcW w:w="605" w:type="pct"/>
            <w:gridSpan w:val="3"/>
            <w:tcBorders>
              <w:top w:val="nil"/>
              <w:left w:val="nil"/>
              <w:bottom w:val="nil"/>
              <w:right w:val="nil"/>
            </w:tcBorders>
            <w:shd w:val="clear" w:color="auto" w:fill="auto"/>
            <w:noWrap/>
            <w:vAlign w:val="bottom"/>
            <w:hideMark/>
          </w:tcPr>
          <w:p w14:paraId="514CB033" w14:textId="1C5C1DF9"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333,896</w:t>
            </w:r>
          </w:p>
        </w:tc>
        <w:tc>
          <w:tcPr>
            <w:tcW w:w="604" w:type="pct"/>
            <w:gridSpan w:val="4"/>
            <w:tcBorders>
              <w:top w:val="nil"/>
              <w:left w:val="nil"/>
              <w:bottom w:val="nil"/>
              <w:right w:val="nil"/>
            </w:tcBorders>
            <w:shd w:val="clear" w:color="000000" w:fill="E6E6E6"/>
            <w:noWrap/>
            <w:vAlign w:val="bottom"/>
            <w:hideMark/>
          </w:tcPr>
          <w:p w14:paraId="06107C15" w14:textId="14F6928E"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388,712</w:t>
            </w:r>
          </w:p>
        </w:tc>
        <w:tc>
          <w:tcPr>
            <w:tcW w:w="548" w:type="pct"/>
            <w:gridSpan w:val="3"/>
            <w:tcBorders>
              <w:top w:val="nil"/>
              <w:left w:val="nil"/>
              <w:bottom w:val="nil"/>
              <w:right w:val="nil"/>
            </w:tcBorders>
            <w:shd w:val="clear" w:color="auto" w:fill="auto"/>
            <w:noWrap/>
            <w:vAlign w:val="bottom"/>
            <w:hideMark/>
          </w:tcPr>
          <w:p w14:paraId="4174E627" w14:textId="526114CC"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428,869</w:t>
            </w:r>
          </w:p>
        </w:tc>
        <w:tc>
          <w:tcPr>
            <w:tcW w:w="549" w:type="pct"/>
            <w:gridSpan w:val="3"/>
            <w:tcBorders>
              <w:top w:val="nil"/>
              <w:left w:val="nil"/>
              <w:bottom w:val="nil"/>
              <w:right w:val="nil"/>
            </w:tcBorders>
            <w:shd w:val="clear" w:color="auto" w:fill="auto"/>
            <w:noWrap/>
            <w:vAlign w:val="bottom"/>
            <w:hideMark/>
          </w:tcPr>
          <w:p w14:paraId="3CAE4CAC" w14:textId="7167AD53"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461,872</w:t>
            </w:r>
          </w:p>
        </w:tc>
        <w:tc>
          <w:tcPr>
            <w:tcW w:w="596" w:type="pct"/>
            <w:gridSpan w:val="4"/>
            <w:tcBorders>
              <w:top w:val="nil"/>
              <w:left w:val="nil"/>
              <w:bottom w:val="nil"/>
              <w:right w:val="nil"/>
            </w:tcBorders>
            <w:shd w:val="clear" w:color="auto" w:fill="auto"/>
            <w:noWrap/>
            <w:vAlign w:val="bottom"/>
            <w:hideMark/>
          </w:tcPr>
          <w:p w14:paraId="05C0288C" w14:textId="3171337A"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326,176</w:t>
            </w:r>
          </w:p>
        </w:tc>
      </w:tr>
      <w:tr w:rsidR="00A86423" w:rsidRPr="00A86423" w14:paraId="24E4C200" w14:textId="77777777" w:rsidTr="007A5E05">
        <w:trPr>
          <w:trHeight w:val="204"/>
        </w:trPr>
        <w:tc>
          <w:tcPr>
            <w:tcW w:w="2097" w:type="pct"/>
            <w:gridSpan w:val="2"/>
            <w:tcBorders>
              <w:top w:val="nil"/>
              <w:left w:val="nil"/>
              <w:bottom w:val="nil"/>
              <w:right w:val="nil"/>
            </w:tcBorders>
            <w:shd w:val="clear" w:color="000000" w:fill="FFFFFF"/>
            <w:noWrap/>
            <w:vAlign w:val="bottom"/>
            <w:hideMark/>
          </w:tcPr>
          <w:p w14:paraId="2E9CFDE8" w14:textId="77777777" w:rsidR="00B85A2A" w:rsidRPr="00A86423" w:rsidRDefault="00B85A2A" w:rsidP="00E84A95">
            <w:pPr>
              <w:spacing w:after="0" w:line="240" w:lineRule="auto"/>
              <w:ind w:left="113"/>
              <w:rPr>
                <w:rFonts w:ascii="Arial" w:hAnsi="Arial" w:cs="Arial"/>
                <w:sz w:val="16"/>
                <w:szCs w:val="16"/>
              </w:rPr>
            </w:pPr>
            <w:r w:rsidRPr="00A86423">
              <w:rPr>
                <w:rFonts w:ascii="Arial" w:hAnsi="Arial" w:cs="Arial"/>
                <w:sz w:val="16"/>
                <w:szCs w:val="16"/>
              </w:rPr>
              <w:t>Special appropriations</w:t>
            </w:r>
          </w:p>
        </w:tc>
        <w:tc>
          <w:tcPr>
            <w:tcW w:w="605" w:type="pct"/>
            <w:gridSpan w:val="3"/>
            <w:tcBorders>
              <w:top w:val="nil"/>
              <w:left w:val="nil"/>
              <w:bottom w:val="nil"/>
              <w:right w:val="nil"/>
            </w:tcBorders>
            <w:shd w:val="clear" w:color="auto" w:fill="auto"/>
            <w:noWrap/>
            <w:vAlign w:val="bottom"/>
            <w:hideMark/>
          </w:tcPr>
          <w:p w14:paraId="57C58BB1" w14:textId="5ED09F91"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249,698</w:t>
            </w:r>
          </w:p>
        </w:tc>
        <w:tc>
          <w:tcPr>
            <w:tcW w:w="604" w:type="pct"/>
            <w:gridSpan w:val="4"/>
            <w:tcBorders>
              <w:top w:val="nil"/>
              <w:left w:val="nil"/>
              <w:bottom w:val="nil"/>
              <w:right w:val="nil"/>
            </w:tcBorders>
            <w:shd w:val="clear" w:color="000000" w:fill="E6E6E6"/>
            <w:noWrap/>
            <w:vAlign w:val="bottom"/>
            <w:hideMark/>
          </w:tcPr>
          <w:p w14:paraId="508CDA0B" w14:textId="04866C20"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225,215</w:t>
            </w:r>
          </w:p>
        </w:tc>
        <w:tc>
          <w:tcPr>
            <w:tcW w:w="548" w:type="pct"/>
            <w:gridSpan w:val="3"/>
            <w:tcBorders>
              <w:top w:val="nil"/>
              <w:left w:val="nil"/>
              <w:bottom w:val="nil"/>
              <w:right w:val="nil"/>
            </w:tcBorders>
            <w:shd w:val="clear" w:color="auto" w:fill="auto"/>
            <w:noWrap/>
            <w:vAlign w:val="bottom"/>
            <w:hideMark/>
          </w:tcPr>
          <w:p w14:paraId="4695C28B" w14:textId="33EEB110"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247,145</w:t>
            </w:r>
          </w:p>
        </w:tc>
        <w:tc>
          <w:tcPr>
            <w:tcW w:w="549" w:type="pct"/>
            <w:gridSpan w:val="3"/>
            <w:tcBorders>
              <w:top w:val="nil"/>
              <w:left w:val="nil"/>
              <w:bottom w:val="nil"/>
              <w:right w:val="nil"/>
            </w:tcBorders>
            <w:shd w:val="clear" w:color="auto" w:fill="auto"/>
            <w:noWrap/>
            <w:vAlign w:val="bottom"/>
            <w:hideMark/>
          </w:tcPr>
          <w:p w14:paraId="7A553392" w14:textId="670B7772"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250,758</w:t>
            </w:r>
          </w:p>
        </w:tc>
        <w:tc>
          <w:tcPr>
            <w:tcW w:w="596" w:type="pct"/>
            <w:gridSpan w:val="4"/>
            <w:tcBorders>
              <w:top w:val="nil"/>
              <w:left w:val="nil"/>
              <w:bottom w:val="nil"/>
              <w:right w:val="nil"/>
            </w:tcBorders>
            <w:shd w:val="clear" w:color="auto" w:fill="auto"/>
            <w:noWrap/>
            <w:vAlign w:val="bottom"/>
            <w:hideMark/>
          </w:tcPr>
          <w:p w14:paraId="31A86984" w14:textId="3DF238F1"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253,938</w:t>
            </w:r>
          </w:p>
        </w:tc>
      </w:tr>
      <w:tr w:rsidR="00A86423" w:rsidRPr="00A86423" w14:paraId="288F0D8E" w14:textId="77777777" w:rsidTr="007A5E05">
        <w:trPr>
          <w:trHeight w:val="204"/>
        </w:trPr>
        <w:tc>
          <w:tcPr>
            <w:tcW w:w="2097" w:type="pct"/>
            <w:gridSpan w:val="2"/>
            <w:tcBorders>
              <w:top w:val="nil"/>
              <w:left w:val="nil"/>
              <w:bottom w:val="nil"/>
              <w:right w:val="nil"/>
            </w:tcBorders>
            <w:shd w:val="clear" w:color="000000" w:fill="FFFFFF"/>
            <w:noWrap/>
            <w:vAlign w:val="bottom"/>
            <w:hideMark/>
          </w:tcPr>
          <w:p w14:paraId="76F333B1" w14:textId="2DE314BD" w:rsidR="00B85A2A" w:rsidRPr="00A86423" w:rsidRDefault="00B85A2A" w:rsidP="00E84A95">
            <w:pPr>
              <w:spacing w:after="0" w:line="240" w:lineRule="auto"/>
              <w:ind w:left="113"/>
              <w:rPr>
                <w:rFonts w:ascii="Arial" w:hAnsi="Arial" w:cs="Arial"/>
                <w:sz w:val="16"/>
                <w:szCs w:val="16"/>
              </w:rPr>
            </w:pPr>
            <w:r w:rsidRPr="00A86423">
              <w:rPr>
                <w:rFonts w:ascii="Arial" w:hAnsi="Arial" w:cs="Arial"/>
                <w:sz w:val="16"/>
                <w:szCs w:val="16"/>
              </w:rPr>
              <w:t>Payments to corporate entities</w:t>
            </w:r>
            <w:r w:rsidRPr="00A86423">
              <w:rPr>
                <w:rFonts w:ascii="Arial" w:hAnsi="Arial" w:cs="Arial"/>
                <w:sz w:val="16"/>
                <w:szCs w:val="16"/>
                <w:vertAlign w:val="superscript"/>
              </w:rPr>
              <w:t>(b)</w:t>
            </w:r>
          </w:p>
        </w:tc>
        <w:tc>
          <w:tcPr>
            <w:tcW w:w="605" w:type="pct"/>
            <w:gridSpan w:val="3"/>
            <w:tcBorders>
              <w:top w:val="nil"/>
              <w:left w:val="nil"/>
              <w:bottom w:val="nil"/>
              <w:right w:val="nil"/>
            </w:tcBorders>
            <w:shd w:val="clear" w:color="auto" w:fill="auto"/>
            <w:noWrap/>
            <w:vAlign w:val="bottom"/>
            <w:hideMark/>
          </w:tcPr>
          <w:p w14:paraId="6B130841" w14:textId="107F37F1"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186,689</w:t>
            </w:r>
          </w:p>
        </w:tc>
        <w:tc>
          <w:tcPr>
            <w:tcW w:w="604" w:type="pct"/>
            <w:gridSpan w:val="4"/>
            <w:tcBorders>
              <w:top w:val="nil"/>
              <w:left w:val="nil"/>
              <w:bottom w:val="nil"/>
              <w:right w:val="nil"/>
            </w:tcBorders>
            <w:shd w:val="clear" w:color="000000" w:fill="E6E6E6"/>
            <w:noWrap/>
            <w:vAlign w:val="bottom"/>
            <w:hideMark/>
          </w:tcPr>
          <w:p w14:paraId="5430A8A9" w14:textId="7B91C97A"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211,033</w:t>
            </w:r>
          </w:p>
        </w:tc>
        <w:tc>
          <w:tcPr>
            <w:tcW w:w="548" w:type="pct"/>
            <w:gridSpan w:val="3"/>
            <w:tcBorders>
              <w:top w:val="nil"/>
              <w:left w:val="nil"/>
              <w:bottom w:val="nil"/>
              <w:right w:val="nil"/>
            </w:tcBorders>
            <w:shd w:val="clear" w:color="auto" w:fill="auto"/>
            <w:noWrap/>
            <w:vAlign w:val="bottom"/>
            <w:hideMark/>
          </w:tcPr>
          <w:p w14:paraId="69C34FC2" w14:textId="22EB3E9D"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131,798</w:t>
            </w:r>
          </w:p>
        </w:tc>
        <w:tc>
          <w:tcPr>
            <w:tcW w:w="549" w:type="pct"/>
            <w:gridSpan w:val="3"/>
            <w:tcBorders>
              <w:top w:val="nil"/>
              <w:left w:val="nil"/>
              <w:bottom w:val="nil"/>
              <w:right w:val="nil"/>
            </w:tcBorders>
            <w:shd w:val="clear" w:color="auto" w:fill="auto"/>
            <w:noWrap/>
            <w:vAlign w:val="bottom"/>
            <w:hideMark/>
          </w:tcPr>
          <w:p w14:paraId="04D7A2B1" w14:textId="35CDD917"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133,816</w:t>
            </w:r>
          </w:p>
        </w:tc>
        <w:tc>
          <w:tcPr>
            <w:tcW w:w="596" w:type="pct"/>
            <w:gridSpan w:val="4"/>
            <w:tcBorders>
              <w:top w:val="nil"/>
              <w:left w:val="nil"/>
              <w:bottom w:val="nil"/>
              <w:right w:val="nil"/>
            </w:tcBorders>
            <w:shd w:val="clear" w:color="auto" w:fill="auto"/>
            <w:noWrap/>
            <w:vAlign w:val="bottom"/>
            <w:hideMark/>
          </w:tcPr>
          <w:p w14:paraId="5F891247" w14:textId="350E08D8"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134,763</w:t>
            </w:r>
          </w:p>
        </w:tc>
      </w:tr>
      <w:tr w:rsidR="00A86423" w:rsidRPr="00A86423" w14:paraId="3DDD289F" w14:textId="77777777" w:rsidTr="007A5E05">
        <w:trPr>
          <w:trHeight w:val="204"/>
        </w:trPr>
        <w:tc>
          <w:tcPr>
            <w:tcW w:w="2097" w:type="pct"/>
            <w:gridSpan w:val="2"/>
            <w:tcBorders>
              <w:top w:val="nil"/>
              <w:left w:val="nil"/>
              <w:bottom w:val="nil"/>
              <w:right w:val="nil"/>
            </w:tcBorders>
            <w:shd w:val="clear" w:color="000000" w:fill="FFFFFF"/>
            <w:vAlign w:val="bottom"/>
            <w:hideMark/>
          </w:tcPr>
          <w:p w14:paraId="1307B94F" w14:textId="4BF0507E" w:rsidR="00B85A2A" w:rsidRPr="00A86423" w:rsidRDefault="00B85A2A" w:rsidP="00E84A95">
            <w:pPr>
              <w:spacing w:after="0" w:line="240" w:lineRule="auto"/>
              <w:ind w:left="113"/>
              <w:rPr>
                <w:rFonts w:ascii="Arial" w:hAnsi="Arial" w:cs="Arial"/>
                <w:sz w:val="16"/>
                <w:szCs w:val="16"/>
              </w:rPr>
            </w:pPr>
            <w:r w:rsidRPr="00A86423">
              <w:rPr>
                <w:rFonts w:ascii="Arial" w:hAnsi="Arial" w:cs="Arial"/>
                <w:sz w:val="16"/>
                <w:szCs w:val="16"/>
              </w:rPr>
              <w:t>Expenses not requiring appropriation in the Budget year</w:t>
            </w:r>
            <w:r w:rsidRPr="00A86423">
              <w:rPr>
                <w:rFonts w:ascii="Arial" w:hAnsi="Arial" w:cs="Arial"/>
                <w:sz w:val="16"/>
                <w:szCs w:val="16"/>
                <w:vertAlign w:val="superscript"/>
              </w:rPr>
              <w:t>(c)</w:t>
            </w:r>
          </w:p>
        </w:tc>
        <w:tc>
          <w:tcPr>
            <w:tcW w:w="605" w:type="pct"/>
            <w:gridSpan w:val="3"/>
            <w:tcBorders>
              <w:top w:val="nil"/>
              <w:left w:val="nil"/>
              <w:bottom w:val="nil"/>
              <w:right w:val="nil"/>
            </w:tcBorders>
            <w:shd w:val="clear" w:color="auto" w:fill="auto"/>
            <w:noWrap/>
            <w:vAlign w:val="bottom"/>
            <w:hideMark/>
          </w:tcPr>
          <w:p w14:paraId="2A5CD26F" w14:textId="767616DD"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125,437</w:t>
            </w:r>
          </w:p>
        </w:tc>
        <w:tc>
          <w:tcPr>
            <w:tcW w:w="604" w:type="pct"/>
            <w:gridSpan w:val="4"/>
            <w:tcBorders>
              <w:top w:val="nil"/>
              <w:left w:val="nil"/>
              <w:bottom w:val="nil"/>
              <w:right w:val="nil"/>
            </w:tcBorders>
            <w:shd w:val="clear" w:color="000000" w:fill="E6E6E6"/>
            <w:noWrap/>
            <w:vAlign w:val="bottom"/>
            <w:hideMark/>
          </w:tcPr>
          <w:p w14:paraId="4601B1C8" w14:textId="2B5818AB"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95,894</w:t>
            </w:r>
          </w:p>
        </w:tc>
        <w:tc>
          <w:tcPr>
            <w:tcW w:w="548" w:type="pct"/>
            <w:gridSpan w:val="3"/>
            <w:tcBorders>
              <w:top w:val="nil"/>
              <w:left w:val="nil"/>
              <w:bottom w:val="nil"/>
              <w:right w:val="nil"/>
            </w:tcBorders>
            <w:shd w:val="clear" w:color="auto" w:fill="auto"/>
            <w:noWrap/>
            <w:vAlign w:val="bottom"/>
            <w:hideMark/>
          </w:tcPr>
          <w:p w14:paraId="4A0E2E1B" w14:textId="77777777"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(21,634)</w:t>
            </w:r>
          </w:p>
        </w:tc>
        <w:tc>
          <w:tcPr>
            <w:tcW w:w="549" w:type="pct"/>
            <w:gridSpan w:val="3"/>
            <w:tcBorders>
              <w:top w:val="nil"/>
              <w:left w:val="nil"/>
              <w:bottom w:val="nil"/>
              <w:right w:val="nil"/>
            </w:tcBorders>
            <w:shd w:val="clear" w:color="auto" w:fill="auto"/>
            <w:noWrap/>
            <w:vAlign w:val="bottom"/>
            <w:hideMark/>
          </w:tcPr>
          <w:p w14:paraId="1D0BA398" w14:textId="6DB71FAD"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w:t>
            </w:r>
          </w:p>
        </w:tc>
        <w:tc>
          <w:tcPr>
            <w:tcW w:w="596" w:type="pct"/>
            <w:gridSpan w:val="4"/>
            <w:tcBorders>
              <w:top w:val="nil"/>
              <w:left w:val="nil"/>
              <w:bottom w:val="nil"/>
              <w:right w:val="nil"/>
            </w:tcBorders>
            <w:shd w:val="clear" w:color="auto" w:fill="auto"/>
            <w:noWrap/>
            <w:vAlign w:val="bottom"/>
            <w:hideMark/>
          </w:tcPr>
          <w:p w14:paraId="628FB344" w14:textId="25471B99"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w:t>
            </w:r>
          </w:p>
        </w:tc>
      </w:tr>
      <w:tr w:rsidR="00A86423" w:rsidRPr="00A86423" w14:paraId="7CD88F1F" w14:textId="77777777" w:rsidTr="007A5E05">
        <w:trPr>
          <w:trHeight w:val="204"/>
        </w:trPr>
        <w:tc>
          <w:tcPr>
            <w:tcW w:w="2097" w:type="pct"/>
            <w:gridSpan w:val="2"/>
            <w:tcBorders>
              <w:top w:val="nil"/>
              <w:left w:val="nil"/>
              <w:bottom w:val="nil"/>
              <w:right w:val="nil"/>
            </w:tcBorders>
            <w:shd w:val="clear" w:color="auto" w:fill="auto"/>
            <w:vAlign w:val="bottom"/>
            <w:hideMark/>
          </w:tcPr>
          <w:p w14:paraId="686C2B55" w14:textId="384714C3" w:rsidR="00B85A2A" w:rsidRPr="00A86423" w:rsidRDefault="0000369A" w:rsidP="00B85A2A">
            <w:pPr>
              <w:spacing w:after="0" w:line="240" w:lineRule="auto"/>
              <w:jc w:val="right"/>
              <w:rPr>
                <w:rFonts w:ascii="Arial" w:hAnsi="Arial" w:cs="Arial"/>
                <w:b/>
                <w:bCs/>
                <w:sz w:val="16"/>
                <w:szCs w:val="16"/>
              </w:rPr>
            </w:pPr>
            <w:r>
              <w:rPr>
                <w:rFonts w:ascii="Arial" w:hAnsi="Arial" w:cs="Arial"/>
                <w:b/>
                <w:bCs/>
                <w:sz w:val="16"/>
                <w:szCs w:val="16"/>
              </w:rPr>
              <w:t>Total administered expenses</w:t>
            </w:r>
          </w:p>
        </w:tc>
        <w:tc>
          <w:tcPr>
            <w:tcW w:w="605" w:type="pct"/>
            <w:gridSpan w:val="3"/>
            <w:tcBorders>
              <w:top w:val="single" w:sz="4" w:space="0" w:color="auto"/>
              <w:left w:val="nil"/>
              <w:bottom w:val="single" w:sz="4" w:space="0" w:color="auto"/>
              <w:right w:val="nil"/>
            </w:tcBorders>
            <w:shd w:val="clear" w:color="auto" w:fill="auto"/>
            <w:noWrap/>
            <w:vAlign w:val="bottom"/>
            <w:hideMark/>
          </w:tcPr>
          <w:p w14:paraId="18C75856" w14:textId="33FA77DA" w:rsidR="00B85A2A" w:rsidRPr="00A86423" w:rsidRDefault="00B85A2A" w:rsidP="00E84A95">
            <w:pPr>
              <w:spacing w:after="0" w:line="240" w:lineRule="auto"/>
              <w:jc w:val="right"/>
              <w:rPr>
                <w:rFonts w:ascii="Arial" w:hAnsi="Arial" w:cs="Arial"/>
                <w:b/>
                <w:bCs/>
                <w:sz w:val="16"/>
                <w:szCs w:val="16"/>
              </w:rPr>
            </w:pPr>
            <w:r w:rsidRPr="00A86423">
              <w:rPr>
                <w:rFonts w:ascii="Arial" w:hAnsi="Arial" w:cs="Arial"/>
                <w:b/>
                <w:bCs/>
                <w:sz w:val="16"/>
                <w:szCs w:val="16"/>
              </w:rPr>
              <w:t>895,720</w:t>
            </w:r>
          </w:p>
        </w:tc>
        <w:tc>
          <w:tcPr>
            <w:tcW w:w="604" w:type="pct"/>
            <w:gridSpan w:val="4"/>
            <w:tcBorders>
              <w:top w:val="single" w:sz="4" w:space="0" w:color="auto"/>
              <w:left w:val="nil"/>
              <w:bottom w:val="single" w:sz="4" w:space="0" w:color="auto"/>
              <w:right w:val="nil"/>
            </w:tcBorders>
            <w:shd w:val="clear" w:color="000000" w:fill="E6E6E6"/>
            <w:noWrap/>
            <w:vAlign w:val="bottom"/>
            <w:hideMark/>
          </w:tcPr>
          <w:p w14:paraId="3294A9C5" w14:textId="2AD4B3AC" w:rsidR="00B85A2A" w:rsidRPr="00A86423" w:rsidRDefault="00B85A2A" w:rsidP="00E84A95">
            <w:pPr>
              <w:spacing w:after="0" w:line="240" w:lineRule="auto"/>
              <w:jc w:val="right"/>
              <w:rPr>
                <w:rFonts w:ascii="Arial" w:hAnsi="Arial" w:cs="Arial"/>
                <w:b/>
                <w:bCs/>
                <w:sz w:val="16"/>
                <w:szCs w:val="16"/>
              </w:rPr>
            </w:pPr>
            <w:r w:rsidRPr="00A86423">
              <w:rPr>
                <w:rFonts w:ascii="Arial" w:hAnsi="Arial" w:cs="Arial"/>
                <w:b/>
                <w:bCs/>
                <w:sz w:val="16"/>
                <w:szCs w:val="16"/>
              </w:rPr>
              <w:t>920,854</w:t>
            </w:r>
          </w:p>
        </w:tc>
        <w:tc>
          <w:tcPr>
            <w:tcW w:w="548" w:type="pct"/>
            <w:gridSpan w:val="3"/>
            <w:tcBorders>
              <w:top w:val="single" w:sz="4" w:space="0" w:color="auto"/>
              <w:left w:val="nil"/>
              <w:bottom w:val="single" w:sz="4" w:space="0" w:color="auto"/>
              <w:right w:val="nil"/>
            </w:tcBorders>
            <w:shd w:val="clear" w:color="auto" w:fill="auto"/>
            <w:noWrap/>
            <w:vAlign w:val="bottom"/>
            <w:hideMark/>
          </w:tcPr>
          <w:p w14:paraId="0C41ABD5" w14:textId="3CFDA048" w:rsidR="00B85A2A" w:rsidRPr="00A86423" w:rsidRDefault="00B85A2A" w:rsidP="00E84A95">
            <w:pPr>
              <w:spacing w:after="0" w:line="240" w:lineRule="auto"/>
              <w:jc w:val="right"/>
              <w:rPr>
                <w:rFonts w:ascii="Arial" w:hAnsi="Arial" w:cs="Arial"/>
                <w:b/>
                <w:bCs/>
                <w:sz w:val="16"/>
                <w:szCs w:val="16"/>
              </w:rPr>
            </w:pPr>
            <w:r w:rsidRPr="00A86423">
              <w:rPr>
                <w:rFonts w:ascii="Arial" w:hAnsi="Arial" w:cs="Arial"/>
                <w:b/>
                <w:bCs/>
                <w:sz w:val="16"/>
                <w:szCs w:val="16"/>
              </w:rPr>
              <w:t>786,178</w:t>
            </w:r>
          </w:p>
        </w:tc>
        <w:tc>
          <w:tcPr>
            <w:tcW w:w="549" w:type="pct"/>
            <w:gridSpan w:val="3"/>
            <w:tcBorders>
              <w:top w:val="single" w:sz="4" w:space="0" w:color="auto"/>
              <w:left w:val="nil"/>
              <w:bottom w:val="single" w:sz="4" w:space="0" w:color="auto"/>
              <w:right w:val="nil"/>
            </w:tcBorders>
            <w:shd w:val="clear" w:color="auto" w:fill="auto"/>
            <w:noWrap/>
            <w:vAlign w:val="bottom"/>
            <w:hideMark/>
          </w:tcPr>
          <w:p w14:paraId="4E69C5DF" w14:textId="68FAB8FB" w:rsidR="00B85A2A" w:rsidRPr="00A86423" w:rsidRDefault="00B85A2A" w:rsidP="00E84A95">
            <w:pPr>
              <w:spacing w:after="0" w:line="240" w:lineRule="auto"/>
              <w:jc w:val="right"/>
              <w:rPr>
                <w:rFonts w:ascii="Arial" w:hAnsi="Arial" w:cs="Arial"/>
                <w:b/>
                <w:bCs/>
                <w:sz w:val="16"/>
                <w:szCs w:val="16"/>
              </w:rPr>
            </w:pPr>
            <w:r w:rsidRPr="00A86423">
              <w:rPr>
                <w:rFonts w:ascii="Arial" w:hAnsi="Arial" w:cs="Arial"/>
                <w:b/>
                <w:bCs/>
                <w:sz w:val="16"/>
                <w:szCs w:val="16"/>
              </w:rPr>
              <w:t>846,446</w:t>
            </w:r>
          </w:p>
        </w:tc>
        <w:tc>
          <w:tcPr>
            <w:tcW w:w="596" w:type="pct"/>
            <w:gridSpan w:val="4"/>
            <w:tcBorders>
              <w:top w:val="single" w:sz="4" w:space="0" w:color="auto"/>
              <w:left w:val="nil"/>
              <w:bottom w:val="single" w:sz="4" w:space="0" w:color="auto"/>
              <w:right w:val="nil"/>
            </w:tcBorders>
            <w:shd w:val="clear" w:color="auto" w:fill="auto"/>
            <w:noWrap/>
            <w:vAlign w:val="bottom"/>
            <w:hideMark/>
          </w:tcPr>
          <w:p w14:paraId="4AD8DE64" w14:textId="75975251" w:rsidR="00B85A2A" w:rsidRPr="00A86423" w:rsidRDefault="00B85A2A" w:rsidP="00E84A95">
            <w:pPr>
              <w:spacing w:after="0" w:line="240" w:lineRule="auto"/>
              <w:jc w:val="right"/>
              <w:rPr>
                <w:rFonts w:ascii="Arial" w:hAnsi="Arial" w:cs="Arial"/>
                <w:b/>
                <w:bCs/>
                <w:sz w:val="16"/>
                <w:szCs w:val="16"/>
              </w:rPr>
            </w:pPr>
            <w:r w:rsidRPr="00A86423">
              <w:rPr>
                <w:rFonts w:ascii="Arial" w:hAnsi="Arial" w:cs="Arial"/>
                <w:b/>
                <w:bCs/>
                <w:sz w:val="16"/>
                <w:szCs w:val="16"/>
              </w:rPr>
              <w:t>714,877</w:t>
            </w:r>
          </w:p>
        </w:tc>
      </w:tr>
      <w:tr w:rsidR="00A86423" w:rsidRPr="00A86423" w14:paraId="5567CA62" w14:textId="77777777" w:rsidTr="007A5E05">
        <w:trPr>
          <w:trHeight w:val="204"/>
        </w:trPr>
        <w:tc>
          <w:tcPr>
            <w:tcW w:w="2097" w:type="pct"/>
            <w:gridSpan w:val="2"/>
            <w:tcBorders>
              <w:top w:val="nil"/>
              <w:left w:val="nil"/>
              <w:bottom w:val="nil"/>
              <w:right w:val="nil"/>
            </w:tcBorders>
            <w:shd w:val="clear" w:color="auto" w:fill="auto"/>
            <w:noWrap/>
            <w:vAlign w:val="bottom"/>
            <w:hideMark/>
          </w:tcPr>
          <w:p w14:paraId="1AF78E93" w14:textId="77777777" w:rsidR="00B85A2A" w:rsidRPr="00A86423" w:rsidRDefault="00B85A2A" w:rsidP="00B85A2A">
            <w:pPr>
              <w:spacing w:after="0" w:line="240" w:lineRule="auto"/>
              <w:rPr>
                <w:rFonts w:ascii="Arial" w:hAnsi="Arial" w:cs="Arial"/>
                <w:sz w:val="16"/>
                <w:szCs w:val="16"/>
              </w:rPr>
            </w:pPr>
            <w:r w:rsidRPr="00A86423">
              <w:rPr>
                <w:rFonts w:ascii="Arial" w:hAnsi="Arial" w:cs="Arial"/>
                <w:sz w:val="16"/>
                <w:szCs w:val="16"/>
              </w:rPr>
              <w:t>Departmental expenses</w:t>
            </w:r>
          </w:p>
        </w:tc>
        <w:tc>
          <w:tcPr>
            <w:tcW w:w="605" w:type="pct"/>
            <w:gridSpan w:val="3"/>
            <w:tcBorders>
              <w:top w:val="nil"/>
              <w:left w:val="nil"/>
              <w:bottom w:val="nil"/>
              <w:right w:val="nil"/>
            </w:tcBorders>
            <w:shd w:val="clear" w:color="auto" w:fill="auto"/>
            <w:noWrap/>
            <w:vAlign w:val="bottom"/>
            <w:hideMark/>
          </w:tcPr>
          <w:p w14:paraId="2625700D" w14:textId="77777777" w:rsidR="00B85A2A" w:rsidRPr="00A86423" w:rsidRDefault="00B85A2A" w:rsidP="00E84A95">
            <w:pPr>
              <w:spacing w:after="0" w:line="240" w:lineRule="auto"/>
              <w:jc w:val="right"/>
              <w:rPr>
                <w:rFonts w:ascii="Arial" w:hAnsi="Arial" w:cs="Arial"/>
                <w:sz w:val="16"/>
                <w:szCs w:val="16"/>
              </w:rPr>
            </w:pPr>
          </w:p>
        </w:tc>
        <w:tc>
          <w:tcPr>
            <w:tcW w:w="604" w:type="pct"/>
            <w:gridSpan w:val="4"/>
            <w:tcBorders>
              <w:top w:val="nil"/>
              <w:left w:val="nil"/>
              <w:bottom w:val="nil"/>
              <w:right w:val="nil"/>
            </w:tcBorders>
            <w:shd w:val="clear" w:color="000000" w:fill="E6E6E6"/>
            <w:noWrap/>
            <w:vAlign w:val="bottom"/>
            <w:hideMark/>
          </w:tcPr>
          <w:p w14:paraId="0548639D" w14:textId="493DE529" w:rsidR="00B85A2A" w:rsidRPr="00A86423" w:rsidRDefault="00B85A2A" w:rsidP="00E84A95">
            <w:pPr>
              <w:spacing w:after="0" w:line="240" w:lineRule="auto"/>
              <w:jc w:val="right"/>
              <w:rPr>
                <w:rFonts w:ascii="Arial" w:hAnsi="Arial" w:cs="Arial"/>
                <w:sz w:val="16"/>
                <w:szCs w:val="16"/>
              </w:rPr>
            </w:pPr>
          </w:p>
        </w:tc>
        <w:tc>
          <w:tcPr>
            <w:tcW w:w="548" w:type="pct"/>
            <w:gridSpan w:val="3"/>
            <w:tcBorders>
              <w:top w:val="nil"/>
              <w:left w:val="nil"/>
              <w:bottom w:val="nil"/>
              <w:right w:val="nil"/>
            </w:tcBorders>
            <w:shd w:val="clear" w:color="auto" w:fill="auto"/>
            <w:noWrap/>
            <w:vAlign w:val="bottom"/>
            <w:hideMark/>
          </w:tcPr>
          <w:p w14:paraId="45223D0D" w14:textId="77777777" w:rsidR="00B85A2A" w:rsidRPr="00A86423" w:rsidRDefault="00B85A2A" w:rsidP="00E84A95">
            <w:pPr>
              <w:spacing w:after="0" w:line="240" w:lineRule="auto"/>
              <w:jc w:val="right"/>
              <w:rPr>
                <w:rFonts w:ascii="Arial" w:hAnsi="Arial" w:cs="Arial"/>
                <w:sz w:val="16"/>
                <w:szCs w:val="16"/>
              </w:rPr>
            </w:pPr>
          </w:p>
        </w:tc>
        <w:tc>
          <w:tcPr>
            <w:tcW w:w="549" w:type="pct"/>
            <w:gridSpan w:val="3"/>
            <w:tcBorders>
              <w:top w:val="nil"/>
              <w:left w:val="nil"/>
              <w:bottom w:val="nil"/>
              <w:right w:val="nil"/>
            </w:tcBorders>
            <w:shd w:val="clear" w:color="auto" w:fill="auto"/>
            <w:noWrap/>
            <w:vAlign w:val="bottom"/>
            <w:hideMark/>
          </w:tcPr>
          <w:p w14:paraId="4D8CEC58" w14:textId="77777777" w:rsidR="00B85A2A" w:rsidRPr="00A86423" w:rsidRDefault="00B85A2A" w:rsidP="00E84A95">
            <w:pPr>
              <w:spacing w:after="0" w:line="240" w:lineRule="auto"/>
              <w:jc w:val="right"/>
              <w:rPr>
                <w:rFonts w:ascii="Arial" w:hAnsi="Arial" w:cs="Arial"/>
                <w:sz w:val="16"/>
                <w:szCs w:val="16"/>
              </w:rPr>
            </w:pPr>
          </w:p>
        </w:tc>
        <w:tc>
          <w:tcPr>
            <w:tcW w:w="596" w:type="pct"/>
            <w:gridSpan w:val="4"/>
            <w:tcBorders>
              <w:top w:val="nil"/>
              <w:left w:val="nil"/>
              <w:bottom w:val="nil"/>
              <w:right w:val="nil"/>
            </w:tcBorders>
            <w:shd w:val="clear" w:color="auto" w:fill="auto"/>
            <w:noWrap/>
            <w:vAlign w:val="bottom"/>
            <w:hideMark/>
          </w:tcPr>
          <w:p w14:paraId="3253D6E5" w14:textId="77777777" w:rsidR="00B85A2A" w:rsidRPr="00A86423" w:rsidRDefault="00B85A2A" w:rsidP="00E84A95">
            <w:pPr>
              <w:spacing w:after="0" w:line="240" w:lineRule="auto"/>
              <w:jc w:val="right"/>
              <w:rPr>
                <w:rFonts w:ascii="Arial" w:hAnsi="Arial" w:cs="Arial"/>
                <w:sz w:val="16"/>
                <w:szCs w:val="16"/>
              </w:rPr>
            </w:pPr>
          </w:p>
        </w:tc>
      </w:tr>
      <w:tr w:rsidR="00A86423" w:rsidRPr="00A86423" w14:paraId="4FA68D88" w14:textId="77777777" w:rsidTr="007A5E05">
        <w:trPr>
          <w:trHeight w:val="204"/>
        </w:trPr>
        <w:tc>
          <w:tcPr>
            <w:tcW w:w="2097" w:type="pct"/>
            <w:gridSpan w:val="2"/>
            <w:tcBorders>
              <w:top w:val="nil"/>
              <w:left w:val="nil"/>
              <w:bottom w:val="nil"/>
              <w:right w:val="nil"/>
            </w:tcBorders>
            <w:shd w:val="clear" w:color="000000" w:fill="FFFFFF"/>
            <w:noWrap/>
            <w:vAlign w:val="bottom"/>
            <w:hideMark/>
          </w:tcPr>
          <w:p w14:paraId="09CBFE7A" w14:textId="77777777" w:rsidR="00B85A2A" w:rsidRPr="00A86423" w:rsidRDefault="00B85A2A" w:rsidP="00E84A95">
            <w:pPr>
              <w:spacing w:after="0" w:line="240" w:lineRule="auto"/>
              <w:ind w:left="113"/>
              <w:rPr>
                <w:rFonts w:ascii="Arial" w:hAnsi="Arial" w:cs="Arial"/>
                <w:sz w:val="16"/>
                <w:szCs w:val="16"/>
              </w:rPr>
            </w:pPr>
            <w:r w:rsidRPr="00A86423">
              <w:rPr>
                <w:rFonts w:ascii="Arial" w:hAnsi="Arial" w:cs="Arial"/>
                <w:sz w:val="16"/>
                <w:szCs w:val="16"/>
              </w:rPr>
              <w:t>Departmental appropriation</w:t>
            </w:r>
          </w:p>
        </w:tc>
        <w:tc>
          <w:tcPr>
            <w:tcW w:w="605" w:type="pct"/>
            <w:gridSpan w:val="3"/>
            <w:tcBorders>
              <w:top w:val="nil"/>
              <w:left w:val="nil"/>
              <w:bottom w:val="nil"/>
              <w:right w:val="nil"/>
            </w:tcBorders>
            <w:shd w:val="clear" w:color="auto" w:fill="auto"/>
            <w:noWrap/>
            <w:vAlign w:val="bottom"/>
            <w:hideMark/>
          </w:tcPr>
          <w:p w14:paraId="71EE3EDF" w14:textId="668D39EC"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113,831</w:t>
            </w:r>
          </w:p>
        </w:tc>
        <w:tc>
          <w:tcPr>
            <w:tcW w:w="604" w:type="pct"/>
            <w:gridSpan w:val="4"/>
            <w:tcBorders>
              <w:top w:val="nil"/>
              <w:left w:val="nil"/>
              <w:bottom w:val="nil"/>
              <w:right w:val="nil"/>
            </w:tcBorders>
            <w:shd w:val="clear" w:color="000000" w:fill="E6E6E6"/>
            <w:noWrap/>
            <w:vAlign w:val="bottom"/>
            <w:hideMark/>
          </w:tcPr>
          <w:p w14:paraId="5BEEE5D3" w14:textId="52F3FF61"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138,288</w:t>
            </w:r>
          </w:p>
        </w:tc>
        <w:tc>
          <w:tcPr>
            <w:tcW w:w="548" w:type="pct"/>
            <w:gridSpan w:val="3"/>
            <w:tcBorders>
              <w:top w:val="nil"/>
              <w:left w:val="nil"/>
              <w:bottom w:val="nil"/>
              <w:right w:val="nil"/>
            </w:tcBorders>
            <w:shd w:val="clear" w:color="auto" w:fill="auto"/>
            <w:noWrap/>
            <w:vAlign w:val="bottom"/>
            <w:hideMark/>
          </w:tcPr>
          <w:p w14:paraId="76F3B062" w14:textId="7599149C"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117,865</w:t>
            </w:r>
          </w:p>
        </w:tc>
        <w:tc>
          <w:tcPr>
            <w:tcW w:w="549" w:type="pct"/>
            <w:gridSpan w:val="3"/>
            <w:tcBorders>
              <w:top w:val="nil"/>
              <w:left w:val="nil"/>
              <w:bottom w:val="nil"/>
              <w:right w:val="nil"/>
            </w:tcBorders>
            <w:shd w:val="clear" w:color="auto" w:fill="auto"/>
            <w:noWrap/>
            <w:vAlign w:val="bottom"/>
            <w:hideMark/>
          </w:tcPr>
          <w:p w14:paraId="7DC28C8B" w14:textId="0CB8A5DA"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115,411</w:t>
            </w:r>
          </w:p>
        </w:tc>
        <w:tc>
          <w:tcPr>
            <w:tcW w:w="596" w:type="pct"/>
            <w:gridSpan w:val="4"/>
            <w:tcBorders>
              <w:top w:val="nil"/>
              <w:left w:val="nil"/>
              <w:bottom w:val="nil"/>
              <w:right w:val="nil"/>
            </w:tcBorders>
            <w:shd w:val="clear" w:color="auto" w:fill="auto"/>
            <w:noWrap/>
            <w:vAlign w:val="bottom"/>
            <w:hideMark/>
          </w:tcPr>
          <w:p w14:paraId="2B96B4E5" w14:textId="22BF555E"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122,822</w:t>
            </w:r>
          </w:p>
        </w:tc>
      </w:tr>
      <w:tr w:rsidR="00A86423" w:rsidRPr="00A86423" w14:paraId="3783DE9A" w14:textId="77777777" w:rsidTr="007A5E05">
        <w:trPr>
          <w:trHeight w:val="204"/>
        </w:trPr>
        <w:tc>
          <w:tcPr>
            <w:tcW w:w="2097" w:type="pct"/>
            <w:gridSpan w:val="2"/>
            <w:tcBorders>
              <w:top w:val="nil"/>
              <w:left w:val="nil"/>
              <w:bottom w:val="nil"/>
              <w:right w:val="nil"/>
            </w:tcBorders>
            <w:shd w:val="clear" w:color="000000" w:fill="FFFFFF"/>
            <w:vAlign w:val="bottom"/>
            <w:hideMark/>
          </w:tcPr>
          <w:p w14:paraId="43907A2A" w14:textId="1906D621" w:rsidR="00B85A2A" w:rsidRPr="00A86423" w:rsidRDefault="00B85A2A" w:rsidP="00E84A95">
            <w:pPr>
              <w:spacing w:after="0" w:line="240" w:lineRule="auto"/>
              <w:ind w:left="113"/>
              <w:rPr>
                <w:rFonts w:ascii="Arial" w:hAnsi="Arial" w:cs="Arial"/>
                <w:sz w:val="16"/>
                <w:szCs w:val="16"/>
              </w:rPr>
            </w:pPr>
            <w:r w:rsidRPr="00A86423">
              <w:rPr>
                <w:rFonts w:ascii="Arial" w:hAnsi="Arial" w:cs="Arial"/>
                <w:sz w:val="16"/>
                <w:szCs w:val="16"/>
              </w:rPr>
              <w:t>s74 external revenues</w:t>
            </w:r>
            <w:r w:rsidRPr="00A86423">
              <w:rPr>
                <w:rFonts w:ascii="Arial" w:hAnsi="Arial" w:cs="Arial"/>
                <w:sz w:val="16"/>
                <w:szCs w:val="16"/>
                <w:vertAlign w:val="superscript"/>
              </w:rPr>
              <w:t>(d)</w:t>
            </w:r>
          </w:p>
        </w:tc>
        <w:tc>
          <w:tcPr>
            <w:tcW w:w="605" w:type="pct"/>
            <w:gridSpan w:val="3"/>
            <w:tcBorders>
              <w:top w:val="nil"/>
              <w:left w:val="nil"/>
              <w:bottom w:val="nil"/>
              <w:right w:val="nil"/>
            </w:tcBorders>
            <w:shd w:val="clear" w:color="auto" w:fill="auto"/>
            <w:noWrap/>
            <w:vAlign w:val="bottom"/>
            <w:hideMark/>
          </w:tcPr>
          <w:p w14:paraId="18AB7C58" w14:textId="213AC154"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4,155</w:t>
            </w:r>
          </w:p>
        </w:tc>
        <w:tc>
          <w:tcPr>
            <w:tcW w:w="604" w:type="pct"/>
            <w:gridSpan w:val="4"/>
            <w:tcBorders>
              <w:top w:val="nil"/>
              <w:left w:val="nil"/>
              <w:bottom w:val="nil"/>
              <w:right w:val="nil"/>
            </w:tcBorders>
            <w:shd w:val="clear" w:color="000000" w:fill="E6E6E6"/>
            <w:noWrap/>
            <w:vAlign w:val="bottom"/>
            <w:hideMark/>
          </w:tcPr>
          <w:p w14:paraId="05CE02B4" w14:textId="6617869C"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4,182</w:t>
            </w:r>
          </w:p>
        </w:tc>
        <w:tc>
          <w:tcPr>
            <w:tcW w:w="548" w:type="pct"/>
            <w:gridSpan w:val="3"/>
            <w:tcBorders>
              <w:top w:val="nil"/>
              <w:left w:val="nil"/>
              <w:bottom w:val="nil"/>
              <w:right w:val="nil"/>
            </w:tcBorders>
            <w:shd w:val="clear" w:color="auto" w:fill="auto"/>
            <w:noWrap/>
            <w:vAlign w:val="bottom"/>
            <w:hideMark/>
          </w:tcPr>
          <w:p w14:paraId="4B4A78D9" w14:textId="2F93F95F"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4,182</w:t>
            </w:r>
          </w:p>
        </w:tc>
        <w:tc>
          <w:tcPr>
            <w:tcW w:w="549" w:type="pct"/>
            <w:gridSpan w:val="3"/>
            <w:tcBorders>
              <w:top w:val="nil"/>
              <w:left w:val="nil"/>
              <w:bottom w:val="nil"/>
              <w:right w:val="nil"/>
            </w:tcBorders>
            <w:shd w:val="clear" w:color="auto" w:fill="auto"/>
            <w:noWrap/>
            <w:vAlign w:val="bottom"/>
            <w:hideMark/>
          </w:tcPr>
          <w:p w14:paraId="030B0549" w14:textId="5AD27E29"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4,182</w:t>
            </w:r>
          </w:p>
        </w:tc>
        <w:tc>
          <w:tcPr>
            <w:tcW w:w="596" w:type="pct"/>
            <w:gridSpan w:val="4"/>
            <w:tcBorders>
              <w:top w:val="nil"/>
              <w:left w:val="nil"/>
              <w:bottom w:val="nil"/>
              <w:right w:val="nil"/>
            </w:tcBorders>
            <w:shd w:val="clear" w:color="auto" w:fill="auto"/>
            <w:noWrap/>
            <w:vAlign w:val="bottom"/>
            <w:hideMark/>
          </w:tcPr>
          <w:p w14:paraId="58D67CF0" w14:textId="583EE421"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4,182</w:t>
            </w:r>
          </w:p>
        </w:tc>
      </w:tr>
      <w:tr w:rsidR="00A86423" w:rsidRPr="00A86423" w14:paraId="6BE880D2" w14:textId="77777777" w:rsidTr="007A5E05">
        <w:trPr>
          <w:trHeight w:val="204"/>
        </w:trPr>
        <w:tc>
          <w:tcPr>
            <w:tcW w:w="2097" w:type="pct"/>
            <w:gridSpan w:val="2"/>
            <w:tcBorders>
              <w:top w:val="nil"/>
              <w:left w:val="nil"/>
              <w:bottom w:val="nil"/>
              <w:right w:val="nil"/>
            </w:tcBorders>
            <w:shd w:val="clear" w:color="auto" w:fill="auto"/>
            <w:vAlign w:val="bottom"/>
            <w:hideMark/>
          </w:tcPr>
          <w:p w14:paraId="58FF9B80" w14:textId="15C9345A" w:rsidR="00B85A2A" w:rsidRPr="00A86423" w:rsidRDefault="00B85A2A" w:rsidP="00E84A95">
            <w:pPr>
              <w:spacing w:after="0" w:line="240" w:lineRule="auto"/>
              <w:ind w:left="113"/>
              <w:rPr>
                <w:rFonts w:ascii="Arial" w:hAnsi="Arial" w:cs="Arial"/>
                <w:sz w:val="16"/>
                <w:szCs w:val="16"/>
              </w:rPr>
            </w:pPr>
            <w:r w:rsidRPr="00A86423">
              <w:rPr>
                <w:rFonts w:ascii="Arial" w:hAnsi="Arial" w:cs="Arial"/>
                <w:sz w:val="16"/>
                <w:szCs w:val="16"/>
              </w:rPr>
              <w:t>Expenses not requiring appropriation in the Budget year</w:t>
            </w:r>
            <w:r w:rsidRPr="00A86423">
              <w:rPr>
                <w:rFonts w:ascii="Arial" w:hAnsi="Arial" w:cs="Arial"/>
                <w:sz w:val="16"/>
                <w:szCs w:val="16"/>
                <w:vertAlign w:val="superscript"/>
              </w:rPr>
              <w:t>(e)</w:t>
            </w:r>
          </w:p>
        </w:tc>
        <w:tc>
          <w:tcPr>
            <w:tcW w:w="605" w:type="pct"/>
            <w:gridSpan w:val="3"/>
            <w:tcBorders>
              <w:top w:val="nil"/>
              <w:left w:val="nil"/>
              <w:bottom w:val="nil"/>
              <w:right w:val="nil"/>
            </w:tcBorders>
            <w:shd w:val="clear" w:color="auto" w:fill="auto"/>
            <w:noWrap/>
            <w:vAlign w:val="bottom"/>
            <w:hideMark/>
          </w:tcPr>
          <w:p w14:paraId="60FD6A5E" w14:textId="7FC29BC7"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4,311</w:t>
            </w:r>
          </w:p>
        </w:tc>
        <w:tc>
          <w:tcPr>
            <w:tcW w:w="604" w:type="pct"/>
            <w:gridSpan w:val="4"/>
            <w:tcBorders>
              <w:top w:val="nil"/>
              <w:left w:val="nil"/>
              <w:bottom w:val="nil"/>
              <w:right w:val="nil"/>
            </w:tcBorders>
            <w:shd w:val="clear" w:color="000000" w:fill="E6E6E6"/>
            <w:noWrap/>
            <w:vAlign w:val="bottom"/>
            <w:hideMark/>
          </w:tcPr>
          <w:p w14:paraId="74E6956D" w14:textId="67DF20AB"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10,551</w:t>
            </w:r>
          </w:p>
        </w:tc>
        <w:tc>
          <w:tcPr>
            <w:tcW w:w="548" w:type="pct"/>
            <w:gridSpan w:val="3"/>
            <w:tcBorders>
              <w:top w:val="nil"/>
              <w:left w:val="nil"/>
              <w:bottom w:val="nil"/>
              <w:right w:val="nil"/>
            </w:tcBorders>
            <w:shd w:val="clear" w:color="auto" w:fill="auto"/>
            <w:noWrap/>
            <w:vAlign w:val="bottom"/>
            <w:hideMark/>
          </w:tcPr>
          <w:p w14:paraId="4CFF6B69" w14:textId="75F5383A"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10,469</w:t>
            </w:r>
          </w:p>
        </w:tc>
        <w:tc>
          <w:tcPr>
            <w:tcW w:w="549" w:type="pct"/>
            <w:gridSpan w:val="3"/>
            <w:tcBorders>
              <w:top w:val="nil"/>
              <w:left w:val="nil"/>
              <w:bottom w:val="nil"/>
              <w:right w:val="nil"/>
            </w:tcBorders>
            <w:shd w:val="clear" w:color="auto" w:fill="auto"/>
            <w:noWrap/>
            <w:vAlign w:val="bottom"/>
            <w:hideMark/>
          </w:tcPr>
          <w:p w14:paraId="7DC87BE0" w14:textId="5B7B0FCA"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10,469</w:t>
            </w:r>
          </w:p>
        </w:tc>
        <w:tc>
          <w:tcPr>
            <w:tcW w:w="596" w:type="pct"/>
            <w:gridSpan w:val="4"/>
            <w:tcBorders>
              <w:top w:val="nil"/>
              <w:left w:val="nil"/>
              <w:bottom w:val="nil"/>
              <w:right w:val="nil"/>
            </w:tcBorders>
            <w:shd w:val="clear" w:color="auto" w:fill="auto"/>
            <w:noWrap/>
            <w:vAlign w:val="bottom"/>
            <w:hideMark/>
          </w:tcPr>
          <w:p w14:paraId="0F452D53" w14:textId="1B19A901"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10,469</w:t>
            </w:r>
          </w:p>
        </w:tc>
      </w:tr>
      <w:tr w:rsidR="00A86423" w:rsidRPr="00A86423" w14:paraId="0ECB0F9A" w14:textId="77777777" w:rsidTr="007A5E05">
        <w:trPr>
          <w:trHeight w:val="204"/>
        </w:trPr>
        <w:tc>
          <w:tcPr>
            <w:tcW w:w="2097" w:type="pct"/>
            <w:gridSpan w:val="2"/>
            <w:tcBorders>
              <w:top w:val="nil"/>
              <w:left w:val="nil"/>
              <w:bottom w:val="nil"/>
              <w:right w:val="nil"/>
            </w:tcBorders>
            <w:shd w:val="clear" w:color="auto" w:fill="auto"/>
            <w:vAlign w:val="bottom"/>
            <w:hideMark/>
          </w:tcPr>
          <w:p w14:paraId="51A2F6EB" w14:textId="6D17C511" w:rsidR="00B85A2A" w:rsidRPr="00A86423" w:rsidRDefault="0000369A" w:rsidP="00B85A2A">
            <w:pPr>
              <w:spacing w:after="0" w:line="240" w:lineRule="auto"/>
              <w:jc w:val="right"/>
              <w:rPr>
                <w:rFonts w:ascii="Arial" w:hAnsi="Arial" w:cs="Arial"/>
                <w:b/>
                <w:bCs/>
                <w:sz w:val="16"/>
                <w:szCs w:val="16"/>
              </w:rPr>
            </w:pPr>
            <w:r>
              <w:rPr>
                <w:rFonts w:ascii="Arial" w:hAnsi="Arial" w:cs="Arial"/>
                <w:b/>
                <w:bCs/>
                <w:sz w:val="16"/>
                <w:szCs w:val="16"/>
              </w:rPr>
              <w:t>Total departmental expenses</w:t>
            </w:r>
          </w:p>
        </w:tc>
        <w:tc>
          <w:tcPr>
            <w:tcW w:w="605" w:type="pct"/>
            <w:gridSpan w:val="3"/>
            <w:tcBorders>
              <w:top w:val="single" w:sz="4" w:space="0" w:color="auto"/>
              <w:left w:val="nil"/>
              <w:bottom w:val="single" w:sz="4" w:space="0" w:color="auto"/>
              <w:right w:val="nil"/>
            </w:tcBorders>
            <w:shd w:val="clear" w:color="auto" w:fill="auto"/>
            <w:noWrap/>
            <w:vAlign w:val="bottom"/>
            <w:hideMark/>
          </w:tcPr>
          <w:p w14:paraId="73E76E4F" w14:textId="42753F10" w:rsidR="00B85A2A" w:rsidRPr="00A86423" w:rsidRDefault="00B85A2A" w:rsidP="00E84A95">
            <w:pPr>
              <w:spacing w:after="0" w:line="240" w:lineRule="auto"/>
              <w:jc w:val="right"/>
              <w:rPr>
                <w:rFonts w:ascii="Arial" w:hAnsi="Arial" w:cs="Arial"/>
                <w:b/>
                <w:bCs/>
                <w:sz w:val="16"/>
                <w:szCs w:val="16"/>
              </w:rPr>
            </w:pPr>
            <w:r w:rsidRPr="00A86423">
              <w:rPr>
                <w:rFonts w:ascii="Arial" w:hAnsi="Arial" w:cs="Arial"/>
                <w:b/>
                <w:bCs/>
                <w:sz w:val="16"/>
                <w:szCs w:val="16"/>
              </w:rPr>
              <w:t>122,297</w:t>
            </w:r>
          </w:p>
        </w:tc>
        <w:tc>
          <w:tcPr>
            <w:tcW w:w="604" w:type="pct"/>
            <w:gridSpan w:val="4"/>
            <w:tcBorders>
              <w:top w:val="single" w:sz="4" w:space="0" w:color="auto"/>
              <w:left w:val="nil"/>
              <w:bottom w:val="single" w:sz="4" w:space="0" w:color="auto"/>
              <w:right w:val="nil"/>
            </w:tcBorders>
            <w:shd w:val="clear" w:color="000000" w:fill="E6E6E6"/>
            <w:noWrap/>
            <w:vAlign w:val="bottom"/>
            <w:hideMark/>
          </w:tcPr>
          <w:p w14:paraId="107FBDD8" w14:textId="27012F64" w:rsidR="00B85A2A" w:rsidRPr="00A86423" w:rsidRDefault="00B85A2A" w:rsidP="00E84A95">
            <w:pPr>
              <w:spacing w:after="0" w:line="240" w:lineRule="auto"/>
              <w:jc w:val="right"/>
              <w:rPr>
                <w:rFonts w:ascii="Arial" w:hAnsi="Arial" w:cs="Arial"/>
                <w:b/>
                <w:bCs/>
                <w:sz w:val="16"/>
                <w:szCs w:val="16"/>
              </w:rPr>
            </w:pPr>
            <w:r w:rsidRPr="00A86423">
              <w:rPr>
                <w:rFonts w:ascii="Arial" w:hAnsi="Arial" w:cs="Arial"/>
                <w:b/>
                <w:bCs/>
                <w:sz w:val="16"/>
                <w:szCs w:val="16"/>
              </w:rPr>
              <w:t>153,021</w:t>
            </w:r>
          </w:p>
        </w:tc>
        <w:tc>
          <w:tcPr>
            <w:tcW w:w="548" w:type="pct"/>
            <w:gridSpan w:val="3"/>
            <w:tcBorders>
              <w:top w:val="single" w:sz="4" w:space="0" w:color="auto"/>
              <w:left w:val="nil"/>
              <w:bottom w:val="single" w:sz="4" w:space="0" w:color="auto"/>
              <w:right w:val="nil"/>
            </w:tcBorders>
            <w:shd w:val="clear" w:color="auto" w:fill="auto"/>
            <w:noWrap/>
            <w:vAlign w:val="bottom"/>
            <w:hideMark/>
          </w:tcPr>
          <w:p w14:paraId="0FA2C5BD" w14:textId="7383DC5A" w:rsidR="00B85A2A" w:rsidRPr="00A86423" w:rsidRDefault="00B85A2A" w:rsidP="00E84A95">
            <w:pPr>
              <w:spacing w:after="0" w:line="240" w:lineRule="auto"/>
              <w:jc w:val="right"/>
              <w:rPr>
                <w:rFonts w:ascii="Arial" w:hAnsi="Arial" w:cs="Arial"/>
                <w:b/>
                <w:bCs/>
                <w:sz w:val="16"/>
                <w:szCs w:val="16"/>
              </w:rPr>
            </w:pPr>
            <w:r w:rsidRPr="00A86423">
              <w:rPr>
                <w:rFonts w:ascii="Arial" w:hAnsi="Arial" w:cs="Arial"/>
                <w:b/>
                <w:bCs/>
                <w:sz w:val="16"/>
                <w:szCs w:val="16"/>
              </w:rPr>
              <w:t>132,516</w:t>
            </w:r>
          </w:p>
        </w:tc>
        <w:tc>
          <w:tcPr>
            <w:tcW w:w="549" w:type="pct"/>
            <w:gridSpan w:val="3"/>
            <w:tcBorders>
              <w:top w:val="single" w:sz="4" w:space="0" w:color="auto"/>
              <w:left w:val="nil"/>
              <w:bottom w:val="single" w:sz="4" w:space="0" w:color="auto"/>
              <w:right w:val="nil"/>
            </w:tcBorders>
            <w:shd w:val="clear" w:color="auto" w:fill="auto"/>
            <w:noWrap/>
            <w:vAlign w:val="bottom"/>
            <w:hideMark/>
          </w:tcPr>
          <w:p w14:paraId="728894F6" w14:textId="24A95E69" w:rsidR="00B85A2A" w:rsidRPr="00A86423" w:rsidRDefault="00B85A2A" w:rsidP="00E84A95">
            <w:pPr>
              <w:spacing w:after="0" w:line="240" w:lineRule="auto"/>
              <w:jc w:val="right"/>
              <w:rPr>
                <w:rFonts w:ascii="Arial" w:hAnsi="Arial" w:cs="Arial"/>
                <w:b/>
                <w:bCs/>
                <w:sz w:val="16"/>
                <w:szCs w:val="16"/>
              </w:rPr>
            </w:pPr>
            <w:r w:rsidRPr="00A86423">
              <w:rPr>
                <w:rFonts w:ascii="Arial" w:hAnsi="Arial" w:cs="Arial"/>
                <w:b/>
                <w:bCs/>
                <w:sz w:val="16"/>
                <w:szCs w:val="16"/>
              </w:rPr>
              <w:t>130,062</w:t>
            </w:r>
          </w:p>
        </w:tc>
        <w:tc>
          <w:tcPr>
            <w:tcW w:w="596" w:type="pct"/>
            <w:gridSpan w:val="4"/>
            <w:tcBorders>
              <w:top w:val="single" w:sz="4" w:space="0" w:color="auto"/>
              <w:left w:val="nil"/>
              <w:bottom w:val="single" w:sz="4" w:space="0" w:color="auto"/>
              <w:right w:val="nil"/>
            </w:tcBorders>
            <w:shd w:val="clear" w:color="auto" w:fill="auto"/>
            <w:noWrap/>
            <w:vAlign w:val="bottom"/>
            <w:hideMark/>
          </w:tcPr>
          <w:p w14:paraId="7CC78F22" w14:textId="1097A369" w:rsidR="00B85A2A" w:rsidRPr="00A86423" w:rsidRDefault="00B85A2A" w:rsidP="00E84A95">
            <w:pPr>
              <w:spacing w:after="0" w:line="240" w:lineRule="auto"/>
              <w:jc w:val="right"/>
              <w:rPr>
                <w:rFonts w:ascii="Arial" w:hAnsi="Arial" w:cs="Arial"/>
                <w:b/>
                <w:bCs/>
                <w:sz w:val="16"/>
                <w:szCs w:val="16"/>
              </w:rPr>
            </w:pPr>
            <w:r w:rsidRPr="00A86423">
              <w:rPr>
                <w:rFonts w:ascii="Arial" w:hAnsi="Arial" w:cs="Arial"/>
                <w:b/>
                <w:bCs/>
                <w:sz w:val="16"/>
                <w:szCs w:val="16"/>
              </w:rPr>
              <w:t>137,473</w:t>
            </w:r>
          </w:p>
        </w:tc>
      </w:tr>
      <w:tr w:rsidR="00A86423" w:rsidRPr="00A86423" w14:paraId="4CFD287D" w14:textId="77777777" w:rsidTr="007A5E05">
        <w:trPr>
          <w:trHeight w:val="204"/>
        </w:trPr>
        <w:tc>
          <w:tcPr>
            <w:tcW w:w="2097" w:type="pct"/>
            <w:gridSpan w:val="2"/>
            <w:tcBorders>
              <w:top w:val="nil"/>
              <w:left w:val="nil"/>
              <w:bottom w:val="single" w:sz="4" w:space="0" w:color="auto"/>
              <w:right w:val="nil"/>
            </w:tcBorders>
            <w:shd w:val="clear" w:color="auto" w:fill="auto"/>
            <w:noWrap/>
            <w:vAlign w:val="bottom"/>
            <w:hideMark/>
          </w:tcPr>
          <w:p w14:paraId="1F22515A" w14:textId="77777777" w:rsidR="00B85A2A" w:rsidRPr="00A86423" w:rsidRDefault="00B85A2A" w:rsidP="00B85A2A">
            <w:pPr>
              <w:spacing w:after="0" w:line="240" w:lineRule="auto"/>
              <w:rPr>
                <w:rFonts w:ascii="Arial" w:hAnsi="Arial" w:cs="Arial"/>
                <w:b/>
                <w:bCs/>
                <w:sz w:val="16"/>
                <w:szCs w:val="16"/>
              </w:rPr>
            </w:pPr>
            <w:r w:rsidRPr="00A86423">
              <w:rPr>
                <w:rFonts w:ascii="Arial" w:hAnsi="Arial" w:cs="Arial"/>
                <w:b/>
                <w:bCs/>
                <w:sz w:val="16"/>
                <w:szCs w:val="16"/>
              </w:rPr>
              <w:t>Total expenses for Outcome 2</w:t>
            </w:r>
          </w:p>
        </w:tc>
        <w:tc>
          <w:tcPr>
            <w:tcW w:w="605" w:type="pct"/>
            <w:gridSpan w:val="3"/>
            <w:tcBorders>
              <w:top w:val="nil"/>
              <w:left w:val="nil"/>
              <w:bottom w:val="single" w:sz="4" w:space="0" w:color="auto"/>
              <w:right w:val="nil"/>
            </w:tcBorders>
            <w:shd w:val="clear" w:color="auto" w:fill="auto"/>
            <w:noWrap/>
            <w:vAlign w:val="bottom"/>
            <w:hideMark/>
          </w:tcPr>
          <w:p w14:paraId="0297AB56" w14:textId="2464AEA4" w:rsidR="00B85A2A" w:rsidRPr="00A86423" w:rsidRDefault="00B85A2A" w:rsidP="00E84A95">
            <w:pPr>
              <w:spacing w:after="0" w:line="240" w:lineRule="auto"/>
              <w:jc w:val="right"/>
              <w:rPr>
                <w:rFonts w:ascii="Arial" w:hAnsi="Arial" w:cs="Arial"/>
                <w:b/>
                <w:bCs/>
                <w:sz w:val="16"/>
                <w:szCs w:val="16"/>
              </w:rPr>
            </w:pPr>
            <w:r w:rsidRPr="00A86423">
              <w:rPr>
                <w:rFonts w:ascii="Arial" w:hAnsi="Arial" w:cs="Arial"/>
                <w:b/>
                <w:bCs/>
                <w:sz w:val="16"/>
                <w:szCs w:val="16"/>
              </w:rPr>
              <w:t>1,018,017</w:t>
            </w:r>
          </w:p>
        </w:tc>
        <w:tc>
          <w:tcPr>
            <w:tcW w:w="604" w:type="pct"/>
            <w:gridSpan w:val="4"/>
            <w:tcBorders>
              <w:top w:val="nil"/>
              <w:left w:val="nil"/>
              <w:bottom w:val="single" w:sz="4" w:space="0" w:color="auto"/>
              <w:right w:val="nil"/>
            </w:tcBorders>
            <w:shd w:val="clear" w:color="000000" w:fill="E6E6E6"/>
            <w:noWrap/>
            <w:vAlign w:val="bottom"/>
            <w:hideMark/>
          </w:tcPr>
          <w:p w14:paraId="0F94BA38" w14:textId="458C8598" w:rsidR="00B85A2A" w:rsidRPr="00A86423" w:rsidRDefault="00B85A2A" w:rsidP="00E84A95">
            <w:pPr>
              <w:spacing w:after="0" w:line="240" w:lineRule="auto"/>
              <w:jc w:val="right"/>
              <w:rPr>
                <w:rFonts w:ascii="Arial" w:hAnsi="Arial" w:cs="Arial"/>
                <w:b/>
                <w:bCs/>
                <w:sz w:val="16"/>
                <w:szCs w:val="16"/>
              </w:rPr>
            </w:pPr>
            <w:r w:rsidRPr="00A86423">
              <w:rPr>
                <w:rFonts w:ascii="Arial" w:hAnsi="Arial" w:cs="Arial"/>
                <w:b/>
                <w:bCs/>
                <w:sz w:val="16"/>
                <w:szCs w:val="16"/>
              </w:rPr>
              <w:t>1,073,875</w:t>
            </w:r>
          </w:p>
        </w:tc>
        <w:tc>
          <w:tcPr>
            <w:tcW w:w="548" w:type="pct"/>
            <w:gridSpan w:val="3"/>
            <w:tcBorders>
              <w:top w:val="nil"/>
              <w:left w:val="nil"/>
              <w:bottom w:val="single" w:sz="4" w:space="0" w:color="auto"/>
              <w:right w:val="nil"/>
            </w:tcBorders>
            <w:shd w:val="clear" w:color="auto" w:fill="auto"/>
            <w:noWrap/>
            <w:vAlign w:val="bottom"/>
            <w:hideMark/>
          </w:tcPr>
          <w:p w14:paraId="57B89DC2" w14:textId="3AEE0504" w:rsidR="00B85A2A" w:rsidRPr="00A86423" w:rsidRDefault="00B85A2A" w:rsidP="00E84A95">
            <w:pPr>
              <w:spacing w:after="0" w:line="240" w:lineRule="auto"/>
              <w:jc w:val="right"/>
              <w:rPr>
                <w:rFonts w:ascii="Arial" w:hAnsi="Arial" w:cs="Arial"/>
                <w:b/>
                <w:bCs/>
                <w:sz w:val="16"/>
                <w:szCs w:val="16"/>
              </w:rPr>
            </w:pPr>
            <w:r w:rsidRPr="00A86423">
              <w:rPr>
                <w:rFonts w:ascii="Arial" w:hAnsi="Arial" w:cs="Arial"/>
                <w:b/>
                <w:bCs/>
                <w:sz w:val="16"/>
                <w:szCs w:val="16"/>
              </w:rPr>
              <w:t>918,694</w:t>
            </w:r>
          </w:p>
        </w:tc>
        <w:tc>
          <w:tcPr>
            <w:tcW w:w="549" w:type="pct"/>
            <w:gridSpan w:val="3"/>
            <w:tcBorders>
              <w:top w:val="nil"/>
              <w:left w:val="nil"/>
              <w:bottom w:val="single" w:sz="4" w:space="0" w:color="auto"/>
              <w:right w:val="nil"/>
            </w:tcBorders>
            <w:shd w:val="clear" w:color="auto" w:fill="auto"/>
            <w:noWrap/>
            <w:vAlign w:val="bottom"/>
            <w:hideMark/>
          </w:tcPr>
          <w:p w14:paraId="6088FAC9" w14:textId="58433A67" w:rsidR="00B85A2A" w:rsidRPr="00A86423" w:rsidRDefault="00B85A2A" w:rsidP="00E84A95">
            <w:pPr>
              <w:spacing w:after="0" w:line="240" w:lineRule="auto"/>
              <w:jc w:val="right"/>
              <w:rPr>
                <w:rFonts w:ascii="Arial" w:hAnsi="Arial" w:cs="Arial"/>
                <w:b/>
                <w:bCs/>
                <w:sz w:val="16"/>
                <w:szCs w:val="16"/>
              </w:rPr>
            </w:pPr>
            <w:r w:rsidRPr="00A86423">
              <w:rPr>
                <w:rFonts w:ascii="Arial" w:hAnsi="Arial" w:cs="Arial"/>
                <w:b/>
                <w:bCs/>
                <w:sz w:val="16"/>
                <w:szCs w:val="16"/>
              </w:rPr>
              <w:t>976,508</w:t>
            </w:r>
          </w:p>
        </w:tc>
        <w:tc>
          <w:tcPr>
            <w:tcW w:w="596" w:type="pct"/>
            <w:gridSpan w:val="4"/>
            <w:tcBorders>
              <w:top w:val="nil"/>
              <w:left w:val="nil"/>
              <w:bottom w:val="single" w:sz="4" w:space="0" w:color="auto"/>
              <w:right w:val="nil"/>
            </w:tcBorders>
            <w:shd w:val="clear" w:color="auto" w:fill="auto"/>
            <w:noWrap/>
            <w:vAlign w:val="bottom"/>
            <w:hideMark/>
          </w:tcPr>
          <w:p w14:paraId="0209CCA9" w14:textId="262453FE" w:rsidR="00B85A2A" w:rsidRPr="00A86423" w:rsidRDefault="00B85A2A" w:rsidP="00E84A95">
            <w:pPr>
              <w:spacing w:after="0" w:line="240" w:lineRule="auto"/>
              <w:jc w:val="right"/>
              <w:rPr>
                <w:rFonts w:ascii="Arial" w:hAnsi="Arial" w:cs="Arial"/>
                <w:b/>
                <w:bCs/>
                <w:sz w:val="16"/>
                <w:szCs w:val="16"/>
              </w:rPr>
            </w:pPr>
            <w:r w:rsidRPr="00A86423">
              <w:rPr>
                <w:rFonts w:ascii="Arial" w:hAnsi="Arial" w:cs="Arial"/>
                <w:b/>
                <w:bCs/>
                <w:sz w:val="16"/>
                <w:szCs w:val="16"/>
              </w:rPr>
              <w:t>852,350</w:t>
            </w:r>
          </w:p>
        </w:tc>
      </w:tr>
    </w:tbl>
    <w:p w14:paraId="4F9314EB" w14:textId="77777777" w:rsidR="00595948" w:rsidRPr="00595948" w:rsidRDefault="00595948">
      <w:pPr>
        <w:spacing w:after="0" w:line="240" w:lineRule="auto"/>
        <w:rPr>
          <w:rFonts w:ascii="Arial" w:hAnsi="Arial" w:cs="Arial"/>
          <w:sz w:val="16"/>
        </w:rPr>
      </w:pPr>
    </w:p>
    <w:tbl>
      <w:tblPr>
        <w:tblW w:w="5000" w:type="pct"/>
        <w:tblLook w:val="04A0" w:firstRow="1" w:lastRow="0" w:firstColumn="1" w:lastColumn="0" w:noHBand="0" w:noVBand="1"/>
      </w:tblPr>
      <w:tblGrid>
        <w:gridCol w:w="3238"/>
        <w:gridCol w:w="933"/>
        <w:gridCol w:w="885"/>
        <w:gridCol w:w="885"/>
        <w:gridCol w:w="885"/>
        <w:gridCol w:w="884"/>
      </w:tblGrid>
      <w:tr w:rsidR="006E0842" w:rsidRPr="00B85A2A" w14:paraId="2EB1B76D" w14:textId="77777777" w:rsidTr="00F728F8">
        <w:trPr>
          <w:trHeight w:val="204"/>
        </w:trPr>
        <w:tc>
          <w:tcPr>
            <w:tcW w:w="2100" w:type="pct"/>
            <w:tcBorders>
              <w:top w:val="single" w:sz="4" w:space="0" w:color="auto"/>
              <w:left w:val="nil"/>
              <w:bottom w:val="nil"/>
              <w:right w:val="nil"/>
            </w:tcBorders>
            <w:shd w:val="clear" w:color="auto" w:fill="auto"/>
            <w:vAlign w:val="bottom"/>
            <w:hideMark/>
          </w:tcPr>
          <w:p w14:paraId="06CEA3E7" w14:textId="57562561" w:rsidR="006E0842" w:rsidRPr="00B85A2A" w:rsidRDefault="006E0842" w:rsidP="006E0842">
            <w:pPr>
              <w:spacing w:after="0" w:line="240" w:lineRule="auto"/>
              <w:rPr>
                <w:rFonts w:ascii="Arial" w:hAnsi="Arial" w:cs="Arial"/>
                <w:b/>
                <w:bCs/>
                <w:color w:val="000000"/>
                <w:sz w:val="16"/>
                <w:szCs w:val="16"/>
              </w:rPr>
            </w:pPr>
            <w:r w:rsidRPr="00B85A2A">
              <w:rPr>
                <w:rFonts w:ascii="Arial" w:hAnsi="Arial" w:cs="Arial"/>
                <w:b/>
                <w:bCs/>
                <w:color w:val="000000"/>
                <w:sz w:val="16"/>
                <w:szCs w:val="16"/>
              </w:rPr>
              <w:t>Movement of administered funds between years</w:t>
            </w:r>
            <w:r w:rsidRPr="00E84A95">
              <w:rPr>
                <w:rFonts w:ascii="Arial" w:hAnsi="Arial" w:cs="Arial"/>
                <w:bCs/>
                <w:color w:val="000000"/>
                <w:sz w:val="16"/>
                <w:szCs w:val="16"/>
                <w:vertAlign w:val="superscript"/>
              </w:rPr>
              <w:t>(f)</w:t>
            </w:r>
          </w:p>
        </w:tc>
        <w:tc>
          <w:tcPr>
            <w:tcW w:w="605" w:type="pct"/>
            <w:tcBorders>
              <w:top w:val="single" w:sz="4" w:space="0" w:color="auto"/>
              <w:left w:val="nil"/>
              <w:bottom w:val="single" w:sz="4" w:space="0" w:color="auto"/>
              <w:right w:val="nil"/>
            </w:tcBorders>
            <w:shd w:val="clear" w:color="auto" w:fill="auto"/>
          </w:tcPr>
          <w:p w14:paraId="407297AE" w14:textId="583B7E71" w:rsidR="006E0842" w:rsidRPr="00B85A2A" w:rsidRDefault="006E0842" w:rsidP="006E0842">
            <w:pPr>
              <w:spacing w:after="0" w:line="240" w:lineRule="auto"/>
              <w:jc w:val="right"/>
              <w:rPr>
                <w:rFonts w:ascii="Arial" w:hAnsi="Arial" w:cs="Arial"/>
                <w:sz w:val="16"/>
                <w:szCs w:val="16"/>
              </w:rPr>
            </w:pPr>
            <w:r>
              <w:rPr>
                <w:rFonts w:ascii="Arial" w:hAnsi="Arial" w:cs="Arial"/>
                <w:sz w:val="16"/>
                <w:szCs w:val="16"/>
              </w:rPr>
              <w:t>2022-23 Estimated actual</w:t>
            </w:r>
            <w:r>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000000" w:fill="E6E6E6"/>
          </w:tcPr>
          <w:p w14:paraId="0731C1FC" w14:textId="7D6E9A0D" w:rsidR="006E0842" w:rsidRPr="00B85A2A" w:rsidRDefault="006E0842" w:rsidP="006E0842">
            <w:pPr>
              <w:spacing w:after="0" w:line="240" w:lineRule="auto"/>
              <w:jc w:val="right"/>
              <w:rPr>
                <w:rFonts w:ascii="Arial" w:hAnsi="Arial" w:cs="Arial"/>
                <w:sz w:val="16"/>
                <w:szCs w:val="16"/>
              </w:rPr>
            </w:pPr>
            <w:r>
              <w:rPr>
                <w:rFonts w:ascii="Arial" w:hAnsi="Arial" w:cs="Arial"/>
                <w:sz w:val="16"/>
                <w:szCs w:val="16"/>
              </w:rPr>
              <w:t>2023-24</w:t>
            </w:r>
            <w:r>
              <w:rPr>
                <w:rFonts w:ascii="Arial" w:hAnsi="Arial" w:cs="Arial"/>
                <w:sz w:val="16"/>
                <w:szCs w:val="16"/>
              </w:rPr>
              <w:br/>
              <w:t>Budget</w:t>
            </w:r>
            <w:r>
              <w:rPr>
                <w:rFonts w:ascii="Arial" w:hAnsi="Arial" w:cs="Arial"/>
                <w:sz w:val="16"/>
                <w:szCs w:val="16"/>
              </w:rPr>
              <w:br/>
            </w:r>
            <w:r>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tcPr>
          <w:p w14:paraId="1AEB96DF" w14:textId="1718DF3C" w:rsidR="006E0842" w:rsidRPr="00B85A2A" w:rsidRDefault="006E0842" w:rsidP="006E0842">
            <w:pPr>
              <w:spacing w:after="0" w:line="240" w:lineRule="auto"/>
              <w:jc w:val="right"/>
              <w:rPr>
                <w:rFonts w:ascii="Arial" w:hAnsi="Arial" w:cs="Arial"/>
                <w:sz w:val="16"/>
                <w:szCs w:val="16"/>
              </w:rPr>
            </w:pPr>
            <w:r>
              <w:rPr>
                <w:rFonts w:ascii="Arial" w:hAnsi="Arial" w:cs="Arial"/>
                <w:sz w:val="16"/>
                <w:szCs w:val="16"/>
              </w:rPr>
              <w:t>2024-25 Forward estimate</w:t>
            </w:r>
            <w:r>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tcPr>
          <w:p w14:paraId="5B07B6F0" w14:textId="3038B3AD" w:rsidR="006E0842" w:rsidRPr="00B85A2A" w:rsidRDefault="006E0842" w:rsidP="006E0842">
            <w:pPr>
              <w:spacing w:after="0" w:line="240" w:lineRule="auto"/>
              <w:jc w:val="right"/>
              <w:rPr>
                <w:rFonts w:ascii="Arial" w:hAnsi="Arial" w:cs="Arial"/>
                <w:sz w:val="16"/>
                <w:szCs w:val="16"/>
              </w:rPr>
            </w:pPr>
            <w:r>
              <w:rPr>
                <w:rFonts w:ascii="Arial" w:hAnsi="Arial" w:cs="Arial"/>
                <w:sz w:val="16"/>
                <w:szCs w:val="16"/>
              </w:rPr>
              <w:t>2025-26 Forward estimate</w:t>
            </w:r>
            <w:r>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tcPr>
          <w:p w14:paraId="5201EB6E" w14:textId="0A51B424" w:rsidR="006E0842" w:rsidRPr="00B85A2A" w:rsidRDefault="006E0842" w:rsidP="006E0842">
            <w:pPr>
              <w:spacing w:after="0" w:line="240" w:lineRule="auto"/>
              <w:jc w:val="right"/>
              <w:rPr>
                <w:rFonts w:ascii="Arial" w:hAnsi="Arial" w:cs="Arial"/>
                <w:sz w:val="16"/>
                <w:szCs w:val="16"/>
              </w:rPr>
            </w:pPr>
            <w:r>
              <w:rPr>
                <w:rFonts w:ascii="Arial" w:hAnsi="Arial" w:cs="Arial"/>
                <w:sz w:val="16"/>
                <w:szCs w:val="16"/>
              </w:rPr>
              <w:t>2026-27</w:t>
            </w:r>
            <w:r>
              <w:rPr>
                <w:rFonts w:ascii="Arial" w:hAnsi="Arial" w:cs="Arial"/>
                <w:sz w:val="16"/>
                <w:szCs w:val="16"/>
              </w:rPr>
              <w:br/>
              <w:t>Forward estimate</w:t>
            </w:r>
            <w:r>
              <w:rPr>
                <w:rFonts w:ascii="Arial" w:hAnsi="Arial" w:cs="Arial"/>
                <w:sz w:val="16"/>
                <w:szCs w:val="16"/>
              </w:rPr>
              <w:br/>
              <w:t>$'000</w:t>
            </w:r>
          </w:p>
        </w:tc>
      </w:tr>
      <w:tr w:rsidR="00B85A2A" w:rsidRPr="00B85A2A" w14:paraId="03F3E989" w14:textId="77777777" w:rsidTr="00595948">
        <w:trPr>
          <w:trHeight w:val="204"/>
        </w:trPr>
        <w:tc>
          <w:tcPr>
            <w:tcW w:w="2100" w:type="pct"/>
            <w:tcBorders>
              <w:top w:val="nil"/>
              <w:left w:val="nil"/>
              <w:bottom w:val="nil"/>
              <w:right w:val="nil"/>
            </w:tcBorders>
            <w:shd w:val="clear" w:color="auto" w:fill="auto"/>
            <w:noWrap/>
            <w:vAlign w:val="bottom"/>
            <w:hideMark/>
          </w:tcPr>
          <w:p w14:paraId="72D6899E" w14:textId="77777777" w:rsidR="00B85A2A" w:rsidRPr="00B85A2A" w:rsidRDefault="00B85A2A" w:rsidP="00B85A2A">
            <w:pPr>
              <w:spacing w:after="0" w:line="240" w:lineRule="auto"/>
              <w:rPr>
                <w:rFonts w:ascii="Arial" w:hAnsi="Arial" w:cs="Arial"/>
                <w:sz w:val="16"/>
                <w:szCs w:val="16"/>
              </w:rPr>
            </w:pPr>
            <w:r w:rsidRPr="00B85A2A">
              <w:rPr>
                <w:rFonts w:ascii="Arial" w:hAnsi="Arial" w:cs="Arial"/>
                <w:sz w:val="16"/>
                <w:szCs w:val="16"/>
              </w:rPr>
              <w:t>Outcome 2:</w:t>
            </w:r>
          </w:p>
        </w:tc>
        <w:tc>
          <w:tcPr>
            <w:tcW w:w="605" w:type="pct"/>
            <w:tcBorders>
              <w:top w:val="nil"/>
              <w:left w:val="nil"/>
              <w:bottom w:val="nil"/>
              <w:right w:val="nil"/>
            </w:tcBorders>
            <w:shd w:val="clear" w:color="auto" w:fill="auto"/>
            <w:noWrap/>
            <w:vAlign w:val="bottom"/>
            <w:hideMark/>
          </w:tcPr>
          <w:p w14:paraId="2B6A5501" w14:textId="77777777" w:rsidR="00B85A2A" w:rsidRPr="00B85A2A" w:rsidRDefault="00B85A2A" w:rsidP="00E84A95">
            <w:pPr>
              <w:spacing w:after="0" w:line="240" w:lineRule="auto"/>
              <w:jc w:val="right"/>
              <w:rPr>
                <w:rFonts w:ascii="Arial" w:hAnsi="Arial" w:cs="Arial"/>
                <w:sz w:val="16"/>
                <w:szCs w:val="16"/>
              </w:rPr>
            </w:pPr>
          </w:p>
        </w:tc>
        <w:tc>
          <w:tcPr>
            <w:tcW w:w="574" w:type="pct"/>
            <w:tcBorders>
              <w:top w:val="nil"/>
              <w:left w:val="nil"/>
              <w:bottom w:val="nil"/>
              <w:right w:val="nil"/>
            </w:tcBorders>
            <w:shd w:val="clear" w:color="000000" w:fill="E6E6E6"/>
            <w:noWrap/>
            <w:vAlign w:val="bottom"/>
            <w:hideMark/>
          </w:tcPr>
          <w:p w14:paraId="294BE2B4" w14:textId="16E35692" w:rsidR="00B85A2A" w:rsidRPr="00B85A2A" w:rsidRDefault="00B85A2A" w:rsidP="00E84A95">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5F44D6F9" w14:textId="77777777" w:rsidR="00B85A2A" w:rsidRPr="00B85A2A" w:rsidRDefault="00B85A2A" w:rsidP="00E84A95">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6EF80883" w14:textId="77777777" w:rsidR="00B85A2A" w:rsidRPr="00B85A2A" w:rsidRDefault="00B85A2A" w:rsidP="00E84A95">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3C6B85AC" w14:textId="77777777" w:rsidR="00B85A2A" w:rsidRPr="00B85A2A" w:rsidRDefault="00B85A2A" w:rsidP="00E84A95">
            <w:pPr>
              <w:spacing w:after="0" w:line="240" w:lineRule="auto"/>
              <w:jc w:val="right"/>
              <w:rPr>
                <w:rFonts w:ascii="Times New Roman" w:hAnsi="Times New Roman"/>
              </w:rPr>
            </w:pPr>
          </w:p>
        </w:tc>
      </w:tr>
      <w:tr w:rsidR="00B85A2A" w:rsidRPr="00B85A2A" w14:paraId="58D69FF9" w14:textId="77777777" w:rsidTr="00595948">
        <w:trPr>
          <w:trHeight w:val="204"/>
        </w:trPr>
        <w:tc>
          <w:tcPr>
            <w:tcW w:w="2100" w:type="pct"/>
            <w:tcBorders>
              <w:top w:val="nil"/>
              <w:left w:val="nil"/>
              <w:bottom w:val="nil"/>
              <w:right w:val="nil"/>
            </w:tcBorders>
            <w:shd w:val="clear" w:color="auto" w:fill="auto"/>
            <w:noWrap/>
            <w:vAlign w:val="bottom"/>
            <w:hideMark/>
          </w:tcPr>
          <w:p w14:paraId="3F52DC46" w14:textId="77777777" w:rsidR="00B85A2A" w:rsidRPr="00B85A2A" w:rsidRDefault="00B85A2A" w:rsidP="00E84A95">
            <w:pPr>
              <w:spacing w:after="0" w:line="240" w:lineRule="auto"/>
              <w:ind w:left="113"/>
              <w:rPr>
                <w:rFonts w:ascii="Arial" w:hAnsi="Arial" w:cs="Arial"/>
                <w:sz w:val="16"/>
                <w:szCs w:val="16"/>
              </w:rPr>
            </w:pPr>
            <w:r w:rsidRPr="00B85A2A">
              <w:rPr>
                <w:rFonts w:ascii="Arial" w:hAnsi="Arial" w:cs="Arial"/>
                <w:sz w:val="16"/>
                <w:szCs w:val="16"/>
              </w:rPr>
              <w:t>Program 2.2: Road Safety</w:t>
            </w:r>
          </w:p>
        </w:tc>
        <w:tc>
          <w:tcPr>
            <w:tcW w:w="605" w:type="pct"/>
            <w:tcBorders>
              <w:top w:val="nil"/>
              <w:left w:val="nil"/>
              <w:bottom w:val="nil"/>
              <w:right w:val="nil"/>
            </w:tcBorders>
            <w:shd w:val="clear" w:color="auto" w:fill="auto"/>
            <w:noWrap/>
            <w:vAlign w:val="bottom"/>
            <w:hideMark/>
          </w:tcPr>
          <w:p w14:paraId="68D94969" w14:textId="77777777" w:rsidR="00B85A2A" w:rsidRPr="00B85A2A" w:rsidRDefault="00B85A2A" w:rsidP="00E84A95">
            <w:pPr>
              <w:spacing w:after="0" w:line="240" w:lineRule="auto"/>
              <w:jc w:val="right"/>
              <w:rPr>
                <w:rFonts w:ascii="Arial" w:hAnsi="Arial" w:cs="Arial"/>
                <w:sz w:val="16"/>
                <w:szCs w:val="16"/>
              </w:rPr>
            </w:pPr>
            <w:r w:rsidRPr="00B85A2A">
              <w:rPr>
                <w:rFonts w:ascii="Arial" w:hAnsi="Arial" w:cs="Arial"/>
                <w:sz w:val="16"/>
                <w:szCs w:val="16"/>
              </w:rPr>
              <w:t>(5,031)</w:t>
            </w:r>
          </w:p>
        </w:tc>
        <w:tc>
          <w:tcPr>
            <w:tcW w:w="574" w:type="pct"/>
            <w:tcBorders>
              <w:top w:val="nil"/>
              <w:left w:val="nil"/>
              <w:bottom w:val="nil"/>
              <w:right w:val="nil"/>
            </w:tcBorders>
            <w:shd w:val="clear" w:color="000000" w:fill="E6E6E6"/>
            <w:noWrap/>
            <w:vAlign w:val="bottom"/>
            <w:hideMark/>
          </w:tcPr>
          <w:p w14:paraId="72E23521" w14:textId="2A7CE0FA" w:rsidR="00B85A2A" w:rsidRPr="00B85A2A" w:rsidRDefault="00B85A2A" w:rsidP="00E84A95">
            <w:pPr>
              <w:spacing w:after="0" w:line="240" w:lineRule="auto"/>
              <w:jc w:val="right"/>
              <w:rPr>
                <w:rFonts w:ascii="Arial" w:hAnsi="Arial" w:cs="Arial"/>
                <w:sz w:val="16"/>
                <w:szCs w:val="16"/>
              </w:rPr>
            </w:pPr>
            <w:r w:rsidRPr="00B85A2A">
              <w:rPr>
                <w:rFonts w:ascii="Arial" w:hAnsi="Arial" w:cs="Arial"/>
                <w:sz w:val="16"/>
                <w:szCs w:val="16"/>
              </w:rPr>
              <w:t>5,031</w:t>
            </w:r>
          </w:p>
        </w:tc>
        <w:tc>
          <w:tcPr>
            <w:tcW w:w="574" w:type="pct"/>
            <w:tcBorders>
              <w:top w:val="nil"/>
              <w:left w:val="nil"/>
              <w:bottom w:val="nil"/>
              <w:right w:val="nil"/>
            </w:tcBorders>
            <w:shd w:val="clear" w:color="auto" w:fill="auto"/>
            <w:noWrap/>
            <w:vAlign w:val="bottom"/>
            <w:hideMark/>
          </w:tcPr>
          <w:p w14:paraId="6B1D3A15" w14:textId="13CFAAAB" w:rsidR="00B85A2A" w:rsidRPr="00B85A2A" w:rsidRDefault="00B85A2A" w:rsidP="00E84A95">
            <w:pPr>
              <w:spacing w:after="0" w:line="240" w:lineRule="auto"/>
              <w:jc w:val="right"/>
              <w:rPr>
                <w:rFonts w:ascii="Arial" w:hAnsi="Arial" w:cs="Arial"/>
                <w:sz w:val="16"/>
                <w:szCs w:val="16"/>
              </w:rPr>
            </w:pPr>
            <w:r w:rsidRPr="00B85A2A">
              <w:rPr>
                <w:rFonts w:ascii="Arial" w:hAnsi="Arial" w:cs="Arial"/>
                <w:sz w:val="16"/>
                <w:szCs w:val="16"/>
              </w:rPr>
              <w:t>-</w:t>
            </w:r>
          </w:p>
        </w:tc>
        <w:tc>
          <w:tcPr>
            <w:tcW w:w="574" w:type="pct"/>
            <w:tcBorders>
              <w:top w:val="nil"/>
              <w:left w:val="nil"/>
              <w:bottom w:val="nil"/>
              <w:right w:val="nil"/>
            </w:tcBorders>
            <w:shd w:val="clear" w:color="auto" w:fill="auto"/>
            <w:noWrap/>
            <w:vAlign w:val="bottom"/>
            <w:hideMark/>
          </w:tcPr>
          <w:p w14:paraId="5B4A24A6" w14:textId="20D31F6A" w:rsidR="00B85A2A" w:rsidRPr="00B85A2A" w:rsidRDefault="00B85A2A" w:rsidP="00E84A95">
            <w:pPr>
              <w:spacing w:after="0" w:line="240" w:lineRule="auto"/>
              <w:jc w:val="right"/>
              <w:rPr>
                <w:rFonts w:ascii="Arial" w:hAnsi="Arial" w:cs="Arial"/>
                <w:sz w:val="16"/>
                <w:szCs w:val="16"/>
              </w:rPr>
            </w:pPr>
            <w:r w:rsidRPr="00B85A2A">
              <w:rPr>
                <w:rFonts w:ascii="Arial" w:hAnsi="Arial" w:cs="Arial"/>
                <w:sz w:val="16"/>
                <w:szCs w:val="16"/>
              </w:rPr>
              <w:t>-</w:t>
            </w:r>
          </w:p>
        </w:tc>
        <w:tc>
          <w:tcPr>
            <w:tcW w:w="573" w:type="pct"/>
            <w:tcBorders>
              <w:top w:val="nil"/>
              <w:left w:val="nil"/>
              <w:bottom w:val="nil"/>
              <w:right w:val="nil"/>
            </w:tcBorders>
            <w:shd w:val="clear" w:color="auto" w:fill="auto"/>
            <w:noWrap/>
            <w:vAlign w:val="bottom"/>
            <w:hideMark/>
          </w:tcPr>
          <w:p w14:paraId="466CD93C" w14:textId="5E68EF50" w:rsidR="00B85A2A" w:rsidRPr="00B85A2A" w:rsidRDefault="00B85A2A" w:rsidP="00E84A95">
            <w:pPr>
              <w:spacing w:after="0" w:line="240" w:lineRule="auto"/>
              <w:jc w:val="right"/>
              <w:rPr>
                <w:rFonts w:ascii="Arial" w:hAnsi="Arial" w:cs="Arial"/>
                <w:sz w:val="16"/>
                <w:szCs w:val="16"/>
              </w:rPr>
            </w:pPr>
            <w:r w:rsidRPr="00B85A2A">
              <w:rPr>
                <w:rFonts w:ascii="Arial" w:hAnsi="Arial" w:cs="Arial"/>
                <w:sz w:val="16"/>
                <w:szCs w:val="16"/>
              </w:rPr>
              <w:t>-</w:t>
            </w:r>
          </w:p>
        </w:tc>
      </w:tr>
      <w:tr w:rsidR="00B85A2A" w:rsidRPr="00B85A2A" w14:paraId="41F97BC6" w14:textId="77777777" w:rsidTr="00595948">
        <w:trPr>
          <w:trHeight w:val="204"/>
        </w:trPr>
        <w:tc>
          <w:tcPr>
            <w:tcW w:w="2100" w:type="pct"/>
            <w:tcBorders>
              <w:top w:val="nil"/>
              <w:left w:val="nil"/>
              <w:bottom w:val="nil"/>
              <w:right w:val="nil"/>
            </w:tcBorders>
            <w:shd w:val="clear" w:color="auto" w:fill="auto"/>
            <w:noWrap/>
            <w:vAlign w:val="bottom"/>
            <w:hideMark/>
          </w:tcPr>
          <w:p w14:paraId="3CC3F0BE" w14:textId="77777777" w:rsidR="00B85A2A" w:rsidRPr="00B85A2A" w:rsidRDefault="00B85A2A" w:rsidP="00E84A95">
            <w:pPr>
              <w:spacing w:after="0" w:line="240" w:lineRule="auto"/>
              <w:ind w:left="113"/>
              <w:outlineLvl w:val="1"/>
              <w:rPr>
                <w:rFonts w:ascii="Arial" w:hAnsi="Arial" w:cs="Arial"/>
                <w:sz w:val="16"/>
                <w:szCs w:val="16"/>
              </w:rPr>
            </w:pPr>
            <w:r w:rsidRPr="00B85A2A">
              <w:rPr>
                <w:rFonts w:ascii="Arial" w:hAnsi="Arial" w:cs="Arial"/>
                <w:sz w:val="16"/>
                <w:szCs w:val="16"/>
              </w:rPr>
              <w:t>Program 2.3: Air Transport</w:t>
            </w:r>
          </w:p>
        </w:tc>
        <w:tc>
          <w:tcPr>
            <w:tcW w:w="605" w:type="pct"/>
            <w:tcBorders>
              <w:top w:val="nil"/>
              <w:left w:val="nil"/>
              <w:bottom w:val="nil"/>
              <w:right w:val="nil"/>
            </w:tcBorders>
            <w:shd w:val="clear" w:color="auto" w:fill="auto"/>
            <w:noWrap/>
            <w:vAlign w:val="bottom"/>
            <w:hideMark/>
          </w:tcPr>
          <w:p w14:paraId="43F78855" w14:textId="77777777" w:rsidR="00B85A2A" w:rsidRPr="00B85A2A" w:rsidRDefault="00B85A2A" w:rsidP="00E84A95">
            <w:pPr>
              <w:spacing w:after="0" w:line="240" w:lineRule="auto"/>
              <w:jc w:val="right"/>
              <w:outlineLvl w:val="1"/>
              <w:rPr>
                <w:rFonts w:ascii="Arial" w:hAnsi="Arial" w:cs="Arial"/>
                <w:sz w:val="16"/>
                <w:szCs w:val="16"/>
              </w:rPr>
            </w:pPr>
            <w:r w:rsidRPr="00B85A2A">
              <w:rPr>
                <w:rFonts w:ascii="Arial" w:hAnsi="Arial" w:cs="Arial"/>
                <w:sz w:val="16"/>
                <w:szCs w:val="16"/>
              </w:rPr>
              <w:t>(50,343)</w:t>
            </w:r>
          </w:p>
        </w:tc>
        <w:tc>
          <w:tcPr>
            <w:tcW w:w="574" w:type="pct"/>
            <w:tcBorders>
              <w:top w:val="nil"/>
              <w:left w:val="nil"/>
              <w:bottom w:val="nil"/>
              <w:right w:val="nil"/>
            </w:tcBorders>
            <w:shd w:val="clear" w:color="000000" w:fill="E6E6E6"/>
            <w:noWrap/>
            <w:vAlign w:val="bottom"/>
            <w:hideMark/>
          </w:tcPr>
          <w:p w14:paraId="0A360085" w14:textId="7AB1A6AD" w:rsidR="00B85A2A" w:rsidRPr="00B85A2A" w:rsidRDefault="00B85A2A" w:rsidP="00E84A95">
            <w:pPr>
              <w:spacing w:after="0" w:line="240" w:lineRule="auto"/>
              <w:jc w:val="right"/>
              <w:outlineLvl w:val="1"/>
              <w:rPr>
                <w:rFonts w:ascii="Arial" w:hAnsi="Arial" w:cs="Arial"/>
                <w:sz w:val="16"/>
                <w:szCs w:val="16"/>
              </w:rPr>
            </w:pPr>
            <w:r w:rsidRPr="00B85A2A">
              <w:rPr>
                <w:rFonts w:ascii="Arial" w:hAnsi="Arial" w:cs="Arial"/>
                <w:sz w:val="16"/>
                <w:szCs w:val="16"/>
              </w:rPr>
              <w:t>71,731</w:t>
            </w:r>
          </w:p>
        </w:tc>
        <w:tc>
          <w:tcPr>
            <w:tcW w:w="574" w:type="pct"/>
            <w:tcBorders>
              <w:top w:val="nil"/>
              <w:left w:val="nil"/>
              <w:bottom w:val="nil"/>
              <w:right w:val="nil"/>
            </w:tcBorders>
            <w:shd w:val="clear" w:color="auto" w:fill="auto"/>
            <w:noWrap/>
            <w:vAlign w:val="bottom"/>
            <w:hideMark/>
          </w:tcPr>
          <w:p w14:paraId="54BEA769" w14:textId="77777777" w:rsidR="00B85A2A" w:rsidRPr="00B85A2A" w:rsidRDefault="00B85A2A" w:rsidP="00E84A95">
            <w:pPr>
              <w:spacing w:after="0" w:line="240" w:lineRule="auto"/>
              <w:jc w:val="right"/>
              <w:outlineLvl w:val="1"/>
              <w:rPr>
                <w:rFonts w:ascii="Arial" w:hAnsi="Arial" w:cs="Arial"/>
                <w:sz w:val="16"/>
                <w:szCs w:val="16"/>
              </w:rPr>
            </w:pPr>
            <w:r w:rsidRPr="00B85A2A">
              <w:rPr>
                <w:rFonts w:ascii="Arial" w:hAnsi="Arial" w:cs="Arial"/>
                <w:sz w:val="16"/>
                <w:szCs w:val="16"/>
              </w:rPr>
              <w:t>(21,634)</w:t>
            </w:r>
          </w:p>
        </w:tc>
        <w:tc>
          <w:tcPr>
            <w:tcW w:w="574" w:type="pct"/>
            <w:tcBorders>
              <w:top w:val="nil"/>
              <w:left w:val="nil"/>
              <w:bottom w:val="nil"/>
              <w:right w:val="nil"/>
            </w:tcBorders>
            <w:shd w:val="clear" w:color="auto" w:fill="auto"/>
            <w:noWrap/>
            <w:vAlign w:val="bottom"/>
            <w:hideMark/>
          </w:tcPr>
          <w:p w14:paraId="312950B8" w14:textId="0C543A28" w:rsidR="00B85A2A" w:rsidRPr="00B85A2A" w:rsidRDefault="00B85A2A" w:rsidP="00E84A95">
            <w:pPr>
              <w:spacing w:after="0" w:line="240" w:lineRule="auto"/>
              <w:jc w:val="right"/>
              <w:outlineLvl w:val="1"/>
              <w:rPr>
                <w:rFonts w:ascii="Arial" w:hAnsi="Arial" w:cs="Arial"/>
                <w:sz w:val="16"/>
                <w:szCs w:val="16"/>
              </w:rPr>
            </w:pPr>
            <w:r w:rsidRPr="00B85A2A">
              <w:rPr>
                <w:rFonts w:ascii="Arial" w:hAnsi="Arial" w:cs="Arial"/>
                <w:sz w:val="16"/>
                <w:szCs w:val="16"/>
              </w:rPr>
              <w:t>246</w:t>
            </w:r>
          </w:p>
        </w:tc>
        <w:tc>
          <w:tcPr>
            <w:tcW w:w="573" w:type="pct"/>
            <w:tcBorders>
              <w:top w:val="nil"/>
              <w:left w:val="nil"/>
              <w:bottom w:val="nil"/>
              <w:right w:val="nil"/>
            </w:tcBorders>
            <w:shd w:val="clear" w:color="auto" w:fill="auto"/>
            <w:noWrap/>
            <w:vAlign w:val="bottom"/>
            <w:hideMark/>
          </w:tcPr>
          <w:p w14:paraId="190A7A10" w14:textId="1647B506" w:rsidR="00B85A2A" w:rsidRPr="00B85A2A" w:rsidRDefault="00B85A2A" w:rsidP="00E84A95">
            <w:pPr>
              <w:spacing w:after="0" w:line="240" w:lineRule="auto"/>
              <w:jc w:val="right"/>
              <w:outlineLvl w:val="1"/>
              <w:rPr>
                <w:rFonts w:ascii="Arial" w:hAnsi="Arial" w:cs="Arial"/>
                <w:sz w:val="16"/>
                <w:szCs w:val="16"/>
              </w:rPr>
            </w:pPr>
            <w:r w:rsidRPr="00B85A2A">
              <w:rPr>
                <w:rFonts w:ascii="Arial" w:hAnsi="Arial" w:cs="Arial"/>
                <w:sz w:val="16"/>
                <w:szCs w:val="16"/>
              </w:rPr>
              <w:t>-</w:t>
            </w:r>
          </w:p>
        </w:tc>
      </w:tr>
      <w:tr w:rsidR="00B85A2A" w:rsidRPr="00B85A2A" w14:paraId="3BFA6B8F" w14:textId="77777777" w:rsidTr="00595948">
        <w:trPr>
          <w:trHeight w:val="204"/>
        </w:trPr>
        <w:tc>
          <w:tcPr>
            <w:tcW w:w="2100" w:type="pct"/>
            <w:tcBorders>
              <w:top w:val="nil"/>
              <w:left w:val="nil"/>
              <w:bottom w:val="single" w:sz="4" w:space="0" w:color="auto"/>
              <w:right w:val="nil"/>
            </w:tcBorders>
            <w:shd w:val="clear" w:color="auto" w:fill="auto"/>
            <w:vAlign w:val="bottom"/>
            <w:hideMark/>
          </w:tcPr>
          <w:p w14:paraId="1B0E2B1B" w14:textId="551130D2" w:rsidR="00B85A2A" w:rsidRPr="00B85A2A" w:rsidRDefault="00B85A2A" w:rsidP="00B85A2A">
            <w:pPr>
              <w:spacing w:after="0" w:line="240" w:lineRule="auto"/>
              <w:rPr>
                <w:rFonts w:ascii="Arial" w:hAnsi="Arial" w:cs="Arial"/>
                <w:b/>
                <w:bCs/>
                <w:sz w:val="16"/>
                <w:szCs w:val="16"/>
              </w:rPr>
            </w:pPr>
            <w:r w:rsidRPr="00B85A2A">
              <w:rPr>
                <w:rFonts w:ascii="Arial" w:hAnsi="Arial" w:cs="Arial"/>
                <w:b/>
                <w:bCs/>
                <w:sz w:val="16"/>
                <w:szCs w:val="16"/>
              </w:rPr>
              <w:t>Total movement of administered funds</w:t>
            </w:r>
          </w:p>
        </w:tc>
        <w:tc>
          <w:tcPr>
            <w:tcW w:w="605" w:type="pct"/>
            <w:tcBorders>
              <w:top w:val="single" w:sz="4" w:space="0" w:color="auto"/>
              <w:left w:val="nil"/>
              <w:bottom w:val="single" w:sz="4" w:space="0" w:color="auto"/>
              <w:right w:val="nil"/>
            </w:tcBorders>
            <w:shd w:val="clear" w:color="auto" w:fill="auto"/>
            <w:noWrap/>
            <w:vAlign w:val="bottom"/>
            <w:hideMark/>
          </w:tcPr>
          <w:p w14:paraId="09986BED" w14:textId="77777777" w:rsidR="00B85A2A" w:rsidRPr="00B85A2A" w:rsidRDefault="00B85A2A" w:rsidP="00E84A95">
            <w:pPr>
              <w:spacing w:after="0" w:line="240" w:lineRule="auto"/>
              <w:jc w:val="right"/>
              <w:rPr>
                <w:rFonts w:ascii="Arial" w:hAnsi="Arial" w:cs="Arial"/>
                <w:b/>
                <w:bCs/>
                <w:sz w:val="16"/>
                <w:szCs w:val="16"/>
              </w:rPr>
            </w:pPr>
            <w:r w:rsidRPr="00B85A2A">
              <w:rPr>
                <w:rFonts w:ascii="Arial" w:hAnsi="Arial" w:cs="Arial"/>
                <w:b/>
                <w:bCs/>
                <w:sz w:val="16"/>
                <w:szCs w:val="16"/>
              </w:rPr>
              <w:t>(55,374)</w:t>
            </w:r>
          </w:p>
        </w:tc>
        <w:tc>
          <w:tcPr>
            <w:tcW w:w="574" w:type="pct"/>
            <w:tcBorders>
              <w:top w:val="single" w:sz="4" w:space="0" w:color="auto"/>
              <w:left w:val="nil"/>
              <w:bottom w:val="single" w:sz="4" w:space="0" w:color="auto"/>
              <w:right w:val="nil"/>
            </w:tcBorders>
            <w:shd w:val="clear" w:color="000000" w:fill="E6E6E6"/>
            <w:noWrap/>
            <w:vAlign w:val="bottom"/>
            <w:hideMark/>
          </w:tcPr>
          <w:p w14:paraId="377110A8" w14:textId="57F86C43" w:rsidR="00B85A2A" w:rsidRPr="00B85A2A" w:rsidRDefault="00B85A2A" w:rsidP="00E84A95">
            <w:pPr>
              <w:spacing w:after="0" w:line="240" w:lineRule="auto"/>
              <w:jc w:val="right"/>
              <w:rPr>
                <w:rFonts w:ascii="Arial" w:hAnsi="Arial" w:cs="Arial"/>
                <w:b/>
                <w:bCs/>
                <w:sz w:val="16"/>
                <w:szCs w:val="16"/>
              </w:rPr>
            </w:pPr>
            <w:r w:rsidRPr="00B85A2A">
              <w:rPr>
                <w:rFonts w:ascii="Arial" w:hAnsi="Arial" w:cs="Arial"/>
                <w:b/>
                <w:bCs/>
                <w:sz w:val="16"/>
                <w:szCs w:val="16"/>
              </w:rPr>
              <w:t>76,762</w:t>
            </w:r>
          </w:p>
        </w:tc>
        <w:tc>
          <w:tcPr>
            <w:tcW w:w="574" w:type="pct"/>
            <w:tcBorders>
              <w:top w:val="single" w:sz="4" w:space="0" w:color="auto"/>
              <w:left w:val="nil"/>
              <w:bottom w:val="single" w:sz="4" w:space="0" w:color="auto"/>
              <w:right w:val="nil"/>
            </w:tcBorders>
            <w:shd w:val="clear" w:color="auto" w:fill="auto"/>
            <w:noWrap/>
            <w:vAlign w:val="bottom"/>
            <w:hideMark/>
          </w:tcPr>
          <w:p w14:paraId="0798C14B" w14:textId="77777777" w:rsidR="00B85A2A" w:rsidRPr="00B85A2A" w:rsidRDefault="00B85A2A" w:rsidP="00E84A95">
            <w:pPr>
              <w:spacing w:after="0" w:line="240" w:lineRule="auto"/>
              <w:jc w:val="right"/>
              <w:rPr>
                <w:rFonts w:ascii="Arial" w:hAnsi="Arial" w:cs="Arial"/>
                <w:b/>
                <w:bCs/>
                <w:sz w:val="16"/>
                <w:szCs w:val="16"/>
              </w:rPr>
            </w:pPr>
            <w:r w:rsidRPr="00B85A2A">
              <w:rPr>
                <w:rFonts w:ascii="Arial" w:hAnsi="Arial" w:cs="Arial"/>
                <w:b/>
                <w:bCs/>
                <w:sz w:val="16"/>
                <w:szCs w:val="16"/>
              </w:rPr>
              <w:t>(21,634)</w:t>
            </w:r>
          </w:p>
        </w:tc>
        <w:tc>
          <w:tcPr>
            <w:tcW w:w="574" w:type="pct"/>
            <w:tcBorders>
              <w:top w:val="single" w:sz="4" w:space="0" w:color="auto"/>
              <w:left w:val="nil"/>
              <w:bottom w:val="single" w:sz="4" w:space="0" w:color="auto"/>
              <w:right w:val="nil"/>
            </w:tcBorders>
            <w:shd w:val="clear" w:color="auto" w:fill="auto"/>
            <w:noWrap/>
            <w:vAlign w:val="bottom"/>
            <w:hideMark/>
          </w:tcPr>
          <w:p w14:paraId="0A3C1FEF" w14:textId="705E324F" w:rsidR="00B85A2A" w:rsidRPr="00B85A2A" w:rsidRDefault="00B85A2A" w:rsidP="00E84A95">
            <w:pPr>
              <w:spacing w:after="0" w:line="240" w:lineRule="auto"/>
              <w:jc w:val="right"/>
              <w:rPr>
                <w:rFonts w:ascii="Arial" w:hAnsi="Arial" w:cs="Arial"/>
                <w:b/>
                <w:bCs/>
                <w:sz w:val="16"/>
                <w:szCs w:val="16"/>
              </w:rPr>
            </w:pPr>
            <w:r w:rsidRPr="00B85A2A">
              <w:rPr>
                <w:rFonts w:ascii="Arial" w:hAnsi="Arial" w:cs="Arial"/>
                <w:b/>
                <w:bCs/>
                <w:sz w:val="16"/>
                <w:szCs w:val="16"/>
              </w:rPr>
              <w:t>246</w:t>
            </w:r>
          </w:p>
        </w:tc>
        <w:tc>
          <w:tcPr>
            <w:tcW w:w="573" w:type="pct"/>
            <w:tcBorders>
              <w:top w:val="single" w:sz="4" w:space="0" w:color="auto"/>
              <w:left w:val="nil"/>
              <w:bottom w:val="single" w:sz="4" w:space="0" w:color="auto"/>
              <w:right w:val="nil"/>
            </w:tcBorders>
            <w:shd w:val="clear" w:color="auto" w:fill="auto"/>
            <w:noWrap/>
            <w:vAlign w:val="bottom"/>
            <w:hideMark/>
          </w:tcPr>
          <w:p w14:paraId="3FA1C474" w14:textId="68BCF715" w:rsidR="00B85A2A" w:rsidRPr="00B85A2A" w:rsidRDefault="00B85A2A" w:rsidP="00E84A95">
            <w:pPr>
              <w:spacing w:after="0" w:line="240" w:lineRule="auto"/>
              <w:jc w:val="right"/>
              <w:rPr>
                <w:rFonts w:ascii="Arial" w:hAnsi="Arial" w:cs="Arial"/>
                <w:b/>
                <w:bCs/>
                <w:sz w:val="16"/>
                <w:szCs w:val="16"/>
              </w:rPr>
            </w:pPr>
            <w:r w:rsidRPr="00B85A2A">
              <w:rPr>
                <w:rFonts w:ascii="Arial" w:hAnsi="Arial" w:cs="Arial"/>
                <w:b/>
                <w:bCs/>
                <w:sz w:val="16"/>
                <w:szCs w:val="16"/>
              </w:rPr>
              <w:t>-</w:t>
            </w:r>
          </w:p>
        </w:tc>
      </w:tr>
    </w:tbl>
    <w:p w14:paraId="1BAB3598" w14:textId="77777777" w:rsidR="00B85A2A" w:rsidRPr="00E84A95" w:rsidRDefault="00B85A2A" w:rsidP="00B85A2A">
      <w:pPr>
        <w:spacing w:after="0" w:line="240" w:lineRule="auto"/>
        <w:rPr>
          <w:rFonts w:ascii="Arial" w:hAnsi="Arial" w:cs="Arial"/>
          <w:sz w:val="16"/>
        </w:rPr>
      </w:pPr>
    </w:p>
    <w:tbl>
      <w:tblPr>
        <w:tblW w:w="5048" w:type="dxa"/>
        <w:tblLook w:val="04A0" w:firstRow="1" w:lastRow="0" w:firstColumn="1" w:lastColumn="0" w:noHBand="0" w:noVBand="1"/>
      </w:tblPr>
      <w:tblGrid>
        <w:gridCol w:w="3236"/>
        <w:gridCol w:w="964"/>
        <w:gridCol w:w="848"/>
      </w:tblGrid>
      <w:tr w:rsidR="00B85A2A" w:rsidRPr="00B85A2A" w14:paraId="0389F4C0" w14:textId="77777777" w:rsidTr="00E84A95">
        <w:trPr>
          <w:trHeight w:val="204"/>
        </w:trPr>
        <w:tc>
          <w:tcPr>
            <w:tcW w:w="3236" w:type="dxa"/>
            <w:tcBorders>
              <w:top w:val="single" w:sz="4" w:space="0" w:color="auto"/>
              <w:left w:val="nil"/>
              <w:bottom w:val="nil"/>
              <w:right w:val="nil"/>
            </w:tcBorders>
            <w:shd w:val="clear" w:color="auto" w:fill="auto"/>
            <w:noWrap/>
            <w:vAlign w:val="bottom"/>
            <w:hideMark/>
          </w:tcPr>
          <w:p w14:paraId="5F6AA766" w14:textId="77777777" w:rsidR="00B85A2A" w:rsidRPr="00B85A2A" w:rsidRDefault="00B85A2A" w:rsidP="00B85A2A">
            <w:pPr>
              <w:spacing w:after="0" w:line="240" w:lineRule="auto"/>
              <w:rPr>
                <w:rFonts w:ascii="Arial" w:hAnsi="Arial" w:cs="Arial"/>
                <w:sz w:val="16"/>
                <w:szCs w:val="16"/>
              </w:rPr>
            </w:pPr>
            <w:r w:rsidRPr="00B85A2A">
              <w:rPr>
                <w:rFonts w:ascii="Arial" w:hAnsi="Arial" w:cs="Arial"/>
                <w:sz w:val="16"/>
                <w:szCs w:val="16"/>
              </w:rPr>
              <w:t> </w:t>
            </w:r>
          </w:p>
        </w:tc>
        <w:tc>
          <w:tcPr>
            <w:tcW w:w="964" w:type="dxa"/>
            <w:tcBorders>
              <w:top w:val="single" w:sz="4" w:space="0" w:color="auto"/>
              <w:left w:val="nil"/>
              <w:bottom w:val="single" w:sz="4" w:space="0" w:color="auto"/>
              <w:right w:val="nil"/>
            </w:tcBorders>
            <w:shd w:val="clear" w:color="auto" w:fill="auto"/>
            <w:noWrap/>
            <w:vAlign w:val="bottom"/>
            <w:hideMark/>
          </w:tcPr>
          <w:p w14:paraId="19A4E5F3" w14:textId="77777777" w:rsidR="00B85A2A" w:rsidRPr="00B85A2A" w:rsidRDefault="00B85A2A" w:rsidP="00B85A2A">
            <w:pPr>
              <w:spacing w:after="0" w:line="240" w:lineRule="auto"/>
              <w:jc w:val="right"/>
              <w:rPr>
                <w:rFonts w:ascii="Arial" w:hAnsi="Arial" w:cs="Arial"/>
                <w:sz w:val="16"/>
                <w:szCs w:val="16"/>
              </w:rPr>
            </w:pPr>
            <w:r w:rsidRPr="00B85A2A">
              <w:rPr>
                <w:rFonts w:ascii="Arial" w:hAnsi="Arial" w:cs="Arial"/>
                <w:sz w:val="16"/>
                <w:szCs w:val="16"/>
              </w:rPr>
              <w:t>2022-23</w:t>
            </w:r>
          </w:p>
        </w:tc>
        <w:tc>
          <w:tcPr>
            <w:tcW w:w="848" w:type="dxa"/>
            <w:tcBorders>
              <w:top w:val="single" w:sz="4" w:space="0" w:color="auto"/>
              <w:left w:val="nil"/>
              <w:bottom w:val="single" w:sz="4" w:space="0" w:color="auto"/>
              <w:right w:val="nil"/>
            </w:tcBorders>
            <w:shd w:val="clear" w:color="000000" w:fill="E6E6E6"/>
            <w:vAlign w:val="bottom"/>
            <w:hideMark/>
          </w:tcPr>
          <w:p w14:paraId="661660BC" w14:textId="77777777" w:rsidR="00B85A2A" w:rsidRPr="00B85A2A" w:rsidRDefault="00B85A2A" w:rsidP="00B85A2A">
            <w:pPr>
              <w:spacing w:after="0" w:line="240" w:lineRule="auto"/>
              <w:jc w:val="right"/>
              <w:rPr>
                <w:rFonts w:ascii="Arial" w:hAnsi="Arial" w:cs="Arial"/>
                <w:sz w:val="16"/>
                <w:szCs w:val="16"/>
              </w:rPr>
            </w:pPr>
            <w:r w:rsidRPr="00B85A2A">
              <w:rPr>
                <w:rFonts w:ascii="Arial" w:hAnsi="Arial" w:cs="Arial"/>
                <w:sz w:val="16"/>
                <w:szCs w:val="16"/>
              </w:rPr>
              <w:t>2023-24</w:t>
            </w:r>
          </w:p>
        </w:tc>
      </w:tr>
      <w:tr w:rsidR="00B85A2A" w:rsidRPr="00B85A2A" w14:paraId="29E5533A" w14:textId="77777777" w:rsidTr="00E84A95">
        <w:trPr>
          <w:trHeight w:val="204"/>
        </w:trPr>
        <w:tc>
          <w:tcPr>
            <w:tcW w:w="3236" w:type="dxa"/>
            <w:tcBorders>
              <w:top w:val="nil"/>
              <w:left w:val="nil"/>
              <w:bottom w:val="single" w:sz="4" w:space="0" w:color="auto"/>
              <w:right w:val="nil"/>
            </w:tcBorders>
            <w:shd w:val="clear" w:color="auto" w:fill="auto"/>
            <w:noWrap/>
            <w:vAlign w:val="bottom"/>
            <w:hideMark/>
          </w:tcPr>
          <w:p w14:paraId="5E7F252B" w14:textId="77777777" w:rsidR="00B85A2A" w:rsidRPr="00B85A2A" w:rsidRDefault="00B85A2A" w:rsidP="00B85A2A">
            <w:pPr>
              <w:spacing w:after="0" w:line="240" w:lineRule="auto"/>
              <w:rPr>
                <w:rFonts w:ascii="Arial" w:hAnsi="Arial" w:cs="Arial"/>
                <w:b/>
                <w:bCs/>
                <w:sz w:val="16"/>
                <w:szCs w:val="16"/>
              </w:rPr>
            </w:pPr>
            <w:r w:rsidRPr="00B85A2A">
              <w:rPr>
                <w:rFonts w:ascii="Arial" w:hAnsi="Arial" w:cs="Arial"/>
                <w:b/>
                <w:bCs/>
                <w:sz w:val="16"/>
                <w:szCs w:val="16"/>
              </w:rPr>
              <w:t>Average staffing level (number)</w:t>
            </w:r>
          </w:p>
        </w:tc>
        <w:tc>
          <w:tcPr>
            <w:tcW w:w="964" w:type="dxa"/>
            <w:tcBorders>
              <w:top w:val="nil"/>
              <w:left w:val="nil"/>
              <w:bottom w:val="single" w:sz="4" w:space="0" w:color="auto"/>
              <w:right w:val="nil"/>
            </w:tcBorders>
            <w:shd w:val="clear" w:color="auto" w:fill="auto"/>
            <w:noWrap/>
            <w:vAlign w:val="bottom"/>
            <w:hideMark/>
          </w:tcPr>
          <w:p w14:paraId="4EC1BE08" w14:textId="1B6C2722" w:rsidR="00B85A2A" w:rsidRPr="00B85A2A" w:rsidRDefault="00B85A2A" w:rsidP="00B85A2A">
            <w:pPr>
              <w:spacing w:after="0" w:line="240" w:lineRule="auto"/>
              <w:jc w:val="right"/>
              <w:rPr>
                <w:rFonts w:ascii="Arial" w:hAnsi="Arial" w:cs="Arial"/>
                <w:sz w:val="16"/>
                <w:szCs w:val="16"/>
              </w:rPr>
            </w:pPr>
            <w:r w:rsidRPr="00B85A2A">
              <w:rPr>
                <w:rFonts w:ascii="Arial" w:hAnsi="Arial" w:cs="Arial"/>
                <w:sz w:val="16"/>
                <w:szCs w:val="16"/>
              </w:rPr>
              <w:t>524</w:t>
            </w:r>
          </w:p>
        </w:tc>
        <w:tc>
          <w:tcPr>
            <w:tcW w:w="848" w:type="dxa"/>
            <w:tcBorders>
              <w:top w:val="nil"/>
              <w:left w:val="nil"/>
              <w:bottom w:val="single" w:sz="4" w:space="0" w:color="auto"/>
              <w:right w:val="nil"/>
            </w:tcBorders>
            <w:shd w:val="clear" w:color="000000" w:fill="E6E6E6"/>
            <w:noWrap/>
            <w:vAlign w:val="bottom"/>
            <w:hideMark/>
          </w:tcPr>
          <w:p w14:paraId="79A429D2" w14:textId="1F261639" w:rsidR="00B85A2A" w:rsidRPr="00B85A2A" w:rsidRDefault="00B85A2A" w:rsidP="00B85A2A">
            <w:pPr>
              <w:spacing w:after="0" w:line="240" w:lineRule="auto"/>
              <w:jc w:val="right"/>
              <w:rPr>
                <w:rFonts w:ascii="Arial" w:hAnsi="Arial" w:cs="Arial"/>
                <w:sz w:val="16"/>
                <w:szCs w:val="16"/>
              </w:rPr>
            </w:pPr>
            <w:r w:rsidRPr="00B85A2A">
              <w:rPr>
                <w:rFonts w:ascii="Arial" w:hAnsi="Arial" w:cs="Arial"/>
                <w:sz w:val="16"/>
                <w:szCs w:val="16"/>
              </w:rPr>
              <w:t>578</w:t>
            </w:r>
          </w:p>
        </w:tc>
      </w:tr>
    </w:tbl>
    <w:p w14:paraId="4EE1C64A" w14:textId="548F00AF" w:rsidR="00595948" w:rsidRDefault="006E0842" w:rsidP="00977C28">
      <w:pPr>
        <w:pStyle w:val="ListParagraph"/>
        <w:numPr>
          <w:ilvl w:val="0"/>
          <w:numId w:val="148"/>
        </w:numPr>
        <w:spacing w:before="60" w:after="0"/>
        <w:ind w:left="426" w:hanging="426"/>
        <w:rPr>
          <w:rFonts w:ascii="Arial" w:hAnsi="Arial" w:cs="Arial"/>
          <w:sz w:val="16"/>
        </w:rPr>
      </w:pPr>
      <w:r>
        <w:rPr>
          <w:rFonts w:ascii="Arial" w:hAnsi="Arial" w:cs="Arial"/>
          <w:sz w:val="16"/>
        </w:rPr>
        <w:t xml:space="preserve">Includes </w:t>
      </w:r>
      <w:r w:rsidR="00595948">
        <w:rPr>
          <w:rFonts w:ascii="Arial" w:hAnsi="Arial" w:cs="Arial"/>
          <w:sz w:val="16"/>
        </w:rPr>
        <w:t>estimates for demand driven programs</w:t>
      </w:r>
      <w:r>
        <w:rPr>
          <w:rFonts w:ascii="Arial" w:hAnsi="Arial" w:cs="Arial"/>
          <w:sz w:val="16"/>
        </w:rPr>
        <w:t xml:space="preserve"> which</w:t>
      </w:r>
      <w:r w:rsidR="00595948">
        <w:rPr>
          <w:rFonts w:ascii="Arial" w:hAnsi="Arial" w:cs="Arial"/>
          <w:sz w:val="16"/>
        </w:rPr>
        <w:t xml:space="preserve"> are calculated at a maximum probable amount in the forward estimates to ensure there is sufficient appropriation to meet demand. Where the estimated demand is not met in a particular year, underspends are returned to the Government and are not available for alternate uses by the </w:t>
      </w:r>
      <w:r w:rsidR="00E17F15">
        <w:rPr>
          <w:rFonts w:ascii="Arial" w:hAnsi="Arial" w:cs="Arial"/>
          <w:sz w:val="16"/>
        </w:rPr>
        <w:t>Department</w:t>
      </w:r>
      <w:r w:rsidR="00595948">
        <w:rPr>
          <w:rFonts w:ascii="Arial" w:hAnsi="Arial" w:cs="Arial"/>
          <w:sz w:val="16"/>
        </w:rPr>
        <w:t>.</w:t>
      </w:r>
      <w:r w:rsidR="00595948">
        <w:t xml:space="preserve"> </w:t>
      </w:r>
    </w:p>
    <w:p w14:paraId="4680DDD3" w14:textId="2CA6CE03" w:rsidR="00595948" w:rsidRDefault="00595948" w:rsidP="00977C28">
      <w:pPr>
        <w:pStyle w:val="ListParagraph"/>
        <w:numPr>
          <w:ilvl w:val="0"/>
          <w:numId w:val="148"/>
        </w:numPr>
        <w:spacing w:after="0"/>
        <w:ind w:left="426" w:hanging="426"/>
        <w:rPr>
          <w:rFonts w:ascii="Arial" w:hAnsi="Arial" w:cs="Arial"/>
          <w:sz w:val="16"/>
        </w:rPr>
      </w:pPr>
      <w:r>
        <w:rPr>
          <w:rFonts w:ascii="Arial" w:hAnsi="Arial" w:cs="Arial"/>
          <w:sz w:val="16"/>
        </w:rPr>
        <w:t xml:space="preserve">Relates to appropriation for corporate entities provided through the </w:t>
      </w:r>
      <w:r w:rsidR="00E17F15">
        <w:rPr>
          <w:rFonts w:ascii="Arial" w:hAnsi="Arial" w:cs="Arial"/>
          <w:sz w:val="16"/>
        </w:rPr>
        <w:t>Department</w:t>
      </w:r>
      <w:r>
        <w:rPr>
          <w:rFonts w:ascii="Arial" w:hAnsi="Arial" w:cs="Arial"/>
          <w:sz w:val="16"/>
        </w:rPr>
        <w:t>.</w:t>
      </w:r>
    </w:p>
    <w:p w14:paraId="58CAB26E" w14:textId="134CC7B1" w:rsidR="00595948" w:rsidRDefault="00595948" w:rsidP="00977C28">
      <w:pPr>
        <w:pStyle w:val="ListParagraph"/>
        <w:numPr>
          <w:ilvl w:val="0"/>
          <w:numId w:val="148"/>
        </w:numPr>
        <w:spacing w:after="0"/>
        <w:ind w:left="426" w:hanging="426"/>
        <w:rPr>
          <w:rFonts w:ascii="Arial" w:hAnsi="Arial" w:cs="Arial"/>
          <w:sz w:val="16"/>
        </w:rPr>
      </w:pPr>
      <w:r>
        <w:rPr>
          <w:rFonts w:ascii="Arial" w:hAnsi="Arial" w:cs="Arial"/>
          <w:sz w:val="16"/>
        </w:rPr>
        <w:t xml:space="preserve">Administered ‘Expenses not requiring appropriation in the Budget year’ </w:t>
      </w:r>
      <w:r w:rsidR="007B34E6">
        <w:rPr>
          <w:rFonts w:ascii="Arial" w:hAnsi="Arial" w:cs="Arial"/>
          <w:sz w:val="16"/>
        </w:rPr>
        <w:t>comprise</w:t>
      </w:r>
      <w:r>
        <w:rPr>
          <w:rFonts w:ascii="Arial" w:hAnsi="Arial" w:cs="Arial"/>
          <w:sz w:val="16"/>
        </w:rPr>
        <w:t xml:space="preserve"> expenses relating to accruals, payments made from prior year appropriations and other non–cash expenses.</w:t>
      </w:r>
    </w:p>
    <w:p w14:paraId="732C0A70" w14:textId="77777777" w:rsidR="00595948" w:rsidRDefault="00595948" w:rsidP="00977C28">
      <w:pPr>
        <w:pStyle w:val="ListParagraph"/>
        <w:numPr>
          <w:ilvl w:val="0"/>
          <w:numId w:val="148"/>
        </w:numPr>
        <w:spacing w:after="0"/>
        <w:ind w:left="426" w:hanging="426"/>
        <w:rPr>
          <w:rFonts w:ascii="Arial" w:hAnsi="Arial" w:cs="Arial"/>
          <w:sz w:val="16"/>
        </w:rPr>
      </w:pPr>
      <w:r>
        <w:rPr>
          <w:rFonts w:ascii="Arial" w:hAnsi="Arial" w:cs="Arial"/>
          <w:sz w:val="16"/>
        </w:rPr>
        <w:t>Estimated expenses incurred in relation to receipts retained under section 74 of the PGPA Act.</w:t>
      </w:r>
    </w:p>
    <w:p w14:paraId="7B995AC7" w14:textId="7F8D1F62" w:rsidR="00595948" w:rsidRDefault="00595948" w:rsidP="00977C28">
      <w:pPr>
        <w:pStyle w:val="ListParagraph"/>
        <w:numPr>
          <w:ilvl w:val="0"/>
          <w:numId w:val="148"/>
        </w:numPr>
        <w:spacing w:after="0"/>
        <w:ind w:left="426" w:hanging="426"/>
        <w:rPr>
          <w:rFonts w:ascii="Arial" w:hAnsi="Arial" w:cs="Arial"/>
          <w:sz w:val="16"/>
        </w:rPr>
      </w:pPr>
      <w:r>
        <w:rPr>
          <w:rFonts w:ascii="Arial" w:hAnsi="Arial" w:cs="Arial"/>
          <w:sz w:val="16"/>
        </w:rPr>
        <w:t xml:space="preserve">Departmental 'Expenses not requiring appropriation in the Budget year' are made up of depreciation expenses, amortisation expenses, </w:t>
      </w:r>
      <w:r w:rsidR="006E0842">
        <w:rPr>
          <w:rFonts w:ascii="Arial" w:hAnsi="Arial" w:cs="Arial"/>
          <w:sz w:val="16"/>
        </w:rPr>
        <w:t>and exclude right of use assets</w:t>
      </w:r>
      <w:r>
        <w:rPr>
          <w:rFonts w:ascii="Arial" w:hAnsi="Arial" w:cs="Arial"/>
          <w:sz w:val="16"/>
        </w:rPr>
        <w:t>.</w:t>
      </w:r>
    </w:p>
    <w:p w14:paraId="453C7A4E" w14:textId="77777777" w:rsidR="00595948" w:rsidRDefault="00595948" w:rsidP="00977C28">
      <w:pPr>
        <w:pStyle w:val="ListParagraph"/>
        <w:numPr>
          <w:ilvl w:val="0"/>
          <w:numId w:val="148"/>
        </w:numPr>
        <w:spacing w:after="0"/>
        <w:ind w:left="426" w:hanging="426"/>
        <w:rPr>
          <w:rFonts w:ascii="Arial" w:hAnsi="Arial" w:cs="Arial"/>
          <w:sz w:val="16"/>
        </w:rPr>
      </w:pPr>
      <w:r>
        <w:rPr>
          <w:rFonts w:ascii="Arial" w:hAnsi="Arial" w:cs="Arial"/>
          <w:sz w:val="16"/>
        </w:rPr>
        <w:t>Figures displayed as a negative (–) represent a decrease in funds and a positive (+) represent an increase in funds.</w:t>
      </w:r>
      <w:r>
        <w:t xml:space="preserve"> </w:t>
      </w:r>
    </w:p>
    <w:p w14:paraId="3C2CDF79" w14:textId="77777777" w:rsidR="00595948" w:rsidRPr="000E41F7" w:rsidRDefault="00595948" w:rsidP="007A5E05">
      <w:pPr>
        <w:spacing w:before="60" w:after="0" w:line="240" w:lineRule="auto"/>
        <w:rPr>
          <w:rFonts w:ascii="Arial" w:hAnsi="Arial" w:cs="Arial"/>
          <w:sz w:val="16"/>
          <w:szCs w:val="16"/>
        </w:rPr>
      </w:pPr>
      <w:r w:rsidRPr="000E41F7">
        <w:rPr>
          <w:rFonts w:ascii="Arial" w:hAnsi="Arial" w:cs="Arial"/>
          <w:sz w:val="16"/>
          <w:szCs w:val="16"/>
        </w:rPr>
        <w:t>Note: Departmental appropriation splits and totals are indicative estimates and may change in the course of the budget year as government priorities change.</w:t>
      </w:r>
    </w:p>
    <w:p w14:paraId="613494E2" w14:textId="634A57C6" w:rsidR="00115843" w:rsidRDefault="00115843" w:rsidP="00B85A2A">
      <w:pPr>
        <w:spacing w:after="0" w:line="240" w:lineRule="auto"/>
      </w:pPr>
      <w:r>
        <w:br w:type="page"/>
      </w:r>
    </w:p>
    <w:p w14:paraId="39408515" w14:textId="77777777" w:rsidR="00115843" w:rsidRDefault="00115843" w:rsidP="00115843">
      <w:pPr>
        <w:pStyle w:val="TableHeading"/>
      </w:pPr>
      <w:r w:rsidRPr="00342EFF">
        <w:lastRenderedPageBreak/>
        <w:t>Table 2.2.2: Program components for Outcome 2</w:t>
      </w:r>
    </w:p>
    <w:tbl>
      <w:tblPr>
        <w:tblW w:w="5063" w:type="pct"/>
        <w:tblLook w:val="04A0" w:firstRow="1" w:lastRow="0" w:firstColumn="1" w:lastColumn="0" w:noHBand="0" w:noVBand="1"/>
      </w:tblPr>
      <w:tblGrid>
        <w:gridCol w:w="3377"/>
        <w:gridCol w:w="9"/>
        <w:gridCol w:w="954"/>
        <w:gridCol w:w="884"/>
        <w:gridCol w:w="859"/>
        <w:gridCol w:w="25"/>
        <w:gridCol w:w="826"/>
        <w:gridCol w:w="8"/>
        <w:gridCol w:w="856"/>
        <w:gridCol w:w="9"/>
      </w:tblGrid>
      <w:tr w:rsidR="00A86423" w:rsidRPr="00A86423" w14:paraId="2CCFC4F1" w14:textId="77777777" w:rsidTr="00E84A95">
        <w:trPr>
          <w:gridAfter w:val="1"/>
          <w:wAfter w:w="8" w:type="pct"/>
          <w:trHeight w:val="204"/>
        </w:trPr>
        <w:tc>
          <w:tcPr>
            <w:tcW w:w="2169" w:type="pct"/>
            <w:gridSpan w:val="2"/>
            <w:tcBorders>
              <w:top w:val="single" w:sz="4" w:space="0" w:color="auto"/>
              <w:left w:val="nil"/>
              <w:bottom w:val="nil"/>
              <w:right w:val="nil"/>
            </w:tcBorders>
            <w:shd w:val="clear" w:color="auto" w:fill="auto"/>
            <w:noWrap/>
            <w:vAlign w:val="bottom"/>
            <w:hideMark/>
          </w:tcPr>
          <w:p w14:paraId="61892EF5" w14:textId="77777777" w:rsidR="00B85A2A" w:rsidRPr="00A86423" w:rsidRDefault="00B85A2A" w:rsidP="00B85A2A">
            <w:pPr>
              <w:spacing w:after="0" w:line="240" w:lineRule="auto"/>
              <w:rPr>
                <w:rFonts w:ascii="Arial" w:hAnsi="Arial" w:cs="Arial"/>
                <w:sz w:val="16"/>
                <w:szCs w:val="16"/>
              </w:rPr>
            </w:pPr>
            <w:r w:rsidRPr="00A86423">
              <w:rPr>
                <w:rFonts w:ascii="Arial" w:hAnsi="Arial" w:cs="Arial"/>
                <w:sz w:val="16"/>
                <w:szCs w:val="16"/>
              </w:rPr>
              <w:t> </w:t>
            </w:r>
          </w:p>
        </w:tc>
        <w:tc>
          <w:tcPr>
            <w:tcW w:w="611" w:type="pct"/>
            <w:tcBorders>
              <w:top w:val="single" w:sz="4" w:space="0" w:color="auto"/>
              <w:left w:val="nil"/>
              <w:bottom w:val="nil"/>
              <w:right w:val="nil"/>
            </w:tcBorders>
            <w:shd w:val="clear" w:color="auto" w:fill="auto"/>
            <w:vAlign w:val="bottom"/>
            <w:hideMark/>
          </w:tcPr>
          <w:p w14:paraId="66DB4544" w14:textId="77777777" w:rsidR="00B85A2A" w:rsidRPr="00A86423" w:rsidRDefault="00B85A2A" w:rsidP="00B85A2A">
            <w:pPr>
              <w:spacing w:after="0" w:line="240" w:lineRule="auto"/>
              <w:jc w:val="right"/>
              <w:rPr>
                <w:rFonts w:ascii="Arial" w:hAnsi="Arial" w:cs="Arial"/>
                <w:sz w:val="16"/>
                <w:szCs w:val="16"/>
              </w:rPr>
            </w:pPr>
            <w:r w:rsidRPr="00A86423">
              <w:rPr>
                <w:rFonts w:ascii="Arial" w:hAnsi="Arial" w:cs="Arial"/>
                <w:sz w:val="16"/>
                <w:szCs w:val="16"/>
              </w:rPr>
              <w:t>2022-23</w:t>
            </w:r>
            <w:r w:rsidRPr="00A86423">
              <w:rPr>
                <w:rFonts w:ascii="Arial" w:hAnsi="Arial" w:cs="Arial"/>
                <w:sz w:val="16"/>
                <w:szCs w:val="16"/>
              </w:rPr>
              <w:br/>
              <w:t>Estimated  actual</w:t>
            </w:r>
            <w:r w:rsidRPr="00A86423">
              <w:rPr>
                <w:rFonts w:ascii="Arial" w:hAnsi="Arial" w:cs="Arial"/>
                <w:sz w:val="16"/>
                <w:szCs w:val="16"/>
              </w:rPr>
              <w:br/>
              <w:t>$'000</w:t>
            </w:r>
          </w:p>
        </w:tc>
        <w:tc>
          <w:tcPr>
            <w:tcW w:w="566" w:type="pct"/>
            <w:tcBorders>
              <w:top w:val="single" w:sz="4" w:space="0" w:color="auto"/>
              <w:left w:val="nil"/>
              <w:bottom w:val="nil"/>
              <w:right w:val="nil"/>
            </w:tcBorders>
            <w:shd w:val="clear" w:color="000000" w:fill="E6E6E6"/>
            <w:vAlign w:val="bottom"/>
            <w:hideMark/>
          </w:tcPr>
          <w:p w14:paraId="04FD40DC" w14:textId="77777777" w:rsidR="00B85A2A" w:rsidRPr="00A86423" w:rsidRDefault="00B85A2A" w:rsidP="00B85A2A">
            <w:pPr>
              <w:spacing w:after="0" w:line="240" w:lineRule="auto"/>
              <w:jc w:val="right"/>
              <w:rPr>
                <w:rFonts w:ascii="Arial" w:hAnsi="Arial" w:cs="Arial"/>
                <w:sz w:val="16"/>
                <w:szCs w:val="16"/>
              </w:rPr>
            </w:pPr>
            <w:r w:rsidRPr="00A86423">
              <w:rPr>
                <w:rFonts w:ascii="Arial" w:hAnsi="Arial" w:cs="Arial"/>
                <w:sz w:val="16"/>
                <w:szCs w:val="16"/>
              </w:rPr>
              <w:t>2023-24</w:t>
            </w:r>
            <w:r w:rsidRPr="00A86423">
              <w:rPr>
                <w:rFonts w:ascii="Arial" w:hAnsi="Arial" w:cs="Arial"/>
                <w:sz w:val="16"/>
                <w:szCs w:val="16"/>
              </w:rPr>
              <w:br/>
              <w:t xml:space="preserve"> Budget</w:t>
            </w:r>
            <w:r w:rsidRPr="00A86423">
              <w:rPr>
                <w:rFonts w:ascii="Arial" w:hAnsi="Arial" w:cs="Arial"/>
                <w:sz w:val="16"/>
                <w:szCs w:val="16"/>
              </w:rPr>
              <w:br/>
              <w:t xml:space="preserve">                                      $'000</w:t>
            </w:r>
          </w:p>
        </w:tc>
        <w:tc>
          <w:tcPr>
            <w:tcW w:w="550" w:type="pct"/>
            <w:tcBorders>
              <w:top w:val="single" w:sz="4" w:space="0" w:color="auto"/>
              <w:left w:val="nil"/>
              <w:bottom w:val="nil"/>
              <w:right w:val="nil"/>
            </w:tcBorders>
            <w:shd w:val="clear" w:color="auto" w:fill="auto"/>
            <w:vAlign w:val="bottom"/>
            <w:hideMark/>
          </w:tcPr>
          <w:p w14:paraId="02ADF4C5" w14:textId="77777777" w:rsidR="00B85A2A" w:rsidRPr="00A86423" w:rsidRDefault="00B85A2A" w:rsidP="00B85A2A">
            <w:pPr>
              <w:spacing w:after="0" w:line="240" w:lineRule="auto"/>
              <w:jc w:val="right"/>
              <w:rPr>
                <w:rFonts w:ascii="Arial" w:hAnsi="Arial" w:cs="Arial"/>
                <w:sz w:val="16"/>
                <w:szCs w:val="16"/>
              </w:rPr>
            </w:pPr>
            <w:r w:rsidRPr="00A86423">
              <w:rPr>
                <w:rFonts w:ascii="Arial" w:hAnsi="Arial" w:cs="Arial"/>
                <w:sz w:val="16"/>
                <w:szCs w:val="16"/>
              </w:rPr>
              <w:t>2024-25</w:t>
            </w:r>
            <w:r w:rsidRPr="00A86423">
              <w:rPr>
                <w:rFonts w:ascii="Arial" w:hAnsi="Arial" w:cs="Arial"/>
                <w:sz w:val="16"/>
                <w:szCs w:val="16"/>
              </w:rPr>
              <w:br/>
              <w:t>Forward estimate</w:t>
            </w:r>
            <w:r w:rsidRPr="00A86423">
              <w:rPr>
                <w:rFonts w:ascii="Arial" w:hAnsi="Arial" w:cs="Arial"/>
                <w:sz w:val="16"/>
                <w:szCs w:val="16"/>
              </w:rPr>
              <w:br/>
              <w:t>$'000</w:t>
            </w:r>
          </w:p>
        </w:tc>
        <w:tc>
          <w:tcPr>
            <w:tcW w:w="550" w:type="pct"/>
            <w:gridSpan w:val="3"/>
            <w:tcBorders>
              <w:top w:val="single" w:sz="4" w:space="0" w:color="auto"/>
              <w:left w:val="nil"/>
              <w:bottom w:val="nil"/>
              <w:right w:val="nil"/>
            </w:tcBorders>
            <w:shd w:val="clear" w:color="auto" w:fill="auto"/>
            <w:vAlign w:val="bottom"/>
            <w:hideMark/>
          </w:tcPr>
          <w:p w14:paraId="6693C98F" w14:textId="77777777" w:rsidR="00B85A2A" w:rsidRPr="00A86423" w:rsidRDefault="00B85A2A" w:rsidP="00B85A2A">
            <w:pPr>
              <w:spacing w:after="0" w:line="240" w:lineRule="auto"/>
              <w:jc w:val="right"/>
              <w:rPr>
                <w:rFonts w:ascii="Arial" w:hAnsi="Arial" w:cs="Arial"/>
                <w:sz w:val="16"/>
                <w:szCs w:val="16"/>
              </w:rPr>
            </w:pPr>
            <w:r w:rsidRPr="00A86423">
              <w:rPr>
                <w:rFonts w:ascii="Arial" w:hAnsi="Arial" w:cs="Arial"/>
                <w:sz w:val="16"/>
                <w:szCs w:val="16"/>
              </w:rPr>
              <w:t>2025-26</w:t>
            </w:r>
            <w:r w:rsidRPr="00A86423">
              <w:rPr>
                <w:rFonts w:ascii="Arial" w:hAnsi="Arial" w:cs="Arial"/>
                <w:sz w:val="16"/>
                <w:szCs w:val="16"/>
              </w:rPr>
              <w:br/>
              <w:t>Forward estimate</w:t>
            </w:r>
            <w:r w:rsidRPr="00A86423">
              <w:rPr>
                <w:rFonts w:ascii="Arial" w:hAnsi="Arial" w:cs="Arial"/>
                <w:sz w:val="16"/>
                <w:szCs w:val="16"/>
              </w:rPr>
              <w:br/>
              <w:t>$'000</w:t>
            </w:r>
          </w:p>
        </w:tc>
        <w:tc>
          <w:tcPr>
            <w:tcW w:w="548" w:type="pct"/>
            <w:tcBorders>
              <w:top w:val="single" w:sz="4" w:space="0" w:color="auto"/>
              <w:left w:val="nil"/>
              <w:bottom w:val="nil"/>
              <w:right w:val="nil"/>
            </w:tcBorders>
            <w:shd w:val="clear" w:color="auto" w:fill="auto"/>
            <w:vAlign w:val="bottom"/>
            <w:hideMark/>
          </w:tcPr>
          <w:p w14:paraId="4EA8624B" w14:textId="77777777" w:rsidR="00B85A2A" w:rsidRPr="00A86423" w:rsidRDefault="00B85A2A" w:rsidP="00B85A2A">
            <w:pPr>
              <w:spacing w:after="0" w:line="240" w:lineRule="auto"/>
              <w:jc w:val="right"/>
              <w:rPr>
                <w:rFonts w:ascii="Arial" w:hAnsi="Arial" w:cs="Arial"/>
                <w:sz w:val="16"/>
                <w:szCs w:val="16"/>
              </w:rPr>
            </w:pPr>
            <w:r w:rsidRPr="00A86423">
              <w:rPr>
                <w:rFonts w:ascii="Arial" w:hAnsi="Arial" w:cs="Arial"/>
                <w:sz w:val="16"/>
                <w:szCs w:val="16"/>
              </w:rPr>
              <w:t>2026-27</w:t>
            </w:r>
            <w:r w:rsidRPr="00A86423">
              <w:rPr>
                <w:rFonts w:ascii="Arial" w:hAnsi="Arial" w:cs="Arial"/>
                <w:sz w:val="16"/>
                <w:szCs w:val="16"/>
              </w:rPr>
              <w:br/>
              <w:t>Forward estimate</w:t>
            </w:r>
            <w:r w:rsidRPr="00A86423">
              <w:rPr>
                <w:rFonts w:ascii="Arial" w:hAnsi="Arial" w:cs="Arial"/>
                <w:sz w:val="16"/>
                <w:szCs w:val="16"/>
              </w:rPr>
              <w:br/>
              <w:t>$'000</w:t>
            </w:r>
          </w:p>
        </w:tc>
      </w:tr>
      <w:tr w:rsidR="00A86423" w:rsidRPr="00A86423" w14:paraId="3CE61C53" w14:textId="77777777" w:rsidTr="00E84A95">
        <w:trPr>
          <w:gridAfter w:val="1"/>
          <w:wAfter w:w="8" w:type="pct"/>
          <w:trHeight w:val="204"/>
        </w:trPr>
        <w:tc>
          <w:tcPr>
            <w:tcW w:w="2780" w:type="pct"/>
            <w:gridSpan w:val="3"/>
            <w:tcBorders>
              <w:top w:val="single" w:sz="4" w:space="0" w:color="auto"/>
              <w:left w:val="nil"/>
              <w:bottom w:val="single" w:sz="4" w:space="0" w:color="auto"/>
              <w:right w:val="nil"/>
            </w:tcBorders>
            <w:shd w:val="clear" w:color="000000" w:fill="E6E6E6"/>
            <w:noWrap/>
            <w:vAlign w:val="bottom"/>
            <w:hideMark/>
          </w:tcPr>
          <w:p w14:paraId="39C32865" w14:textId="77777777" w:rsidR="00B85A2A" w:rsidRPr="00A86423" w:rsidRDefault="00B85A2A" w:rsidP="00B85A2A">
            <w:pPr>
              <w:spacing w:after="0" w:line="240" w:lineRule="auto"/>
              <w:rPr>
                <w:rFonts w:ascii="Arial" w:hAnsi="Arial" w:cs="Arial"/>
                <w:b/>
                <w:bCs/>
                <w:sz w:val="16"/>
                <w:szCs w:val="16"/>
              </w:rPr>
            </w:pPr>
            <w:r w:rsidRPr="00A86423">
              <w:rPr>
                <w:rFonts w:ascii="Arial" w:hAnsi="Arial" w:cs="Arial"/>
                <w:b/>
                <w:bCs/>
                <w:sz w:val="16"/>
                <w:szCs w:val="16"/>
              </w:rPr>
              <w:t xml:space="preserve">Components for Program 2.1: Surface Transport </w:t>
            </w:r>
          </w:p>
        </w:tc>
        <w:tc>
          <w:tcPr>
            <w:tcW w:w="566" w:type="pct"/>
            <w:tcBorders>
              <w:top w:val="single" w:sz="4" w:space="0" w:color="auto"/>
              <w:left w:val="nil"/>
              <w:bottom w:val="single" w:sz="4" w:space="0" w:color="auto"/>
              <w:right w:val="nil"/>
            </w:tcBorders>
            <w:shd w:val="clear" w:color="000000" w:fill="E6E6E6"/>
            <w:noWrap/>
            <w:vAlign w:val="bottom"/>
            <w:hideMark/>
          </w:tcPr>
          <w:p w14:paraId="0EF1722D" w14:textId="77777777" w:rsidR="00B85A2A" w:rsidRPr="00A86423" w:rsidRDefault="00B85A2A" w:rsidP="00B85A2A">
            <w:pPr>
              <w:spacing w:after="0" w:line="240" w:lineRule="auto"/>
              <w:rPr>
                <w:rFonts w:ascii="Arial" w:hAnsi="Arial" w:cs="Arial"/>
                <w:sz w:val="16"/>
                <w:szCs w:val="16"/>
              </w:rPr>
            </w:pPr>
            <w:r w:rsidRPr="00A86423">
              <w:rPr>
                <w:rFonts w:ascii="Arial" w:hAnsi="Arial" w:cs="Arial"/>
                <w:sz w:val="16"/>
                <w:szCs w:val="16"/>
              </w:rPr>
              <w:t> </w:t>
            </w:r>
          </w:p>
        </w:tc>
        <w:tc>
          <w:tcPr>
            <w:tcW w:w="550" w:type="pct"/>
            <w:tcBorders>
              <w:top w:val="single" w:sz="4" w:space="0" w:color="auto"/>
              <w:left w:val="nil"/>
              <w:bottom w:val="single" w:sz="4" w:space="0" w:color="auto"/>
              <w:right w:val="nil"/>
            </w:tcBorders>
            <w:shd w:val="clear" w:color="000000" w:fill="E6E6E6"/>
            <w:noWrap/>
            <w:vAlign w:val="bottom"/>
            <w:hideMark/>
          </w:tcPr>
          <w:p w14:paraId="5FB5E6C3" w14:textId="77777777" w:rsidR="00B85A2A" w:rsidRPr="00A86423" w:rsidRDefault="00B85A2A" w:rsidP="00B85A2A">
            <w:pPr>
              <w:spacing w:after="0" w:line="240" w:lineRule="auto"/>
              <w:rPr>
                <w:rFonts w:ascii="Arial" w:hAnsi="Arial" w:cs="Arial"/>
                <w:sz w:val="16"/>
                <w:szCs w:val="16"/>
              </w:rPr>
            </w:pPr>
            <w:r w:rsidRPr="00A86423">
              <w:rPr>
                <w:rFonts w:ascii="Arial" w:hAnsi="Arial" w:cs="Arial"/>
                <w:sz w:val="16"/>
                <w:szCs w:val="16"/>
              </w:rPr>
              <w:t> </w:t>
            </w:r>
          </w:p>
        </w:tc>
        <w:tc>
          <w:tcPr>
            <w:tcW w:w="550" w:type="pct"/>
            <w:gridSpan w:val="3"/>
            <w:tcBorders>
              <w:top w:val="single" w:sz="4" w:space="0" w:color="auto"/>
              <w:left w:val="nil"/>
              <w:bottom w:val="single" w:sz="4" w:space="0" w:color="auto"/>
              <w:right w:val="nil"/>
            </w:tcBorders>
            <w:shd w:val="clear" w:color="000000" w:fill="E6E6E6"/>
            <w:noWrap/>
            <w:vAlign w:val="bottom"/>
            <w:hideMark/>
          </w:tcPr>
          <w:p w14:paraId="6062AC71" w14:textId="77777777" w:rsidR="00B85A2A" w:rsidRPr="00A86423" w:rsidRDefault="00B85A2A" w:rsidP="00B85A2A">
            <w:pPr>
              <w:spacing w:after="0" w:line="240" w:lineRule="auto"/>
              <w:rPr>
                <w:rFonts w:ascii="Arial" w:hAnsi="Arial" w:cs="Arial"/>
                <w:sz w:val="16"/>
                <w:szCs w:val="16"/>
              </w:rPr>
            </w:pPr>
            <w:r w:rsidRPr="00A86423">
              <w:rPr>
                <w:rFonts w:ascii="Arial" w:hAnsi="Arial" w:cs="Arial"/>
                <w:sz w:val="16"/>
                <w:szCs w:val="16"/>
              </w:rPr>
              <w:t> </w:t>
            </w:r>
          </w:p>
        </w:tc>
        <w:tc>
          <w:tcPr>
            <w:tcW w:w="548" w:type="pct"/>
            <w:tcBorders>
              <w:top w:val="single" w:sz="4" w:space="0" w:color="auto"/>
              <w:left w:val="nil"/>
              <w:bottom w:val="single" w:sz="4" w:space="0" w:color="auto"/>
              <w:right w:val="nil"/>
            </w:tcBorders>
            <w:shd w:val="clear" w:color="000000" w:fill="E6E6E6"/>
            <w:noWrap/>
            <w:vAlign w:val="bottom"/>
            <w:hideMark/>
          </w:tcPr>
          <w:p w14:paraId="447E5094" w14:textId="77777777" w:rsidR="00B85A2A" w:rsidRPr="00A86423" w:rsidRDefault="00B85A2A" w:rsidP="00B85A2A">
            <w:pPr>
              <w:spacing w:after="0" w:line="240" w:lineRule="auto"/>
              <w:rPr>
                <w:rFonts w:ascii="Arial" w:hAnsi="Arial" w:cs="Arial"/>
                <w:sz w:val="16"/>
                <w:szCs w:val="16"/>
              </w:rPr>
            </w:pPr>
            <w:r w:rsidRPr="00A86423">
              <w:rPr>
                <w:rFonts w:ascii="Arial" w:hAnsi="Arial" w:cs="Arial"/>
                <w:sz w:val="16"/>
                <w:szCs w:val="16"/>
              </w:rPr>
              <w:t> </w:t>
            </w:r>
          </w:p>
        </w:tc>
      </w:tr>
      <w:tr w:rsidR="00A86423" w:rsidRPr="00A86423" w14:paraId="73748046" w14:textId="77777777" w:rsidTr="00E84A95">
        <w:trPr>
          <w:gridAfter w:val="1"/>
          <w:wAfter w:w="8" w:type="pct"/>
          <w:trHeight w:val="204"/>
        </w:trPr>
        <w:tc>
          <w:tcPr>
            <w:tcW w:w="2169" w:type="pct"/>
            <w:gridSpan w:val="2"/>
            <w:tcBorders>
              <w:top w:val="nil"/>
              <w:left w:val="nil"/>
              <w:bottom w:val="nil"/>
              <w:right w:val="nil"/>
            </w:tcBorders>
            <w:shd w:val="clear" w:color="auto" w:fill="auto"/>
            <w:noWrap/>
            <w:vAlign w:val="bottom"/>
            <w:hideMark/>
          </w:tcPr>
          <w:p w14:paraId="62D97ED5" w14:textId="77777777" w:rsidR="00B85A2A" w:rsidRPr="00A86423" w:rsidRDefault="00B85A2A" w:rsidP="00B85A2A">
            <w:pPr>
              <w:spacing w:after="0" w:line="240" w:lineRule="auto"/>
              <w:rPr>
                <w:rFonts w:ascii="Arial" w:hAnsi="Arial" w:cs="Arial"/>
                <w:sz w:val="16"/>
                <w:szCs w:val="16"/>
              </w:rPr>
            </w:pPr>
            <w:r w:rsidRPr="00A86423">
              <w:rPr>
                <w:rFonts w:ascii="Arial" w:hAnsi="Arial" w:cs="Arial"/>
                <w:sz w:val="16"/>
                <w:szCs w:val="16"/>
              </w:rPr>
              <w:t>Administered expenses:</w:t>
            </w:r>
          </w:p>
        </w:tc>
        <w:tc>
          <w:tcPr>
            <w:tcW w:w="611" w:type="pct"/>
            <w:tcBorders>
              <w:top w:val="nil"/>
              <w:left w:val="nil"/>
              <w:bottom w:val="nil"/>
              <w:right w:val="nil"/>
            </w:tcBorders>
            <w:shd w:val="clear" w:color="auto" w:fill="auto"/>
            <w:noWrap/>
            <w:vAlign w:val="bottom"/>
            <w:hideMark/>
          </w:tcPr>
          <w:p w14:paraId="4CE393AF" w14:textId="77777777" w:rsidR="00B85A2A" w:rsidRPr="00A86423" w:rsidRDefault="00B85A2A" w:rsidP="00E84A95">
            <w:pPr>
              <w:spacing w:after="0" w:line="240" w:lineRule="auto"/>
              <w:jc w:val="right"/>
              <w:rPr>
                <w:rFonts w:ascii="Arial" w:hAnsi="Arial" w:cs="Arial"/>
                <w:sz w:val="16"/>
                <w:szCs w:val="16"/>
              </w:rPr>
            </w:pPr>
          </w:p>
        </w:tc>
        <w:tc>
          <w:tcPr>
            <w:tcW w:w="566" w:type="pct"/>
            <w:tcBorders>
              <w:top w:val="nil"/>
              <w:left w:val="nil"/>
              <w:bottom w:val="nil"/>
              <w:right w:val="nil"/>
            </w:tcBorders>
            <w:shd w:val="clear" w:color="000000" w:fill="E6E6E6"/>
            <w:noWrap/>
            <w:vAlign w:val="bottom"/>
            <w:hideMark/>
          </w:tcPr>
          <w:p w14:paraId="51A58667" w14:textId="31F2802E" w:rsidR="00B85A2A" w:rsidRPr="00A86423" w:rsidRDefault="00B85A2A" w:rsidP="00E84A95">
            <w:pPr>
              <w:spacing w:after="0" w:line="240" w:lineRule="auto"/>
              <w:jc w:val="right"/>
              <w:rPr>
                <w:rFonts w:ascii="Arial" w:hAnsi="Arial" w:cs="Arial"/>
                <w:sz w:val="16"/>
                <w:szCs w:val="16"/>
              </w:rPr>
            </w:pPr>
          </w:p>
        </w:tc>
        <w:tc>
          <w:tcPr>
            <w:tcW w:w="550" w:type="pct"/>
            <w:tcBorders>
              <w:top w:val="nil"/>
              <w:left w:val="nil"/>
              <w:bottom w:val="nil"/>
              <w:right w:val="nil"/>
            </w:tcBorders>
            <w:shd w:val="clear" w:color="auto" w:fill="auto"/>
            <w:noWrap/>
            <w:vAlign w:val="bottom"/>
            <w:hideMark/>
          </w:tcPr>
          <w:p w14:paraId="5621F17D" w14:textId="77777777" w:rsidR="00B85A2A" w:rsidRPr="00A86423" w:rsidRDefault="00B85A2A" w:rsidP="00E84A95">
            <w:pPr>
              <w:spacing w:after="0" w:line="240" w:lineRule="auto"/>
              <w:jc w:val="right"/>
              <w:rPr>
                <w:rFonts w:ascii="Arial" w:hAnsi="Arial" w:cs="Arial"/>
                <w:sz w:val="16"/>
                <w:szCs w:val="16"/>
              </w:rPr>
            </w:pPr>
          </w:p>
        </w:tc>
        <w:tc>
          <w:tcPr>
            <w:tcW w:w="550" w:type="pct"/>
            <w:gridSpan w:val="3"/>
            <w:tcBorders>
              <w:top w:val="nil"/>
              <w:left w:val="nil"/>
              <w:bottom w:val="nil"/>
              <w:right w:val="nil"/>
            </w:tcBorders>
            <w:shd w:val="clear" w:color="auto" w:fill="auto"/>
            <w:noWrap/>
            <w:vAlign w:val="bottom"/>
            <w:hideMark/>
          </w:tcPr>
          <w:p w14:paraId="6F3A1A9B" w14:textId="77777777" w:rsidR="00B85A2A" w:rsidRPr="00A86423" w:rsidRDefault="00B85A2A" w:rsidP="00E84A95">
            <w:pPr>
              <w:spacing w:after="0" w:line="240" w:lineRule="auto"/>
              <w:jc w:val="right"/>
              <w:rPr>
                <w:rFonts w:ascii="Arial" w:hAnsi="Arial" w:cs="Arial"/>
                <w:sz w:val="16"/>
                <w:szCs w:val="16"/>
              </w:rPr>
            </w:pPr>
          </w:p>
        </w:tc>
        <w:tc>
          <w:tcPr>
            <w:tcW w:w="548" w:type="pct"/>
            <w:tcBorders>
              <w:top w:val="nil"/>
              <w:left w:val="nil"/>
              <w:bottom w:val="nil"/>
              <w:right w:val="nil"/>
            </w:tcBorders>
            <w:shd w:val="clear" w:color="auto" w:fill="auto"/>
            <w:noWrap/>
            <w:vAlign w:val="bottom"/>
            <w:hideMark/>
          </w:tcPr>
          <w:p w14:paraId="231B901D" w14:textId="77777777" w:rsidR="00B85A2A" w:rsidRPr="00A86423" w:rsidRDefault="00B85A2A" w:rsidP="00E84A95">
            <w:pPr>
              <w:spacing w:after="0" w:line="240" w:lineRule="auto"/>
              <w:jc w:val="right"/>
              <w:rPr>
                <w:rFonts w:ascii="Arial" w:hAnsi="Arial" w:cs="Arial"/>
                <w:sz w:val="16"/>
                <w:szCs w:val="16"/>
              </w:rPr>
            </w:pPr>
          </w:p>
        </w:tc>
      </w:tr>
      <w:tr w:rsidR="00A86423" w:rsidRPr="00A86423" w14:paraId="31D01B3F" w14:textId="77777777" w:rsidTr="00E84A95">
        <w:trPr>
          <w:gridAfter w:val="1"/>
          <w:wAfter w:w="8" w:type="pct"/>
          <w:trHeight w:val="204"/>
        </w:trPr>
        <w:tc>
          <w:tcPr>
            <w:tcW w:w="2169" w:type="pct"/>
            <w:gridSpan w:val="2"/>
            <w:tcBorders>
              <w:top w:val="nil"/>
              <w:left w:val="nil"/>
              <w:bottom w:val="nil"/>
              <w:right w:val="nil"/>
            </w:tcBorders>
            <w:shd w:val="clear" w:color="auto" w:fill="auto"/>
            <w:vAlign w:val="bottom"/>
            <w:hideMark/>
          </w:tcPr>
          <w:p w14:paraId="5769F22B" w14:textId="7A2BC484" w:rsidR="00B85A2A" w:rsidRPr="00A86423" w:rsidRDefault="00B85A2A" w:rsidP="00E84A95">
            <w:pPr>
              <w:spacing w:after="0" w:line="240" w:lineRule="auto"/>
              <w:ind w:left="113"/>
              <w:rPr>
                <w:rFonts w:ascii="Arial" w:hAnsi="Arial" w:cs="Arial"/>
                <w:sz w:val="16"/>
                <w:szCs w:val="16"/>
              </w:rPr>
            </w:pPr>
            <w:r w:rsidRPr="00A86423">
              <w:rPr>
                <w:rFonts w:ascii="Arial" w:hAnsi="Arial" w:cs="Arial"/>
                <w:sz w:val="16"/>
                <w:szCs w:val="16"/>
              </w:rPr>
              <w:t xml:space="preserve">Bass Strait Passenger Vehicle Equalisation </w:t>
            </w:r>
            <w:r w:rsidRPr="00A37BBE">
              <w:rPr>
                <w:rFonts w:ascii="Arial" w:hAnsi="Arial" w:cs="Arial"/>
                <w:sz w:val="16"/>
                <w:szCs w:val="16"/>
              </w:rPr>
              <w:t>Scheme</w:t>
            </w:r>
            <w:r w:rsidRPr="00A37BBE">
              <w:rPr>
                <w:rFonts w:ascii="Arial" w:hAnsi="Arial" w:cs="Arial"/>
                <w:iCs/>
                <w:sz w:val="16"/>
                <w:szCs w:val="16"/>
                <w:vertAlign w:val="superscript"/>
              </w:rPr>
              <w:t>(a)</w:t>
            </w:r>
          </w:p>
        </w:tc>
        <w:tc>
          <w:tcPr>
            <w:tcW w:w="611" w:type="pct"/>
            <w:tcBorders>
              <w:top w:val="nil"/>
              <w:left w:val="nil"/>
              <w:bottom w:val="nil"/>
              <w:right w:val="nil"/>
            </w:tcBorders>
            <w:shd w:val="clear" w:color="auto" w:fill="auto"/>
            <w:noWrap/>
            <w:vAlign w:val="bottom"/>
            <w:hideMark/>
          </w:tcPr>
          <w:p w14:paraId="167C3577" w14:textId="3F2C2500"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54,472</w:t>
            </w:r>
          </w:p>
        </w:tc>
        <w:tc>
          <w:tcPr>
            <w:tcW w:w="566" w:type="pct"/>
            <w:tcBorders>
              <w:top w:val="nil"/>
              <w:left w:val="nil"/>
              <w:bottom w:val="nil"/>
              <w:right w:val="nil"/>
            </w:tcBorders>
            <w:shd w:val="clear" w:color="000000" w:fill="E6E6E6"/>
            <w:noWrap/>
            <w:vAlign w:val="bottom"/>
            <w:hideMark/>
          </w:tcPr>
          <w:p w14:paraId="361BC18A" w14:textId="1B9444FF"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56,674</w:t>
            </w:r>
          </w:p>
        </w:tc>
        <w:tc>
          <w:tcPr>
            <w:tcW w:w="550" w:type="pct"/>
            <w:tcBorders>
              <w:top w:val="nil"/>
              <w:left w:val="nil"/>
              <w:bottom w:val="nil"/>
              <w:right w:val="nil"/>
            </w:tcBorders>
            <w:shd w:val="clear" w:color="auto" w:fill="auto"/>
            <w:noWrap/>
            <w:vAlign w:val="bottom"/>
            <w:hideMark/>
          </w:tcPr>
          <w:p w14:paraId="61DCA485" w14:textId="2227B5DE"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58,446</w:t>
            </w:r>
          </w:p>
        </w:tc>
        <w:tc>
          <w:tcPr>
            <w:tcW w:w="550" w:type="pct"/>
            <w:gridSpan w:val="3"/>
            <w:tcBorders>
              <w:top w:val="nil"/>
              <w:left w:val="nil"/>
              <w:bottom w:val="nil"/>
              <w:right w:val="nil"/>
            </w:tcBorders>
            <w:shd w:val="clear" w:color="auto" w:fill="auto"/>
            <w:noWrap/>
            <w:vAlign w:val="bottom"/>
            <w:hideMark/>
          </w:tcPr>
          <w:p w14:paraId="68A076E7" w14:textId="6878C735"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59,978</w:t>
            </w:r>
          </w:p>
        </w:tc>
        <w:tc>
          <w:tcPr>
            <w:tcW w:w="548" w:type="pct"/>
            <w:tcBorders>
              <w:top w:val="nil"/>
              <w:left w:val="nil"/>
              <w:bottom w:val="nil"/>
              <w:right w:val="nil"/>
            </w:tcBorders>
            <w:shd w:val="clear" w:color="auto" w:fill="auto"/>
            <w:noWrap/>
            <w:vAlign w:val="bottom"/>
            <w:hideMark/>
          </w:tcPr>
          <w:p w14:paraId="6EFE6E08" w14:textId="7C7F39FB"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61,509</w:t>
            </w:r>
          </w:p>
        </w:tc>
      </w:tr>
      <w:tr w:rsidR="00A86423" w:rsidRPr="00A86423" w14:paraId="6E88BA3C" w14:textId="77777777" w:rsidTr="00E84A95">
        <w:trPr>
          <w:gridAfter w:val="1"/>
          <w:wAfter w:w="8" w:type="pct"/>
          <w:trHeight w:val="204"/>
        </w:trPr>
        <w:tc>
          <w:tcPr>
            <w:tcW w:w="2169" w:type="pct"/>
            <w:gridSpan w:val="2"/>
            <w:tcBorders>
              <w:top w:val="nil"/>
              <w:left w:val="nil"/>
              <w:bottom w:val="nil"/>
              <w:right w:val="nil"/>
            </w:tcBorders>
            <w:shd w:val="clear" w:color="auto" w:fill="auto"/>
            <w:vAlign w:val="bottom"/>
            <w:hideMark/>
          </w:tcPr>
          <w:p w14:paraId="17B220EC" w14:textId="77777777" w:rsidR="00B85A2A" w:rsidRPr="00A86423" w:rsidRDefault="00B85A2A" w:rsidP="00E84A95">
            <w:pPr>
              <w:spacing w:after="0" w:line="240" w:lineRule="auto"/>
              <w:ind w:left="113"/>
              <w:rPr>
                <w:rFonts w:ascii="Arial" w:hAnsi="Arial" w:cs="Arial"/>
                <w:sz w:val="16"/>
                <w:szCs w:val="16"/>
              </w:rPr>
            </w:pPr>
            <w:r w:rsidRPr="00A86423">
              <w:rPr>
                <w:rFonts w:ascii="Arial" w:hAnsi="Arial" w:cs="Arial"/>
                <w:sz w:val="16"/>
                <w:szCs w:val="16"/>
              </w:rPr>
              <w:t>Freight and Supply Chain Strategy - Freight Data Hub</w:t>
            </w:r>
          </w:p>
        </w:tc>
        <w:tc>
          <w:tcPr>
            <w:tcW w:w="611" w:type="pct"/>
            <w:tcBorders>
              <w:top w:val="nil"/>
              <w:left w:val="nil"/>
              <w:bottom w:val="nil"/>
              <w:right w:val="nil"/>
            </w:tcBorders>
            <w:shd w:val="clear" w:color="auto" w:fill="auto"/>
            <w:noWrap/>
            <w:vAlign w:val="bottom"/>
            <w:hideMark/>
          </w:tcPr>
          <w:p w14:paraId="27A5B9D4" w14:textId="37E04A72"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1,903</w:t>
            </w:r>
          </w:p>
        </w:tc>
        <w:tc>
          <w:tcPr>
            <w:tcW w:w="566" w:type="pct"/>
            <w:tcBorders>
              <w:top w:val="nil"/>
              <w:left w:val="nil"/>
              <w:bottom w:val="nil"/>
              <w:right w:val="nil"/>
            </w:tcBorders>
            <w:shd w:val="clear" w:color="000000" w:fill="E6E6E6"/>
            <w:noWrap/>
            <w:vAlign w:val="bottom"/>
            <w:hideMark/>
          </w:tcPr>
          <w:p w14:paraId="1BD6C76B" w14:textId="3294BF6C"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1,914</w:t>
            </w:r>
          </w:p>
        </w:tc>
        <w:tc>
          <w:tcPr>
            <w:tcW w:w="550" w:type="pct"/>
            <w:tcBorders>
              <w:top w:val="nil"/>
              <w:left w:val="nil"/>
              <w:bottom w:val="nil"/>
              <w:right w:val="nil"/>
            </w:tcBorders>
            <w:shd w:val="clear" w:color="auto" w:fill="auto"/>
            <w:noWrap/>
            <w:vAlign w:val="bottom"/>
            <w:hideMark/>
          </w:tcPr>
          <w:p w14:paraId="19AD1FB4" w14:textId="0F805B11"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w:t>
            </w:r>
          </w:p>
        </w:tc>
        <w:tc>
          <w:tcPr>
            <w:tcW w:w="550" w:type="pct"/>
            <w:gridSpan w:val="3"/>
            <w:tcBorders>
              <w:top w:val="nil"/>
              <w:left w:val="nil"/>
              <w:bottom w:val="nil"/>
              <w:right w:val="nil"/>
            </w:tcBorders>
            <w:shd w:val="clear" w:color="auto" w:fill="auto"/>
            <w:noWrap/>
            <w:vAlign w:val="bottom"/>
            <w:hideMark/>
          </w:tcPr>
          <w:p w14:paraId="21A5E8FA" w14:textId="4A3263EE"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w:t>
            </w:r>
          </w:p>
        </w:tc>
        <w:tc>
          <w:tcPr>
            <w:tcW w:w="548" w:type="pct"/>
            <w:tcBorders>
              <w:top w:val="nil"/>
              <w:left w:val="nil"/>
              <w:bottom w:val="nil"/>
              <w:right w:val="nil"/>
            </w:tcBorders>
            <w:shd w:val="clear" w:color="auto" w:fill="auto"/>
            <w:noWrap/>
            <w:vAlign w:val="bottom"/>
            <w:hideMark/>
          </w:tcPr>
          <w:p w14:paraId="74E77537" w14:textId="0A30899D"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w:t>
            </w:r>
          </w:p>
        </w:tc>
      </w:tr>
      <w:tr w:rsidR="00A86423" w:rsidRPr="00A86423" w14:paraId="2617CB66" w14:textId="77777777" w:rsidTr="00E84A95">
        <w:trPr>
          <w:gridAfter w:val="1"/>
          <w:wAfter w:w="8" w:type="pct"/>
          <w:trHeight w:val="204"/>
        </w:trPr>
        <w:tc>
          <w:tcPr>
            <w:tcW w:w="2169" w:type="pct"/>
            <w:gridSpan w:val="2"/>
            <w:tcBorders>
              <w:top w:val="nil"/>
              <w:left w:val="nil"/>
              <w:bottom w:val="nil"/>
              <w:right w:val="nil"/>
            </w:tcBorders>
            <w:shd w:val="clear" w:color="auto" w:fill="auto"/>
            <w:vAlign w:val="bottom"/>
            <w:hideMark/>
          </w:tcPr>
          <w:p w14:paraId="0E5D885C" w14:textId="77777777" w:rsidR="00B85A2A" w:rsidRPr="00A86423" w:rsidRDefault="00B85A2A" w:rsidP="00E84A95">
            <w:pPr>
              <w:spacing w:after="0" w:line="240" w:lineRule="auto"/>
              <w:ind w:left="113"/>
              <w:rPr>
                <w:rFonts w:ascii="Arial" w:hAnsi="Arial" w:cs="Arial"/>
                <w:sz w:val="16"/>
                <w:szCs w:val="16"/>
              </w:rPr>
            </w:pPr>
            <w:r w:rsidRPr="00A86423">
              <w:rPr>
                <w:rFonts w:ascii="Arial" w:hAnsi="Arial" w:cs="Arial"/>
                <w:sz w:val="16"/>
                <w:szCs w:val="16"/>
              </w:rPr>
              <w:t>International Maritime Organization - contribution</w:t>
            </w:r>
          </w:p>
        </w:tc>
        <w:tc>
          <w:tcPr>
            <w:tcW w:w="611" w:type="pct"/>
            <w:tcBorders>
              <w:top w:val="nil"/>
              <w:left w:val="nil"/>
              <w:bottom w:val="nil"/>
              <w:right w:val="nil"/>
            </w:tcBorders>
            <w:shd w:val="clear" w:color="auto" w:fill="auto"/>
            <w:noWrap/>
            <w:vAlign w:val="bottom"/>
            <w:hideMark/>
          </w:tcPr>
          <w:p w14:paraId="3544EEF0" w14:textId="031C11F3"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337</w:t>
            </w:r>
          </w:p>
        </w:tc>
        <w:tc>
          <w:tcPr>
            <w:tcW w:w="566" w:type="pct"/>
            <w:tcBorders>
              <w:top w:val="nil"/>
              <w:left w:val="nil"/>
              <w:bottom w:val="nil"/>
              <w:right w:val="nil"/>
            </w:tcBorders>
            <w:shd w:val="clear" w:color="000000" w:fill="E6E6E6"/>
            <w:noWrap/>
            <w:vAlign w:val="bottom"/>
            <w:hideMark/>
          </w:tcPr>
          <w:p w14:paraId="308F4BE6" w14:textId="66E93672"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340</w:t>
            </w:r>
          </w:p>
        </w:tc>
        <w:tc>
          <w:tcPr>
            <w:tcW w:w="550" w:type="pct"/>
            <w:tcBorders>
              <w:top w:val="nil"/>
              <w:left w:val="nil"/>
              <w:bottom w:val="nil"/>
              <w:right w:val="nil"/>
            </w:tcBorders>
            <w:shd w:val="clear" w:color="auto" w:fill="auto"/>
            <w:noWrap/>
            <w:vAlign w:val="bottom"/>
            <w:hideMark/>
          </w:tcPr>
          <w:p w14:paraId="045F80D0" w14:textId="1BDAA2D6"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357</w:t>
            </w:r>
          </w:p>
        </w:tc>
        <w:tc>
          <w:tcPr>
            <w:tcW w:w="550" w:type="pct"/>
            <w:gridSpan w:val="3"/>
            <w:tcBorders>
              <w:top w:val="nil"/>
              <w:left w:val="nil"/>
              <w:bottom w:val="nil"/>
              <w:right w:val="nil"/>
            </w:tcBorders>
            <w:shd w:val="clear" w:color="auto" w:fill="auto"/>
            <w:noWrap/>
            <w:vAlign w:val="bottom"/>
            <w:hideMark/>
          </w:tcPr>
          <w:p w14:paraId="5EDD5F43" w14:textId="2DA5BA0B"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375</w:t>
            </w:r>
          </w:p>
        </w:tc>
        <w:tc>
          <w:tcPr>
            <w:tcW w:w="548" w:type="pct"/>
            <w:tcBorders>
              <w:top w:val="nil"/>
              <w:left w:val="nil"/>
              <w:bottom w:val="nil"/>
              <w:right w:val="nil"/>
            </w:tcBorders>
            <w:shd w:val="clear" w:color="auto" w:fill="auto"/>
            <w:noWrap/>
            <w:vAlign w:val="bottom"/>
            <w:hideMark/>
          </w:tcPr>
          <w:p w14:paraId="6D9C73EA" w14:textId="49DF0AB7"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394</w:t>
            </w:r>
          </w:p>
        </w:tc>
      </w:tr>
      <w:tr w:rsidR="00A86423" w:rsidRPr="00A86423" w14:paraId="0066C0BA" w14:textId="77777777" w:rsidTr="00E84A95">
        <w:trPr>
          <w:gridAfter w:val="1"/>
          <w:wAfter w:w="8" w:type="pct"/>
          <w:trHeight w:val="204"/>
        </w:trPr>
        <w:tc>
          <w:tcPr>
            <w:tcW w:w="2169" w:type="pct"/>
            <w:gridSpan w:val="2"/>
            <w:tcBorders>
              <w:top w:val="nil"/>
              <w:left w:val="nil"/>
              <w:bottom w:val="nil"/>
              <w:right w:val="nil"/>
            </w:tcBorders>
            <w:shd w:val="clear" w:color="auto" w:fill="auto"/>
            <w:vAlign w:val="bottom"/>
            <w:hideMark/>
          </w:tcPr>
          <w:p w14:paraId="79E2D767" w14:textId="77777777" w:rsidR="00B85A2A" w:rsidRPr="00A86423" w:rsidRDefault="00B85A2A" w:rsidP="00E84A95">
            <w:pPr>
              <w:spacing w:after="0" w:line="240" w:lineRule="auto"/>
              <w:ind w:left="113"/>
              <w:rPr>
                <w:rFonts w:ascii="Arial" w:hAnsi="Arial" w:cs="Arial"/>
                <w:sz w:val="16"/>
                <w:szCs w:val="16"/>
              </w:rPr>
            </w:pPr>
            <w:r w:rsidRPr="00A86423">
              <w:rPr>
                <w:rFonts w:ascii="Arial" w:hAnsi="Arial" w:cs="Arial"/>
                <w:sz w:val="16"/>
                <w:szCs w:val="16"/>
              </w:rPr>
              <w:t>International Transport Forum - contribution</w:t>
            </w:r>
          </w:p>
        </w:tc>
        <w:tc>
          <w:tcPr>
            <w:tcW w:w="611" w:type="pct"/>
            <w:tcBorders>
              <w:top w:val="nil"/>
              <w:left w:val="nil"/>
              <w:bottom w:val="nil"/>
              <w:right w:val="nil"/>
            </w:tcBorders>
            <w:shd w:val="clear" w:color="auto" w:fill="auto"/>
            <w:noWrap/>
            <w:vAlign w:val="bottom"/>
            <w:hideMark/>
          </w:tcPr>
          <w:p w14:paraId="0E6E71F9" w14:textId="0CAAFCB4"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120</w:t>
            </w:r>
          </w:p>
        </w:tc>
        <w:tc>
          <w:tcPr>
            <w:tcW w:w="566" w:type="pct"/>
            <w:tcBorders>
              <w:top w:val="nil"/>
              <w:left w:val="nil"/>
              <w:bottom w:val="nil"/>
              <w:right w:val="nil"/>
            </w:tcBorders>
            <w:shd w:val="clear" w:color="000000" w:fill="E6E6E6"/>
            <w:noWrap/>
            <w:vAlign w:val="bottom"/>
            <w:hideMark/>
          </w:tcPr>
          <w:p w14:paraId="3E171222" w14:textId="16AD404A"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122</w:t>
            </w:r>
          </w:p>
        </w:tc>
        <w:tc>
          <w:tcPr>
            <w:tcW w:w="550" w:type="pct"/>
            <w:tcBorders>
              <w:top w:val="nil"/>
              <w:left w:val="nil"/>
              <w:bottom w:val="nil"/>
              <w:right w:val="nil"/>
            </w:tcBorders>
            <w:shd w:val="clear" w:color="auto" w:fill="auto"/>
            <w:noWrap/>
            <w:vAlign w:val="bottom"/>
            <w:hideMark/>
          </w:tcPr>
          <w:p w14:paraId="161F706E" w14:textId="0F880185"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123</w:t>
            </w:r>
          </w:p>
        </w:tc>
        <w:tc>
          <w:tcPr>
            <w:tcW w:w="550" w:type="pct"/>
            <w:gridSpan w:val="3"/>
            <w:tcBorders>
              <w:top w:val="nil"/>
              <w:left w:val="nil"/>
              <w:bottom w:val="nil"/>
              <w:right w:val="nil"/>
            </w:tcBorders>
            <w:shd w:val="clear" w:color="auto" w:fill="auto"/>
            <w:noWrap/>
            <w:vAlign w:val="bottom"/>
            <w:hideMark/>
          </w:tcPr>
          <w:p w14:paraId="4F28E9C7" w14:textId="6FAF0C5A"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123</w:t>
            </w:r>
          </w:p>
        </w:tc>
        <w:tc>
          <w:tcPr>
            <w:tcW w:w="548" w:type="pct"/>
            <w:tcBorders>
              <w:top w:val="nil"/>
              <w:left w:val="nil"/>
              <w:bottom w:val="nil"/>
              <w:right w:val="nil"/>
            </w:tcBorders>
            <w:shd w:val="clear" w:color="auto" w:fill="auto"/>
            <w:noWrap/>
            <w:vAlign w:val="bottom"/>
            <w:hideMark/>
          </w:tcPr>
          <w:p w14:paraId="6F9D4B83" w14:textId="2979CC03"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123</w:t>
            </w:r>
          </w:p>
        </w:tc>
      </w:tr>
      <w:tr w:rsidR="00A86423" w:rsidRPr="00A86423" w14:paraId="322252CC" w14:textId="77777777" w:rsidTr="00E84A95">
        <w:trPr>
          <w:gridAfter w:val="1"/>
          <w:wAfter w:w="8" w:type="pct"/>
          <w:trHeight w:val="204"/>
        </w:trPr>
        <w:tc>
          <w:tcPr>
            <w:tcW w:w="2169" w:type="pct"/>
            <w:gridSpan w:val="2"/>
            <w:tcBorders>
              <w:top w:val="nil"/>
              <w:left w:val="nil"/>
              <w:bottom w:val="nil"/>
              <w:right w:val="nil"/>
            </w:tcBorders>
            <w:shd w:val="clear" w:color="auto" w:fill="auto"/>
            <w:vAlign w:val="bottom"/>
            <w:hideMark/>
          </w:tcPr>
          <w:p w14:paraId="00FC54D9" w14:textId="77777777" w:rsidR="00B85A2A" w:rsidRPr="00A86423" w:rsidRDefault="00B85A2A" w:rsidP="00E84A95">
            <w:pPr>
              <w:spacing w:after="0" w:line="240" w:lineRule="auto"/>
              <w:ind w:left="113"/>
              <w:rPr>
                <w:rFonts w:ascii="Arial" w:hAnsi="Arial" w:cs="Arial"/>
                <w:sz w:val="16"/>
                <w:szCs w:val="16"/>
              </w:rPr>
            </w:pPr>
            <w:r w:rsidRPr="00A86423">
              <w:rPr>
                <w:rFonts w:ascii="Arial" w:hAnsi="Arial" w:cs="Arial"/>
                <w:sz w:val="16"/>
                <w:szCs w:val="16"/>
              </w:rPr>
              <w:t>National Heavy Vehicle Safety Initiatives</w:t>
            </w:r>
          </w:p>
        </w:tc>
        <w:tc>
          <w:tcPr>
            <w:tcW w:w="611" w:type="pct"/>
            <w:tcBorders>
              <w:top w:val="nil"/>
              <w:left w:val="nil"/>
              <w:bottom w:val="nil"/>
              <w:right w:val="nil"/>
            </w:tcBorders>
            <w:shd w:val="clear" w:color="auto" w:fill="auto"/>
            <w:noWrap/>
            <w:vAlign w:val="bottom"/>
            <w:hideMark/>
          </w:tcPr>
          <w:p w14:paraId="6B4FC1ED" w14:textId="4094578C"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5,696</w:t>
            </w:r>
          </w:p>
        </w:tc>
        <w:tc>
          <w:tcPr>
            <w:tcW w:w="566" w:type="pct"/>
            <w:tcBorders>
              <w:top w:val="nil"/>
              <w:left w:val="nil"/>
              <w:bottom w:val="nil"/>
              <w:right w:val="nil"/>
            </w:tcBorders>
            <w:shd w:val="clear" w:color="000000" w:fill="E6E6E6"/>
            <w:noWrap/>
            <w:vAlign w:val="bottom"/>
            <w:hideMark/>
          </w:tcPr>
          <w:p w14:paraId="6DCF990B" w14:textId="15EF6224"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4,370</w:t>
            </w:r>
          </w:p>
        </w:tc>
        <w:tc>
          <w:tcPr>
            <w:tcW w:w="550" w:type="pct"/>
            <w:tcBorders>
              <w:top w:val="nil"/>
              <w:left w:val="nil"/>
              <w:bottom w:val="nil"/>
              <w:right w:val="nil"/>
            </w:tcBorders>
            <w:shd w:val="clear" w:color="auto" w:fill="auto"/>
            <w:noWrap/>
            <w:vAlign w:val="bottom"/>
            <w:hideMark/>
          </w:tcPr>
          <w:p w14:paraId="502F2877" w14:textId="1B94AF1C"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4,488</w:t>
            </w:r>
          </w:p>
        </w:tc>
        <w:tc>
          <w:tcPr>
            <w:tcW w:w="550" w:type="pct"/>
            <w:gridSpan w:val="3"/>
            <w:tcBorders>
              <w:top w:val="nil"/>
              <w:left w:val="nil"/>
              <w:bottom w:val="nil"/>
              <w:right w:val="nil"/>
            </w:tcBorders>
            <w:shd w:val="clear" w:color="auto" w:fill="auto"/>
            <w:noWrap/>
            <w:vAlign w:val="bottom"/>
            <w:hideMark/>
          </w:tcPr>
          <w:p w14:paraId="3C30459B" w14:textId="320E8935"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4,578</w:t>
            </w:r>
          </w:p>
        </w:tc>
        <w:tc>
          <w:tcPr>
            <w:tcW w:w="548" w:type="pct"/>
            <w:tcBorders>
              <w:top w:val="nil"/>
              <w:left w:val="nil"/>
              <w:bottom w:val="nil"/>
              <w:right w:val="nil"/>
            </w:tcBorders>
            <w:shd w:val="clear" w:color="auto" w:fill="auto"/>
            <w:noWrap/>
            <w:vAlign w:val="bottom"/>
            <w:hideMark/>
          </w:tcPr>
          <w:p w14:paraId="22EB2620" w14:textId="72B28D65"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4,666</w:t>
            </w:r>
          </w:p>
        </w:tc>
      </w:tr>
      <w:tr w:rsidR="00A86423" w:rsidRPr="00A86423" w14:paraId="0C389C84" w14:textId="77777777" w:rsidTr="00E84A95">
        <w:trPr>
          <w:gridAfter w:val="1"/>
          <w:wAfter w:w="8" w:type="pct"/>
          <w:trHeight w:val="204"/>
        </w:trPr>
        <w:tc>
          <w:tcPr>
            <w:tcW w:w="2169" w:type="pct"/>
            <w:gridSpan w:val="2"/>
            <w:tcBorders>
              <w:top w:val="nil"/>
              <w:left w:val="nil"/>
              <w:bottom w:val="nil"/>
              <w:right w:val="nil"/>
            </w:tcBorders>
            <w:shd w:val="clear" w:color="auto" w:fill="auto"/>
            <w:vAlign w:val="bottom"/>
            <w:hideMark/>
          </w:tcPr>
          <w:p w14:paraId="69CF2649" w14:textId="77777777" w:rsidR="00B85A2A" w:rsidRPr="00A86423" w:rsidRDefault="00B85A2A" w:rsidP="00E84A95">
            <w:pPr>
              <w:spacing w:after="0" w:line="240" w:lineRule="auto"/>
              <w:ind w:left="113"/>
              <w:rPr>
                <w:rFonts w:ascii="Arial" w:hAnsi="Arial" w:cs="Arial"/>
                <w:sz w:val="16"/>
                <w:szCs w:val="16"/>
              </w:rPr>
            </w:pPr>
            <w:r w:rsidRPr="00A86423">
              <w:rPr>
                <w:rFonts w:ascii="Arial" w:hAnsi="Arial" w:cs="Arial"/>
                <w:sz w:val="16"/>
                <w:szCs w:val="16"/>
              </w:rPr>
              <w:t>Real World Testing of Vehicle Efficiency</w:t>
            </w:r>
          </w:p>
        </w:tc>
        <w:tc>
          <w:tcPr>
            <w:tcW w:w="611" w:type="pct"/>
            <w:tcBorders>
              <w:top w:val="nil"/>
              <w:left w:val="nil"/>
              <w:bottom w:val="nil"/>
              <w:right w:val="nil"/>
            </w:tcBorders>
            <w:shd w:val="clear" w:color="auto" w:fill="auto"/>
            <w:noWrap/>
            <w:vAlign w:val="bottom"/>
            <w:hideMark/>
          </w:tcPr>
          <w:p w14:paraId="4AFCB7FA" w14:textId="46E73F0C"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3,500</w:t>
            </w:r>
          </w:p>
        </w:tc>
        <w:tc>
          <w:tcPr>
            <w:tcW w:w="566" w:type="pct"/>
            <w:tcBorders>
              <w:top w:val="nil"/>
              <w:left w:val="nil"/>
              <w:bottom w:val="nil"/>
              <w:right w:val="nil"/>
            </w:tcBorders>
            <w:shd w:val="clear" w:color="000000" w:fill="E6E6E6"/>
            <w:noWrap/>
            <w:vAlign w:val="bottom"/>
            <w:hideMark/>
          </w:tcPr>
          <w:p w14:paraId="5C2ADC84" w14:textId="306A83CE"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3,500</w:t>
            </w:r>
          </w:p>
        </w:tc>
        <w:tc>
          <w:tcPr>
            <w:tcW w:w="550" w:type="pct"/>
            <w:tcBorders>
              <w:top w:val="nil"/>
              <w:left w:val="nil"/>
              <w:bottom w:val="nil"/>
              <w:right w:val="nil"/>
            </w:tcBorders>
            <w:shd w:val="clear" w:color="auto" w:fill="auto"/>
            <w:noWrap/>
            <w:vAlign w:val="bottom"/>
            <w:hideMark/>
          </w:tcPr>
          <w:p w14:paraId="735AA6F7" w14:textId="014F4484"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3,500</w:t>
            </w:r>
          </w:p>
        </w:tc>
        <w:tc>
          <w:tcPr>
            <w:tcW w:w="550" w:type="pct"/>
            <w:gridSpan w:val="3"/>
            <w:tcBorders>
              <w:top w:val="nil"/>
              <w:left w:val="nil"/>
              <w:bottom w:val="nil"/>
              <w:right w:val="nil"/>
            </w:tcBorders>
            <w:shd w:val="clear" w:color="auto" w:fill="auto"/>
            <w:noWrap/>
            <w:vAlign w:val="bottom"/>
            <w:hideMark/>
          </w:tcPr>
          <w:p w14:paraId="77C44AF6" w14:textId="590424CA"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3,500</w:t>
            </w:r>
          </w:p>
        </w:tc>
        <w:tc>
          <w:tcPr>
            <w:tcW w:w="548" w:type="pct"/>
            <w:tcBorders>
              <w:top w:val="nil"/>
              <w:left w:val="nil"/>
              <w:bottom w:val="nil"/>
              <w:right w:val="nil"/>
            </w:tcBorders>
            <w:shd w:val="clear" w:color="auto" w:fill="auto"/>
            <w:noWrap/>
            <w:vAlign w:val="bottom"/>
            <w:hideMark/>
          </w:tcPr>
          <w:p w14:paraId="407CBBAC" w14:textId="0F043300"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w:t>
            </w:r>
          </w:p>
        </w:tc>
      </w:tr>
      <w:tr w:rsidR="00A86423" w:rsidRPr="00A86423" w14:paraId="64B6460C" w14:textId="77777777" w:rsidTr="00E84A95">
        <w:trPr>
          <w:gridAfter w:val="1"/>
          <w:wAfter w:w="8" w:type="pct"/>
          <w:trHeight w:val="204"/>
        </w:trPr>
        <w:tc>
          <w:tcPr>
            <w:tcW w:w="2169" w:type="pct"/>
            <w:gridSpan w:val="2"/>
            <w:tcBorders>
              <w:top w:val="nil"/>
              <w:left w:val="nil"/>
              <w:bottom w:val="nil"/>
              <w:right w:val="nil"/>
            </w:tcBorders>
            <w:shd w:val="clear" w:color="auto" w:fill="auto"/>
            <w:vAlign w:val="bottom"/>
            <w:hideMark/>
          </w:tcPr>
          <w:p w14:paraId="72D91E0F" w14:textId="77777777" w:rsidR="00B85A2A" w:rsidRPr="00A86423" w:rsidRDefault="00B85A2A" w:rsidP="00E84A95">
            <w:pPr>
              <w:spacing w:after="0" w:line="240" w:lineRule="auto"/>
              <w:ind w:left="113"/>
              <w:rPr>
                <w:rFonts w:ascii="Arial" w:hAnsi="Arial" w:cs="Arial"/>
                <w:sz w:val="16"/>
                <w:szCs w:val="16"/>
              </w:rPr>
            </w:pPr>
            <w:r w:rsidRPr="00A86423">
              <w:rPr>
                <w:rFonts w:ascii="Arial" w:hAnsi="Arial" w:cs="Arial"/>
                <w:sz w:val="16"/>
                <w:szCs w:val="16"/>
              </w:rPr>
              <w:t>Strategic Local Government Asset Assessment Project</w:t>
            </w:r>
          </w:p>
        </w:tc>
        <w:tc>
          <w:tcPr>
            <w:tcW w:w="611" w:type="pct"/>
            <w:tcBorders>
              <w:top w:val="nil"/>
              <w:left w:val="nil"/>
              <w:bottom w:val="nil"/>
              <w:right w:val="nil"/>
            </w:tcBorders>
            <w:shd w:val="clear" w:color="auto" w:fill="auto"/>
            <w:noWrap/>
            <w:vAlign w:val="bottom"/>
            <w:hideMark/>
          </w:tcPr>
          <w:p w14:paraId="0E6328CD" w14:textId="2F254F3B"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4,000</w:t>
            </w:r>
          </w:p>
        </w:tc>
        <w:tc>
          <w:tcPr>
            <w:tcW w:w="566" w:type="pct"/>
            <w:tcBorders>
              <w:top w:val="nil"/>
              <w:left w:val="nil"/>
              <w:bottom w:val="nil"/>
              <w:right w:val="nil"/>
            </w:tcBorders>
            <w:shd w:val="clear" w:color="000000" w:fill="E6E6E6"/>
            <w:noWrap/>
            <w:vAlign w:val="bottom"/>
            <w:hideMark/>
          </w:tcPr>
          <w:p w14:paraId="0D2103FD" w14:textId="455D682B"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4,000</w:t>
            </w:r>
          </w:p>
        </w:tc>
        <w:tc>
          <w:tcPr>
            <w:tcW w:w="550" w:type="pct"/>
            <w:tcBorders>
              <w:top w:val="nil"/>
              <w:left w:val="nil"/>
              <w:bottom w:val="nil"/>
              <w:right w:val="nil"/>
            </w:tcBorders>
            <w:shd w:val="clear" w:color="auto" w:fill="auto"/>
            <w:noWrap/>
            <w:vAlign w:val="bottom"/>
            <w:hideMark/>
          </w:tcPr>
          <w:p w14:paraId="46A2A746" w14:textId="2B721C61"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7,500</w:t>
            </w:r>
          </w:p>
        </w:tc>
        <w:tc>
          <w:tcPr>
            <w:tcW w:w="550" w:type="pct"/>
            <w:gridSpan w:val="3"/>
            <w:tcBorders>
              <w:top w:val="nil"/>
              <w:left w:val="nil"/>
              <w:bottom w:val="nil"/>
              <w:right w:val="nil"/>
            </w:tcBorders>
            <w:shd w:val="clear" w:color="auto" w:fill="auto"/>
            <w:noWrap/>
            <w:vAlign w:val="bottom"/>
            <w:hideMark/>
          </w:tcPr>
          <w:p w14:paraId="68F80244" w14:textId="53B77826"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9,050</w:t>
            </w:r>
          </w:p>
        </w:tc>
        <w:tc>
          <w:tcPr>
            <w:tcW w:w="548" w:type="pct"/>
            <w:tcBorders>
              <w:top w:val="nil"/>
              <w:left w:val="nil"/>
              <w:bottom w:val="nil"/>
              <w:right w:val="nil"/>
            </w:tcBorders>
            <w:shd w:val="clear" w:color="auto" w:fill="auto"/>
            <w:noWrap/>
            <w:vAlign w:val="bottom"/>
            <w:hideMark/>
          </w:tcPr>
          <w:p w14:paraId="0D7BE2BE" w14:textId="40892B83"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5,350</w:t>
            </w:r>
          </w:p>
        </w:tc>
      </w:tr>
      <w:tr w:rsidR="00A86423" w:rsidRPr="00A86423" w14:paraId="60E008C5" w14:textId="77777777" w:rsidTr="00E84A95">
        <w:trPr>
          <w:gridAfter w:val="1"/>
          <w:wAfter w:w="8" w:type="pct"/>
          <w:trHeight w:val="204"/>
        </w:trPr>
        <w:tc>
          <w:tcPr>
            <w:tcW w:w="2169" w:type="pct"/>
            <w:gridSpan w:val="2"/>
            <w:tcBorders>
              <w:top w:val="nil"/>
              <w:left w:val="nil"/>
              <w:bottom w:val="nil"/>
              <w:right w:val="nil"/>
            </w:tcBorders>
            <w:shd w:val="clear" w:color="auto" w:fill="auto"/>
            <w:vAlign w:val="bottom"/>
            <w:hideMark/>
          </w:tcPr>
          <w:p w14:paraId="3FAA2EF3" w14:textId="6EE4724E" w:rsidR="00B85A2A" w:rsidRPr="00A86423" w:rsidRDefault="00B85A2A" w:rsidP="00E84A95">
            <w:pPr>
              <w:spacing w:after="0" w:line="240" w:lineRule="auto"/>
              <w:ind w:left="113"/>
              <w:rPr>
                <w:rFonts w:ascii="Arial" w:hAnsi="Arial" w:cs="Arial"/>
                <w:sz w:val="16"/>
                <w:szCs w:val="16"/>
              </w:rPr>
            </w:pPr>
            <w:r w:rsidRPr="00A86423">
              <w:rPr>
                <w:rFonts w:ascii="Arial" w:hAnsi="Arial" w:cs="Arial"/>
                <w:sz w:val="16"/>
                <w:szCs w:val="16"/>
              </w:rPr>
              <w:t>Tasmanian Freight Equalisation Scheme</w:t>
            </w:r>
            <w:r w:rsidRPr="00A37BBE">
              <w:rPr>
                <w:rFonts w:ascii="Arial" w:hAnsi="Arial" w:cs="Arial"/>
                <w:iCs/>
                <w:sz w:val="16"/>
                <w:szCs w:val="16"/>
                <w:vertAlign w:val="superscript"/>
              </w:rPr>
              <w:t>(a)</w:t>
            </w:r>
          </w:p>
        </w:tc>
        <w:tc>
          <w:tcPr>
            <w:tcW w:w="611" w:type="pct"/>
            <w:tcBorders>
              <w:top w:val="nil"/>
              <w:left w:val="nil"/>
              <w:bottom w:val="nil"/>
              <w:right w:val="nil"/>
            </w:tcBorders>
            <w:shd w:val="clear" w:color="auto" w:fill="auto"/>
            <w:noWrap/>
            <w:vAlign w:val="bottom"/>
            <w:hideMark/>
          </w:tcPr>
          <w:p w14:paraId="7ED7EC07" w14:textId="69571508"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177,984</w:t>
            </w:r>
          </w:p>
        </w:tc>
        <w:tc>
          <w:tcPr>
            <w:tcW w:w="566" w:type="pct"/>
            <w:tcBorders>
              <w:top w:val="nil"/>
              <w:left w:val="nil"/>
              <w:bottom w:val="nil"/>
              <w:right w:val="nil"/>
            </w:tcBorders>
            <w:shd w:val="clear" w:color="000000" w:fill="E6E6E6"/>
            <w:noWrap/>
            <w:vAlign w:val="bottom"/>
            <w:hideMark/>
          </w:tcPr>
          <w:p w14:paraId="3C86BAE2" w14:textId="4CCEC8F2"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179,977</w:t>
            </w:r>
          </w:p>
        </w:tc>
        <w:tc>
          <w:tcPr>
            <w:tcW w:w="550" w:type="pct"/>
            <w:tcBorders>
              <w:top w:val="nil"/>
              <w:left w:val="nil"/>
              <w:bottom w:val="nil"/>
              <w:right w:val="nil"/>
            </w:tcBorders>
            <w:shd w:val="clear" w:color="auto" w:fill="auto"/>
            <w:noWrap/>
            <w:vAlign w:val="bottom"/>
            <w:hideMark/>
          </w:tcPr>
          <w:p w14:paraId="17BC5123" w14:textId="33FFBB1D"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181,969</w:t>
            </w:r>
          </w:p>
        </w:tc>
        <w:tc>
          <w:tcPr>
            <w:tcW w:w="550" w:type="pct"/>
            <w:gridSpan w:val="3"/>
            <w:tcBorders>
              <w:top w:val="nil"/>
              <w:left w:val="nil"/>
              <w:bottom w:val="nil"/>
              <w:right w:val="nil"/>
            </w:tcBorders>
            <w:shd w:val="clear" w:color="auto" w:fill="auto"/>
            <w:noWrap/>
            <w:vAlign w:val="bottom"/>
            <w:hideMark/>
          </w:tcPr>
          <w:p w14:paraId="2E8167CF" w14:textId="74BA2126"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181,969</w:t>
            </w:r>
          </w:p>
        </w:tc>
        <w:tc>
          <w:tcPr>
            <w:tcW w:w="548" w:type="pct"/>
            <w:tcBorders>
              <w:top w:val="nil"/>
              <w:left w:val="nil"/>
              <w:bottom w:val="nil"/>
              <w:right w:val="nil"/>
            </w:tcBorders>
            <w:shd w:val="clear" w:color="auto" w:fill="auto"/>
            <w:noWrap/>
            <w:vAlign w:val="bottom"/>
            <w:hideMark/>
          </w:tcPr>
          <w:p w14:paraId="35783D9A" w14:textId="239691F0"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181,969</w:t>
            </w:r>
          </w:p>
        </w:tc>
      </w:tr>
      <w:tr w:rsidR="00A86423" w:rsidRPr="00A86423" w14:paraId="3466C246" w14:textId="77777777" w:rsidTr="00E84A95">
        <w:trPr>
          <w:gridAfter w:val="1"/>
          <w:wAfter w:w="8" w:type="pct"/>
          <w:trHeight w:val="204"/>
        </w:trPr>
        <w:tc>
          <w:tcPr>
            <w:tcW w:w="2169" w:type="pct"/>
            <w:gridSpan w:val="2"/>
            <w:tcBorders>
              <w:top w:val="nil"/>
              <w:left w:val="nil"/>
              <w:bottom w:val="nil"/>
              <w:right w:val="nil"/>
            </w:tcBorders>
            <w:shd w:val="clear" w:color="auto" w:fill="auto"/>
            <w:vAlign w:val="bottom"/>
            <w:hideMark/>
          </w:tcPr>
          <w:p w14:paraId="0DBD66E1" w14:textId="77777777" w:rsidR="00B85A2A" w:rsidRPr="00A86423" w:rsidRDefault="00B85A2A" w:rsidP="00E84A95">
            <w:pPr>
              <w:spacing w:after="0" w:line="240" w:lineRule="auto"/>
              <w:ind w:left="113"/>
              <w:rPr>
                <w:rFonts w:ascii="Arial" w:hAnsi="Arial" w:cs="Arial"/>
                <w:sz w:val="16"/>
                <w:szCs w:val="16"/>
              </w:rPr>
            </w:pPr>
            <w:r w:rsidRPr="00A86423">
              <w:rPr>
                <w:rFonts w:ascii="Arial" w:hAnsi="Arial" w:cs="Arial"/>
                <w:sz w:val="16"/>
                <w:szCs w:val="16"/>
              </w:rPr>
              <w:t>Tourist and Heritage Operators Rail Safety Regulation</w:t>
            </w:r>
          </w:p>
        </w:tc>
        <w:tc>
          <w:tcPr>
            <w:tcW w:w="611" w:type="pct"/>
            <w:tcBorders>
              <w:top w:val="nil"/>
              <w:left w:val="nil"/>
              <w:bottom w:val="nil"/>
              <w:right w:val="nil"/>
            </w:tcBorders>
            <w:shd w:val="clear" w:color="auto" w:fill="auto"/>
            <w:noWrap/>
            <w:vAlign w:val="bottom"/>
            <w:hideMark/>
          </w:tcPr>
          <w:p w14:paraId="36207C23" w14:textId="626963A6"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w:t>
            </w:r>
          </w:p>
        </w:tc>
        <w:tc>
          <w:tcPr>
            <w:tcW w:w="566" w:type="pct"/>
            <w:tcBorders>
              <w:top w:val="nil"/>
              <w:left w:val="nil"/>
              <w:bottom w:val="nil"/>
              <w:right w:val="nil"/>
            </w:tcBorders>
            <w:shd w:val="clear" w:color="000000" w:fill="E6E6E6"/>
            <w:noWrap/>
            <w:vAlign w:val="bottom"/>
            <w:hideMark/>
          </w:tcPr>
          <w:p w14:paraId="17471F9D" w14:textId="0020D1BE"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1,638</w:t>
            </w:r>
          </w:p>
        </w:tc>
        <w:tc>
          <w:tcPr>
            <w:tcW w:w="550" w:type="pct"/>
            <w:tcBorders>
              <w:top w:val="nil"/>
              <w:left w:val="nil"/>
              <w:bottom w:val="nil"/>
              <w:right w:val="nil"/>
            </w:tcBorders>
            <w:shd w:val="clear" w:color="auto" w:fill="auto"/>
            <w:noWrap/>
            <w:vAlign w:val="bottom"/>
            <w:hideMark/>
          </w:tcPr>
          <w:p w14:paraId="1E9475CC" w14:textId="061B11DC"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1,693</w:t>
            </w:r>
          </w:p>
        </w:tc>
        <w:tc>
          <w:tcPr>
            <w:tcW w:w="550" w:type="pct"/>
            <w:gridSpan w:val="3"/>
            <w:tcBorders>
              <w:top w:val="nil"/>
              <w:left w:val="nil"/>
              <w:bottom w:val="nil"/>
              <w:right w:val="nil"/>
            </w:tcBorders>
            <w:shd w:val="clear" w:color="auto" w:fill="auto"/>
            <w:noWrap/>
            <w:vAlign w:val="bottom"/>
            <w:hideMark/>
          </w:tcPr>
          <w:p w14:paraId="4077C995" w14:textId="5788E25D"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1,737</w:t>
            </w:r>
          </w:p>
        </w:tc>
        <w:tc>
          <w:tcPr>
            <w:tcW w:w="548" w:type="pct"/>
            <w:tcBorders>
              <w:top w:val="nil"/>
              <w:left w:val="nil"/>
              <w:bottom w:val="nil"/>
              <w:right w:val="nil"/>
            </w:tcBorders>
            <w:shd w:val="clear" w:color="auto" w:fill="auto"/>
            <w:noWrap/>
            <w:vAlign w:val="bottom"/>
            <w:hideMark/>
          </w:tcPr>
          <w:p w14:paraId="4E7D34FE" w14:textId="3960EFE6"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1,782</w:t>
            </w:r>
          </w:p>
        </w:tc>
      </w:tr>
      <w:tr w:rsidR="00A86423" w:rsidRPr="00A86423" w14:paraId="3FCD4EEF" w14:textId="77777777" w:rsidTr="00E84A95">
        <w:trPr>
          <w:gridAfter w:val="1"/>
          <w:wAfter w:w="8" w:type="pct"/>
          <w:trHeight w:val="204"/>
        </w:trPr>
        <w:tc>
          <w:tcPr>
            <w:tcW w:w="2169" w:type="pct"/>
            <w:gridSpan w:val="2"/>
            <w:tcBorders>
              <w:top w:val="nil"/>
              <w:left w:val="nil"/>
              <w:bottom w:val="nil"/>
              <w:right w:val="nil"/>
            </w:tcBorders>
            <w:shd w:val="clear" w:color="000000" w:fill="FFFFFF"/>
            <w:noWrap/>
            <w:vAlign w:val="bottom"/>
            <w:hideMark/>
          </w:tcPr>
          <w:p w14:paraId="6537D4A3" w14:textId="77777777" w:rsidR="00B85A2A" w:rsidRPr="00A86423" w:rsidRDefault="00B85A2A" w:rsidP="00E84A95">
            <w:pPr>
              <w:spacing w:after="0" w:line="240" w:lineRule="auto"/>
              <w:rPr>
                <w:rFonts w:ascii="Arial" w:hAnsi="Arial" w:cs="Arial"/>
                <w:sz w:val="16"/>
                <w:szCs w:val="16"/>
              </w:rPr>
            </w:pPr>
            <w:r w:rsidRPr="00A86423">
              <w:rPr>
                <w:rFonts w:ascii="Arial" w:hAnsi="Arial" w:cs="Arial"/>
                <w:sz w:val="16"/>
                <w:szCs w:val="16"/>
              </w:rPr>
              <w:t>Special Appropriations:</w:t>
            </w:r>
          </w:p>
        </w:tc>
        <w:tc>
          <w:tcPr>
            <w:tcW w:w="611" w:type="pct"/>
            <w:tcBorders>
              <w:top w:val="nil"/>
              <w:left w:val="nil"/>
              <w:bottom w:val="nil"/>
              <w:right w:val="nil"/>
            </w:tcBorders>
            <w:shd w:val="clear" w:color="auto" w:fill="auto"/>
            <w:noWrap/>
            <w:vAlign w:val="bottom"/>
            <w:hideMark/>
          </w:tcPr>
          <w:p w14:paraId="29E56FEC" w14:textId="77777777" w:rsidR="00B85A2A" w:rsidRPr="00A86423" w:rsidRDefault="00B85A2A" w:rsidP="00E84A95">
            <w:pPr>
              <w:spacing w:after="0" w:line="240" w:lineRule="auto"/>
              <w:ind w:firstLineChars="100" w:firstLine="160"/>
              <w:jc w:val="right"/>
              <w:rPr>
                <w:rFonts w:ascii="Arial" w:hAnsi="Arial" w:cs="Arial"/>
                <w:sz w:val="16"/>
                <w:szCs w:val="16"/>
              </w:rPr>
            </w:pPr>
          </w:p>
        </w:tc>
        <w:tc>
          <w:tcPr>
            <w:tcW w:w="566" w:type="pct"/>
            <w:tcBorders>
              <w:top w:val="nil"/>
              <w:left w:val="nil"/>
              <w:bottom w:val="nil"/>
              <w:right w:val="nil"/>
            </w:tcBorders>
            <w:shd w:val="clear" w:color="000000" w:fill="E6E6E6"/>
            <w:noWrap/>
            <w:vAlign w:val="bottom"/>
            <w:hideMark/>
          </w:tcPr>
          <w:p w14:paraId="62036A21" w14:textId="56E023A5" w:rsidR="00B85A2A" w:rsidRPr="00A86423" w:rsidRDefault="00B85A2A" w:rsidP="00E84A95">
            <w:pPr>
              <w:spacing w:after="0" w:line="240" w:lineRule="auto"/>
              <w:jc w:val="right"/>
              <w:rPr>
                <w:rFonts w:ascii="Arial" w:hAnsi="Arial" w:cs="Arial"/>
                <w:sz w:val="16"/>
                <w:szCs w:val="16"/>
              </w:rPr>
            </w:pPr>
          </w:p>
        </w:tc>
        <w:tc>
          <w:tcPr>
            <w:tcW w:w="550" w:type="pct"/>
            <w:tcBorders>
              <w:top w:val="nil"/>
              <w:left w:val="nil"/>
              <w:bottom w:val="nil"/>
              <w:right w:val="nil"/>
            </w:tcBorders>
            <w:shd w:val="clear" w:color="auto" w:fill="auto"/>
            <w:noWrap/>
            <w:vAlign w:val="bottom"/>
            <w:hideMark/>
          </w:tcPr>
          <w:p w14:paraId="380B5313" w14:textId="77777777" w:rsidR="00B85A2A" w:rsidRPr="00A86423" w:rsidRDefault="00B85A2A" w:rsidP="00E84A95">
            <w:pPr>
              <w:spacing w:after="0" w:line="240" w:lineRule="auto"/>
              <w:jc w:val="right"/>
              <w:rPr>
                <w:rFonts w:ascii="Arial" w:hAnsi="Arial" w:cs="Arial"/>
                <w:sz w:val="16"/>
                <w:szCs w:val="16"/>
              </w:rPr>
            </w:pPr>
          </w:p>
        </w:tc>
        <w:tc>
          <w:tcPr>
            <w:tcW w:w="550" w:type="pct"/>
            <w:gridSpan w:val="3"/>
            <w:tcBorders>
              <w:top w:val="nil"/>
              <w:left w:val="nil"/>
              <w:bottom w:val="nil"/>
              <w:right w:val="nil"/>
            </w:tcBorders>
            <w:shd w:val="clear" w:color="auto" w:fill="auto"/>
            <w:noWrap/>
            <w:vAlign w:val="bottom"/>
            <w:hideMark/>
          </w:tcPr>
          <w:p w14:paraId="257EC6A3" w14:textId="77777777" w:rsidR="00B85A2A" w:rsidRPr="00A86423" w:rsidRDefault="00B85A2A" w:rsidP="00E84A95">
            <w:pPr>
              <w:spacing w:after="0" w:line="240" w:lineRule="auto"/>
              <w:jc w:val="right"/>
              <w:rPr>
                <w:rFonts w:ascii="Arial" w:hAnsi="Arial" w:cs="Arial"/>
                <w:sz w:val="16"/>
                <w:szCs w:val="16"/>
              </w:rPr>
            </w:pPr>
          </w:p>
        </w:tc>
        <w:tc>
          <w:tcPr>
            <w:tcW w:w="548" w:type="pct"/>
            <w:tcBorders>
              <w:top w:val="nil"/>
              <w:left w:val="nil"/>
              <w:bottom w:val="nil"/>
              <w:right w:val="nil"/>
            </w:tcBorders>
            <w:shd w:val="clear" w:color="auto" w:fill="auto"/>
            <w:noWrap/>
            <w:vAlign w:val="bottom"/>
            <w:hideMark/>
          </w:tcPr>
          <w:p w14:paraId="0B9720AD" w14:textId="77777777" w:rsidR="00B85A2A" w:rsidRPr="00A86423" w:rsidRDefault="00B85A2A" w:rsidP="00E84A95">
            <w:pPr>
              <w:spacing w:after="0" w:line="240" w:lineRule="auto"/>
              <w:jc w:val="right"/>
              <w:rPr>
                <w:rFonts w:ascii="Arial" w:hAnsi="Arial" w:cs="Arial"/>
                <w:sz w:val="16"/>
                <w:szCs w:val="16"/>
              </w:rPr>
            </w:pPr>
          </w:p>
        </w:tc>
      </w:tr>
      <w:tr w:rsidR="00A86423" w:rsidRPr="00A86423" w14:paraId="0E10C939" w14:textId="77777777" w:rsidTr="00E84A95">
        <w:trPr>
          <w:gridAfter w:val="1"/>
          <w:wAfter w:w="8" w:type="pct"/>
          <w:trHeight w:val="204"/>
        </w:trPr>
        <w:tc>
          <w:tcPr>
            <w:tcW w:w="2169" w:type="pct"/>
            <w:gridSpan w:val="2"/>
            <w:tcBorders>
              <w:top w:val="nil"/>
              <w:left w:val="nil"/>
              <w:bottom w:val="nil"/>
              <w:right w:val="nil"/>
            </w:tcBorders>
            <w:shd w:val="clear" w:color="000000" w:fill="FFFFFF"/>
            <w:vAlign w:val="bottom"/>
            <w:hideMark/>
          </w:tcPr>
          <w:p w14:paraId="425A089B" w14:textId="76FAA502" w:rsidR="00B85A2A" w:rsidRPr="00A86423" w:rsidRDefault="00B85A2A" w:rsidP="00E84A95">
            <w:pPr>
              <w:spacing w:after="0" w:line="240" w:lineRule="auto"/>
              <w:ind w:left="113"/>
              <w:rPr>
                <w:rFonts w:ascii="Arial" w:hAnsi="Arial" w:cs="Arial"/>
                <w:i/>
                <w:iCs/>
                <w:sz w:val="16"/>
                <w:szCs w:val="16"/>
              </w:rPr>
            </w:pPr>
            <w:r w:rsidRPr="00A86423">
              <w:rPr>
                <w:rFonts w:ascii="Arial" w:hAnsi="Arial" w:cs="Arial"/>
                <w:i/>
                <w:iCs/>
                <w:sz w:val="16"/>
                <w:szCs w:val="16"/>
              </w:rPr>
              <w:t>Australian Maritime Safety Authority Act 1990</w:t>
            </w:r>
            <w:r w:rsidRPr="00A86423">
              <w:rPr>
                <w:rFonts w:ascii="Arial" w:hAnsi="Arial" w:cs="Arial"/>
                <w:i/>
                <w:iCs/>
                <w:sz w:val="16"/>
                <w:szCs w:val="16"/>
                <w:vertAlign w:val="superscript"/>
              </w:rPr>
              <w:t>(b)</w:t>
            </w:r>
          </w:p>
        </w:tc>
        <w:tc>
          <w:tcPr>
            <w:tcW w:w="611" w:type="pct"/>
            <w:tcBorders>
              <w:top w:val="nil"/>
              <w:left w:val="nil"/>
              <w:bottom w:val="nil"/>
              <w:right w:val="nil"/>
            </w:tcBorders>
            <w:shd w:val="clear" w:color="auto" w:fill="auto"/>
            <w:noWrap/>
            <w:vAlign w:val="bottom"/>
            <w:hideMark/>
          </w:tcPr>
          <w:p w14:paraId="1308FDB9" w14:textId="6FC449A7"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134,098</w:t>
            </w:r>
          </w:p>
        </w:tc>
        <w:tc>
          <w:tcPr>
            <w:tcW w:w="566" w:type="pct"/>
            <w:tcBorders>
              <w:top w:val="nil"/>
              <w:left w:val="nil"/>
              <w:bottom w:val="nil"/>
              <w:right w:val="nil"/>
            </w:tcBorders>
            <w:shd w:val="clear" w:color="000000" w:fill="E6E6E6"/>
            <w:noWrap/>
            <w:vAlign w:val="bottom"/>
            <w:hideMark/>
          </w:tcPr>
          <w:p w14:paraId="5AFA6CC2" w14:textId="584A8E44"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136,515</w:t>
            </w:r>
          </w:p>
        </w:tc>
        <w:tc>
          <w:tcPr>
            <w:tcW w:w="550" w:type="pct"/>
            <w:tcBorders>
              <w:top w:val="nil"/>
              <w:left w:val="nil"/>
              <w:bottom w:val="nil"/>
              <w:right w:val="nil"/>
            </w:tcBorders>
            <w:shd w:val="clear" w:color="auto" w:fill="auto"/>
            <w:noWrap/>
            <w:vAlign w:val="bottom"/>
            <w:hideMark/>
          </w:tcPr>
          <w:p w14:paraId="542B446A" w14:textId="3F40B79F"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154,845</w:t>
            </w:r>
          </w:p>
        </w:tc>
        <w:tc>
          <w:tcPr>
            <w:tcW w:w="550" w:type="pct"/>
            <w:gridSpan w:val="3"/>
            <w:tcBorders>
              <w:top w:val="nil"/>
              <w:left w:val="nil"/>
              <w:bottom w:val="nil"/>
              <w:right w:val="nil"/>
            </w:tcBorders>
            <w:shd w:val="clear" w:color="auto" w:fill="auto"/>
            <w:noWrap/>
            <w:vAlign w:val="bottom"/>
            <w:hideMark/>
          </w:tcPr>
          <w:p w14:paraId="1AEC6C9A" w14:textId="30D11E56"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157,958</w:t>
            </w:r>
          </w:p>
        </w:tc>
        <w:tc>
          <w:tcPr>
            <w:tcW w:w="548" w:type="pct"/>
            <w:tcBorders>
              <w:top w:val="nil"/>
              <w:left w:val="nil"/>
              <w:bottom w:val="nil"/>
              <w:right w:val="nil"/>
            </w:tcBorders>
            <w:shd w:val="clear" w:color="auto" w:fill="auto"/>
            <w:noWrap/>
            <w:vAlign w:val="bottom"/>
            <w:hideMark/>
          </w:tcPr>
          <w:p w14:paraId="7B0F1E78" w14:textId="61859F55"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161,138</w:t>
            </w:r>
          </w:p>
        </w:tc>
      </w:tr>
      <w:tr w:rsidR="00A86423" w:rsidRPr="00A86423" w14:paraId="373856B2" w14:textId="77777777" w:rsidTr="00E84A95">
        <w:trPr>
          <w:gridAfter w:val="1"/>
          <w:wAfter w:w="8" w:type="pct"/>
          <w:trHeight w:val="204"/>
        </w:trPr>
        <w:tc>
          <w:tcPr>
            <w:tcW w:w="2169" w:type="pct"/>
            <w:gridSpan w:val="2"/>
            <w:tcBorders>
              <w:top w:val="nil"/>
              <w:left w:val="nil"/>
              <w:bottom w:val="nil"/>
              <w:right w:val="nil"/>
            </w:tcBorders>
            <w:shd w:val="clear" w:color="000000" w:fill="FFFFFF"/>
            <w:vAlign w:val="bottom"/>
            <w:hideMark/>
          </w:tcPr>
          <w:p w14:paraId="35044B47" w14:textId="77777777" w:rsidR="00B85A2A" w:rsidRPr="00A86423" w:rsidRDefault="00B85A2A" w:rsidP="00E84A95">
            <w:pPr>
              <w:spacing w:after="0" w:line="240" w:lineRule="auto"/>
              <w:ind w:left="113"/>
              <w:rPr>
                <w:rFonts w:ascii="Arial" w:hAnsi="Arial" w:cs="Arial"/>
                <w:i/>
                <w:iCs/>
                <w:sz w:val="16"/>
                <w:szCs w:val="16"/>
              </w:rPr>
            </w:pPr>
            <w:r w:rsidRPr="00A86423">
              <w:rPr>
                <w:rFonts w:ascii="Arial" w:hAnsi="Arial" w:cs="Arial"/>
                <w:i/>
                <w:iCs/>
                <w:sz w:val="16"/>
                <w:szCs w:val="16"/>
              </w:rPr>
              <w:t>Protection of the Sea (Oil Pollution Compensation Funds) Act 1993</w:t>
            </w:r>
          </w:p>
        </w:tc>
        <w:tc>
          <w:tcPr>
            <w:tcW w:w="611" w:type="pct"/>
            <w:tcBorders>
              <w:top w:val="nil"/>
              <w:left w:val="nil"/>
              <w:bottom w:val="nil"/>
              <w:right w:val="nil"/>
            </w:tcBorders>
            <w:shd w:val="clear" w:color="auto" w:fill="auto"/>
            <w:noWrap/>
            <w:vAlign w:val="bottom"/>
            <w:hideMark/>
          </w:tcPr>
          <w:p w14:paraId="00C8A5C8" w14:textId="5E3E74C4"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600</w:t>
            </w:r>
          </w:p>
        </w:tc>
        <w:tc>
          <w:tcPr>
            <w:tcW w:w="566" w:type="pct"/>
            <w:tcBorders>
              <w:top w:val="nil"/>
              <w:left w:val="nil"/>
              <w:bottom w:val="nil"/>
              <w:right w:val="nil"/>
            </w:tcBorders>
            <w:shd w:val="clear" w:color="000000" w:fill="E6E6E6"/>
            <w:noWrap/>
            <w:vAlign w:val="bottom"/>
            <w:hideMark/>
          </w:tcPr>
          <w:p w14:paraId="2C8CABF8" w14:textId="1D126AD5"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600</w:t>
            </w:r>
          </w:p>
        </w:tc>
        <w:tc>
          <w:tcPr>
            <w:tcW w:w="550" w:type="pct"/>
            <w:tcBorders>
              <w:top w:val="nil"/>
              <w:left w:val="nil"/>
              <w:bottom w:val="nil"/>
              <w:right w:val="nil"/>
            </w:tcBorders>
            <w:shd w:val="clear" w:color="auto" w:fill="auto"/>
            <w:noWrap/>
            <w:vAlign w:val="bottom"/>
            <w:hideMark/>
          </w:tcPr>
          <w:p w14:paraId="2BAE196B" w14:textId="669928DF"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600</w:t>
            </w:r>
          </w:p>
        </w:tc>
        <w:tc>
          <w:tcPr>
            <w:tcW w:w="550" w:type="pct"/>
            <w:gridSpan w:val="3"/>
            <w:tcBorders>
              <w:top w:val="nil"/>
              <w:left w:val="nil"/>
              <w:bottom w:val="nil"/>
              <w:right w:val="nil"/>
            </w:tcBorders>
            <w:shd w:val="clear" w:color="auto" w:fill="auto"/>
            <w:noWrap/>
            <w:vAlign w:val="bottom"/>
            <w:hideMark/>
          </w:tcPr>
          <w:p w14:paraId="5111F86C" w14:textId="1CC1D565"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600</w:t>
            </w:r>
          </w:p>
        </w:tc>
        <w:tc>
          <w:tcPr>
            <w:tcW w:w="548" w:type="pct"/>
            <w:tcBorders>
              <w:top w:val="nil"/>
              <w:left w:val="nil"/>
              <w:bottom w:val="nil"/>
              <w:right w:val="nil"/>
            </w:tcBorders>
            <w:shd w:val="clear" w:color="auto" w:fill="auto"/>
            <w:noWrap/>
            <w:vAlign w:val="bottom"/>
            <w:hideMark/>
          </w:tcPr>
          <w:p w14:paraId="39742190" w14:textId="53244A20"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600</w:t>
            </w:r>
          </w:p>
        </w:tc>
      </w:tr>
      <w:tr w:rsidR="00A86423" w:rsidRPr="00A86423" w14:paraId="14BCA89F" w14:textId="77777777" w:rsidTr="00E84A95">
        <w:trPr>
          <w:gridAfter w:val="1"/>
          <w:wAfter w:w="8" w:type="pct"/>
          <w:trHeight w:val="204"/>
        </w:trPr>
        <w:tc>
          <w:tcPr>
            <w:tcW w:w="2169" w:type="pct"/>
            <w:gridSpan w:val="2"/>
            <w:tcBorders>
              <w:top w:val="nil"/>
              <w:left w:val="nil"/>
              <w:bottom w:val="nil"/>
              <w:right w:val="nil"/>
            </w:tcBorders>
            <w:shd w:val="clear" w:color="000000" w:fill="FFFFFF"/>
            <w:noWrap/>
            <w:vAlign w:val="bottom"/>
            <w:hideMark/>
          </w:tcPr>
          <w:p w14:paraId="0762CC26" w14:textId="6056FC27" w:rsidR="00B85A2A" w:rsidRPr="00A86423" w:rsidRDefault="00B85A2A" w:rsidP="00E84A95">
            <w:pPr>
              <w:spacing w:after="0" w:line="240" w:lineRule="auto"/>
              <w:rPr>
                <w:rFonts w:ascii="Arial" w:hAnsi="Arial" w:cs="Arial"/>
                <w:sz w:val="16"/>
                <w:szCs w:val="16"/>
              </w:rPr>
            </w:pPr>
            <w:r w:rsidRPr="00A86423">
              <w:rPr>
                <w:rFonts w:ascii="Arial" w:hAnsi="Arial" w:cs="Arial"/>
                <w:sz w:val="16"/>
                <w:szCs w:val="16"/>
              </w:rPr>
              <w:t>Payments to corporate entities</w:t>
            </w:r>
            <w:r w:rsidR="00DC6416" w:rsidRPr="00DC6416">
              <w:rPr>
                <w:rFonts w:ascii="Arial" w:hAnsi="Arial" w:cs="Arial"/>
                <w:sz w:val="16"/>
                <w:szCs w:val="16"/>
                <w:vertAlign w:val="superscript"/>
              </w:rPr>
              <w:t>(</w:t>
            </w:r>
            <w:r w:rsidRPr="00A86423">
              <w:rPr>
                <w:rFonts w:ascii="Arial" w:hAnsi="Arial" w:cs="Arial"/>
                <w:sz w:val="16"/>
                <w:szCs w:val="16"/>
                <w:vertAlign w:val="superscript"/>
              </w:rPr>
              <w:t>b)</w:t>
            </w:r>
          </w:p>
        </w:tc>
        <w:tc>
          <w:tcPr>
            <w:tcW w:w="611" w:type="pct"/>
            <w:tcBorders>
              <w:top w:val="nil"/>
              <w:left w:val="nil"/>
              <w:bottom w:val="nil"/>
              <w:right w:val="nil"/>
            </w:tcBorders>
            <w:shd w:val="clear" w:color="auto" w:fill="auto"/>
            <w:noWrap/>
            <w:vAlign w:val="bottom"/>
            <w:hideMark/>
          </w:tcPr>
          <w:p w14:paraId="743E8D57" w14:textId="77777777" w:rsidR="00B85A2A" w:rsidRPr="00A86423" w:rsidRDefault="00B85A2A" w:rsidP="00E84A95">
            <w:pPr>
              <w:spacing w:after="0" w:line="240" w:lineRule="auto"/>
              <w:ind w:firstLineChars="100" w:firstLine="160"/>
              <w:jc w:val="right"/>
              <w:rPr>
                <w:rFonts w:ascii="Arial" w:hAnsi="Arial" w:cs="Arial"/>
                <w:sz w:val="16"/>
                <w:szCs w:val="16"/>
              </w:rPr>
            </w:pPr>
          </w:p>
        </w:tc>
        <w:tc>
          <w:tcPr>
            <w:tcW w:w="566" w:type="pct"/>
            <w:tcBorders>
              <w:top w:val="nil"/>
              <w:left w:val="nil"/>
              <w:bottom w:val="nil"/>
              <w:right w:val="nil"/>
            </w:tcBorders>
            <w:shd w:val="clear" w:color="000000" w:fill="E6E6E6"/>
            <w:noWrap/>
            <w:vAlign w:val="bottom"/>
            <w:hideMark/>
          </w:tcPr>
          <w:p w14:paraId="1EC14402" w14:textId="323C7D93" w:rsidR="00B85A2A" w:rsidRPr="00A86423" w:rsidRDefault="00B85A2A" w:rsidP="00E84A95">
            <w:pPr>
              <w:spacing w:after="0" w:line="240" w:lineRule="auto"/>
              <w:jc w:val="right"/>
              <w:rPr>
                <w:rFonts w:ascii="Arial" w:hAnsi="Arial" w:cs="Arial"/>
                <w:sz w:val="16"/>
                <w:szCs w:val="16"/>
              </w:rPr>
            </w:pPr>
          </w:p>
        </w:tc>
        <w:tc>
          <w:tcPr>
            <w:tcW w:w="550" w:type="pct"/>
            <w:tcBorders>
              <w:top w:val="nil"/>
              <w:left w:val="nil"/>
              <w:bottom w:val="nil"/>
              <w:right w:val="nil"/>
            </w:tcBorders>
            <w:shd w:val="clear" w:color="auto" w:fill="auto"/>
            <w:noWrap/>
            <w:vAlign w:val="bottom"/>
            <w:hideMark/>
          </w:tcPr>
          <w:p w14:paraId="775ACEE0" w14:textId="77777777" w:rsidR="00B85A2A" w:rsidRPr="00A86423" w:rsidRDefault="00B85A2A" w:rsidP="00E84A95">
            <w:pPr>
              <w:spacing w:after="0" w:line="240" w:lineRule="auto"/>
              <w:jc w:val="right"/>
              <w:rPr>
                <w:rFonts w:ascii="Arial" w:hAnsi="Arial" w:cs="Arial"/>
                <w:sz w:val="16"/>
                <w:szCs w:val="16"/>
              </w:rPr>
            </w:pPr>
          </w:p>
        </w:tc>
        <w:tc>
          <w:tcPr>
            <w:tcW w:w="550" w:type="pct"/>
            <w:gridSpan w:val="3"/>
            <w:tcBorders>
              <w:top w:val="nil"/>
              <w:left w:val="nil"/>
              <w:bottom w:val="nil"/>
              <w:right w:val="nil"/>
            </w:tcBorders>
            <w:shd w:val="clear" w:color="auto" w:fill="auto"/>
            <w:noWrap/>
            <w:vAlign w:val="bottom"/>
            <w:hideMark/>
          </w:tcPr>
          <w:p w14:paraId="71BF5285" w14:textId="77777777" w:rsidR="00B85A2A" w:rsidRPr="00A86423" w:rsidRDefault="00B85A2A" w:rsidP="00E84A95">
            <w:pPr>
              <w:spacing w:after="0" w:line="240" w:lineRule="auto"/>
              <w:jc w:val="right"/>
              <w:rPr>
                <w:rFonts w:ascii="Arial" w:hAnsi="Arial" w:cs="Arial"/>
                <w:sz w:val="16"/>
                <w:szCs w:val="16"/>
              </w:rPr>
            </w:pPr>
          </w:p>
        </w:tc>
        <w:tc>
          <w:tcPr>
            <w:tcW w:w="548" w:type="pct"/>
            <w:tcBorders>
              <w:top w:val="nil"/>
              <w:left w:val="nil"/>
              <w:bottom w:val="nil"/>
              <w:right w:val="nil"/>
            </w:tcBorders>
            <w:shd w:val="clear" w:color="auto" w:fill="auto"/>
            <w:noWrap/>
            <w:vAlign w:val="bottom"/>
            <w:hideMark/>
          </w:tcPr>
          <w:p w14:paraId="53CDAEED" w14:textId="77777777" w:rsidR="00B85A2A" w:rsidRPr="00A86423" w:rsidRDefault="00B85A2A" w:rsidP="00E84A95">
            <w:pPr>
              <w:spacing w:after="0" w:line="240" w:lineRule="auto"/>
              <w:jc w:val="right"/>
              <w:rPr>
                <w:rFonts w:ascii="Arial" w:hAnsi="Arial" w:cs="Arial"/>
                <w:sz w:val="16"/>
                <w:szCs w:val="16"/>
              </w:rPr>
            </w:pPr>
          </w:p>
        </w:tc>
      </w:tr>
      <w:tr w:rsidR="00A86423" w:rsidRPr="00A86423" w14:paraId="13F5CEDF" w14:textId="77777777" w:rsidTr="00E84A95">
        <w:trPr>
          <w:gridAfter w:val="1"/>
          <w:wAfter w:w="8" w:type="pct"/>
          <w:trHeight w:val="204"/>
        </w:trPr>
        <w:tc>
          <w:tcPr>
            <w:tcW w:w="2169" w:type="pct"/>
            <w:gridSpan w:val="2"/>
            <w:tcBorders>
              <w:top w:val="nil"/>
              <w:left w:val="nil"/>
              <w:bottom w:val="nil"/>
              <w:right w:val="nil"/>
            </w:tcBorders>
            <w:shd w:val="clear" w:color="000000" w:fill="FFFFFF"/>
            <w:noWrap/>
            <w:vAlign w:val="bottom"/>
            <w:hideMark/>
          </w:tcPr>
          <w:p w14:paraId="249D8C2B" w14:textId="77777777" w:rsidR="00B85A2A" w:rsidRPr="00A86423" w:rsidRDefault="00B85A2A" w:rsidP="00E84A95">
            <w:pPr>
              <w:spacing w:after="0" w:line="240" w:lineRule="auto"/>
              <w:ind w:left="113"/>
              <w:rPr>
                <w:rFonts w:ascii="Arial" w:hAnsi="Arial" w:cs="Arial"/>
                <w:sz w:val="16"/>
                <w:szCs w:val="16"/>
              </w:rPr>
            </w:pPr>
            <w:r w:rsidRPr="00A86423">
              <w:rPr>
                <w:rFonts w:ascii="Arial" w:hAnsi="Arial" w:cs="Arial"/>
                <w:sz w:val="16"/>
                <w:szCs w:val="16"/>
              </w:rPr>
              <w:t>Australian Maritime Safety Authority</w:t>
            </w:r>
          </w:p>
        </w:tc>
        <w:tc>
          <w:tcPr>
            <w:tcW w:w="611" w:type="pct"/>
            <w:tcBorders>
              <w:top w:val="nil"/>
              <w:left w:val="nil"/>
              <w:bottom w:val="nil"/>
              <w:right w:val="nil"/>
            </w:tcBorders>
            <w:shd w:val="clear" w:color="auto" w:fill="auto"/>
            <w:noWrap/>
            <w:vAlign w:val="bottom"/>
            <w:hideMark/>
          </w:tcPr>
          <w:p w14:paraId="4B170E22" w14:textId="55AA42F9"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90,757</w:t>
            </w:r>
          </w:p>
        </w:tc>
        <w:tc>
          <w:tcPr>
            <w:tcW w:w="566" w:type="pct"/>
            <w:tcBorders>
              <w:top w:val="nil"/>
              <w:left w:val="nil"/>
              <w:bottom w:val="nil"/>
              <w:right w:val="nil"/>
            </w:tcBorders>
            <w:shd w:val="clear" w:color="000000" w:fill="E6E6E6"/>
            <w:noWrap/>
            <w:vAlign w:val="bottom"/>
            <w:hideMark/>
          </w:tcPr>
          <w:p w14:paraId="4E861740" w14:textId="7FD82ABC"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98,826</w:t>
            </w:r>
          </w:p>
        </w:tc>
        <w:tc>
          <w:tcPr>
            <w:tcW w:w="550" w:type="pct"/>
            <w:tcBorders>
              <w:top w:val="nil"/>
              <w:left w:val="nil"/>
              <w:bottom w:val="nil"/>
              <w:right w:val="nil"/>
            </w:tcBorders>
            <w:shd w:val="clear" w:color="auto" w:fill="auto"/>
            <w:noWrap/>
            <w:vAlign w:val="bottom"/>
            <w:hideMark/>
          </w:tcPr>
          <w:p w14:paraId="0936D77B" w14:textId="22EC7E29"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86,084</w:t>
            </w:r>
          </w:p>
        </w:tc>
        <w:tc>
          <w:tcPr>
            <w:tcW w:w="550" w:type="pct"/>
            <w:gridSpan w:val="3"/>
            <w:tcBorders>
              <w:top w:val="nil"/>
              <w:left w:val="nil"/>
              <w:bottom w:val="nil"/>
              <w:right w:val="nil"/>
            </w:tcBorders>
            <w:shd w:val="clear" w:color="auto" w:fill="auto"/>
            <w:noWrap/>
            <w:vAlign w:val="bottom"/>
            <w:hideMark/>
          </w:tcPr>
          <w:p w14:paraId="17F54C5F" w14:textId="65B0BB24"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87,441</w:t>
            </w:r>
          </w:p>
        </w:tc>
        <w:tc>
          <w:tcPr>
            <w:tcW w:w="548" w:type="pct"/>
            <w:tcBorders>
              <w:top w:val="nil"/>
              <w:left w:val="nil"/>
              <w:bottom w:val="nil"/>
              <w:right w:val="nil"/>
            </w:tcBorders>
            <w:shd w:val="clear" w:color="auto" w:fill="auto"/>
            <w:noWrap/>
            <w:vAlign w:val="bottom"/>
            <w:hideMark/>
          </w:tcPr>
          <w:p w14:paraId="387FA550" w14:textId="48084286"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87,485</w:t>
            </w:r>
          </w:p>
        </w:tc>
      </w:tr>
      <w:tr w:rsidR="00A86423" w:rsidRPr="00A86423" w14:paraId="0CFBAE35" w14:textId="77777777" w:rsidTr="00E84A95">
        <w:trPr>
          <w:gridAfter w:val="1"/>
          <w:wAfter w:w="8" w:type="pct"/>
          <w:trHeight w:val="204"/>
        </w:trPr>
        <w:tc>
          <w:tcPr>
            <w:tcW w:w="2169" w:type="pct"/>
            <w:gridSpan w:val="2"/>
            <w:tcBorders>
              <w:top w:val="nil"/>
              <w:left w:val="nil"/>
              <w:bottom w:val="nil"/>
              <w:right w:val="nil"/>
            </w:tcBorders>
            <w:shd w:val="clear" w:color="000000" w:fill="FFFFFF"/>
            <w:noWrap/>
            <w:vAlign w:val="bottom"/>
            <w:hideMark/>
          </w:tcPr>
          <w:p w14:paraId="580E0E90" w14:textId="77777777" w:rsidR="00B85A2A" w:rsidRPr="00A86423" w:rsidRDefault="00B85A2A" w:rsidP="00E84A95">
            <w:pPr>
              <w:spacing w:after="0" w:line="240" w:lineRule="auto"/>
              <w:ind w:left="113"/>
              <w:rPr>
                <w:rFonts w:ascii="Arial" w:hAnsi="Arial" w:cs="Arial"/>
                <w:sz w:val="16"/>
                <w:szCs w:val="16"/>
              </w:rPr>
            </w:pPr>
            <w:r w:rsidRPr="00A86423">
              <w:rPr>
                <w:rFonts w:ascii="Arial" w:hAnsi="Arial" w:cs="Arial"/>
                <w:sz w:val="16"/>
                <w:szCs w:val="16"/>
              </w:rPr>
              <w:t>National Transport Commission</w:t>
            </w:r>
          </w:p>
        </w:tc>
        <w:tc>
          <w:tcPr>
            <w:tcW w:w="611" w:type="pct"/>
            <w:tcBorders>
              <w:top w:val="nil"/>
              <w:left w:val="nil"/>
              <w:bottom w:val="nil"/>
              <w:right w:val="nil"/>
            </w:tcBorders>
            <w:shd w:val="clear" w:color="auto" w:fill="auto"/>
            <w:noWrap/>
            <w:vAlign w:val="bottom"/>
            <w:hideMark/>
          </w:tcPr>
          <w:p w14:paraId="2E518414" w14:textId="7FECDE7A"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4,777</w:t>
            </w:r>
          </w:p>
        </w:tc>
        <w:tc>
          <w:tcPr>
            <w:tcW w:w="566" w:type="pct"/>
            <w:tcBorders>
              <w:top w:val="nil"/>
              <w:left w:val="nil"/>
              <w:bottom w:val="nil"/>
              <w:right w:val="nil"/>
            </w:tcBorders>
            <w:shd w:val="clear" w:color="000000" w:fill="E6E6E6"/>
            <w:noWrap/>
            <w:vAlign w:val="bottom"/>
            <w:hideMark/>
          </w:tcPr>
          <w:p w14:paraId="0844BDF9" w14:textId="3D1FD952"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4,605</w:t>
            </w:r>
          </w:p>
        </w:tc>
        <w:tc>
          <w:tcPr>
            <w:tcW w:w="550" w:type="pct"/>
            <w:tcBorders>
              <w:top w:val="nil"/>
              <w:left w:val="nil"/>
              <w:bottom w:val="nil"/>
              <w:right w:val="nil"/>
            </w:tcBorders>
            <w:shd w:val="clear" w:color="auto" w:fill="auto"/>
            <w:noWrap/>
            <w:vAlign w:val="bottom"/>
            <w:hideMark/>
          </w:tcPr>
          <w:p w14:paraId="5038B09B" w14:textId="09E0E0F4"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4,178</w:t>
            </w:r>
          </w:p>
        </w:tc>
        <w:tc>
          <w:tcPr>
            <w:tcW w:w="550" w:type="pct"/>
            <w:gridSpan w:val="3"/>
            <w:tcBorders>
              <w:top w:val="nil"/>
              <w:left w:val="nil"/>
              <w:bottom w:val="nil"/>
              <w:right w:val="nil"/>
            </w:tcBorders>
            <w:shd w:val="clear" w:color="auto" w:fill="auto"/>
            <w:noWrap/>
            <w:vAlign w:val="bottom"/>
            <w:hideMark/>
          </w:tcPr>
          <w:p w14:paraId="29DBF829" w14:textId="1322B308"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4,286</w:t>
            </w:r>
          </w:p>
        </w:tc>
        <w:tc>
          <w:tcPr>
            <w:tcW w:w="548" w:type="pct"/>
            <w:tcBorders>
              <w:top w:val="nil"/>
              <w:left w:val="nil"/>
              <w:bottom w:val="nil"/>
              <w:right w:val="nil"/>
            </w:tcBorders>
            <w:shd w:val="clear" w:color="auto" w:fill="auto"/>
            <w:noWrap/>
            <w:vAlign w:val="bottom"/>
            <w:hideMark/>
          </w:tcPr>
          <w:p w14:paraId="76CC0C2A" w14:textId="353AEAD6"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4,393</w:t>
            </w:r>
          </w:p>
        </w:tc>
      </w:tr>
      <w:tr w:rsidR="00A86423" w:rsidRPr="00A86423" w14:paraId="12D9DF53" w14:textId="77777777" w:rsidTr="00E84A95">
        <w:trPr>
          <w:gridAfter w:val="1"/>
          <w:wAfter w:w="8" w:type="pct"/>
          <w:trHeight w:val="204"/>
        </w:trPr>
        <w:tc>
          <w:tcPr>
            <w:tcW w:w="2169" w:type="pct"/>
            <w:gridSpan w:val="2"/>
            <w:tcBorders>
              <w:top w:val="nil"/>
              <w:left w:val="nil"/>
              <w:bottom w:val="single" w:sz="4" w:space="0" w:color="auto"/>
              <w:right w:val="nil"/>
            </w:tcBorders>
            <w:shd w:val="clear" w:color="auto" w:fill="auto"/>
            <w:noWrap/>
            <w:vAlign w:val="bottom"/>
            <w:hideMark/>
          </w:tcPr>
          <w:p w14:paraId="2E56DFFA" w14:textId="77777777" w:rsidR="00B85A2A" w:rsidRPr="00A86423" w:rsidRDefault="00B85A2A" w:rsidP="00B85A2A">
            <w:pPr>
              <w:spacing w:after="0" w:line="240" w:lineRule="auto"/>
              <w:rPr>
                <w:rFonts w:ascii="Arial" w:hAnsi="Arial" w:cs="Arial"/>
                <w:b/>
                <w:bCs/>
                <w:sz w:val="16"/>
                <w:szCs w:val="16"/>
              </w:rPr>
            </w:pPr>
            <w:r w:rsidRPr="00A86423">
              <w:rPr>
                <w:rFonts w:ascii="Arial" w:hAnsi="Arial" w:cs="Arial"/>
                <w:b/>
                <w:bCs/>
                <w:sz w:val="16"/>
                <w:szCs w:val="16"/>
              </w:rPr>
              <w:t>Total expenses for Program 2.1</w:t>
            </w:r>
          </w:p>
        </w:tc>
        <w:tc>
          <w:tcPr>
            <w:tcW w:w="611" w:type="pct"/>
            <w:tcBorders>
              <w:top w:val="single" w:sz="4" w:space="0" w:color="auto"/>
              <w:left w:val="nil"/>
              <w:bottom w:val="single" w:sz="4" w:space="0" w:color="auto"/>
              <w:right w:val="nil"/>
            </w:tcBorders>
            <w:shd w:val="clear" w:color="auto" w:fill="auto"/>
            <w:noWrap/>
            <w:vAlign w:val="bottom"/>
            <w:hideMark/>
          </w:tcPr>
          <w:p w14:paraId="55DB408D" w14:textId="304FDEAC" w:rsidR="00B85A2A" w:rsidRPr="00A86423" w:rsidRDefault="00B85A2A" w:rsidP="00E84A95">
            <w:pPr>
              <w:spacing w:after="0" w:line="240" w:lineRule="auto"/>
              <w:jc w:val="right"/>
              <w:rPr>
                <w:rFonts w:ascii="Arial" w:hAnsi="Arial" w:cs="Arial"/>
                <w:b/>
                <w:bCs/>
                <w:sz w:val="16"/>
                <w:szCs w:val="16"/>
              </w:rPr>
            </w:pPr>
            <w:r w:rsidRPr="00A86423">
              <w:rPr>
                <w:rFonts w:ascii="Arial" w:hAnsi="Arial" w:cs="Arial"/>
                <w:b/>
                <w:bCs/>
                <w:sz w:val="16"/>
                <w:szCs w:val="16"/>
              </w:rPr>
              <w:t>478,244</w:t>
            </w:r>
          </w:p>
        </w:tc>
        <w:tc>
          <w:tcPr>
            <w:tcW w:w="566" w:type="pct"/>
            <w:tcBorders>
              <w:top w:val="single" w:sz="4" w:space="0" w:color="auto"/>
              <w:left w:val="nil"/>
              <w:bottom w:val="single" w:sz="4" w:space="0" w:color="auto"/>
              <w:right w:val="nil"/>
            </w:tcBorders>
            <w:shd w:val="clear" w:color="000000" w:fill="E6E6E6"/>
            <w:noWrap/>
            <w:vAlign w:val="bottom"/>
            <w:hideMark/>
          </w:tcPr>
          <w:p w14:paraId="57484D0B" w14:textId="031E388A" w:rsidR="00B85A2A" w:rsidRPr="00A86423" w:rsidRDefault="00B85A2A" w:rsidP="00E84A95">
            <w:pPr>
              <w:spacing w:after="0" w:line="240" w:lineRule="auto"/>
              <w:jc w:val="right"/>
              <w:rPr>
                <w:rFonts w:ascii="Arial" w:hAnsi="Arial" w:cs="Arial"/>
                <w:b/>
                <w:bCs/>
                <w:sz w:val="16"/>
                <w:szCs w:val="16"/>
              </w:rPr>
            </w:pPr>
            <w:r w:rsidRPr="00A86423">
              <w:rPr>
                <w:rFonts w:ascii="Arial" w:hAnsi="Arial" w:cs="Arial"/>
                <w:b/>
                <w:bCs/>
                <w:sz w:val="16"/>
                <w:szCs w:val="16"/>
              </w:rPr>
              <w:t>493,081</w:t>
            </w:r>
          </w:p>
        </w:tc>
        <w:tc>
          <w:tcPr>
            <w:tcW w:w="550" w:type="pct"/>
            <w:tcBorders>
              <w:top w:val="single" w:sz="4" w:space="0" w:color="auto"/>
              <w:left w:val="nil"/>
              <w:bottom w:val="single" w:sz="4" w:space="0" w:color="auto"/>
              <w:right w:val="nil"/>
            </w:tcBorders>
            <w:shd w:val="clear" w:color="auto" w:fill="auto"/>
            <w:noWrap/>
            <w:vAlign w:val="bottom"/>
            <w:hideMark/>
          </w:tcPr>
          <w:p w14:paraId="0BC08773" w14:textId="396BC79F" w:rsidR="00B85A2A" w:rsidRPr="00A86423" w:rsidRDefault="00B85A2A" w:rsidP="00E84A95">
            <w:pPr>
              <w:spacing w:after="0" w:line="240" w:lineRule="auto"/>
              <w:jc w:val="right"/>
              <w:rPr>
                <w:rFonts w:ascii="Arial" w:hAnsi="Arial" w:cs="Arial"/>
                <w:b/>
                <w:bCs/>
                <w:sz w:val="16"/>
                <w:szCs w:val="16"/>
              </w:rPr>
            </w:pPr>
            <w:r w:rsidRPr="00A86423">
              <w:rPr>
                <w:rFonts w:ascii="Arial" w:hAnsi="Arial" w:cs="Arial"/>
                <w:b/>
                <w:bCs/>
                <w:sz w:val="16"/>
                <w:szCs w:val="16"/>
              </w:rPr>
              <w:t>503,783</w:t>
            </w:r>
          </w:p>
        </w:tc>
        <w:tc>
          <w:tcPr>
            <w:tcW w:w="550" w:type="pct"/>
            <w:gridSpan w:val="3"/>
            <w:tcBorders>
              <w:top w:val="single" w:sz="4" w:space="0" w:color="auto"/>
              <w:left w:val="nil"/>
              <w:bottom w:val="single" w:sz="4" w:space="0" w:color="auto"/>
              <w:right w:val="nil"/>
            </w:tcBorders>
            <w:shd w:val="clear" w:color="auto" w:fill="auto"/>
            <w:noWrap/>
            <w:vAlign w:val="bottom"/>
            <w:hideMark/>
          </w:tcPr>
          <w:p w14:paraId="74190231" w14:textId="76D5EF29" w:rsidR="00B85A2A" w:rsidRPr="00A86423" w:rsidRDefault="00B85A2A" w:rsidP="00E84A95">
            <w:pPr>
              <w:spacing w:after="0" w:line="240" w:lineRule="auto"/>
              <w:jc w:val="right"/>
              <w:rPr>
                <w:rFonts w:ascii="Arial" w:hAnsi="Arial" w:cs="Arial"/>
                <w:b/>
                <w:bCs/>
                <w:sz w:val="16"/>
                <w:szCs w:val="16"/>
              </w:rPr>
            </w:pPr>
            <w:r w:rsidRPr="00A86423">
              <w:rPr>
                <w:rFonts w:ascii="Arial" w:hAnsi="Arial" w:cs="Arial"/>
                <w:b/>
                <w:bCs/>
                <w:sz w:val="16"/>
                <w:szCs w:val="16"/>
              </w:rPr>
              <w:t>511,595</w:t>
            </w:r>
          </w:p>
        </w:tc>
        <w:tc>
          <w:tcPr>
            <w:tcW w:w="548" w:type="pct"/>
            <w:tcBorders>
              <w:top w:val="single" w:sz="4" w:space="0" w:color="auto"/>
              <w:left w:val="nil"/>
              <w:bottom w:val="single" w:sz="4" w:space="0" w:color="auto"/>
              <w:right w:val="nil"/>
            </w:tcBorders>
            <w:shd w:val="clear" w:color="auto" w:fill="auto"/>
            <w:noWrap/>
            <w:vAlign w:val="bottom"/>
            <w:hideMark/>
          </w:tcPr>
          <w:p w14:paraId="7E761393" w14:textId="0844E4EB" w:rsidR="00B85A2A" w:rsidRPr="00A86423" w:rsidRDefault="00B85A2A" w:rsidP="00E84A95">
            <w:pPr>
              <w:spacing w:after="0" w:line="240" w:lineRule="auto"/>
              <w:jc w:val="right"/>
              <w:rPr>
                <w:rFonts w:ascii="Arial" w:hAnsi="Arial" w:cs="Arial"/>
                <w:b/>
                <w:bCs/>
                <w:sz w:val="16"/>
                <w:szCs w:val="16"/>
              </w:rPr>
            </w:pPr>
            <w:r w:rsidRPr="00A86423">
              <w:rPr>
                <w:rFonts w:ascii="Arial" w:hAnsi="Arial" w:cs="Arial"/>
                <w:b/>
                <w:bCs/>
                <w:sz w:val="16"/>
                <w:szCs w:val="16"/>
              </w:rPr>
              <w:t>509,409</w:t>
            </w:r>
          </w:p>
        </w:tc>
      </w:tr>
      <w:tr w:rsidR="00B85A2A" w:rsidRPr="00A86423" w14:paraId="1FA344BE" w14:textId="77777777" w:rsidTr="00E84A95">
        <w:trPr>
          <w:trHeight w:val="204"/>
        </w:trPr>
        <w:tc>
          <w:tcPr>
            <w:tcW w:w="2780" w:type="pct"/>
            <w:gridSpan w:val="3"/>
            <w:tcBorders>
              <w:top w:val="single" w:sz="4" w:space="0" w:color="auto"/>
              <w:left w:val="nil"/>
              <w:bottom w:val="single" w:sz="4" w:space="0" w:color="auto"/>
              <w:right w:val="nil"/>
            </w:tcBorders>
            <w:shd w:val="clear" w:color="000000" w:fill="E6E6E6"/>
            <w:noWrap/>
            <w:vAlign w:val="bottom"/>
            <w:hideMark/>
          </w:tcPr>
          <w:p w14:paraId="1B38299D" w14:textId="77777777" w:rsidR="00B85A2A" w:rsidRPr="00A86423" w:rsidRDefault="00B85A2A" w:rsidP="00B85A2A">
            <w:pPr>
              <w:spacing w:after="0" w:line="240" w:lineRule="auto"/>
              <w:rPr>
                <w:rFonts w:ascii="Arial" w:hAnsi="Arial" w:cs="Arial"/>
                <w:b/>
                <w:bCs/>
                <w:sz w:val="16"/>
                <w:szCs w:val="16"/>
              </w:rPr>
            </w:pPr>
            <w:r w:rsidRPr="00A86423">
              <w:rPr>
                <w:rFonts w:ascii="Arial" w:hAnsi="Arial" w:cs="Arial"/>
                <w:b/>
                <w:bCs/>
                <w:sz w:val="16"/>
                <w:szCs w:val="16"/>
              </w:rPr>
              <w:t xml:space="preserve">Components for Program 2.2: Road Safety </w:t>
            </w:r>
          </w:p>
        </w:tc>
        <w:tc>
          <w:tcPr>
            <w:tcW w:w="566" w:type="pct"/>
            <w:tcBorders>
              <w:top w:val="single" w:sz="4" w:space="0" w:color="auto"/>
              <w:left w:val="nil"/>
              <w:bottom w:val="single" w:sz="4" w:space="0" w:color="auto"/>
              <w:right w:val="nil"/>
            </w:tcBorders>
            <w:shd w:val="clear" w:color="000000" w:fill="E6E6E6"/>
            <w:noWrap/>
            <w:vAlign w:val="bottom"/>
            <w:hideMark/>
          </w:tcPr>
          <w:p w14:paraId="54A1329E" w14:textId="77777777" w:rsidR="00B85A2A" w:rsidRPr="00A86423" w:rsidRDefault="00B85A2A" w:rsidP="00B85A2A">
            <w:pPr>
              <w:spacing w:after="0" w:line="240" w:lineRule="auto"/>
              <w:rPr>
                <w:rFonts w:ascii="Arial" w:hAnsi="Arial" w:cs="Arial"/>
                <w:sz w:val="16"/>
                <w:szCs w:val="16"/>
              </w:rPr>
            </w:pPr>
            <w:r w:rsidRPr="00A86423">
              <w:rPr>
                <w:rFonts w:ascii="Arial" w:hAnsi="Arial" w:cs="Arial"/>
                <w:sz w:val="16"/>
                <w:szCs w:val="16"/>
              </w:rPr>
              <w:t> </w:t>
            </w:r>
          </w:p>
        </w:tc>
        <w:tc>
          <w:tcPr>
            <w:tcW w:w="566" w:type="pct"/>
            <w:gridSpan w:val="2"/>
            <w:tcBorders>
              <w:top w:val="single" w:sz="4" w:space="0" w:color="auto"/>
              <w:left w:val="nil"/>
              <w:bottom w:val="single" w:sz="4" w:space="0" w:color="auto"/>
              <w:right w:val="nil"/>
            </w:tcBorders>
            <w:shd w:val="clear" w:color="000000" w:fill="E6E6E6"/>
            <w:noWrap/>
            <w:vAlign w:val="bottom"/>
            <w:hideMark/>
          </w:tcPr>
          <w:p w14:paraId="471FB549" w14:textId="77777777" w:rsidR="00B85A2A" w:rsidRPr="00A86423" w:rsidRDefault="00B85A2A" w:rsidP="00B85A2A">
            <w:pPr>
              <w:spacing w:after="0" w:line="240" w:lineRule="auto"/>
              <w:rPr>
                <w:rFonts w:ascii="Arial" w:hAnsi="Arial" w:cs="Arial"/>
                <w:sz w:val="16"/>
                <w:szCs w:val="16"/>
              </w:rPr>
            </w:pPr>
            <w:r w:rsidRPr="00A86423">
              <w:rPr>
                <w:rFonts w:ascii="Arial" w:hAnsi="Arial" w:cs="Arial"/>
                <w:sz w:val="16"/>
                <w:szCs w:val="16"/>
              </w:rPr>
              <w:t> </w:t>
            </w:r>
          </w:p>
        </w:tc>
        <w:tc>
          <w:tcPr>
            <w:tcW w:w="529" w:type="pct"/>
            <w:tcBorders>
              <w:top w:val="single" w:sz="4" w:space="0" w:color="auto"/>
              <w:left w:val="nil"/>
              <w:bottom w:val="single" w:sz="4" w:space="0" w:color="auto"/>
              <w:right w:val="nil"/>
            </w:tcBorders>
            <w:shd w:val="clear" w:color="000000" w:fill="E6E6E6"/>
            <w:noWrap/>
            <w:vAlign w:val="bottom"/>
            <w:hideMark/>
          </w:tcPr>
          <w:p w14:paraId="267A7BDA" w14:textId="77777777" w:rsidR="00B85A2A" w:rsidRPr="00A86423" w:rsidRDefault="00B85A2A" w:rsidP="00B85A2A">
            <w:pPr>
              <w:spacing w:after="0" w:line="240" w:lineRule="auto"/>
              <w:rPr>
                <w:rFonts w:ascii="Arial" w:hAnsi="Arial" w:cs="Arial"/>
                <w:sz w:val="16"/>
                <w:szCs w:val="16"/>
              </w:rPr>
            </w:pPr>
            <w:r w:rsidRPr="00A86423">
              <w:rPr>
                <w:rFonts w:ascii="Arial" w:hAnsi="Arial" w:cs="Arial"/>
                <w:sz w:val="16"/>
                <w:szCs w:val="16"/>
              </w:rPr>
              <w:t> </w:t>
            </w:r>
          </w:p>
        </w:tc>
        <w:tc>
          <w:tcPr>
            <w:tcW w:w="559" w:type="pct"/>
            <w:gridSpan w:val="3"/>
            <w:tcBorders>
              <w:top w:val="single" w:sz="4" w:space="0" w:color="auto"/>
              <w:left w:val="nil"/>
              <w:bottom w:val="single" w:sz="4" w:space="0" w:color="auto"/>
              <w:right w:val="nil"/>
            </w:tcBorders>
            <w:shd w:val="clear" w:color="000000" w:fill="E6E6E6"/>
            <w:noWrap/>
            <w:vAlign w:val="bottom"/>
            <w:hideMark/>
          </w:tcPr>
          <w:p w14:paraId="43EE14DD" w14:textId="77777777" w:rsidR="00B85A2A" w:rsidRPr="00A86423" w:rsidRDefault="00B85A2A" w:rsidP="00B85A2A">
            <w:pPr>
              <w:spacing w:after="0" w:line="240" w:lineRule="auto"/>
              <w:rPr>
                <w:rFonts w:ascii="Arial" w:hAnsi="Arial" w:cs="Arial"/>
                <w:sz w:val="16"/>
                <w:szCs w:val="16"/>
              </w:rPr>
            </w:pPr>
            <w:r w:rsidRPr="00A86423">
              <w:rPr>
                <w:rFonts w:ascii="Arial" w:hAnsi="Arial" w:cs="Arial"/>
                <w:sz w:val="16"/>
                <w:szCs w:val="16"/>
              </w:rPr>
              <w:t> </w:t>
            </w:r>
          </w:p>
        </w:tc>
      </w:tr>
      <w:tr w:rsidR="00A86423" w:rsidRPr="00A86423" w14:paraId="39ECAA30" w14:textId="77777777" w:rsidTr="00E84A95">
        <w:trPr>
          <w:trHeight w:val="204"/>
        </w:trPr>
        <w:tc>
          <w:tcPr>
            <w:tcW w:w="2163" w:type="pct"/>
            <w:tcBorders>
              <w:top w:val="nil"/>
              <w:left w:val="nil"/>
              <w:bottom w:val="nil"/>
              <w:right w:val="nil"/>
            </w:tcBorders>
            <w:shd w:val="clear" w:color="auto" w:fill="auto"/>
            <w:noWrap/>
            <w:vAlign w:val="bottom"/>
            <w:hideMark/>
          </w:tcPr>
          <w:p w14:paraId="5590FA6C" w14:textId="77777777" w:rsidR="00B85A2A" w:rsidRPr="00A86423" w:rsidRDefault="00B85A2A" w:rsidP="00B85A2A">
            <w:pPr>
              <w:spacing w:after="0" w:line="240" w:lineRule="auto"/>
              <w:rPr>
                <w:rFonts w:ascii="Arial" w:hAnsi="Arial" w:cs="Arial"/>
                <w:sz w:val="16"/>
                <w:szCs w:val="16"/>
              </w:rPr>
            </w:pPr>
            <w:r w:rsidRPr="00A86423">
              <w:rPr>
                <w:rFonts w:ascii="Arial" w:hAnsi="Arial" w:cs="Arial"/>
                <w:sz w:val="16"/>
                <w:szCs w:val="16"/>
              </w:rPr>
              <w:t>Administered expenses:</w:t>
            </w:r>
          </w:p>
        </w:tc>
        <w:tc>
          <w:tcPr>
            <w:tcW w:w="617" w:type="pct"/>
            <w:gridSpan w:val="2"/>
            <w:tcBorders>
              <w:top w:val="nil"/>
              <w:left w:val="nil"/>
              <w:bottom w:val="nil"/>
              <w:right w:val="nil"/>
            </w:tcBorders>
            <w:shd w:val="clear" w:color="auto" w:fill="auto"/>
            <w:noWrap/>
            <w:vAlign w:val="bottom"/>
            <w:hideMark/>
          </w:tcPr>
          <w:p w14:paraId="35E3F36D" w14:textId="77777777" w:rsidR="00B85A2A" w:rsidRPr="00A86423" w:rsidRDefault="00B85A2A" w:rsidP="00E84A95">
            <w:pPr>
              <w:spacing w:after="0" w:line="240" w:lineRule="auto"/>
              <w:jc w:val="right"/>
              <w:rPr>
                <w:rFonts w:ascii="Arial" w:hAnsi="Arial" w:cs="Arial"/>
                <w:sz w:val="16"/>
                <w:szCs w:val="16"/>
              </w:rPr>
            </w:pPr>
          </w:p>
        </w:tc>
        <w:tc>
          <w:tcPr>
            <w:tcW w:w="566" w:type="pct"/>
            <w:tcBorders>
              <w:top w:val="nil"/>
              <w:left w:val="nil"/>
              <w:bottom w:val="nil"/>
              <w:right w:val="nil"/>
            </w:tcBorders>
            <w:shd w:val="clear" w:color="000000" w:fill="E6E6E6"/>
            <w:noWrap/>
            <w:vAlign w:val="bottom"/>
            <w:hideMark/>
          </w:tcPr>
          <w:p w14:paraId="04FE6F8C" w14:textId="04C4AA6B" w:rsidR="00B85A2A" w:rsidRPr="00A86423" w:rsidRDefault="00B85A2A" w:rsidP="00E84A95">
            <w:pPr>
              <w:spacing w:after="0" w:line="240" w:lineRule="auto"/>
              <w:jc w:val="right"/>
              <w:rPr>
                <w:rFonts w:ascii="Arial" w:hAnsi="Arial" w:cs="Arial"/>
                <w:sz w:val="16"/>
                <w:szCs w:val="16"/>
              </w:rPr>
            </w:pPr>
          </w:p>
        </w:tc>
        <w:tc>
          <w:tcPr>
            <w:tcW w:w="566" w:type="pct"/>
            <w:gridSpan w:val="2"/>
            <w:tcBorders>
              <w:top w:val="nil"/>
              <w:left w:val="nil"/>
              <w:bottom w:val="nil"/>
              <w:right w:val="nil"/>
            </w:tcBorders>
            <w:shd w:val="clear" w:color="auto" w:fill="auto"/>
            <w:noWrap/>
            <w:vAlign w:val="bottom"/>
            <w:hideMark/>
          </w:tcPr>
          <w:p w14:paraId="300A0442" w14:textId="77777777" w:rsidR="00B85A2A" w:rsidRPr="00A86423" w:rsidRDefault="00B85A2A" w:rsidP="00E84A95">
            <w:pPr>
              <w:spacing w:after="0" w:line="240" w:lineRule="auto"/>
              <w:jc w:val="right"/>
              <w:rPr>
                <w:rFonts w:ascii="Arial" w:hAnsi="Arial" w:cs="Arial"/>
                <w:sz w:val="16"/>
                <w:szCs w:val="16"/>
              </w:rPr>
            </w:pPr>
          </w:p>
        </w:tc>
        <w:tc>
          <w:tcPr>
            <w:tcW w:w="529" w:type="pct"/>
            <w:tcBorders>
              <w:top w:val="nil"/>
              <w:left w:val="nil"/>
              <w:bottom w:val="nil"/>
              <w:right w:val="nil"/>
            </w:tcBorders>
            <w:shd w:val="clear" w:color="auto" w:fill="auto"/>
            <w:noWrap/>
            <w:vAlign w:val="bottom"/>
            <w:hideMark/>
          </w:tcPr>
          <w:p w14:paraId="0B522CE0" w14:textId="77777777" w:rsidR="00B85A2A" w:rsidRPr="00A86423" w:rsidRDefault="00B85A2A" w:rsidP="00E84A95">
            <w:pPr>
              <w:spacing w:after="0" w:line="240" w:lineRule="auto"/>
              <w:jc w:val="right"/>
              <w:rPr>
                <w:rFonts w:ascii="Arial" w:hAnsi="Arial" w:cs="Arial"/>
                <w:sz w:val="16"/>
                <w:szCs w:val="16"/>
              </w:rPr>
            </w:pPr>
          </w:p>
        </w:tc>
        <w:tc>
          <w:tcPr>
            <w:tcW w:w="559" w:type="pct"/>
            <w:gridSpan w:val="3"/>
            <w:tcBorders>
              <w:top w:val="nil"/>
              <w:left w:val="nil"/>
              <w:bottom w:val="nil"/>
              <w:right w:val="nil"/>
            </w:tcBorders>
            <w:shd w:val="clear" w:color="auto" w:fill="auto"/>
            <w:noWrap/>
            <w:vAlign w:val="bottom"/>
            <w:hideMark/>
          </w:tcPr>
          <w:p w14:paraId="6A903921" w14:textId="77777777" w:rsidR="00B85A2A" w:rsidRPr="00A86423" w:rsidRDefault="00B85A2A" w:rsidP="00E84A95">
            <w:pPr>
              <w:spacing w:after="0" w:line="240" w:lineRule="auto"/>
              <w:jc w:val="right"/>
              <w:rPr>
                <w:rFonts w:ascii="Arial" w:hAnsi="Arial" w:cs="Arial"/>
                <w:sz w:val="16"/>
                <w:szCs w:val="16"/>
              </w:rPr>
            </w:pPr>
          </w:p>
        </w:tc>
      </w:tr>
      <w:tr w:rsidR="00A86423" w:rsidRPr="00A86423" w14:paraId="3C2B723E" w14:textId="77777777" w:rsidTr="00E84A95">
        <w:trPr>
          <w:trHeight w:val="204"/>
        </w:trPr>
        <w:tc>
          <w:tcPr>
            <w:tcW w:w="2163" w:type="pct"/>
            <w:tcBorders>
              <w:top w:val="nil"/>
              <w:left w:val="nil"/>
              <w:bottom w:val="nil"/>
              <w:right w:val="nil"/>
            </w:tcBorders>
            <w:shd w:val="clear" w:color="auto" w:fill="auto"/>
            <w:vAlign w:val="bottom"/>
            <w:hideMark/>
          </w:tcPr>
          <w:p w14:paraId="4749CF4D" w14:textId="77777777" w:rsidR="00B85A2A" w:rsidRPr="00A86423" w:rsidRDefault="00B85A2A" w:rsidP="00E84A95">
            <w:pPr>
              <w:spacing w:after="0" w:line="240" w:lineRule="auto"/>
              <w:ind w:left="113"/>
              <w:rPr>
                <w:rFonts w:ascii="Arial" w:hAnsi="Arial" w:cs="Arial"/>
                <w:sz w:val="16"/>
                <w:szCs w:val="16"/>
              </w:rPr>
            </w:pPr>
            <w:r w:rsidRPr="00A86423">
              <w:rPr>
                <w:rFonts w:ascii="Arial" w:hAnsi="Arial" w:cs="Arial"/>
                <w:sz w:val="16"/>
                <w:szCs w:val="16"/>
              </w:rPr>
              <w:t>Car Safety Ratings</w:t>
            </w:r>
          </w:p>
        </w:tc>
        <w:tc>
          <w:tcPr>
            <w:tcW w:w="617" w:type="pct"/>
            <w:gridSpan w:val="2"/>
            <w:tcBorders>
              <w:top w:val="nil"/>
              <w:left w:val="nil"/>
              <w:bottom w:val="nil"/>
              <w:right w:val="nil"/>
            </w:tcBorders>
            <w:shd w:val="clear" w:color="auto" w:fill="auto"/>
            <w:noWrap/>
            <w:vAlign w:val="bottom"/>
            <w:hideMark/>
          </w:tcPr>
          <w:p w14:paraId="75A28AF8" w14:textId="07CA7296"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w:t>
            </w:r>
          </w:p>
        </w:tc>
        <w:tc>
          <w:tcPr>
            <w:tcW w:w="566" w:type="pct"/>
            <w:tcBorders>
              <w:top w:val="nil"/>
              <w:left w:val="nil"/>
              <w:bottom w:val="nil"/>
              <w:right w:val="nil"/>
            </w:tcBorders>
            <w:shd w:val="clear" w:color="000000" w:fill="E6E6E6"/>
            <w:noWrap/>
            <w:vAlign w:val="bottom"/>
            <w:hideMark/>
          </w:tcPr>
          <w:p w14:paraId="77BA4FAA" w14:textId="7C9AA24E"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3,210</w:t>
            </w:r>
          </w:p>
        </w:tc>
        <w:tc>
          <w:tcPr>
            <w:tcW w:w="566" w:type="pct"/>
            <w:gridSpan w:val="2"/>
            <w:tcBorders>
              <w:top w:val="nil"/>
              <w:left w:val="nil"/>
              <w:bottom w:val="nil"/>
              <w:right w:val="nil"/>
            </w:tcBorders>
            <w:shd w:val="clear" w:color="auto" w:fill="auto"/>
            <w:noWrap/>
            <w:vAlign w:val="bottom"/>
            <w:hideMark/>
          </w:tcPr>
          <w:p w14:paraId="418F2B76" w14:textId="535184EB"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3,270</w:t>
            </w:r>
          </w:p>
        </w:tc>
        <w:tc>
          <w:tcPr>
            <w:tcW w:w="529" w:type="pct"/>
            <w:tcBorders>
              <w:top w:val="nil"/>
              <w:left w:val="nil"/>
              <w:bottom w:val="nil"/>
              <w:right w:val="nil"/>
            </w:tcBorders>
            <w:shd w:val="clear" w:color="auto" w:fill="auto"/>
            <w:noWrap/>
            <w:vAlign w:val="bottom"/>
            <w:hideMark/>
          </w:tcPr>
          <w:p w14:paraId="2C832DB4" w14:textId="79650B80"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3,680</w:t>
            </w:r>
          </w:p>
        </w:tc>
        <w:tc>
          <w:tcPr>
            <w:tcW w:w="559" w:type="pct"/>
            <w:gridSpan w:val="3"/>
            <w:tcBorders>
              <w:top w:val="nil"/>
              <w:left w:val="nil"/>
              <w:bottom w:val="nil"/>
              <w:right w:val="nil"/>
            </w:tcBorders>
            <w:shd w:val="clear" w:color="auto" w:fill="auto"/>
            <w:noWrap/>
            <w:vAlign w:val="bottom"/>
            <w:hideMark/>
          </w:tcPr>
          <w:p w14:paraId="3F7D1214" w14:textId="34772F6D"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3,040</w:t>
            </w:r>
          </w:p>
        </w:tc>
      </w:tr>
      <w:tr w:rsidR="00A86423" w:rsidRPr="00A86423" w14:paraId="36397FFB" w14:textId="77777777" w:rsidTr="00E84A95">
        <w:trPr>
          <w:trHeight w:val="204"/>
        </w:trPr>
        <w:tc>
          <w:tcPr>
            <w:tcW w:w="2163" w:type="pct"/>
            <w:tcBorders>
              <w:top w:val="nil"/>
              <w:left w:val="nil"/>
              <w:bottom w:val="nil"/>
              <w:right w:val="nil"/>
            </w:tcBorders>
            <w:shd w:val="clear" w:color="auto" w:fill="auto"/>
            <w:vAlign w:val="bottom"/>
            <w:hideMark/>
          </w:tcPr>
          <w:p w14:paraId="69CA7A5B" w14:textId="77777777" w:rsidR="00B85A2A" w:rsidRPr="00A86423" w:rsidRDefault="00B85A2A" w:rsidP="00E84A95">
            <w:pPr>
              <w:spacing w:after="0" w:line="240" w:lineRule="auto"/>
              <w:ind w:left="113"/>
              <w:rPr>
                <w:rFonts w:ascii="Arial" w:hAnsi="Arial" w:cs="Arial"/>
                <w:sz w:val="16"/>
                <w:szCs w:val="16"/>
              </w:rPr>
            </w:pPr>
            <w:r w:rsidRPr="00A86423">
              <w:rPr>
                <w:rFonts w:ascii="Arial" w:hAnsi="Arial" w:cs="Arial"/>
                <w:sz w:val="16"/>
                <w:szCs w:val="16"/>
              </w:rPr>
              <w:t>Keys2drive</w:t>
            </w:r>
          </w:p>
        </w:tc>
        <w:tc>
          <w:tcPr>
            <w:tcW w:w="617" w:type="pct"/>
            <w:gridSpan w:val="2"/>
            <w:tcBorders>
              <w:top w:val="nil"/>
              <w:left w:val="nil"/>
              <w:bottom w:val="nil"/>
              <w:right w:val="nil"/>
            </w:tcBorders>
            <w:shd w:val="clear" w:color="auto" w:fill="auto"/>
            <w:noWrap/>
            <w:vAlign w:val="bottom"/>
            <w:hideMark/>
          </w:tcPr>
          <w:p w14:paraId="17C4D9FD" w14:textId="5B63413D"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6,000</w:t>
            </w:r>
          </w:p>
        </w:tc>
        <w:tc>
          <w:tcPr>
            <w:tcW w:w="566" w:type="pct"/>
            <w:tcBorders>
              <w:top w:val="nil"/>
              <w:left w:val="nil"/>
              <w:bottom w:val="nil"/>
              <w:right w:val="nil"/>
            </w:tcBorders>
            <w:shd w:val="clear" w:color="000000" w:fill="E6E6E6"/>
            <w:noWrap/>
            <w:vAlign w:val="bottom"/>
            <w:hideMark/>
          </w:tcPr>
          <w:p w14:paraId="75EB8C15" w14:textId="09CA966F"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w:t>
            </w:r>
          </w:p>
        </w:tc>
        <w:tc>
          <w:tcPr>
            <w:tcW w:w="566" w:type="pct"/>
            <w:gridSpan w:val="2"/>
            <w:tcBorders>
              <w:top w:val="nil"/>
              <w:left w:val="nil"/>
              <w:bottom w:val="nil"/>
              <w:right w:val="nil"/>
            </w:tcBorders>
            <w:shd w:val="clear" w:color="auto" w:fill="auto"/>
            <w:noWrap/>
            <w:vAlign w:val="bottom"/>
            <w:hideMark/>
          </w:tcPr>
          <w:p w14:paraId="686A0547" w14:textId="3BF9C890"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w:t>
            </w:r>
          </w:p>
        </w:tc>
        <w:tc>
          <w:tcPr>
            <w:tcW w:w="529" w:type="pct"/>
            <w:tcBorders>
              <w:top w:val="nil"/>
              <w:left w:val="nil"/>
              <w:bottom w:val="nil"/>
              <w:right w:val="nil"/>
            </w:tcBorders>
            <w:shd w:val="clear" w:color="auto" w:fill="auto"/>
            <w:noWrap/>
            <w:vAlign w:val="bottom"/>
            <w:hideMark/>
          </w:tcPr>
          <w:p w14:paraId="4659542D" w14:textId="7890048A"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w:t>
            </w:r>
          </w:p>
        </w:tc>
        <w:tc>
          <w:tcPr>
            <w:tcW w:w="559" w:type="pct"/>
            <w:gridSpan w:val="3"/>
            <w:tcBorders>
              <w:top w:val="nil"/>
              <w:left w:val="nil"/>
              <w:bottom w:val="nil"/>
              <w:right w:val="nil"/>
            </w:tcBorders>
            <w:shd w:val="clear" w:color="auto" w:fill="auto"/>
            <w:noWrap/>
            <w:vAlign w:val="bottom"/>
            <w:hideMark/>
          </w:tcPr>
          <w:p w14:paraId="6BFF24F3" w14:textId="480B263B"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w:t>
            </w:r>
          </w:p>
        </w:tc>
      </w:tr>
      <w:tr w:rsidR="00A86423" w:rsidRPr="00A86423" w14:paraId="537DC51D" w14:textId="77777777" w:rsidTr="00E84A95">
        <w:trPr>
          <w:trHeight w:val="204"/>
        </w:trPr>
        <w:tc>
          <w:tcPr>
            <w:tcW w:w="2163" w:type="pct"/>
            <w:tcBorders>
              <w:top w:val="nil"/>
              <w:left w:val="nil"/>
              <w:bottom w:val="nil"/>
              <w:right w:val="nil"/>
            </w:tcBorders>
            <w:shd w:val="clear" w:color="auto" w:fill="auto"/>
            <w:vAlign w:val="bottom"/>
            <w:hideMark/>
          </w:tcPr>
          <w:p w14:paraId="56EF83D8" w14:textId="77777777" w:rsidR="00B85A2A" w:rsidRPr="00A86423" w:rsidRDefault="00B85A2A" w:rsidP="00E84A95">
            <w:pPr>
              <w:spacing w:after="0" w:line="240" w:lineRule="auto"/>
              <w:ind w:left="113"/>
              <w:rPr>
                <w:rFonts w:ascii="Arial" w:hAnsi="Arial" w:cs="Arial"/>
                <w:sz w:val="16"/>
                <w:szCs w:val="16"/>
              </w:rPr>
            </w:pPr>
            <w:r w:rsidRPr="00A86423">
              <w:rPr>
                <w:rFonts w:ascii="Arial" w:hAnsi="Arial" w:cs="Arial"/>
                <w:sz w:val="16"/>
                <w:szCs w:val="16"/>
              </w:rPr>
              <w:t>National Road Safety Action Grants Program</w:t>
            </w:r>
          </w:p>
        </w:tc>
        <w:tc>
          <w:tcPr>
            <w:tcW w:w="617" w:type="pct"/>
            <w:gridSpan w:val="2"/>
            <w:tcBorders>
              <w:top w:val="nil"/>
              <w:left w:val="nil"/>
              <w:bottom w:val="nil"/>
              <w:right w:val="nil"/>
            </w:tcBorders>
            <w:shd w:val="clear" w:color="auto" w:fill="auto"/>
            <w:noWrap/>
            <w:vAlign w:val="bottom"/>
            <w:hideMark/>
          </w:tcPr>
          <w:p w14:paraId="3DA1D022" w14:textId="6EC68843"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3,000</w:t>
            </w:r>
          </w:p>
        </w:tc>
        <w:tc>
          <w:tcPr>
            <w:tcW w:w="566" w:type="pct"/>
            <w:tcBorders>
              <w:top w:val="nil"/>
              <w:left w:val="nil"/>
              <w:bottom w:val="nil"/>
              <w:right w:val="nil"/>
            </w:tcBorders>
            <w:shd w:val="clear" w:color="000000" w:fill="E6E6E6"/>
            <w:noWrap/>
            <w:vAlign w:val="bottom"/>
            <w:hideMark/>
          </w:tcPr>
          <w:p w14:paraId="03BA79F4" w14:textId="51666295"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10,450</w:t>
            </w:r>
          </w:p>
        </w:tc>
        <w:tc>
          <w:tcPr>
            <w:tcW w:w="566" w:type="pct"/>
            <w:gridSpan w:val="2"/>
            <w:tcBorders>
              <w:top w:val="nil"/>
              <w:left w:val="nil"/>
              <w:bottom w:val="nil"/>
              <w:right w:val="nil"/>
            </w:tcBorders>
            <w:shd w:val="clear" w:color="auto" w:fill="auto"/>
            <w:noWrap/>
            <w:vAlign w:val="bottom"/>
            <w:hideMark/>
          </w:tcPr>
          <w:p w14:paraId="23E531B3" w14:textId="5FE0CBDD"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15,700</w:t>
            </w:r>
          </w:p>
        </w:tc>
        <w:tc>
          <w:tcPr>
            <w:tcW w:w="529" w:type="pct"/>
            <w:tcBorders>
              <w:top w:val="nil"/>
              <w:left w:val="nil"/>
              <w:bottom w:val="nil"/>
              <w:right w:val="nil"/>
            </w:tcBorders>
            <w:shd w:val="clear" w:color="auto" w:fill="auto"/>
            <w:noWrap/>
            <w:vAlign w:val="bottom"/>
            <w:hideMark/>
          </w:tcPr>
          <w:p w14:paraId="2AB07260" w14:textId="4DF9C00A"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14,450</w:t>
            </w:r>
          </w:p>
        </w:tc>
        <w:tc>
          <w:tcPr>
            <w:tcW w:w="559" w:type="pct"/>
            <w:gridSpan w:val="3"/>
            <w:tcBorders>
              <w:top w:val="nil"/>
              <w:left w:val="nil"/>
              <w:bottom w:val="nil"/>
              <w:right w:val="nil"/>
            </w:tcBorders>
            <w:shd w:val="clear" w:color="auto" w:fill="auto"/>
            <w:noWrap/>
            <w:vAlign w:val="bottom"/>
            <w:hideMark/>
          </w:tcPr>
          <w:p w14:paraId="4E209841" w14:textId="014928E9"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w:t>
            </w:r>
          </w:p>
        </w:tc>
      </w:tr>
      <w:tr w:rsidR="00A86423" w:rsidRPr="00A86423" w14:paraId="5DD3C69B" w14:textId="77777777" w:rsidTr="00E84A95">
        <w:trPr>
          <w:trHeight w:val="204"/>
        </w:trPr>
        <w:tc>
          <w:tcPr>
            <w:tcW w:w="2163" w:type="pct"/>
            <w:tcBorders>
              <w:top w:val="nil"/>
              <w:left w:val="nil"/>
              <w:bottom w:val="nil"/>
              <w:right w:val="nil"/>
            </w:tcBorders>
            <w:shd w:val="clear" w:color="auto" w:fill="auto"/>
            <w:vAlign w:val="bottom"/>
            <w:hideMark/>
          </w:tcPr>
          <w:p w14:paraId="1AFFB8A9" w14:textId="77777777" w:rsidR="00B85A2A" w:rsidRPr="00A86423" w:rsidRDefault="00B85A2A" w:rsidP="00E84A95">
            <w:pPr>
              <w:spacing w:after="0" w:line="240" w:lineRule="auto"/>
              <w:ind w:left="113"/>
              <w:rPr>
                <w:rFonts w:ascii="Arial" w:hAnsi="Arial" w:cs="Arial"/>
                <w:sz w:val="16"/>
                <w:szCs w:val="16"/>
              </w:rPr>
            </w:pPr>
            <w:r w:rsidRPr="00A86423">
              <w:rPr>
                <w:rFonts w:ascii="Arial" w:hAnsi="Arial" w:cs="Arial"/>
                <w:sz w:val="16"/>
                <w:szCs w:val="16"/>
              </w:rPr>
              <w:t>Road Safety Awareness and Enablers Fund</w:t>
            </w:r>
          </w:p>
        </w:tc>
        <w:tc>
          <w:tcPr>
            <w:tcW w:w="617" w:type="pct"/>
            <w:gridSpan w:val="2"/>
            <w:tcBorders>
              <w:top w:val="nil"/>
              <w:left w:val="nil"/>
              <w:bottom w:val="nil"/>
              <w:right w:val="nil"/>
            </w:tcBorders>
            <w:shd w:val="clear" w:color="auto" w:fill="auto"/>
            <w:noWrap/>
            <w:vAlign w:val="bottom"/>
            <w:hideMark/>
          </w:tcPr>
          <w:p w14:paraId="5F5BFE0A" w14:textId="6EB32DFC"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1,664</w:t>
            </w:r>
          </w:p>
        </w:tc>
        <w:tc>
          <w:tcPr>
            <w:tcW w:w="566" w:type="pct"/>
            <w:tcBorders>
              <w:top w:val="nil"/>
              <w:left w:val="nil"/>
              <w:bottom w:val="nil"/>
              <w:right w:val="nil"/>
            </w:tcBorders>
            <w:shd w:val="clear" w:color="000000" w:fill="E6E6E6"/>
            <w:noWrap/>
            <w:vAlign w:val="bottom"/>
            <w:hideMark/>
          </w:tcPr>
          <w:p w14:paraId="672DACE2" w14:textId="6AF8175A"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w:t>
            </w:r>
          </w:p>
        </w:tc>
        <w:tc>
          <w:tcPr>
            <w:tcW w:w="566" w:type="pct"/>
            <w:gridSpan w:val="2"/>
            <w:tcBorders>
              <w:top w:val="nil"/>
              <w:left w:val="nil"/>
              <w:bottom w:val="nil"/>
              <w:right w:val="nil"/>
            </w:tcBorders>
            <w:shd w:val="clear" w:color="auto" w:fill="auto"/>
            <w:noWrap/>
            <w:vAlign w:val="bottom"/>
            <w:hideMark/>
          </w:tcPr>
          <w:p w14:paraId="5E4E3F7A" w14:textId="4AA4D859"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w:t>
            </w:r>
          </w:p>
        </w:tc>
        <w:tc>
          <w:tcPr>
            <w:tcW w:w="529" w:type="pct"/>
            <w:tcBorders>
              <w:top w:val="nil"/>
              <w:left w:val="nil"/>
              <w:bottom w:val="nil"/>
              <w:right w:val="nil"/>
            </w:tcBorders>
            <w:shd w:val="clear" w:color="auto" w:fill="auto"/>
            <w:noWrap/>
            <w:vAlign w:val="bottom"/>
            <w:hideMark/>
          </w:tcPr>
          <w:p w14:paraId="7AE6224E" w14:textId="310CA387"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w:t>
            </w:r>
          </w:p>
        </w:tc>
        <w:tc>
          <w:tcPr>
            <w:tcW w:w="559" w:type="pct"/>
            <w:gridSpan w:val="3"/>
            <w:tcBorders>
              <w:top w:val="nil"/>
              <w:left w:val="nil"/>
              <w:bottom w:val="nil"/>
              <w:right w:val="nil"/>
            </w:tcBorders>
            <w:shd w:val="clear" w:color="auto" w:fill="auto"/>
            <w:noWrap/>
            <w:vAlign w:val="bottom"/>
            <w:hideMark/>
          </w:tcPr>
          <w:p w14:paraId="69BEF542" w14:textId="4CEA39AD"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w:t>
            </w:r>
          </w:p>
        </w:tc>
      </w:tr>
      <w:tr w:rsidR="00A86423" w:rsidRPr="00A86423" w14:paraId="45CA3FA3" w14:textId="77777777" w:rsidTr="00E84A95">
        <w:trPr>
          <w:trHeight w:val="204"/>
        </w:trPr>
        <w:tc>
          <w:tcPr>
            <w:tcW w:w="2163" w:type="pct"/>
            <w:tcBorders>
              <w:top w:val="nil"/>
              <w:left w:val="nil"/>
              <w:bottom w:val="nil"/>
              <w:right w:val="nil"/>
            </w:tcBorders>
            <w:shd w:val="clear" w:color="auto" w:fill="auto"/>
            <w:vAlign w:val="bottom"/>
            <w:hideMark/>
          </w:tcPr>
          <w:p w14:paraId="20771C26" w14:textId="77777777" w:rsidR="00B85A2A" w:rsidRPr="00A86423" w:rsidRDefault="00B85A2A" w:rsidP="00E84A95">
            <w:pPr>
              <w:spacing w:after="0" w:line="240" w:lineRule="auto"/>
              <w:ind w:left="113"/>
              <w:rPr>
                <w:rFonts w:ascii="Arial" w:hAnsi="Arial" w:cs="Arial"/>
                <w:sz w:val="16"/>
                <w:szCs w:val="16"/>
              </w:rPr>
            </w:pPr>
            <w:r w:rsidRPr="00A86423">
              <w:rPr>
                <w:rFonts w:ascii="Arial" w:hAnsi="Arial" w:cs="Arial"/>
                <w:sz w:val="16"/>
                <w:szCs w:val="16"/>
              </w:rPr>
              <w:t>Road Safety Innovation Fund</w:t>
            </w:r>
          </w:p>
        </w:tc>
        <w:tc>
          <w:tcPr>
            <w:tcW w:w="617" w:type="pct"/>
            <w:gridSpan w:val="2"/>
            <w:tcBorders>
              <w:top w:val="nil"/>
              <w:left w:val="nil"/>
              <w:bottom w:val="nil"/>
              <w:right w:val="nil"/>
            </w:tcBorders>
            <w:shd w:val="clear" w:color="auto" w:fill="auto"/>
            <w:noWrap/>
            <w:vAlign w:val="bottom"/>
            <w:hideMark/>
          </w:tcPr>
          <w:p w14:paraId="147FB09A" w14:textId="50B36E33"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3,431</w:t>
            </w:r>
          </w:p>
        </w:tc>
        <w:tc>
          <w:tcPr>
            <w:tcW w:w="566" w:type="pct"/>
            <w:tcBorders>
              <w:top w:val="nil"/>
              <w:left w:val="nil"/>
              <w:bottom w:val="nil"/>
              <w:right w:val="nil"/>
            </w:tcBorders>
            <w:shd w:val="clear" w:color="000000" w:fill="E6E6E6"/>
            <w:noWrap/>
            <w:vAlign w:val="bottom"/>
            <w:hideMark/>
          </w:tcPr>
          <w:p w14:paraId="01A6D2C6" w14:textId="0E9777E4"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w:t>
            </w:r>
          </w:p>
        </w:tc>
        <w:tc>
          <w:tcPr>
            <w:tcW w:w="566" w:type="pct"/>
            <w:gridSpan w:val="2"/>
            <w:tcBorders>
              <w:top w:val="nil"/>
              <w:left w:val="nil"/>
              <w:bottom w:val="nil"/>
              <w:right w:val="nil"/>
            </w:tcBorders>
            <w:shd w:val="clear" w:color="auto" w:fill="auto"/>
            <w:noWrap/>
            <w:vAlign w:val="bottom"/>
            <w:hideMark/>
          </w:tcPr>
          <w:p w14:paraId="77F0ACB3" w14:textId="63DF25BD"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w:t>
            </w:r>
          </w:p>
        </w:tc>
        <w:tc>
          <w:tcPr>
            <w:tcW w:w="529" w:type="pct"/>
            <w:tcBorders>
              <w:top w:val="nil"/>
              <w:left w:val="nil"/>
              <w:bottom w:val="nil"/>
              <w:right w:val="nil"/>
            </w:tcBorders>
            <w:shd w:val="clear" w:color="auto" w:fill="auto"/>
            <w:noWrap/>
            <w:vAlign w:val="bottom"/>
            <w:hideMark/>
          </w:tcPr>
          <w:p w14:paraId="671E46C3" w14:textId="02B7C18B"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w:t>
            </w:r>
          </w:p>
        </w:tc>
        <w:tc>
          <w:tcPr>
            <w:tcW w:w="559" w:type="pct"/>
            <w:gridSpan w:val="3"/>
            <w:tcBorders>
              <w:top w:val="nil"/>
              <w:left w:val="nil"/>
              <w:bottom w:val="nil"/>
              <w:right w:val="nil"/>
            </w:tcBorders>
            <w:shd w:val="clear" w:color="auto" w:fill="auto"/>
            <w:noWrap/>
            <w:vAlign w:val="bottom"/>
            <w:hideMark/>
          </w:tcPr>
          <w:p w14:paraId="0F8D9643" w14:textId="5E88AAF7" w:rsidR="00B85A2A" w:rsidRPr="00A86423" w:rsidRDefault="00B85A2A" w:rsidP="00E84A95">
            <w:pPr>
              <w:spacing w:after="0" w:line="240" w:lineRule="auto"/>
              <w:jc w:val="right"/>
              <w:rPr>
                <w:rFonts w:ascii="Arial" w:hAnsi="Arial" w:cs="Arial"/>
                <w:sz w:val="16"/>
                <w:szCs w:val="16"/>
              </w:rPr>
            </w:pPr>
            <w:r w:rsidRPr="00A86423">
              <w:rPr>
                <w:rFonts w:ascii="Arial" w:hAnsi="Arial" w:cs="Arial"/>
                <w:sz w:val="16"/>
                <w:szCs w:val="16"/>
              </w:rPr>
              <w:t>-</w:t>
            </w:r>
          </w:p>
        </w:tc>
      </w:tr>
      <w:tr w:rsidR="00A86423" w:rsidRPr="00A86423" w14:paraId="2E28DB69" w14:textId="77777777" w:rsidTr="00E84A95">
        <w:trPr>
          <w:trHeight w:val="204"/>
        </w:trPr>
        <w:tc>
          <w:tcPr>
            <w:tcW w:w="2163" w:type="pct"/>
            <w:tcBorders>
              <w:top w:val="nil"/>
              <w:left w:val="nil"/>
              <w:bottom w:val="single" w:sz="4" w:space="0" w:color="auto"/>
              <w:right w:val="nil"/>
            </w:tcBorders>
            <w:shd w:val="clear" w:color="auto" w:fill="auto"/>
            <w:noWrap/>
            <w:vAlign w:val="bottom"/>
            <w:hideMark/>
          </w:tcPr>
          <w:p w14:paraId="7AF82C00" w14:textId="77777777" w:rsidR="00B85A2A" w:rsidRPr="00A86423" w:rsidRDefault="00B85A2A" w:rsidP="00B85A2A">
            <w:pPr>
              <w:spacing w:after="0" w:line="240" w:lineRule="auto"/>
              <w:rPr>
                <w:rFonts w:ascii="Arial" w:hAnsi="Arial" w:cs="Arial"/>
                <w:b/>
                <w:bCs/>
                <w:sz w:val="16"/>
                <w:szCs w:val="16"/>
              </w:rPr>
            </w:pPr>
            <w:r w:rsidRPr="00A86423">
              <w:rPr>
                <w:rFonts w:ascii="Arial" w:hAnsi="Arial" w:cs="Arial"/>
                <w:b/>
                <w:bCs/>
                <w:sz w:val="16"/>
                <w:szCs w:val="16"/>
              </w:rPr>
              <w:t>Total expenses for Program 2.2</w:t>
            </w:r>
          </w:p>
        </w:tc>
        <w:tc>
          <w:tcPr>
            <w:tcW w:w="617" w:type="pct"/>
            <w:gridSpan w:val="2"/>
            <w:tcBorders>
              <w:top w:val="single" w:sz="4" w:space="0" w:color="auto"/>
              <w:left w:val="nil"/>
              <w:bottom w:val="single" w:sz="4" w:space="0" w:color="auto"/>
              <w:right w:val="nil"/>
            </w:tcBorders>
            <w:shd w:val="clear" w:color="auto" w:fill="auto"/>
            <w:noWrap/>
            <w:vAlign w:val="bottom"/>
            <w:hideMark/>
          </w:tcPr>
          <w:p w14:paraId="1DBCE966" w14:textId="3C13ABC9" w:rsidR="00B85A2A" w:rsidRPr="00A86423" w:rsidRDefault="00B85A2A" w:rsidP="00E84A95">
            <w:pPr>
              <w:spacing w:after="0" w:line="240" w:lineRule="auto"/>
              <w:jc w:val="right"/>
              <w:rPr>
                <w:rFonts w:ascii="Arial" w:hAnsi="Arial" w:cs="Arial"/>
                <w:b/>
                <w:bCs/>
                <w:sz w:val="16"/>
                <w:szCs w:val="16"/>
              </w:rPr>
            </w:pPr>
            <w:r w:rsidRPr="00A86423">
              <w:rPr>
                <w:rFonts w:ascii="Arial" w:hAnsi="Arial" w:cs="Arial"/>
                <w:b/>
                <w:bCs/>
                <w:sz w:val="16"/>
                <w:szCs w:val="16"/>
              </w:rPr>
              <w:t>14,095</w:t>
            </w:r>
          </w:p>
        </w:tc>
        <w:tc>
          <w:tcPr>
            <w:tcW w:w="566" w:type="pct"/>
            <w:tcBorders>
              <w:top w:val="single" w:sz="4" w:space="0" w:color="auto"/>
              <w:left w:val="nil"/>
              <w:bottom w:val="single" w:sz="4" w:space="0" w:color="auto"/>
              <w:right w:val="nil"/>
            </w:tcBorders>
            <w:shd w:val="clear" w:color="000000" w:fill="E6E6E6"/>
            <w:noWrap/>
            <w:vAlign w:val="bottom"/>
            <w:hideMark/>
          </w:tcPr>
          <w:p w14:paraId="7352A905" w14:textId="59B217A2" w:rsidR="00B85A2A" w:rsidRPr="00A86423" w:rsidRDefault="00B85A2A" w:rsidP="00E84A95">
            <w:pPr>
              <w:spacing w:after="0" w:line="240" w:lineRule="auto"/>
              <w:jc w:val="right"/>
              <w:rPr>
                <w:rFonts w:ascii="Arial" w:hAnsi="Arial" w:cs="Arial"/>
                <w:b/>
                <w:bCs/>
                <w:sz w:val="16"/>
                <w:szCs w:val="16"/>
              </w:rPr>
            </w:pPr>
            <w:r w:rsidRPr="00A86423">
              <w:rPr>
                <w:rFonts w:ascii="Arial" w:hAnsi="Arial" w:cs="Arial"/>
                <w:b/>
                <w:bCs/>
                <w:sz w:val="16"/>
                <w:szCs w:val="16"/>
              </w:rPr>
              <w:t>13,660</w:t>
            </w:r>
          </w:p>
        </w:tc>
        <w:tc>
          <w:tcPr>
            <w:tcW w:w="566" w:type="pct"/>
            <w:gridSpan w:val="2"/>
            <w:tcBorders>
              <w:top w:val="single" w:sz="4" w:space="0" w:color="auto"/>
              <w:left w:val="nil"/>
              <w:bottom w:val="single" w:sz="4" w:space="0" w:color="auto"/>
              <w:right w:val="nil"/>
            </w:tcBorders>
            <w:shd w:val="clear" w:color="auto" w:fill="auto"/>
            <w:noWrap/>
            <w:vAlign w:val="bottom"/>
            <w:hideMark/>
          </w:tcPr>
          <w:p w14:paraId="452B2325" w14:textId="204184FC" w:rsidR="00B85A2A" w:rsidRPr="00A86423" w:rsidRDefault="00B85A2A" w:rsidP="00E84A95">
            <w:pPr>
              <w:spacing w:after="0" w:line="240" w:lineRule="auto"/>
              <w:jc w:val="right"/>
              <w:rPr>
                <w:rFonts w:ascii="Arial" w:hAnsi="Arial" w:cs="Arial"/>
                <w:b/>
                <w:bCs/>
                <w:sz w:val="16"/>
                <w:szCs w:val="16"/>
              </w:rPr>
            </w:pPr>
            <w:r w:rsidRPr="00A86423">
              <w:rPr>
                <w:rFonts w:ascii="Arial" w:hAnsi="Arial" w:cs="Arial"/>
                <w:b/>
                <w:bCs/>
                <w:sz w:val="16"/>
                <w:szCs w:val="16"/>
              </w:rPr>
              <w:t>18,970</w:t>
            </w:r>
          </w:p>
        </w:tc>
        <w:tc>
          <w:tcPr>
            <w:tcW w:w="529" w:type="pct"/>
            <w:tcBorders>
              <w:top w:val="single" w:sz="4" w:space="0" w:color="auto"/>
              <w:left w:val="nil"/>
              <w:bottom w:val="single" w:sz="4" w:space="0" w:color="auto"/>
              <w:right w:val="nil"/>
            </w:tcBorders>
            <w:shd w:val="clear" w:color="auto" w:fill="auto"/>
            <w:noWrap/>
            <w:vAlign w:val="bottom"/>
            <w:hideMark/>
          </w:tcPr>
          <w:p w14:paraId="22F025E0" w14:textId="0C9776F1" w:rsidR="00B85A2A" w:rsidRPr="00A86423" w:rsidRDefault="00B85A2A" w:rsidP="00E84A95">
            <w:pPr>
              <w:spacing w:after="0" w:line="240" w:lineRule="auto"/>
              <w:jc w:val="right"/>
              <w:rPr>
                <w:rFonts w:ascii="Arial" w:hAnsi="Arial" w:cs="Arial"/>
                <w:b/>
                <w:bCs/>
                <w:sz w:val="16"/>
                <w:szCs w:val="16"/>
              </w:rPr>
            </w:pPr>
            <w:r w:rsidRPr="00A86423">
              <w:rPr>
                <w:rFonts w:ascii="Arial" w:hAnsi="Arial" w:cs="Arial"/>
                <w:b/>
                <w:bCs/>
                <w:sz w:val="16"/>
                <w:szCs w:val="16"/>
              </w:rPr>
              <w:t>18,130</w:t>
            </w:r>
          </w:p>
        </w:tc>
        <w:tc>
          <w:tcPr>
            <w:tcW w:w="559" w:type="pct"/>
            <w:gridSpan w:val="3"/>
            <w:tcBorders>
              <w:top w:val="single" w:sz="4" w:space="0" w:color="auto"/>
              <w:left w:val="nil"/>
              <w:bottom w:val="single" w:sz="4" w:space="0" w:color="auto"/>
              <w:right w:val="nil"/>
            </w:tcBorders>
            <w:shd w:val="clear" w:color="auto" w:fill="auto"/>
            <w:noWrap/>
            <w:vAlign w:val="bottom"/>
            <w:hideMark/>
          </w:tcPr>
          <w:p w14:paraId="71E9B746" w14:textId="29BAA24A" w:rsidR="00B85A2A" w:rsidRPr="00A86423" w:rsidRDefault="00B85A2A" w:rsidP="00E84A95">
            <w:pPr>
              <w:spacing w:after="0" w:line="240" w:lineRule="auto"/>
              <w:jc w:val="right"/>
              <w:rPr>
                <w:rFonts w:ascii="Arial" w:hAnsi="Arial" w:cs="Arial"/>
                <w:b/>
                <w:bCs/>
                <w:sz w:val="16"/>
                <w:szCs w:val="16"/>
              </w:rPr>
            </w:pPr>
            <w:r w:rsidRPr="00A86423">
              <w:rPr>
                <w:rFonts w:ascii="Arial" w:hAnsi="Arial" w:cs="Arial"/>
                <w:b/>
                <w:bCs/>
                <w:sz w:val="16"/>
                <w:szCs w:val="16"/>
              </w:rPr>
              <w:t>3,040</w:t>
            </w:r>
          </w:p>
        </w:tc>
      </w:tr>
    </w:tbl>
    <w:p w14:paraId="43E68DF6" w14:textId="6D4B637D" w:rsidR="00B85A2A" w:rsidRDefault="00B85A2A">
      <w:pPr>
        <w:spacing w:after="0" w:line="240" w:lineRule="auto"/>
      </w:pPr>
    </w:p>
    <w:p w14:paraId="78C33E8E" w14:textId="40923420" w:rsidR="003B77C3" w:rsidRDefault="003B77C3">
      <w:pPr>
        <w:spacing w:after="0" w:line="240" w:lineRule="auto"/>
        <w:rPr>
          <w:rFonts w:ascii="Arial" w:hAnsi="Arial"/>
          <w:b/>
          <w:color w:val="000000"/>
          <w:lang w:val="x-none" w:eastAsia="x-none"/>
        </w:rPr>
      </w:pPr>
      <w:r>
        <w:br w:type="page"/>
      </w:r>
    </w:p>
    <w:p w14:paraId="59B135D9" w14:textId="77777777" w:rsidR="00C27D91" w:rsidRDefault="00C27D91" w:rsidP="00C27D91">
      <w:pPr>
        <w:spacing w:after="0"/>
      </w:pPr>
    </w:p>
    <w:p w14:paraId="29EABA65" w14:textId="47DBE371" w:rsidR="00115843" w:rsidRDefault="00115843" w:rsidP="00C27D91">
      <w:pPr>
        <w:pStyle w:val="TableHeading"/>
        <w:spacing w:before="120"/>
      </w:pPr>
      <w:r w:rsidRPr="00AD42E2">
        <w:t>Table 2.</w:t>
      </w:r>
      <w:r>
        <w:t>2</w:t>
      </w:r>
      <w:r w:rsidRPr="00AD42E2">
        <w:t>.</w:t>
      </w:r>
      <w:r>
        <w:t>2</w:t>
      </w:r>
      <w:r w:rsidRPr="00AD42E2">
        <w:t xml:space="preserve">: </w:t>
      </w:r>
      <w:r>
        <w:t>Program components</w:t>
      </w:r>
      <w:r w:rsidRPr="00AD42E2">
        <w:t xml:space="preserve"> for Outcome </w:t>
      </w:r>
      <w:r>
        <w:t>2 (continued)</w:t>
      </w:r>
    </w:p>
    <w:tbl>
      <w:tblPr>
        <w:tblW w:w="5000" w:type="pct"/>
        <w:tblLook w:val="04A0" w:firstRow="1" w:lastRow="0" w:firstColumn="1" w:lastColumn="0" w:noHBand="0" w:noVBand="1"/>
      </w:tblPr>
      <w:tblGrid>
        <w:gridCol w:w="3322"/>
        <w:gridCol w:w="934"/>
        <w:gridCol w:w="862"/>
        <w:gridCol w:w="864"/>
        <w:gridCol w:w="864"/>
        <w:gridCol w:w="864"/>
      </w:tblGrid>
      <w:tr w:rsidR="00B85A2A" w:rsidRPr="00E84A95" w14:paraId="19F32BBB" w14:textId="77777777" w:rsidTr="00E84A95">
        <w:trPr>
          <w:trHeight w:val="204"/>
        </w:trPr>
        <w:tc>
          <w:tcPr>
            <w:tcW w:w="2154" w:type="pct"/>
            <w:tcBorders>
              <w:top w:val="single" w:sz="4" w:space="0" w:color="auto"/>
              <w:left w:val="nil"/>
              <w:bottom w:val="nil"/>
              <w:right w:val="nil"/>
            </w:tcBorders>
            <w:shd w:val="clear" w:color="auto" w:fill="auto"/>
            <w:noWrap/>
            <w:vAlign w:val="bottom"/>
            <w:hideMark/>
          </w:tcPr>
          <w:p w14:paraId="1D830D6D" w14:textId="77777777" w:rsidR="00B85A2A" w:rsidRPr="00E84A95" w:rsidRDefault="00B85A2A" w:rsidP="00B85A2A">
            <w:pPr>
              <w:spacing w:after="0" w:line="240" w:lineRule="auto"/>
              <w:rPr>
                <w:rFonts w:ascii="Arial" w:hAnsi="Arial" w:cs="Arial"/>
                <w:sz w:val="16"/>
                <w:szCs w:val="16"/>
              </w:rPr>
            </w:pPr>
            <w:r w:rsidRPr="00E84A95">
              <w:rPr>
                <w:rFonts w:ascii="Arial" w:hAnsi="Arial" w:cs="Arial"/>
                <w:sz w:val="16"/>
                <w:szCs w:val="16"/>
              </w:rPr>
              <w:t> </w:t>
            </w:r>
          </w:p>
        </w:tc>
        <w:tc>
          <w:tcPr>
            <w:tcW w:w="606" w:type="pct"/>
            <w:tcBorders>
              <w:top w:val="single" w:sz="4" w:space="0" w:color="auto"/>
              <w:left w:val="nil"/>
              <w:bottom w:val="nil"/>
              <w:right w:val="nil"/>
            </w:tcBorders>
            <w:shd w:val="clear" w:color="auto" w:fill="auto"/>
            <w:vAlign w:val="bottom"/>
            <w:hideMark/>
          </w:tcPr>
          <w:p w14:paraId="47A6C5F8" w14:textId="77777777" w:rsidR="00B85A2A" w:rsidRPr="00E84A95" w:rsidRDefault="00B85A2A" w:rsidP="00B85A2A">
            <w:pPr>
              <w:spacing w:after="0" w:line="240" w:lineRule="auto"/>
              <w:jc w:val="right"/>
              <w:rPr>
                <w:rFonts w:ascii="Arial" w:hAnsi="Arial" w:cs="Arial"/>
                <w:sz w:val="16"/>
                <w:szCs w:val="16"/>
              </w:rPr>
            </w:pPr>
            <w:r w:rsidRPr="00E84A95">
              <w:rPr>
                <w:rFonts w:ascii="Arial" w:hAnsi="Arial" w:cs="Arial"/>
                <w:sz w:val="16"/>
                <w:szCs w:val="16"/>
              </w:rPr>
              <w:t>2022-23</w:t>
            </w:r>
            <w:r w:rsidRPr="00E84A95">
              <w:rPr>
                <w:rFonts w:ascii="Arial" w:hAnsi="Arial" w:cs="Arial"/>
                <w:sz w:val="16"/>
                <w:szCs w:val="16"/>
              </w:rPr>
              <w:br/>
              <w:t>Estimated  actual</w:t>
            </w:r>
            <w:r w:rsidRPr="00E84A95">
              <w:rPr>
                <w:rFonts w:ascii="Arial" w:hAnsi="Arial" w:cs="Arial"/>
                <w:sz w:val="16"/>
                <w:szCs w:val="16"/>
              </w:rPr>
              <w:br/>
              <w:t>$'000</w:t>
            </w:r>
          </w:p>
        </w:tc>
        <w:tc>
          <w:tcPr>
            <w:tcW w:w="559" w:type="pct"/>
            <w:tcBorders>
              <w:top w:val="single" w:sz="4" w:space="0" w:color="auto"/>
              <w:left w:val="nil"/>
              <w:bottom w:val="nil"/>
              <w:right w:val="nil"/>
            </w:tcBorders>
            <w:shd w:val="clear" w:color="000000" w:fill="E6E6E6"/>
            <w:vAlign w:val="bottom"/>
            <w:hideMark/>
          </w:tcPr>
          <w:p w14:paraId="64059DD9" w14:textId="77777777" w:rsidR="00B85A2A" w:rsidRPr="00E84A95" w:rsidRDefault="00B85A2A" w:rsidP="00B85A2A">
            <w:pPr>
              <w:spacing w:after="0" w:line="240" w:lineRule="auto"/>
              <w:jc w:val="right"/>
              <w:rPr>
                <w:rFonts w:ascii="Arial" w:hAnsi="Arial" w:cs="Arial"/>
                <w:sz w:val="16"/>
                <w:szCs w:val="16"/>
              </w:rPr>
            </w:pPr>
            <w:r w:rsidRPr="00E84A95">
              <w:rPr>
                <w:rFonts w:ascii="Arial" w:hAnsi="Arial" w:cs="Arial"/>
                <w:sz w:val="16"/>
                <w:szCs w:val="16"/>
              </w:rPr>
              <w:t>2023-24</w:t>
            </w:r>
            <w:r w:rsidRPr="00E84A95">
              <w:rPr>
                <w:rFonts w:ascii="Arial" w:hAnsi="Arial" w:cs="Arial"/>
                <w:sz w:val="16"/>
                <w:szCs w:val="16"/>
              </w:rPr>
              <w:br/>
              <w:t xml:space="preserve"> Budget</w:t>
            </w:r>
            <w:r w:rsidRPr="00E84A95">
              <w:rPr>
                <w:rFonts w:ascii="Arial" w:hAnsi="Arial" w:cs="Arial"/>
                <w:sz w:val="16"/>
                <w:szCs w:val="16"/>
              </w:rPr>
              <w:br/>
              <w:t xml:space="preserve">                                      $'000</w:t>
            </w:r>
          </w:p>
        </w:tc>
        <w:tc>
          <w:tcPr>
            <w:tcW w:w="560" w:type="pct"/>
            <w:tcBorders>
              <w:top w:val="single" w:sz="4" w:space="0" w:color="auto"/>
              <w:left w:val="nil"/>
              <w:bottom w:val="nil"/>
              <w:right w:val="nil"/>
            </w:tcBorders>
            <w:shd w:val="clear" w:color="auto" w:fill="auto"/>
            <w:vAlign w:val="bottom"/>
            <w:hideMark/>
          </w:tcPr>
          <w:p w14:paraId="4685771B" w14:textId="77777777" w:rsidR="00B85A2A" w:rsidRPr="00E84A95" w:rsidRDefault="00B85A2A" w:rsidP="00B85A2A">
            <w:pPr>
              <w:spacing w:after="0" w:line="240" w:lineRule="auto"/>
              <w:jc w:val="right"/>
              <w:rPr>
                <w:rFonts w:ascii="Arial" w:hAnsi="Arial" w:cs="Arial"/>
                <w:sz w:val="16"/>
                <w:szCs w:val="16"/>
              </w:rPr>
            </w:pPr>
            <w:r w:rsidRPr="00E84A95">
              <w:rPr>
                <w:rFonts w:ascii="Arial" w:hAnsi="Arial" w:cs="Arial"/>
                <w:sz w:val="16"/>
                <w:szCs w:val="16"/>
              </w:rPr>
              <w:t>2024-25</w:t>
            </w:r>
            <w:r w:rsidRPr="00E84A95">
              <w:rPr>
                <w:rFonts w:ascii="Arial" w:hAnsi="Arial" w:cs="Arial"/>
                <w:sz w:val="16"/>
                <w:szCs w:val="16"/>
              </w:rPr>
              <w:br/>
              <w:t>Forward estimate</w:t>
            </w:r>
            <w:r w:rsidRPr="00E84A95">
              <w:rPr>
                <w:rFonts w:ascii="Arial" w:hAnsi="Arial" w:cs="Arial"/>
                <w:sz w:val="16"/>
                <w:szCs w:val="16"/>
              </w:rPr>
              <w:br/>
              <w:t>$'000</w:t>
            </w:r>
          </w:p>
        </w:tc>
        <w:tc>
          <w:tcPr>
            <w:tcW w:w="560" w:type="pct"/>
            <w:tcBorders>
              <w:top w:val="single" w:sz="4" w:space="0" w:color="auto"/>
              <w:left w:val="nil"/>
              <w:bottom w:val="nil"/>
              <w:right w:val="nil"/>
            </w:tcBorders>
            <w:shd w:val="clear" w:color="auto" w:fill="auto"/>
            <w:vAlign w:val="bottom"/>
            <w:hideMark/>
          </w:tcPr>
          <w:p w14:paraId="09372885" w14:textId="77777777" w:rsidR="00B85A2A" w:rsidRPr="00E84A95" w:rsidRDefault="00B85A2A" w:rsidP="00B85A2A">
            <w:pPr>
              <w:spacing w:after="0" w:line="240" w:lineRule="auto"/>
              <w:jc w:val="right"/>
              <w:rPr>
                <w:rFonts w:ascii="Arial" w:hAnsi="Arial" w:cs="Arial"/>
                <w:sz w:val="16"/>
                <w:szCs w:val="16"/>
              </w:rPr>
            </w:pPr>
            <w:r w:rsidRPr="00E84A95">
              <w:rPr>
                <w:rFonts w:ascii="Arial" w:hAnsi="Arial" w:cs="Arial"/>
                <w:sz w:val="16"/>
                <w:szCs w:val="16"/>
              </w:rPr>
              <w:t>2025-26</w:t>
            </w:r>
            <w:r w:rsidRPr="00E84A95">
              <w:rPr>
                <w:rFonts w:ascii="Arial" w:hAnsi="Arial" w:cs="Arial"/>
                <w:sz w:val="16"/>
                <w:szCs w:val="16"/>
              </w:rPr>
              <w:br/>
              <w:t>Forward estimate</w:t>
            </w:r>
            <w:r w:rsidRPr="00E84A95">
              <w:rPr>
                <w:rFonts w:ascii="Arial" w:hAnsi="Arial" w:cs="Arial"/>
                <w:sz w:val="16"/>
                <w:szCs w:val="16"/>
              </w:rPr>
              <w:br/>
              <w:t>$'000</w:t>
            </w:r>
          </w:p>
        </w:tc>
        <w:tc>
          <w:tcPr>
            <w:tcW w:w="560" w:type="pct"/>
            <w:tcBorders>
              <w:top w:val="single" w:sz="4" w:space="0" w:color="auto"/>
              <w:left w:val="nil"/>
              <w:bottom w:val="nil"/>
              <w:right w:val="nil"/>
            </w:tcBorders>
            <w:shd w:val="clear" w:color="auto" w:fill="auto"/>
            <w:vAlign w:val="bottom"/>
            <w:hideMark/>
          </w:tcPr>
          <w:p w14:paraId="241A2466" w14:textId="77777777" w:rsidR="00B85A2A" w:rsidRPr="00E84A95" w:rsidRDefault="00B85A2A" w:rsidP="00B85A2A">
            <w:pPr>
              <w:spacing w:after="0" w:line="240" w:lineRule="auto"/>
              <w:jc w:val="right"/>
              <w:rPr>
                <w:rFonts w:ascii="Arial" w:hAnsi="Arial" w:cs="Arial"/>
                <w:sz w:val="16"/>
                <w:szCs w:val="16"/>
              </w:rPr>
            </w:pPr>
            <w:r w:rsidRPr="00E84A95">
              <w:rPr>
                <w:rFonts w:ascii="Arial" w:hAnsi="Arial" w:cs="Arial"/>
                <w:sz w:val="16"/>
                <w:szCs w:val="16"/>
              </w:rPr>
              <w:t>2026-27</w:t>
            </w:r>
            <w:r w:rsidRPr="00E84A95">
              <w:rPr>
                <w:rFonts w:ascii="Arial" w:hAnsi="Arial" w:cs="Arial"/>
                <w:sz w:val="16"/>
                <w:szCs w:val="16"/>
              </w:rPr>
              <w:br/>
              <w:t>Forward estimate</w:t>
            </w:r>
            <w:r w:rsidRPr="00E84A95">
              <w:rPr>
                <w:rFonts w:ascii="Arial" w:hAnsi="Arial" w:cs="Arial"/>
                <w:sz w:val="16"/>
                <w:szCs w:val="16"/>
              </w:rPr>
              <w:br/>
              <w:t>$'000</w:t>
            </w:r>
          </w:p>
        </w:tc>
      </w:tr>
      <w:tr w:rsidR="00B85A2A" w:rsidRPr="00E84A95" w14:paraId="2F129D99" w14:textId="77777777" w:rsidTr="00E84A95">
        <w:trPr>
          <w:trHeight w:val="204"/>
        </w:trPr>
        <w:tc>
          <w:tcPr>
            <w:tcW w:w="2760" w:type="pct"/>
            <w:gridSpan w:val="2"/>
            <w:tcBorders>
              <w:top w:val="single" w:sz="4" w:space="0" w:color="auto"/>
              <w:left w:val="nil"/>
              <w:bottom w:val="single" w:sz="4" w:space="0" w:color="auto"/>
              <w:right w:val="nil"/>
            </w:tcBorders>
            <w:shd w:val="clear" w:color="000000" w:fill="E6E6E6"/>
            <w:noWrap/>
            <w:vAlign w:val="bottom"/>
            <w:hideMark/>
          </w:tcPr>
          <w:p w14:paraId="20E17423" w14:textId="77777777" w:rsidR="00B85A2A" w:rsidRPr="00E84A95" w:rsidRDefault="00B85A2A" w:rsidP="00B85A2A">
            <w:pPr>
              <w:spacing w:after="0" w:line="240" w:lineRule="auto"/>
              <w:rPr>
                <w:rFonts w:ascii="Arial" w:hAnsi="Arial" w:cs="Arial"/>
                <w:b/>
                <w:bCs/>
                <w:sz w:val="16"/>
                <w:szCs w:val="16"/>
              </w:rPr>
            </w:pPr>
            <w:r w:rsidRPr="00E84A95">
              <w:rPr>
                <w:rFonts w:ascii="Arial" w:hAnsi="Arial" w:cs="Arial"/>
                <w:b/>
                <w:bCs/>
                <w:sz w:val="16"/>
                <w:szCs w:val="16"/>
              </w:rPr>
              <w:t xml:space="preserve">Components for Program 2.3: Air Transport </w:t>
            </w:r>
          </w:p>
        </w:tc>
        <w:tc>
          <w:tcPr>
            <w:tcW w:w="559" w:type="pct"/>
            <w:tcBorders>
              <w:top w:val="single" w:sz="4" w:space="0" w:color="auto"/>
              <w:left w:val="nil"/>
              <w:bottom w:val="single" w:sz="4" w:space="0" w:color="auto"/>
              <w:right w:val="nil"/>
            </w:tcBorders>
            <w:shd w:val="clear" w:color="000000" w:fill="E6E6E6"/>
            <w:noWrap/>
            <w:vAlign w:val="bottom"/>
            <w:hideMark/>
          </w:tcPr>
          <w:p w14:paraId="043115F8" w14:textId="77777777"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 </w:t>
            </w:r>
          </w:p>
        </w:tc>
        <w:tc>
          <w:tcPr>
            <w:tcW w:w="560" w:type="pct"/>
            <w:tcBorders>
              <w:top w:val="single" w:sz="4" w:space="0" w:color="auto"/>
              <w:left w:val="nil"/>
              <w:bottom w:val="single" w:sz="4" w:space="0" w:color="auto"/>
              <w:right w:val="nil"/>
            </w:tcBorders>
            <w:shd w:val="clear" w:color="000000" w:fill="E6E6E6"/>
            <w:noWrap/>
            <w:vAlign w:val="bottom"/>
            <w:hideMark/>
          </w:tcPr>
          <w:p w14:paraId="6A2487DC" w14:textId="77777777"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 </w:t>
            </w:r>
          </w:p>
        </w:tc>
        <w:tc>
          <w:tcPr>
            <w:tcW w:w="560" w:type="pct"/>
            <w:tcBorders>
              <w:top w:val="single" w:sz="4" w:space="0" w:color="auto"/>
              <w:left w:val="nil"/>
              <w:bottom w:val="single" w:sz="4" w:space="0" w:color="auto"/>
              <w:right w:val="nil"/>
            </w:tcBorders>
            <w:shd w:val="clear" w:color="000000" w:fill="E6E6E6"/>
            <w:noWrap/>
            <w:vAlign w:val="bottom"/>
            <w:hideMark/>
          </w:tcPr>
          <w:p w14:paraId="167CE8AD" w14:textId="77777777"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 </w:t>
            </w:r>
          </w:p>
        </w:tc>
        <w:tc>
          <w:tcPr>
            <w:tcW w:w="560" w:type="pct"/>
            <w:tcBorders>
              <w:top w:val="single" w:sz="4" w:space="0" w:color="auto"/>
              <w:left w:val="nil"/>
              <w:bottom w:val="single" w:sz="4" w:space="0" w:color="auto"/>
              <w:right w:val="nil"/>
            </w:tcBorders>
            <w:shd w:val="clear" w:color="000000" w:fill="E6E6E6"/>
            <w:noWrap/>
            <w:vAlign w:val="bottom"/>
            <w:hideMark/>
          </w:tcPr>
          <w:p w14:paraId="50F701F3" w14:textId="77777777"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 </w:t>
            </w:r>
          </w:p>
        </w:tc>
      </w:tr>
      <w:tr w:rsidR="00B85A2A" w:rsidRPr="00E84A95" w14:paraId="18909639" w14:textId="77777777" w:rsidTr="00E84A95">
        <w:trPr>
          <w:trHeight w:val="204"/>
        </w:trPr>
        <w:tc>
          <w:tcPr>
            <w:tcW w:w="2154" w:type="pct"/>
            <w:tcBorders>
              <w:top w:val="nil"/>
              <w:left w:val="nil"/>
              <w:bottom w:val="nil"/>
              <w:right w:val="nil"/>
            </w:tcBorders>
            <w:shd w:val="clear" w:color="auto" w:fill="auto"/>
            <w:noWrap/>
            <w:vAlign w:val="bottom"/>
            <w:hideMark/>
          </w:tcPr>
          <w:p w14:paraId="7834B3A5" w14:textId="77777777" w:rsidR="00B85A2A" w:rsidRPr="00E84A95" w:rsidRDefault="00B85A2A" w:rsidP="00B85A2A">
            <w:pPr>
              <w:spacing w:after="0" w:line="240" w:lineRule="auto"/>
              <w:rPr>
                <w:rFonts w:ascii="Arial" w:hAnsi="Arial" w:cs="Arial"/>
                <w:sz w:val="16"/>
                <w:szCs w:val="16"/>
              </w:rPr>
            </w:pPr>
            <w:r w:rsidRPr="00E84A95">
              <w:rPr>
                <w:rFonts w:ascii="Arial" w:hAnsi="Arial" w:cs="Arial"/>
                <w:sz w:val="16"/>
                <w:szCs w:val="16"/>
              </w:rPr>
              <w:t>Administered expenses:</w:t>
            </w:r>
          </w:p>
        </w:tc>
        <w:tc>
          <w:tcPr>
            <w:tcW w:w="606" w:type="pct"/>
            <w:tcBorders>
              <w:top w:val="nil"/>
              <w:left w:val="nil"/>
              <w:bottom w:val="nil"/>
              <w:right w:val="nil"/>
            </w:tcBorders>
            <w:shd w:val="clear" w:color="auto" w:fill="auto"/>
            <w:noWrap/>
            <w:vAlign w:val="bottom"/>
            <w:hideMark/>
          </w:tcPr>
          <w:p w14:paraId="18DCC292" w14:textId="77777777" w:rsidR="00B85A2A" w:rsidRPr="00E84A95" w:rsidRDefault="00B85A2A" w:rsidP="00E84A95">
            <w:pPr>
              <w:spacing w:after="0" w:line="240" w:lineRule="auto"/>
              <w:jc w:val="right"/>
              <w:rPr>
                <w:rFonts w:ascii="Arial" w:hAnsi="Arial" w:cs="Arial"/>
                <w:sz w:val="16"/>
                <w:szCs w:val="16"/>
              </w:rPr>
            </w:pPr>
          </w:p>
        </w:tc>
        <w:tc>
          <w:tcPr>
            <w:tcW w:w="559" w:type="pct"/>
            <w:tcBorders>
              <w:top w:val="nil"/>
              <w:left w:val="nil"/>
              <w:bottom w:val="nil"/>
              <w:right w:val="nil"/>
            </w:tcBorders>
            <w:shd w:val="clear" w:color="000000" w:fill="E6E6E6"/>
            <w:noWrap/>
            <w:vAlign w:val="bottom"/>
            <w:hideMark/>
          </w:tcPr>
          <w:p w14:paraId="682117CE" w14:textId="2BAA5166" w:rsidR="00B85A2A" w:rsidRPr="00E84A95" w:rsidRDefault="00B85A2A" w:rsidP="00E84A95">
            <w:pPr>
              <w:spacing w:after="0" w:line="240" w:lineRule="auto"/>
              <w:jc w:val="right"/>
              <w:rPr>
                <w:rFonts w:ascii="Arial" w:hAnsi="Arial" w:cs="Arial"/>
                <w:sz w:val="16"/>
                <w:szCs w:val="16"/>
              </w:rPr>
            </w:pPr>
          </w:p>
        </w:tc>
        <w:tc>
          <w:tcPr>
            <w:tcW w:w="560" w:type="pct"/>
            <w:tcBorders>
              <w:top w:val="nil"/>
              <w:left w:val="nil"/>
              <w:bottom w:val="nil"/>
              <w:right w:val="nil"/>
            </w:tcBorders>
            <w:shd w:val="clear" w:color="auto" w:fill="auto"/>
            <w:noWrap/>
            <w:vAlign w:val="bottom"/>
            <w:hideMark/>
          </w:tcPr>
          <w:p w14:paraId="589B1F96" w14:textId="77777777" w:rsidR="00B85A2A" w:rsidRPr="00E84A95" w:rsidRDefault="00B85A2A" w:rsidP="00E84A95">
            <w:pPr>
              <w:spacing w:after="0" w:line="240" w:lineRule="auto"/>
              <w:jc w:val="right"/>
              <w:rPr>
                <w:rFonts w:ascii="Arial" w:hAnsi="Arial" w:cs="Arial"/>
                <w:sz w:val="16"/>
                <w:szCs w:val="16"/>
              </w:rPr>
            </w:pPr>
          </w:p>
        </w:tc>
        <w:tc>
          <w:tcPr>
            <w:tcW w:w="560" w:type="pct"/>
            <w:tcBorders>
              <w:top w:val="nil"/>
              <w:left w:val="nil"/>
              <w:bottom w:val="nil"/>
              <w:right w:val="nil"/>
            </w:tcBorders>
            <w:shd w:val="clear" w:color="auto" w:fill="auto"/>
            <w:noWrap/>
            <w:vAlign w:val="bottom"/>
            <w:hideMark/>
          </w:tcPr>
          <w:p w14:paraId="5217B0F5" w14:textId="77777777" w:rsidR="00B85A2A" w:rsidRPr="00E84A95" w:rsidRDefault="00B85A2A" w:rsidP="00E84A95">
            <w:pPr>
              <w:spacing w:after="0" w:line="240" w:lineRule="auto"/>
              <w:jc w:val="right"/>
              <w:rPr>
                <w:rFonts w:ascii="Arial" w:hAnsi="Arial" w:cs="Arial"/>
                <w:sz w:val="16"/>
                <w:szCs w:val="16"/>
              </w:rPr>
            </w:pPr>
          </w:p>
        </w:tc>
        <w:tc>
          <w:tcPr>
            <w:tcW w:w="560" w:type="pct"/>
            <w:tcBorders>
              <w:top w:val="nil"/>
              <w:left w:val="nil"/>
              <w:bottom w:val="nil"/>
              <w:right w:val="nil"/>
            </w:tcBorders>
            <w:shd w:val="clear" w:color="auto" w:fill="auto"/>
            <w:noWrap/>
            <w:vAlign w:val="bottom"/>
            <w:hideMark/>
          </w:tcPr>
          <w:p w14:paraId="71EC7D52" w14:textId="77777777" w:rsidR="00B85A2A" w:rsidRPr="00E84A95" w:rsidRDefault="00B85A2A" w:rsidP="00E84A95">
            <w:pPr>
              <w:spacing w:after="0" w:line="240" w:lineRule="auto"/>
              <w:jc w:val="right"/>
              <w:rPr>
                <w:rFonts w:ascii="Arial" w:hAnsi="Arial" w:cs="Arial"/>
                <w:sz w:val="16"/>
                <w:szCs w:val="16"/>
              </w:rPr>
            </w:pPr>
          </w:p>
        </w:tc>
      </w:tr>
      <w:tr w:rsidR="00B85A2A" w:rsidRPr="00E84A95" w14:paraId="22DE4AAA" w14:textId="77777777" w:rsidTr="00E84A95">
        <w:trPr>
          <w:trHeight w:val="204"/>
        </w:trPr>
        <w:tc>
          <w:tcPr>
            <w:tcW w:w="2154" w:type="pct"/>
            <w:tcBorders>
              <w:top w:val="nil"/>
              <w:left w:val="nil"/>
              <w:bottom w:val="nil"/>
              <w:right w:val="nil"/>
            </w:tcBorders>
            <w:shd w:val="clear" w:color="auto" w:fill="auto"/>
            <w:vAlign w:val="bottom"/>
            <w:hideMark/>
          </w:tcPr>
          <w:p w14:paraId="7DDFBDAE" w14:textId="77777777" w:rsidR="00B85A2A" w:rsidRPr="00E84A95" w:rsidRDefault="00B85A2A" w:rsidP="00E84A95">
            <w:pPr>
              <w:spacing w:after="0" w:line="240" w:lineRule="auto"/>
              <w:ind w:left="113"/>
              <w:rPr>
                <w:rFonts w:ascii="Arial" w:hAnsi="Arial" w:cs="Arial"/>
                <w:sz w:val="16"/>
                <w:szCs w:val="16"/>
              </w:rPr>
            </w:pPr>
            <w:r w:rsidRPr="00E84A95">
              <w:rPr>
                <w:rFonts w:ascii="Arial" w:hAnsi="Arial" w:cs="Arial"/>
                <w:sz w:val="16"/>
                <w:szCs w:val="16"/>
              </w:rPr>
              <w:t>Airport Lessee Companies</w:t>
            </w:r>
          </w:p>
        </w:tc>
        <w:tc>
          <w:tcPr>
            <w:tcW w:w="606" w:type="pct"/>
            <w:tcBorders>
              <w:top w:val="nil"/>
              <w:left w:val="nil"/>
              <w:bottom w:val="nil"/>
              <w:right w:val="nil"/>
            </w:tcBorders>
            <w:shd w:val="clear" w:color="auto" w:fill="auto"/>
            <w:noWrap/>
            <w:vAlign w:val="bottom"/>
            <w:hideMark/>
          </w:tcPr>
          <w:p w14:paraId="0B7CA62A" w14:textId="40018E2C"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1,000</w:t>
            </w:r>
          </w:p>
        </w:tc>
        <w:tc>
          <w:tcPr>
            <w:tcW w:w="559" w:type="pct"/>
            <w:tcBorders>
              <w:top w:val="nil"/>
              <w:left w:val="nil"/>
              <w:bottom w:val="nil"/>
              <w:right w:val="nil"/>
            </w:tcBorders>
            <w:shd w:val="clear" w:color="000000" w:fill="E6E6E6"/>
            <w:noWrap/>
            <w:vAlign w:val="bottom"/>
            <w:hideMark/>
          </w:tcPr>
          <w:p w14:paraId="47FF46BD" w14:textId="16B7F8D7"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1,000</w:t>
            </w:r>
          </w:p>
        </w:tc>
        <w:tc>
          <w:tcPr>
            <w:tcW w:w="560" w:type="pct"/>
            <w:tcBorders>
              <w:top w:val="nil"/>
              <w:left w:val="nil"/>
              <w:bottom w:val="nil"/>
              <w:right w:val="nil"/>
            </w:tcBorders>
            <w:shd w:val="clear" w:color="auto" w:fill="auto"/>
            <w:noWrap/>
            <w:vAlign w:val="bottom"/>
            <w:hideMark/>
          </w:tcPr>
          <w:p w14:paraId="2749A451" w14:textId="2AD21531"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1,000</w:t>
            </w:r>
          </w:p>
        </w:tc>
        <w:tc>
          <w:tcPr>
            <w:tcW w:w="560" w:type="pct"/>
            <w:tcBorders>
              <w:top w:val="nil"/>
              <w:left w:val="nil"/>
              <w:bottom w:val="nil"/>
              <w:right w:val="nil"/>
            </w:tcBorders>
            <w:shd w:val="clear" w:color="auto" w:fill="auto"/>
            <w:noWrap/>
            <w:vAlign w:val="bottom"/>
            <w:hideMark/>
          </w:tcPr>
          <w:p w14:paraId="4F31813B" w14:textId="5883BE68"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1,000</w:t>
            </w:r>
          </w:p>
        </w:tc>
        <w:tc>
          <w:tcPr>
            <w:tcW w:w="560" w:type="pct"/>
            <w:tcBorders>
              <w:top w:val="nil"/>
              <w:left w:val="nil"/>
              <w:bottom w:val="nil"/>
              <w:right w:val="nil"/>
            </w:tcBorders>
            <w:shd w:val="clear" w:color="auto" w:fill="auto"/>
            <w:noWrap/>
            <w:vAlign w:val="bottom"/>
            <w:hideMark/>
          </w:tcPr>
          <w:p w14:paraId="39378B0D" w14:textId="512C922B"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1,000</w:t>
            </w:r>
          </w:p>
        </w:tc>
      </w:tr>
      <w:tr w:rsidR="00B85A2A" w:rsidRPr="00E84A95" w14:paraId="22C774F6" w14:textId="77777777" w:rsidTr="00E84A95">
        <w:trPr>
          <w:trHeight w:val="204"/>
        </w:trPr>
        <w:tc>
          <w:tcPr>
            <w:tcW w:w="2154" w:type="pct"/>
            <w:tcBorders>
              <w:top w:val="nil"/>
              <w:left w:val="nil"/>
              <w:bottom w:val="nil"/>
              <w:right w:val="nil"/>
            </w:tcBorders>
            <w:shd w:val="clear" w:color="auto" w:fill="auto"/>
            <w:vAlign w:val="bottom"/>
            <w:hideMark/>
          </w:tcPr>
          <w:p w14:paraId="44E32689" w14:textId="77777777" w:rsidR="00B85A2A" w:rsidRPr="00E84A95" w:rsidRDefault="00B85A2A" w:rsidP="00E84A95">
            <w:pPr>
              <w:spacing w:after="0" w:line="240" w:lineRule="auto"/>
              <w:ind w:left="113"/>
              <w:rPr>
                <w:rFonts w:ascii="Arial" w:hAnsi="Arial" w:cs="Arial"/>
                <w:sz w:val="16"/>
                <w:szCs w:val="16"/>
              </w:rPr>
            </w:pPr>
            <w:r w:rsidRPr="00E84A95">
              <w:rPr>
                <w:rFonts w:ascii="Arial" w:hAnsi="Arial" w:cs="Arial"/>
                <w:sz w:val="16"/>
                <w:szCs w:val="16"/>
              </w:rPr>
              <w:t>Automatic Dependent Surveillance - Broadcast (ADS-B) Rebate Program</w:t>
            </w:r>
          </w:p>
        </w:tc>
        <w:tc>
          <w:tcPr>
            <w:tcW w:w="606" w:type="pct"/>
            <w:tcBorders>
              <w:top w:val="nil"/>
              <w:left w:val="nil"/>
              <w:bottom w:val="nil"/>
              <w:right w:val="nil"/>
            </w:tcBorders>
            <w:shd w:val="clear" w:color="auto" w:fill="auto"/>
            <w:noWrap/>
            <w:vAlign w:val="bottom"/>
            <w:hideMark/>
          </w:tcPr>
          <w:p w14:paraId="594A3A3F" w14:textId="35F05529"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15,000</w:t>
            </w:r>
          </w:p>
        </w:tc>
        <w:tc>
          <w:tcPr>
            <w:tcW w:w="559" w:type="pct"/>
            <w:tcBorders>
              <w:top w:val="nil"/>
              <w:left w:val="nil"/>
              <w:bottom w:val="nil"/>
              <w:right w:val="nil"/>
            </w:tcBorders>
            <w:shd w:val="clear" w:color="000000" w:fill="E6E6E6"/>
            <w:noWrap/>
            <w:vAlign w:val="bottom"/>
            <w:hideMark/>
          </w:tcPr>
          <w:p w14:paraId="0FA972FC" w14:textId="5FFFE20E"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15,000</w:t>
            </w:r>
          </w:p>
        </w:tc>
        <w:tc>
          <w:tcPr>
            <w:tcW w:w="560" w:type="pct"/>
            <w:tcBorders>
              <w:top w:val="nil"/>
              <w:left w:val="nil"/>
              <w:bottom w:val="nil"/>
              <w:right w:val="nil"/>
            </w:tcBorders>
            <w:shd w:val="clear" w:color="auto" w:fill="auto"/>
            <w:noWrap/>
            <w:vAlign w:val="bottom"/>
            <w:hideMark/>
          </w:tcPr>
          <w:p w14:paraId="72ACD6D4" w14:textId="76901CF5"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w:t>
            </w:r>
          </w:p>
        </w:tc>
        <w:tc>
          <w:tcPr>
            <w:tcW w:w="560" w:type="pct"/>
            <w:tcBorders>
              <w:top w:val="nil"/>
              <w:left w:val="nil"/>
              <w:bottom w:val="nil"/>
              <w:right w:val="nil"/>
            </w:tcBorders>
            <w:shd w:val="clear" w:color="auto" w:fill="auto"/>
            <w:noWrap/>
            <w:vAlign w:val="bottom"/>
            <w:hideMark/>
          </w:tcPr>
          <w:p w14:paraId="6BBA8670" w14:textId="11B3D619"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w:t>
            </w:r>
          </w:p>
        </w:tc>
        <w:tc>
          <w:tcPr>
            <w:tcW w:w="560" w:type="pct"/>
            <w:tcBorders>
              <w:top w:val="nil"/>
              <w:left w:val="nil"/>
              <w:bottom w:val="nil"/>
              <w:right w:val="nil"/>
            </w:tcBorders>
            <w:shd w:val="clear" w:color="auto" w:fill="auto"/>
            <w:noWrap/>
            <w:vAlign w:val="bottom"/>
            <w:hideMark/>
          </w:tcPr>
          <w:p w14:paraId="6DC4679A" w14:textId="3B29308F"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w:t>
            </w:r>
          </w:p>
        </w:tc>
      </w:tr>
      <w:tr w:rsidR="00B85A2A" w:rsidRPr="00E84A95" w14:paraId="0B978857" w14:textId="77777777" w:rsidTr="00E84A95">
        <w:trPr>
          <w:trHeight w:val="204"/>
        </w:trPr>
        <w:tc>
          <w:tcPr>
            <w:tcW w:w="2154" w:type="pct"/>
            <w:tcBorders>
              <w:top w:val="nil"/>
              <w:left w:val="nil"/>
              <w:bottom w:val="nil"/>
              <w:right w:val="nil"/>
            </w:tcBorders>
            <w:shd w:val="clear" w:color="auto" w:fill="auto"/>
            <w:vAlign w:val="bottom"/>
            <w:hideMark/>
          </w:tcPr>
          <w:p w14:paraId="58DEB823" w14:textId="77777777" w:rsidR="00B85A2A" w:rsidRPr="00E84A95" w:rsidRDefault="00B85A2A" w:rsidP="00E84A95">
            <w:pPr>
              <w:spacing w:after="0" w:line="240" w:lineRule="auto"/>
              <w:ind w:left="113"/>
              <w:rPr>
                <w:rFonts w:ascii="Arial" w:hAnsi="Arial" w:cs="Arial"/>
                <w:sz w:val="16"/>
                <w:szCs w:val="16"/>
              </w:rPr>
            </w:pPr>
            <w:r w:rsidRPr="00E84A95">
              <w:rPr>
                <w:rFonts w:ascii="Arial" w:hAnsi="Arial" w:cs="Arial"/>
                <w:sz w:val="16"/>
                <w:szCs w:val="16"/>
              </w:rPr>
              <w:t>Emerging Aviation Technologies Programs</w:t>
            </w:r>
          </w:p>
        </w:tc>
        <w:tc>
          <w:tcPr>
            <w:tcW w:w="606" w:type="pct"/>
            <w:tcBorders>
              <w:top w:val="nil"/>
              <w:left w:val="nil"/>
              <w:bottom w:val="nil"/>
              <w:right w:val="nil"/>
            </w:tcBorders>
            <w:shd w:val="clear" w:color="auto" w:fill="auto"/>
            <w:noWrap/>
            <w:vAlign w:val="bottom"/>
            <w:hideMark/>
          </w:tcPr>
          <w:p w14:paraId="734B0E73" w14:textId="3638AF9F"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11,415</w:t>
            </w:r>
          </w:p>
        </w:tc>
        <w:tc>
          <w:tcPr>
            <w:tcW w:w="559" w:type="pct"/>
            <w:tcBorders>
              <w:top w:val="nil"/>
              <w:left w:val="nil"/>
              <w:bottom w:val="nil"/>
              <w:right w:val="nil"/>
            </w:tcBorders>
            <w:shd w:val="clear" w:color="000000" w:fill="E6E6E6"/>
            <w:noWrap/>
            <w:vAlign w:val="bottom"/>
            <w:hideMark/>
          </w:tcPr>
          <w:p w14:paraId="217635A9" w14:textId="37B64027"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16,290</w:t>
            </w:r>
          </w:p>
        </w:tc>
        <w:tc>
          <w:tcPr>
            <w:tcW w:w="560" w:type="pct"/>
            <w:tcBorders>
              <w:top w:val="nil"/>
              <w:left w:val="nil"/>
              <w:bottom w:val="nil"/>
              <w:right w:val="nil"/>
            </w:tcBorders>
            <w:shd w:val="clear" w:color="auto" w:fill="auto"/>
            <w:noWrap/>
            <w:vAlign w:val="bottom"/>
            <w:hideMark/>
          </w:tcPr>
          <w:p w14:paraId="4EF54CD1" w14:textId="65C7E664"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3,359</w:t>
            </w:r>
          </w:p>
        </w:tc>
        <w:tc>
          <w:tcPr>
            <w:tcW w:w="560" w:type="pct"/>
            <w:tcBorders>
              <w:top w:val="nil"/>
              <w:left w:val="nil"/>
              <w:bottom w:val="nil"/>
              <w:right w:val="nil"/>
            </w:tcBorders>
            <w:shd w:val="clear" w:color="auto" w:fill="auto"/>
            <w:noWrap/>
            <w:vAlign w:val="bottom"/>
            <w:hideMark/>
          </w:tcPr>
          <w:p w14:paraId="3390BF26" w14:textId="40DE7C72"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w:t>
            </w:r>
          </w:p>
        </w:tc>
        <w:tc>
          <w:tcPr>
            <w:tcW w:w="560" w:type="pct"/>
            <w:tcBorders>
              <w:top w:val="nil"/>
              <w:left w:val="nil"/>
              <w:bottom w:val="nil"/>
              <w:right w:val="nil"/>
            </w:tcBorders>
            <w:shd w:val="clear" w:color="auto" w:fill="auto"/>
            <w:noWrap/>
            <w:vAlign w:val="bottom"/>
            <w:hideMark/>
          </w:tcPr>
          <w:p w14:paraId="5301EABF" w14:textId="3258ED64"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w:t>
            </w:r>
          </w:p>
        </w:tc>
      </w:tr>
      <w:tr w:rsidR="00B85A2A" w:rsidRPr="00E84A95" w14:paraId="1FA8387E" w14:textId="77777777" w:rsidTr="00E84A95">
        <w:trPr>
          <w:trHeight w:val="204"/>
        </w:trPr>
        <w:tc>
          <w:tcPr>
            <w:tcW w:w="2154" w:type="pct"/>
            <w:tcBorders>
              <w:top w:val="nil"/>
              <w:left w:val="nil"/>
              <w:bottom w:val="nil"/>
              <w:right w:val="nil"/>
            </w:tcBorders>
            <w:shd w:val="clear" w:color="auto" w:fill="auto"/>
            <w:vAlign w:val="bottom"/>
            <w:hideMark/>
          </w:tcPr>
          <w:p w14:paraId="4F563B1C" w14:textId="77777777" w:rsidR="00B85A2A" w:rsidRPr="00E84A95" w:rsidRDefault="00B85A2A" w:rsidP="00E84A95">
            <w:pPr>
              <w:spacing w:after="0" w:line="240" w:lineRule="auto"/>
              <w:ind w:left="113"/>
              <w:rPr>
                <w:rFonts w:ascii="Arial" w:hAnsi="Arial" w:cs="Arial"/>
                <w:sz w:val="16"/>
                <w:szCs w:val="16"/>
              </w:rPr>
            </w:pPr>
            <w:r w:rsidRPr="00E84A95">
              <w:rPr>
                <w:rFonts w:ascii="Arial" w:hAnsi="Arial" w:cs="Arial"/>
                <w:sz w:val="16"/>
                <w:szCs w:val="16"/>
              </w:rPr>
              <w:t>Enhanced Regional Security Screening</w:t>
            </w:r>
          </w:p>
        </w:tc>
        <w:tc>
          <w:tcPr>
            <w:tcW w:w="606" w:type="pct"/>
            <w:tcBorders>
              <w:top w:val="nil"/>
              <w:left w:val="nil"/>
              <w:bottom w:val="nil"/>
              <w:right w:val="nil"/>
            </w:tcBorders>
            <w:shd w:val="clear" w:color="auto" w:fill="auto"/>
            <w:noWrap/>
            <w:vAlign w:val="bottom"/>
            <w:hideMark/>
          </w:tcPr>
          <w:p w14:paraId="3A268248" w14:textId="1897F637"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25,201</w:t>
            </w:r>
          </w:p>
        </w:tc>
        <w:tc>
          <w:tcPr>
            <w:tcW w:w="559" w:type="pct"/>
            <w:tcBorders>
              <w:top w:val="nil"/>
              <w:left w:val="nil"/>
              <w:bottom w:val="nil"/>
              <w:right w:val="nil"/>
            </w:tcBorders>
            <w:shd w:val="clear" w:color="000000" w:fill="E6E6E6"/>
            <w:noWrap/>
            <w:vAlign w:val="bottom"/>
            <w:hideMark/>
          </w:tcPr>
          <w:p w14:paraId="7260C737" w14:textId="18CD4A24"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10,192</w:t>
            </w:r>
          </w:p>
        </w:tc>
        <w:tc>
          <w:tcPr>
            <w:tcW w:w="560" w:type="pct"/>
            <w:tcBorders>
              <w:top w:val="nil"/>
              <w:left w:val="nil"/>
              <w:bottom w:val="nil"/>
              <w:right w:val="nil"/>
            </w:tcBorders>
            <w:shd w:val="clear" w:color="auto" w:fill="auto"/>
            <w:noWrap/>
            <w:vAlign w:val="bottom"/>
            <w:hideMark/>
          </w:tcPr>
          <w:p w14:paraId="05C778A1" w14:textId="16A1F65C"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8,761</w:t>
            </w:r>
          </w:p>
        </w:tc>
        <w:tc>
          <w:tcPr>
            <w:tcW w:w="560" w:type="pct"/>
            <w:tcBorders>
              <w:top w:val="nil"/>
              <w:left w:val="nil"/>
              <w:bottom w:val="nil"/>
              <w:right w:val="nil"/>
            </w:tcBorders>
            <w:shd w:val="clear" w:color="auto" w:fill="auto"/>
            <w:noWrap/>
            <w:vAlign w:val="bottom"/>
            <w:hideMark/>
          </w:tcPr>
          <w:p w14:paraId="506B5E7A" w14:textId="5E74F280"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w:t>
            </w:r>
          </w:p>
        </w:tc>
        <w:tc>
          <w:tcPr>
            <w:tcW w:w="560" w:type="pct"/>
            <w:tcBorders>
              <w:top w:val="nil"/>
              <w:left w:val="nil"/>
              <w:bottom w:val="nil"/>
              <w:right w:val="nil"/>
            </w:tcBorders>
            <w:shd w:val="clear" w:color="auto" w:fill="auto"/>
            <w:noWrap/>
            <w:vAlign w:val="bottom"/>
            <w:hideMark/>
          </w:tcPr>
          <w:p w14:paraId="42144BAE" w14:textId="4787F27D"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w:t>
            </w:r>
          </w:p>
        </w:tc>
      </w:tr>
      <w:tr w:rsidR="00B85A2A" w:rsidRPr="00E84A95" w14:paraId="26968F1D" w14:textId="77777777" w:rsidTr="00E84A95">
        <w:trPr>
          <w:trHeight w:val="204"/>
        </w:trPr>
        <w:tc>
          <w:tcPr>
            <w:tcW w:w="2154" w:type="pct"/>
            <w:tcBorders>
              <w:top w:val="nil"/>
              <w:left w:val="nil"/>
              <w:bottom w:val="nil"/>
              <w:right w:val="nil"/>
            </w:tcBorders>
            <w:shd w:val="clear" w:color="auto" w:fill="auto"/>
            <w:vAlign w:val="bottom"/>
            <w:hideMark/>
          </w:tcPr>
          <w:p w14:paraId="138BEAEE" w14:textId="77777777" w:rsidR="00B85A2A" w:rsidRPr="00E84A95" w:rsidRDefault="00B85A2A" w:rsidP="00E84A95">
            <w:pPr>
              <w:spacing w:after="0" w:line="240" w:lineRule="auto"/>
              <w:ind w:left="113"/>
              <w:rPr>
                <w:rFonts w:ascii="Arial" w:hAnsi="Arial" w:cs="Arial"/>
                <w:sz w:val="16"/>
                <w:szCs w:val="16"/>
              </w:rPr>
            </w:pPr>
            <w:r w:rsidRPr="00E84A95">
              <w:rPr>
                <w:rFonts w:ascii="Arial" w:hAnsi="Arial" w:cs="Arial"/>
                <w:sz w:val="16"/>
                <w:szCs w:val="16"/>
              </w:rPr>
              <w:t>Gold Coast Airport Contribution</w:t>
            </w:r>
          </w:p>
        </w:tc>
        <w:tc>
          <w:tcPr>
            <w:tcW w:w="606" w:type="pct"/>
            <w:tcBorders>
              <w:top w:val="nil"/>
              <w:left w:val="nil"/>
              <w:bottom w:val="nil"/>
              <w:right w:val="nil"/>
            </w:tcBorders>
            <w:shd w:val="clear" w:color="auto" w:fill="auto"/>
            <w:noWrap/>
            <w:vAlign w:val="bottom"/>
            <w:hideMark/>
          </w:tcPr>
          <w:p w14:paraId="79C065EE" w14:textId="456E8505"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4,000</w:t>
            </w:r>
          </w:p>
        </w:tc>
        <w:tc>
          <w:tcPr>
            <w:tcW w:w="559" w:type="pct"/>
            <w:tcBorders>
              <w:top w:val="nil"/>
              <w:left w:val="nil"/>
              <w:bottom w:val="nil"/>
              <w:right w:val="nil"/>
            </w:tcBorders>
            <w:shd w:val="clear" w:color="000000" w:fill="E6E6E6"/>
            <w:noWrap/>
            <w:vAlign w:val="bottom"/>
            <w:hideMark/>
          </w:tcPr>
          <w:p w14:paraId="65134183" w14:textId="3BF1E1F7"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w:t>
            </w:r>
          </w:p>
        </w:tc>
        <w:tc>
          <w:tcPr>
            <w:tcW w:w="560" w:type="pct"/>
            <w:tcBorders>
              <w:top w:val="nil"/>
              <w:left w:val="nil"/>
              <w:bottom w:val="nil"/>
              <w:right w:val="nil"/>
            </w:tcBorders>
            <w:shd w:val="clear" w:color="auto" w:fill="auto"/>
            <w:noWrap/>
            <w:vAlign w:val="bottom"/>
            <w:hideMark/>
          </w:tcPr>
          <w:p w14:paraId="2EC527B7" w14:textId="49768FB4"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w:t>
            </w:r>
          </w:p>
        </w:tc>
        <w:tc>
          <w:tcPr>
            <w:tcW w:w="560" w:type="pct"/>
            <w:tcBorders>
              <w:top w:val="nil"/>
              <w:left w:val="nil"/>
              <w:bottom w:val="nil"/>
              <w:right w:val="nil"/>
            </w:tcBorders>
            <w:shd w:val="clear" w:color="auto" w:fill="auto"/>
            <w:noWrap/>
            <w:vAlign w:val="bottom"/>
            <w:hideMark/>
          </w:tcPr>
          <w:p w14:paraId="5C916B40" w14:textId="6473D776"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w:t>
            </w:r>
          </w:p>
        </w:tc>
        <w:tc>
          <w:tcPr>
            <w:tcW w:w="560" w:type="pct"/>
            <w:tcBorders>
              <w:top w:val="nil"/>
              <w:left w:val="nil"/>
              <w:bottom w:val="nil"/>
              <w:right w:val="nil"/>
            </w:tcBorders>
            <w:shd w:val="clear" w:color="auto" w:fill="auto"/>
            <w:noWrap/>
            <w:vAlign w:val="bottom"/>
            <w:hideMark/>
          </w:tcPr>
          <w:p w14:paraId="51CC52EF" w14:textId="4B1DB95C"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w:t>
            </w:r>
          </w:p>
        </w:tc>
      </w:tr>
      <w:tr w:rsidR="00B85A2A" w:rsidRPr="00E84A95" w14:paraId="0F2755F3" w14:textId="77777777" w:rsidTr="00E84A95">
        <w:trPr>
          <w:trHeight w:val="204"/>
        </w:trPr>
        <w:tc>
          <w:tcPr>
            <w:tcW w:w="2154" w:type="pct"/>
            <w:tcBorders>
              <w:top w:val="nil"/>
              <w:left w:val="nil"/>
              <w:bottom w:val="nil"/>
              <w:right w:val="nil"/>
            </w:tcBorders>
            <w:shd w:val="clear" w:color="auto" w:fill="auto"/>
            <w:vAlign w:val="bottom"/>
            <w:hideMark/>
          </w:tcPr>
          <w:p w14:paraId="78FD21C6" w14:textId="77777777" w:rsidR="00B85A2A" w:rsidRPr="00E84A95" w:rsidRDefault="00B85A2A" w:rsidP="00E84A95">
            <w:pPr>
              <w:spacing w:after="0" w:line="240" w:lineRule="auto"/>
              <w:ind w:left="113"/>
              <w:rPr>
                <w:rFonts w:ascii="Arial" w:hAnsi="Arial" w:cs="Arial"/>
                <w:sz w:val="16"/>
                <w:szCs w:val="16"/>
              </w:rPr>
            </w:pPr>
            <w:r w:rsidRPr="00E84A95">
              <w:rPr>
                <w:rFonts w:ascii="Arial" w:hAnsi="Arial" w:cs="Arial"/>
                <w:sz w:val="16"/>
                <w:szCs w:val="16"/>
              </w:rPr>
              <w:t>International Civil Aviation Organization - contribution</w:t>
            </w:r>
          </w:p>
        </w:tc>
        <w:tc>
          <w:tcPr>
            <w:tcW w:w="606" w:type="pct"/>
            <w:tcBorders>
              <w:top w:val="nil"/>
              <w:left w:val="nil"/>
              <w:bottom w:val="nil"/>
              <w:right w:val="nil"/>
            </w:tcBorders>
            <w:shd w:val="clear" w:color="auto" w:fill="auto"/>
            <w:noWrap/>
            <w:vAlign w:val="bottom"/>
            <w:hideMark/>
          </w:tcPr>
          <w:p w14:paraId="2205ABC2" w14:textId="4E5CE30D"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2,999</w:t>
            </w:r>
          </w:p>
        </w:tc>
        <w:tc>
          <w:tcPr>
            <w:tcW w:w="559" w:type="pct"/>
            <w:tcBorders>
              <w:top w:val="nil"/>
              <w:left w:val="nil"/>
              <w:bottom w:val="nil"/>
              <w:right w:val="nil"/>
            </w:tcBorders>
            <w:shd w:val="clear" w:color="000000" w:fill="E6E6E6"/>
            <w:noWrap/>
            <w:vAlign w:val="bottom"/>
            <w:hideMark/>
          </w:tcPr>
          <w:p w14:paraId="4E9AEAA5" w14:textId="5C7F4163"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3,269</w:t>
            </w:r>
          </w:p>
        </w:tc>
        <w:tc>
          <w:tcPr>
            <w:tcW w:w="560" w:type="pct"/>
            <w:tcBorders>
              <w:top w:val="nil"/>
              <w:left w:val="nil"/>
              <w:bottom w:val="nil"/>
              <w:right w:val="nil"/>
            </w:tcBorders>
            <w:shd w:val="clear" w:color="auto" w:fill="auto"/>
            <w:noWrap/>
            <w:vAlign w:val="bottom"/>
            <w:hideMark/>
          </w:tcPr>
          <w:p w14:paraId="2828AC7C" w14:textId="18FC60BD"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3,449</w:t>
            </w:r>
          </w:p>
        </w:tc>
        <w:tc>
          <w:tcPr>
            <w:tcW w:w="560" w:type="pct"/>
            <w:tcBorders>
              <w:top w:val="nil"/>
              <w:left w:val="nil"/>
              <w:bottom w:val="nil"/>
              <w:right w:val="nil"/>
            </w:tcBorders>
            <w:shd w:val="clear" w:color="auto" w:fill="auto"/>
            <w:noWrap/>
            <w:vAlign w:val="bottom"/>
            <w:hideMark/>
          </w:tcPr>
          <w:p w14:paraId="3B6DE425" w14:textId="2517EA1C"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3,449</w:t>
            </w:r>
          </w:p>
        </w:tc>
        <w:tc>
          <w:tcPr>
            <w:tcW w:w="560" w:type="pct"/>
            <w:tcBorders>
              <w:top w:val="nil"/>
              <w:left w:val="nil"/>
              <w:bottom w:val="nil"/>
              <w:right w:val="nil"/>
            </w:tcBorders>
            <w:shd w:val="clear" w:color="auto" w:fill="auto"/>
            <w:noWrap/>
            <w:vAlign w:val="bottom"/>
            <w:hideMark/>
          </w:tcPr>
          <w:p w14:paraId="01D623C8" w14:textId="217CF789"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3,449</w:t>
            </w:r>
          </w:p>
        </w:tc>
      </w:tr>
      <w:tr w:rsidR="00B85A2A" w:rsidRPr="00E84A95" w14:paraId="572AFACA" w14:textId="77777777" w:rsidTr="00E84A95">
        <w:trPr>
          <w:trHeight w:val="204"/>
        </w:trPr>
        <w:tc>
          <w:tcPr>
            <w:tcW w:w="2154" w:type="pct"/>
            <w:tcBorders>
              <w:top w:val="nil"/>
              <w:left w:val="nil"/>
              <w:bottom w:val="nil"/>
              <w:right w:val="nil"/>
            </w:tcBorders>
            <w:shd w:val="clear" w:color="auto" w:fill="auto"/>
            <w:vAlign w:val="bottom"/>
            <w:hideMark/>
          </w:tcPr>
          <w:p w14:paraId="7318F7C9" w14:textId="77777777" w:rsidR="00B85A2A" w:rsidRPr="00E84A95" w:rsidRDefault="00B85A2A" w:rsidP="00E84A95">
            <w:pPr>
              <w:spacing w:after="0" w:line="240" w:lineRule="auto"/>
              <w:ind w:left="113"/>
              <w:rPr>
                <w:rFonts w:ascii="Arial" w:hAnsi="Arial" w:cs="Arial"/>
                <w:sz w:val="16"/>
                <w:szCs w:val="16"/>
              </w:rPr>
            </w:pPr>
            <w:r w:rsidRPr="00E84A95">
              <w:rPr>
                <w:rFonts w:ascii="Arial" w:hAnsi="Arial" w:cs="Arial"/>
                <w:sz w:val="16"/>
                <w:szCs w:val="16"/>
              </w:rPr>
              <w:t>Hobart Airport Runway</w:t>
            </w:r>
          </w:p>
        </w:tc>
        <w:tc>
          <w:tcPr>
            <w:tcW w:w="606" w:type="pct"/>
            <w:tcBorders>
              <w:top w:val="nil"/>
              <w:left w:val="nil"/>
              <w:bottom w:val="nil"/>
              <w:right w:val="nil"/>
            </w:tcBorders>
            <w:shd w:val="clear" w:color="auto" w:fill="auto"/>
            <w:noWrap/>
            <w:vAlign w:val="bottom"/>
            <w:hideMark/>
          </w:tcPr>
          <w:p w14:paraId="1FE6C6D1" w14:textId="5231018F"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w:t>
            </w:r>
          </w:p>
        </w:tc>
        <w:tc>
          <w:tcPr>
            <w:tcW w:w="559" w:type="pct"/>
            <w:tcBorders>
              <w:top w:val="nil"/>
              <w:left w:val="nil"/>
              <w:bottom w:val="nil"/>
              <w:right w:val="nil"/>
            </w:tcBorders>
            <w:shd w:val="clear" w:color="000000" w:fill="E6E6E6"/>
            <w:noWrap/>
            <w:vAlign w:val="bottom"/>
            <w:hideMark/>
          </w:tcPr>
          <w:p w14:paraId="73660FDF" w14:textId="3D15AD08"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54,000</w:t>
            </w:r>
          </w:p>
        </w:tc>
        <w:tc>
          <w:tcPr>
            <w:tcW w:w="560" w:type="pct"/>
            <w:tcBorders>
              <w:top w:val="nil"/>
              <w:left w:val="nil"/>
              <w:bottom w:val="nil"/>
              <w:right w:val="nil"/>
            </w:tcBorders>
            <w:shd w:val="clear" w:color="auto" w:fill="auto"/>
            <w:noWrap/>
            <w:vAlign w:val="bottom"/>
            <w:hideMark/>
          </w:tcPr>
          <w:p w14:paraId="2D7BD6F3" w14:textId="039BDCD5"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6,000</w:t>
            </w:r>
          </w:p>
        </w:tc>
        <w:tc>
          <w:tcPr>
            <w:tcW w:w="560" w:type="pct"/>
            <w:tcBorders>
              <w:top w:val="nil"/>
              <w:left w:val="nil"/>
              <w:bottom w:val="nil"/>
              <w:right w:val="nil"/>
            </w:tcBorders>
            <w:shd w:val="clear" w:color="auto" w:fill="auto"/>
            <w:noWrap/>
            <w:vAlign w:val="bottom"/>
            <w:hideMark/>
          </w:tcPr>
          <w:p w14:paraId="02F1E25A" w14:textId="0D739174"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w:t>
            </w:r>
          </w:p>
        </w:tc>
        <w:tc>
          <w:tcPr>
            <w:tcW w:w="560" w:type="pct"/>
            <w:tcBorders>
              <w:top w:val="nil"/>
              <w:left w:val="nil"/>
              <w:bottom w:val="nil"/>
              <w:right w:val="nil"/>
            </w:tcBorders>
            <w:shd w:val="clear" w:color="auto" w:fill="auto"/>
            <w:noWrap/>
            <w:vAlign w:val="bottom"/>
            <w:hideMark/>
          </w:tcPr>
          <w:p w14:paraId="14854168" w14:textId="259FB9DA"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w:t>
            </w:r>
          </w:p>
        </w:tc>
      </w:tr>
      <w:tr w:rsidR="00B85A2A" w:rsidRPr="00E84A95" w14:paraId="612CF32B" w14:textId="77777777" w:rsidTr="00E84A95">
        <w:trPr>
          <w:trHeight w:val="204"/>
        </w:trPr>
        <w:tc>
          <w:tcPr>
            <w:tcW w:w="2154" w:type="pct"/>
            <w:tcBorders>
              <w:top w:val="nil"/>
              <w:left w:val="nil"/>
              <w:bottom w:val="nil"/>
              <w:right w:val="nil"/>
            </w:tcBorders>
            <w:shd w:val="clear" w:color="auto" w:fill="auto"/>
            <w:vAlign w:val="bottom"/>
            <w:hideMark/>
          </w:tcPr>
          <w:p w14:paraId="26E3F738" w14:textId="77777777" w:rsidR="00B85A2A" w:rsidRPr="00E84A95" w:rsidRDefault="00B85A2A" w:rsidP="00E84A95">
            <w:pPr>
              <w:spacing w:after="0" w:line="240" w:lineRule="auto"/>
              <w:ind w:left="113"/>
              <w:rPr>
                <w:rFonts w:ascii="Arial" w:hAnsi="Arial" w:cs="Arial"/>
                <w:sz w:val="16"/>
                <w:szCs w:val="16"/>
              </w:rPr>
            </w:pPr>
            <w:r w:rsidRPr="00E84A95">
              <w:rPr>
                <w:rFonts w:ascii="Arial" w:hAnsi="Arial" w:cs="Arial"/>
                <w:sz w:val="16"/>
                <w:szCs w:val="16"/>
              </w:rPr>
              <w:t>Newcastle Airport International Terminal Upgrade</w:t>
            </w:r>
          </w:p>
        </w:tc>
        <w:tc>
          <w:tcPr>
            <w:tcW w:w="606" w:type="pct"/>
            <w:tcBorders>
              <w:top w:val="nil"/>
              <w:left w:val="nil"/>
              <w:bottom w:val="nil"/>
              <w:right w:val="nil"/>
            </w:tcBorders>
            <w:shd w:val="clear" w:color="auto" w:fill="auto"/>
            <w:noWrap/>
            <w:vAlign w:val="bottom"/>
            <w:hideMark/>
          </w:tcPr>
          <w:p w14:paraId="128FDF09" w14:textId="7BA9A833"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15,000</w:t>
            </w:r>
          </w:p>
        </w:tc>
        <w:tc>
          <w:tcPr>
            <w:tcW w:w="559" w:type="pct"/>
            <w:tcBorders>
              <w:top w:val="nil"/>
              <w:left w:val="nil"/>
              <w:bottom w:val="nil"/>
              <w:right w:val="nil"/>
            </w:tcBorders>
            <w:shd w:val="clear" w:color="000000" w:fill="E6E6E6"/>
            <w:noWrap/>
            <w:vAlign w:val="bottom"/>
            <w:hideMark/>
          </w:tcPr>
          <w:p w14:paraId="346C1EE2" w14:textId="36A69BB9"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40,000</w:t>
            </w:r>
          </w:p>
        </w:tc>
        <w:tc>
          <w:tcPr>
            <w:tcW w:w="560" w:type="pct"/>
            <w:tcBorders>
              <w:top w:val="nil"/>
              <w:left w:val="nil"/>
              <w:bottom w:val="nil"/>
              <w:right w:val="nil"/>
            </w:tcBorders>
            <w:shd w:val="clear" w:color="auto" w:fill="auto"/>
            <w:noWrap/>
            <w:vAlign w:val="bottom"/>
            <w:hideMark/>
          </w:tcPr>
          <w:p w14:paraId="32E989F0" w14:textId="30B0D0F7"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w:t>
            </w:r>
          </w:p>
        </w:tc>
        <w:tc>
          <w:tcPr>
            <w:tcW w:w="560" w:type="pct"/>
            <w:tcBorders>
              <w:top w:val="nil"/>
              <w:left w:val="nil"/>
              <w:bottom w:val="nil"/>
              <w:right w:val="nil"/>
            </w:tcBorders>
            <w:shd w:val="clear" w:color="auto" w:fill="auto"/>
            <w:noWrap/>
            <w:vAlign w:val="bottom"/>
            <w:hideMark/>
          </w:tcPr>
          <w:p w14:paraId="445D7AC1" w14:textId="0A4D5585"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w:t>
            </w:r>
          </w:p>
        </w:tc>
        <w:tc>
          <w:tcPr>
            <w:tcW w:w="560" w:type="pct"/>
            <w:tcBorders>
              <w:top w:val="nil"/>
              <w:left w:val="nil"/>
              <w:bottom w:val="nil"/>
              <w:right w:val="nil"/>
            </w:tcBorders>
            <w:shd w:val="clear" w:color="auto" w:fill="auto"/>
            <w:noWrap/>
            <w:vAlign w:val="bottom"/>
            <w:hideMark/>
          </w:tcPr>
          <w:p w14:paraId="513B0B4A" w14:textId="53D69539"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w:t>
            </w:r>
          </w:p>
        </w:tc>
      </w:tr>
      <w:tr w:rsidR="00B85A2A" w:rsidRPr="00E84A95" w14:paraId="2AEB010C" w14:textId="77777777" w:rsidTr="00E84A95">
        <w:trPr>
          <w:trHeight w:val="204"/>
        </w:trPr>
        <w:tc>
          <w:tcPr>
            <w:tcW w:w="2154" w:type="pct"/>
            <w:tcBorders>
              <w:top w:val="nil"/>
              <w:left w:val="nil"/>
              <w:bottom w:val="nil"/>
              <w:right w:val="nil"/>
            </w:tcBorders>
            <w:shd w:val="clear" w:color="auto" w:fill="auto"/>
            <w:vAlign w:val="bottom"/>
            <w:hideMark/>
          </w:tcPr>
          <w:p w14:paraId="147997EF" w14:textId="01AD95E2" w:rsidR="00B85A2A" w:rsidRPr="00E84A95" w:rsidRDefault="00B85A2A" w:rsidP="00E84A95">
            <w:pPr>
              <w:spacing w:after="0" w:line="240" w:lineRule="auto"/>
              <w:ind w:left="113"/>
              <w:rPr>
                <w:rFonts w:ascii="Arial" w:hAnsi="Arial" w:cs="Arial"/>
                <w:sz w:val="16"/>
                <w:szCs w:val="16"/>
              </w:rPr>
            </w:pPr>
            <w:r w:rsidRPr="00E84A95">
              <w:rPr>
                <w:rFonts w:ascii="Arial" w:hAnsi="Arial" w:cs="Arial"/>
                <w:sz w:val="16"/>
                <w:szCs w:val="16"/>
              </w:rPr>
              <w:t>Payment scheme for Airservices Australia's en route charges</w:t>
            </w:r>
            <w:r w:rsidRPr="00E84A95">
              <w:rPr>
                <w:rFonts w:ascii="Arial" w:hAnsi="Arial" w:cs="Arial"/>
                <w:sz w:val="16"/>
                <w:szCs w:val="16"/>
                <w:vertAlign w:val="superscript"/>
              </w:rPr>
              <w:t>(a)</w:t>
            </w:r>
          </w:p>
        </w:tc>
        <w:tc>
          <w:tcPr>
            <w:tcW w:w="606" w:type="pct"/>
            <w:tcBorders>
              <w:top w:val="nil"/>
              <w:left w:val="nil"/>
              <w:bottom w:val="nil"/>
              <w:right w:val="nil"/>
            </w:tcBorders>
            <w:shd w:val="clear" w:color="auto" w:fill="auto"/>
            <w:noWrap/>
            <w:vAlign w:val="bottom"/>
            <w:hideMark/>
          </w:tcPr>
          <w:p w14:paraId="17C6611A" w14:textId="6A27979A"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2,000</w:t>
            </w:r>
          </w:p>
        </w:tc>
        <w:tc>
          <w:tcPr>
            <w:tcW w:w="559" w:type="pct"/>
            <w:tcBorders>
              <w:top w:val="nil"/>
              <w:left w:val="nil"/>
              <w:bottom w:val="nil"/>
              <w:right w:val="nil"/>
            </w:tcBorders>
            <w:shd w:val="clear" w:color="000000" w:fill="E6E6E6"/>
            <w:noWrap/>
            <w:vAlign w:val="bottom"/>
            <w:hideMark/>
          </w:tcPr>
          <w:p w14:paraId="3087DB8B" w14:textId="0BEFDE5E"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2,000</w:t>
            </w:r>
          </w:p>
        </w:tc>
        <w:tc>
          <w:tcPr>
            <w:tcW w:w="560" w:type="pct"/>
            <w:tcBorders>
              <w:top w:val="nil"/>
              <w:left w:val="nil"/>
              <w:bottom w:val="nil"/>
              <w:right w:val="nil"/>
            </w:tcBorders>
            <w:shd w:val="clear" w:color="auto" w:fill="auto"/>
            <w:noWrap/>
            <w:vAlign w:val="bottom"/>
            <w:hideMark/>
          </w:tcPr>
          <w:p w14:paraId="66FE26B4" w14:textId="0C327373"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2,000</w:t>
            </w:r>
          </w:p>
        </w:tc>
        <w:tc>
          <w:tcPr>
            <w:tcW w:w="560" w:type="pct"/>
            <w:tcBorders>
              <w:top w:val="nil"/>
              <w:left w:val="nil"/>
              <w:bottom w:val="nil"/>
              <w:right w:val="nil"/>
            </w:tcBorders>
            <w:shd w:val="clear" w:color="auto" w:fill="auto"/>
            <w:noWrap/>
            <w:vAlign w:val="bottom"/>
            <w:hideMark/>
          </w:tcPr>
          <w:p w14:paraId="3F1FC4F9" w14:textId="0683B834"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2,000</w:t>
            </w:r>
          </w:p>
        </w:tc>
        <w:tc>
          <w:tcPr>
            <w:tcW w:w="560" w:type="pct"/>
            <w:tcBorders>
              <w:top w:val="nil"/>
              <w:left w:val="nil"/>
              <w:bottom w:val="nil"/>
              <w:right w:val="nil"/>
            </w:tcBorders>
            <w:shd w:val="clear" w:color="auto" w:fill="auto"/>
            <w:noWrap/>
            <w:vAlign w:val="bottom"/>
            <w:hideMark/>
          </w:tcPr>
          <w:p w14:paraId="40D4486B" w14:textId="063E69ED"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2,000</w:t>
            </w:r>
          </w:p>
        </w:tc>
      </w:tr>
      <w:tr w:rsidR="00B85A2A" w:rsidRPr="00E84A95" w14:paraId="722CE909" w14:textId="77777777" w:rsidTr="00E84A95">
        <w:trPr>
          <w:trHeight w:val="204"/>
        </w:trPr>
        <w:tc>
          <w:tcPr>
            <w:tcW w:w="2154" w:type="pct"/>
            <w:tcBorders>
              <w:top w:val="nil"/>
              <w:left w:val="nil"/>
              <w:bottom w:val="nil"/>
              <w:right w:val="nil"/>
            </w:tcBorders>
            <w:shd w:val="clear" w:color="auto" w:fill="auto"/>
            <w:vAlign w:val="bottom"/>
            <w:hideMark/>
          </w:tcPr>
          <w:p w14:paraId="1493EA7A" w14:textId="77777777" w:rsidR="00B85A2A" w:rsidRPr="00E84A95" w:rsidRDefault="00B85A2A" w:rsidP="00E84A95">
            <w:pPr>
              <w:spacing w:after="0" w:line="240" w:lineRule="auto"/>
              <w:ind w:left="113"/>
              <w:rPr>
                <w:rFonts w:ascii="Arial" w:hAnsi="Arial" w:cs="Arial"/>
                <w:sz w:val="16"/>
                <w:szCs w:val="16"/>
              </w:rPr>
            </w:pPr>
            <w:r w:rsidRPr="00E84A95">
              <w:rPr>
                <w:rFonts w:ascii="Arial" w:hAnsi="Arial" w:cs="Arial"/>
                <w:sz w:val="16"/>
                <w:szCs w:val="16"/>
              </w:rPr>
              <w:t>PFAS Airports Investigation Program</w:t>
            </w:r>
          </w:p>
        </w:tc>
        <w:tc>
          <w:tcPr>
            <w:tcW w:w="606" w:type="pct"/>
            <w:tcBorders>
              <w:top w:val="nil"/>
              <w:left w:val="nil"/>
              <w:bottom w:val="nil"/>
              <w:right w:val="nil"/>
            </w:tcBorders>
            <w:shd w:val="clear" w:color="auto" w:fill="auto"/>
            <w:noWrap/>
            <w:vAlign w:val="bottom"/>
            <w:hideMark/>
          </w:tcPr>
          <w:p w14:paraId="0996F7E1" w14:textId="23726411"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12,831</w:t>
            </w:r>
          </w:p>
        </w:tc>
        <w:tc>
          <w:tcPr>
            <w:tcW w:w="559" w:type="pct"/>
            <w:tcBorders>
              <w:top w:val="nil"/>
              <w:left w:val="nil"/>
              <w:bottom w:val="nil"/>
              <w:right w:val="nil"/>
            </w:tcBorders>
            <w:shd w:val="clear" w:color="000000" w:fill="E6E6E6"/>
            <w:noWrap/>
            <w:vAlign w:val="bottom"/>
            <w:hideMark/>
          </w:tcPr>
          <w:p w14:paraId="7FB036FF" w14:textId="7675B823"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21,037</w:t>
            </w:r>
          </w:p>
        </w:tc>
        <w:tc>
          <w:tcPr>
            <w:tcW w:w="560" w:type="pct"/>
            <w:tcBorders>
              <w:top w:val="nil"/>
              <w:left w:val="nil"/>
              <w:bottom w:val="nil"/>
              <w:right w:val="nil"/>
            </w:tcBorders>
            <w:shd w:val="clear" w:color="auto" w:fill="auto"/>
            <w:noWrap/>
            <w:vAlign w:val="bottom"/>
            <w:hideMark/>
          </w:tcPr>
          <w:p w14:paraId="263AC0AF" w14:textId="1D26205C"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24,861</w:t>
            </w:r>
          </w:p>
        </w:tc>
        <w:tc>
          <w:tcPr>
            <w:tcW w:w="560" w:type="pct"/>
            <w:tcBorders>
              <w:top w:val="nil"/>
              <w:left w:val="nil"/>
              <w:bottom w:val="nil"/>
              <w:right w:val="nil"/>
            </w:tcBorders>
            <w:shd w:val="clear" w:color="auto" w:fill="auto"/>
            <w:noWrap/>
            <w:vAlign w:val="bottom"/>
            <w:hideMark/>
          </w:tcPr>
          <w:p w14:paraId="36FED0B7" w14:textId="5AB436D2"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24,161</w:t>
            </w:r>
          </w:p>
        </w:tc>
        <w:tc>
          <w:tcPr>
            <w:tcW w:w="560" w:type="pct"/>
            <w:tcBorders>
              <w:top w:val="nil"/>
              <w:left w:val="nil"/>
              <w:bottom w:val="nil"/>
              <w:right w:val="nil"/>
            </w:tcBorders>
            <w:shd w:val="clear" w:color="auto" w:fill="auto"/>
            <w:noWrap/>
            <w:vAlign w:val="bottom"/>
            <w:hideMark/>
          </w:tcPr>
          <w:p w14:paraId="6899DFD5" w14:textId="4EA8087B"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12,861</w:t>
            </w:r>
          </w:p>
        </w:tc>
      </w:tr>
      <w:tr w:rsidR="00B85A2A" w:rsidRPr="00E84A95" w14:paraId="0A37BE53" w14:textId="77777777" w:rsidTr="00E84A95">
        <w:trPr>
          <w:trHeight w:val="204"/>
        </w:trPr>
        <w:tc>
          <w:tcPr>
            <w:tcW w:w="2154" w:type="pct"/>
            <w:tcBorders>
              <w:top w:val="nil"/>
              <w:left w:val="nil"/>
              <w:bottom w:val="nil"/>
              <w:right w:val="nil"/>
            </w:tcBorders>
            <w:shd w:val="clear" w:color="auto" w:fill="auto"/>
            <w:vAlign w:val="bottom"/>
            <w:hideMark/>
          </w:tcPr>
          <w:p w14:paraId="3FF4E55F" w14:textId="77777777" w:rsidR="00B85A2A" w:rsidRPr="00E84A95" w:rsidRDefault="00B85A2A" w:rsidP="00E84A95">
            <w:pPr>
              <w:spacing w:after="0" w:line="240" w:lineRule="auto"/>
              <w:ind w:left="113"/>
              <w:rPr>
                <w:rFonts w:ascii="Arial" w:hAnsi="Arial" w:cs="Arial"/>
                <w:sz w:val="16"/>
                <w:szCs w:val="16"/>
              </w:rPr>
            </w:pPr>
            <w:r w:rsidRPr="00E84A95">
              <w:rPr>
                <w:rFonts w:ascii="Arial" w:hAnsi="Arial" w:cs="Arial"/>
                <w:sz w:val="16"/>
                <w:szCs w:val="16"/>
              </w:rPr>
              <w:t>Regional Airports Program</w:t>
            </w:r>
          </w:p>
        </w:tc>
        <w:tc>
          <w:tcPr>
            <w:tcW w:w="606" w:type="pct"/>
            <w:tcBorders>
              <w:top w:val="nil"/>
              <w:left w:val="nil"/>
              <w:bottom w:val="nil"/>
              <w:right w:val="nil"/>
            </w:tcBorders>
            <w:shd w:val="clear" w:color="auto" w:fill="auto"/>
            <w:noWrap/>
            <w:vAlign w:val="bottom"/>
            <w:hideMark/>
          </w:tcPr>
          <w:p w14:paraId="311044F4" w14:textId="1F5A29A2"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43,470</w:t>
            </w:r>
          </w:p>
        </w:tc>
        <w:tc>
          <w:tcPr>
            <w:tcW w:w="559" w:type="pct"/>
            <w:tcBorders>
              <w:top w:val="nil"/>
              <w:left w:val="nil"/>
              <w:bottom w:val="nil"/>
              <w:right w:val="nil"/>
            </w:tcBorders>
            <w:shd w:val="clear" w:color="000000" w:fill="E6E6E6"/>
            <w:noWrap/>
            <w:vAlign w:val="bottom"/>
            <w:hideMark/>
          </w:tcPr>
          <w:p w14:paraId="58321D81" w14:textId="60FBE23F"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20,000</w:t>
            </w:r>
          </w:p>
        </w:tc>
        <w:tc>
          <w:tcPr>
            <w:tcW w:w="560" w:type="pct"/>
            <w:tcBorders>
              <w:top w:val="nil"/>
              <w:left w:val="nil"/>
              <w:bottom w:val="nil"/>
              <w:right w:val="nil"/>
            </w:tcBorders>
            <w:shd w:val="clear" w:color="auto" w:fill="auto"/>
            <w:noWrap/>
            <w:vAlign w:val="bottom"/>
            <w:hideMark/>
          </w:tcPr>
          <w:p w14:paraId="15A2C80A" w14:textId="3A238625"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10,000</w:t>
            </w:r>
          </w:p>
        </w:tc>
        <w:tc>
          <w:tcPr>
            <w:tcW w:w="560" w:type="pct"/>
            <w:tcBorders>
              <w:top w:val="nil"/>
              <w:left w:val="nil"/>
              <w:bottom w:val="nil"/>
              <w:right w:val="nil"/>
            </w:tcBorders>
            <w:shd w:val="clear" w:color="auto" w:fill="auto"/>
            <w:noWrap/>
            <w:vAlign w:val="bottom"/>
            <w:hideMark/>
          </w:tcPr>
          <w:p w14:paraId="20E0E9DF" w14:textId="7FDE0B8F"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w:t>
            </w:r>
          </w:p>
        </w:tc>
        <w:tc>
          <w:tcPr>
            <w:tcW w:w="560" w:type="pct"/>
            <w:tcBorders>
              <w:top w:val="nil"/>
              <w:left w:val="nil"/>
              <w:bottom w:val="nil"/>
              <w:right w:val="nil"/>
            </w:tcBorders>
            <w:shd w:val="clear" w:color="auto" w:fill="auto"/>
            <w:noWrap/>
            <w:vAlign w:val="bottom"/>
            <w:hideMark/>
          </w:tcPr>
          <w:p w14:paraId="6F78D95D" w14:textId="046E7027"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w:t>
            </w:r>
          </w:p>
        </w:tc>
      </w:tr>
      <w:tr w:rsidR="00B85A2A" w:rsidRPr="00E84A95" w14:paraId="4786AB2F" w14:textId="77777777" w:rsidTr="00E84A95">
        <w:trPr>
          <w:trHeight w:val="204"/>
        </w:trPr>
        <w:tc>
          <w:tcPr>
            <w:tcW w:w="2154" w:type="pct"/>
            <w:tcBorders>
              <w:top w:val="nil"/>
              <w:left w:val="nil"/>
              <w:bottom w:val="nil"/>
              <w:right w:val="nil"/>
            </w:tcBorders>
            <w:shd w:val="clear" w:color="auto" w:fill="auto"/>
            <w:vAlign w:val="bottom"/>
            <w:hideMark/>
          </w:tcPr>
          <w:p w14:paraId="178D1B3F" w14:textId="77777777" w:rsidR="00B85A2A" w:rsidRPr="00E84A95" w:rsidRDefault="00B85A2A" w:rsidP="00E84A95">
            <w:pPr>
              <w:spacing w:after="0" w:line="240" w:lineRule="auto"/>
              <w:ind w:left="113"/>
              <w:rPr>
                <w:rFonts w:ascii="Arial" w:hAnsi="Arial" w:cs="Arial"/>
                <w:sz w:val="16"/>
                <w:szCs w:val="16"/>
              </w:rPr>
            </w:pPr>
            <w:r w:rsidRPr="00E84A95">
              <w:rPr>
                <w:rFonts w:ascii="Arial" w:hAnsi="Arial" w:cs="Arial"/>
                <w:sz w:val="16"/>
                <w:szCs w:val="16"/>
              </w:rPr>
              <w:t>Regional Aviation Access</w:t>
            </w:r>
          </w:p>
        </w:tc>
        <w:tc>
          <w:tcPr>
            <w:tcW w:w="606" w:type="pct"/>
            <w:tcBorders>
              <w:top w:val="nil"/>
              <w:left w:val="nil"/>
              <w:bottom w:val="nil"/>
              <w:right w:val="nil"/>
            </w:tcBorders>
            <w:shd w:val="clear" w:color="auto" w:fill="auto"/>
            <w:noWrap/>
            <w:vAlign w:val="bottom"/>
            <w:hideMark/>
          </w:tcPr>
          <w:p w14:paraId="1B5AEFFE" w14:textId="1BD13DBF"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30,307</w:t>
            </w:r>
          </w:p>
        </w:tc>
        <w:tc>
          <w:tcPr>
            <w:tcW w:w="559" w:type="pct"/>
            <w:tcBorders>
              <w:top w:val="nil"/>
              <w:left w:val="nil"/>
              <w:bottom w:val="nil"/>
              <w:right w:val="nil"/>
            </w:tcBorders>
            <w:shd w:val="clear" w:color="000000" w:fill="E6E6E6"/>
            <w:noWrap/>
            <w:vAlign w:val="bottom"/>
            <w:hideMark/>
          </w:tcPr>
          <w:p w14:paraId="0AB5AE48" w14:textId="453A76FE"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28,320</w:t>
            </w:r>
          </w:p>
        </w:tc>
        <w:tc>
          <w:tcPr>
            <w:tcW w:w="560" w:type="pct"/>
            <w:tcBorders>
              <w:top w:val="nil"/>
              <w:left w:val="nil"/>
              <w:bottom w:val="nil"/>
              <w:right w:val="nil"/>
            </w:tcBorders>
            <w:shd w:val="clear" w:color="auto" w:fill="auto"/>
            <w:noWrap/>
            <w:vAlign w:val="bottom"/>
            <w:hideMark/>
          </w:tcPr>
          <w:p w14:paraId="76EBACCF" w14:textId="6EF3C75C"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20,890</w:t>
            </w:r>
          </w:p>
        </w:tc>
        <w:tc>
          <w:tcPr>
            <w:tcW w:w="560" w:type="pct"/>
            <w:tcBorders>
              <w:top w:val="nil"/>
              <w:left w:val="nil"/>
              <w:bottom w:val="nil"/>
              <w:right w:val="nil"/>
            </w:tcBorders>
            <w:shd w:val="clear" w:color="auto" w:fill="auto"/>
            <w:noWrap/>
            <w:vAlign w:val="bottom"/>
            <w:hideMark/>
          </w:tcPr>
          <w:p w14:paraId="4A518B4B" w14:textId="19341381"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19,462</w:t>
            </w:r>
          </w:p>
        </w:tc>
        <w:tc>
          <w:tcPr>
            <w:tcW w:w="560" w:type="pct"/>
            <w:tcBorders>
              <w:top w:val="nil"/>
              <w:left w:val="nil"/>
              <w:bottom w:val="nil"/>
              <w:right w:val="nil"/>
            </w:tcBorders>
            <w:shd w:val="clear" w:color="auto" w:fill="auto"/>
            <w:noWrap/>
            <w:vAlign w:val="bottom"/>
            <w:hideMark/>
          </w:tcPr>
          <w:p w14:paraId="35598D18" w14:textId="7DDCF1BC"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15,794</w:t>
            </w:r>
          </w:p>
        </w:tc>
      </w:tr>
      <w:tr w:rsidR="00B85A2A" w:rsidRPr="00E84A95" w14:paraId="5AABD473" w14:textId="77777777" w:rsidTr="00E84A95">
        <w:trPr>
          <w:trHeight w:val="204"/>
        </w:trPr>
        <w:tc>
          <w:tcPr>
            <w:tcW w:w="2154" w:type="pct"/>
            <w:tcBorders>
              <w:top w:val="nil"/>
              <w:left w:val="nil"/>
              <w:bottom w:val="nil"/>
              <w:right w:val="nil"/>
            </w:tcBorders>
            <w:shd w:val="clear" w:color="auto" w:fill="auto"/>
            <w:vAlign w:val="bottom"/>
            <w:hideMark/>
          </w:tcPr>
          <w:p w14:paraId="1461FF45" w14:textId="77777777" w:rsidR="00B85A2A" w:rsidRPr="00E84A95" w:rsidRDefault="00B85A2A" w:rsidP="00E84A95">
            <w:pPr>
              <w:spacing w:after="0" w:line="240" w:lineRule="auto"/>
              <w:ind w:left="113"/>
              <w:rPr>
                <w:rFonts w:ascii="Arial" w:hAnsi="Arial" w:cs="Arial"/>
                <w:sz w:val="16"/>
                <w:szCs w:val="16"/>
              </w:rPr>
            </w:pPr>
            <w:r w:rsidRPr="00E84A95">
              <w:rPr>
                <w:rFonts w:ascii="Arial" w:hAnsi="Arial" w:cs="Arial"/>
                <w:sz w:val="16"/>
                <w:szCs w:val="16"/>
              </w:rPr>
              <w:t>Western Sydney Airport - preparatory activities</w:t>
            </w:r>
          </w:p>
        </w:tc>
        <w:tc>
          <w:tcPr>
            <w:tcW w:w="606" w:type="pct"/>
            <w:tcBorders>
              <w:top w:val="nil"/>
              <w:left w:val="nil"/>
              <w:bottom w:val="nil"/>
              <w:right w:val="nil"/>
            </w:tcBorders>
            <w:shd w:val="clear" w:color="auto" w:fill="auto"/>
            <w:noWrap/>
            <w:vAlign w:val="bottom"/>
            <w:hideMark/>
          </w:tcPr>
          <w:p w14:paraId="0E8AC1B4" w14:textId="2032AA24"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26,372</w:t>
            </w:r>
          </w:p>
        </w:tc>
        <w:tc>
          <w:tcPr>
            <w:tcW w:w="559" w:type="pct"/>
            <w:tcBorders>
              <w:top w:val="nil"/>
              <w:left w:val="nil"/>
              <w:bottom w:val="nil"/>
              <w:right w:val="nil"/>
            </w:tcBorders>
            <w:shd w:val="clear" w:color="000000" w:fill="E6E6E6"/>
            <w:noWrap/>
            <w:vAlign w:val="bottom"/>
            <w:hideMark/>
          </w:tcPr>
          <w:p w14:paraId="7C35BC60" w14:textId="52B5EFD5"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4,924</w:t>
            </w:r>
          </w:p>
        </w:tc>
        <w:tc>
          <w:tcPr>
            <w:tcW w:w="560" w:type="pct"/>
            <w:tcBorders>
              <w:top w:val="nil"/>
              <w:left w:val="nil"/>
              <w:bottom w:val="nil"/>
              <w:right w:val="nil"/>
            </w:tcBorders>
            <w:shd w:val="clear" w:color="auto" w:fill="auto"/>
            <w:noWrap/>
            <w:vAlign w:val="bottom"/>
            <w:hideMark/>
          </w:tcPr>
          <w:p w14:paraId="3488B29A" w14:textId="28BEA688"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20,000</w:t>
            </w:r>
          </w:p>
        </w:tc>
        <w:tc>
          <w:tcPr>
            <w:tcW w:w="560" w:type="pct"/>
            <w:tcBorders>
              <w:top w:val="nil"/>
              <w:left w:val="nil"/>
              <w:bottom w:val="nil"/>
              <w:right w:val="nil"/>
            </w:tcBorders>
            <w:shd w:val="clear" w:color="auto" w:fill="auto"/>
            <w:noWrap/>
            <w:vAlign w:val="bottom"/>
            <w:hideMark/>
          </w:tcPr>
          <w:p w14:paraId="7B387E01" w14:textId="35077551"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102,491</w:t>
            </w:r>
          </w:p>
        </w:tc>
        <w:tc>
          <w:tcPr>
            <w:tcW w:w="560" w:type="pct"/>
            <w:tcBorders>
              <w:top w:val="nil"/>
              <w:left w:val="nil"/>
              <w:bottom w:val="nil"/>
              <w:right w:val="nil"/>
            </w:tcBorders>
            <w:shd w:val="clear" w:color="auto" w:fill="auto"/>
            <w:noWrap/>
            <w:vAlign w:val="bottom"/>
            <w:hideMark/>
          </w:tcPr>
          <w:p w14:paraId="4146F82E" w14:textId="7A2C69F5"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3,749</w:t>
            </w:r>
          </w:p>
        </w:tc>
      </w:tr>
      <w:tr w:rsidR="00B85A2A" w:rsidRPr="00E84A95" w14:paraId="654DCA04" w14:textId="77777777" w:rsidTr="00E84A95">
        <w:trPr>
          <w:trHeight w:val="204"/>
        </w:trPr>
        <w:tc>
          <w:tcPr>
            <w:tcW w:w="2154" w:type="pct"/>
            <w:tcBorders>
              <w:top w:val="nil"/>
              <w:left w:val="nil"/>
              <w:bottom w:val="nil"/>
              <w:right w:val="nil"/>
            </w:tcBorders>
            <w:shd w:val="clear" w:color="auto" w:fill="auto"/>
            <w:vAlign w:val="bottom"/>
            <w:hideMark/>
          </w:tcPr>
          <w:p w14:paraId="0D023485" w14:textId="77777777" w:rsidR="00B85A2A" w:rsidRPr="00E84A95" w:rsidRDefault="00B85A2A" w:rsidP="00E84A95">
            <w:pPr>
              <w:spacing w:after="0" w:line="240" w:lineRule="auto"/>
              <w:ind w:left="113"/>
              <w:rPr>
                <w:rFonts w:ascii="Arial" w:hAnsi="Arial" w:cs="Arial"/>
                <w:sz w:val="16"/>
                <w:szCs w:val="16"/>
              </w:rPr>
            </w:pPr>
            <w:r w:rsidRPr="00E84A95">
              <w:rPr>
                <w:rFonts w:ascii="Arial" w:hAnsi="Arial" w:cs="Arial"/>
                <w:sz w:val="16"/>
                <w:szCs w:val="16"/>
              </w:rPr>
              <w:t>Western Sydney International Airport - Detailed Business Case</w:t>
            </w:r>
          </w:p>
        </w:tc>
        <w:tc>
          <w:tcPr>
            <w:tcW w:w="606" w:type="pct"/>
            <w:tcBorders>
              <w:top w:val="nil"/>
              <w:left w:val="nil"/>
              <w:bottom w:val="nil"/>
              <w:right w:val="nil"/>
            </w:tcBorders>
            <w:shd w:val="clear" w:color="auto" w:fill="auto"/>
            <w:noWrap/>
            <w:vAlign w:val="bottom"/>
            <w:hideMark/>
          </w:tcPr>
          <w:p w14:paraId="28A585A5" w14:textId="14E9CB6D"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5,000</w:t>
            </w:r>
          </w:p>
        </w:tc>
        <w:tc>
          <w:tcPr>
            <w:tcW w:w="559" w:type="pct"/>
            <w:tcBorders>
              <w:top w:val="nil"/>
              <w:left w:val="nil"/>
              <w:bottom w:val="nil"/>
              <w:right w:val="nil"/>
            </w:tcBorders>
            <w:shd w:val="clear" w:color="000000" w:fill="E6E6E6"/>
            <w:noWrap/>
            <w:vAlign w:val="bottom"/>
            <w:hideMark/>
          </w:tcPr>
          <w:p w14:paraId="7104CEAD" w14:textId="682DCBF8"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w:t>
            </w:r>
          </w:p>
        </w:tc>
        <w:tc>
          <w:tcPr>
            <w:tcW w:w="560" w:type="pct"/>
            <w:tcBorders>
              <w:top w:val="nil"/>
              <w:left w:val="nil"/>
              <w:bottom w:val="nil"/>
              <w:right w:val="nil"/>
            </w:tcBorders>
            <w:shd w:val="clear" w:color="auto" w:fill="auto"/>
            <w:noWrap/>
            <w:vAlign w:val="bottom"/>
            <w:hideMark/>
          </w:tcPr>
          <w:p w14:paraId="6079A47A" w14:textId="3FF6CBD9"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w:t>
            </w:r>
          </w:p>
        </w:tc>
        <w:tc>
          <w:tcPr>
            <w:tcW w:w="560" w:type="pct"/>
            <w:tcBorders>
              <w:top w:val="nil"/>
              <w:left w:val="nil"/>
              <w:bottom w:val="nil"/>
              <w:right w:val="nil"/>
            </w:tcBorders>
            <w:shd w:val="clear" w:color="auto" w:fill="auto"/>
            <w:noWrap/>
            <w:vAlign w:val="bottom"/>
            <w:hideMark/>
          </w:tcPr>
          <w:p w14:paraId="35A7D03C" w14:textId="79F72D1A"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w:t>
            </w:r>
          </w:p>
        </w:tc>
        <w:tc>
          <w:tcPr>
            <w:tcW w:w="560" w:type="pct"/>
            <w:tcBorders>
              <w:top w:val="nil"/>
              <w:left w:val="nil"/>
              <w:bottom w:val="nil"/>
              <w:right w:val="nil"/>
            </w:tcBorders>
            <w:shd w:val="clear" w:color="auto" w:fill="auto"/>
            <w:noWrap/>
            <w:vAlign w:val="bottom"/>
            <w:hideMark/>
          </w:tcPr>
          <w:p w14:paraId="01EC6791" w14:textId="1A8A4685"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w:t>
            </w:r>
          </w:p>
        </w:tc>
      </w:tr>
      <w:tr w:rsidR="00B85A2A" w:rsidRPr="00E84A95" w14:paraId="275B7F28" w14:textId="77777777" w:rsidTr="00E84A95">
        <w:trPr>
          <w:trHeight w:val="204"/>
        </w:trPr>
        <w:tc>
          <w:tcPr>
            <w:tcW w:w="2154" w:type="pct"/>
            <w:tcBorders>
              <w:top w:val="nil"/>
              <w:left w:val="nil"/>
              <w:bottom w:val="nil"/>
              <w:right w:val="nil"/>
            </w:tcBorders>
            <w:shd w:val="clear" w:color="auto" w:fill="auto"/>
            <w:vAlign w:val="bottom"/>
            <w:hideMark/>
          </w:tcPr>
          <w:p w14:paraId="744BD8F7" w14:textId="77777777" w:rsidR="00B85A2A" w:rsidRPr="00E84A95" w:rsidRDefault="00B85A2A" w:rsidP="00E84A95">
            <w:pPr>
              <w:spacing w:after="0" w:line="240" w:lineRule="auto"/>
              <w:ind w:left="113"/>
              <w:rPr>
                <w:rFonts w:ascii="Arial" w:hAnsi="Arial" w:cs="Arial"/>
                <w:sz w:val="16"/>
                <w:szCs w:val="16"/>
              </w:rPr>
            </w:pPr>
            <w:r w:rsidRPr="00E84A95">
              <w:rPr>
                <w:rFonts w:ascii="Arial" w:hAnsi="Arial" w:cs="Arial"/>
                <w:sz w:val="16"/>
                <w:szCs w:val="16"/>
              </w:rPr>
              <w:t>Women in the Aviation Industry</w:t>
            </w:r>
          </w:p>
        </w:tc>
        <w:tc>
          <w:tcPr>
            <w:tcW w:w="606" w:type="pct"/>
            <w:tcBorders>
              <w:top w:val="nil"/>
              <w:left w:val="nil"/>
              <w:bottom w:val="nil"/>
              <w:right w:val="nil"/>
            </w:tcBorders>
            <w:shd w:val="clear" w:color="auto" w:fill="auto"/>
            <w:noWrap/>
            <w:vAlign w:val="bottom"/>
            <w:hideMark/>
          </w:tcPr>
          <w:p w14:paraId="1CCF6096" w14:textId="45C00A66"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799</w:t>
            </w:r>
          </w:p>
        </w:tc>
        <w:tc>
          <w:tcPr>
            <w:tcW w:w="559" w:type="pct"/>
            <w:tcBorders>
              <w:top w:val="nil"/>
              <w:left w:val="nil"/>
              <w:bottom w:val="nil"/>
              <w:right w:val="nil"/>
            </w:tcBorders>
            <w:shd w:val="clear" w:color="000000" w:fill="E6E6E6"/>
            <w:noWrap/>
            <w:vAlign w:val="bottom"/>
            <w:hideMark/>
          </w:tcPr>
          <w:p w14:paraId="5AB920D9" w14:textId="735BB9BA"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1,379</w:t>
            </w:r>
          </w:p>
        </w:tc>
        <w:tc>
          <w:tcPr>
            <w:tcW w:w="560" w:type="pct"/>
            <w:tcBorders>
              <w:top w:val="nil"/>
              <w:left w:val="nil"/>
              <w:bottom w:val="nil"/>
              <w:right w:val="nil"/>
            </w:tcBorders>
            <w:shd w:val="clear" w:color="auto" w:fill="auto"/>
            <w:noWrap/>
            <w:vAlign w:val="bottom"/>
            <w:hideMark/>
          </w:tcPr>
          <w:p w14:paraId="0B2E142E" w14:textId="20F10A23"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1,379</w:t>
            </w:r>
          </w:p>
        </w:tc>
        <w:tc>
          <w:tcPr>
            <w:tcW w:w="560" w:type="pct"/>
            <w:tcBorders>
              <w:top w:val="nil"/>
              <w:left w:val="nil"/>
              <w:bottom w:val="nil"/>
              <w:right w:val="nil"/>
            </w:tcBorders>
            <w:shd w:val="clear" w:color="auto" w:fill="auto"/>
            <w:noWrap/>
            <w:vAlign w:val="bottom"/>
            <w:hideMark/>
          </w:tcPr>
          <w:p w14:paraId="01C8D90B" w14:textId="5A1E940A"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1,379</w:t>
            </w:r>
          </w:p>
        </w:tc>
        <w:tc>
          <w:tcPr>
            <w:tcW w:w="560" w:type="pct"/>
            <w:tcBorders>
              <w:top w:val="nil"/>
              <w:left w:val="nil"/>
              <w:bottom w:val="nil"/>
              <w:right w:val="nil"/>
            </w:tcBorders>
            <w:shd w:val="clear" w:color="auto" w:fill="auto"/>
            <w:noWrap/>
            <w:vAlign w:val="bottom"/>
            <w:hideMark/>
          </w:tcPr>
          <w:p w14:paraId="113B348B" w14:textId="62222DBB"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w:t>
            </w:r>
          </w:p>
        </w:tc>
      </w:tr>
      <w:tr w:rsidR="00B85A2A" w:rsidRPr="00E84A95" w14:paraId="55234B82" w14:textId="77777777" w:rsidTr="00E84A95">
        <w:trPr>
          <w:trHeight w:val="204"/>
        </w:trPr>
        <w:tc>
          <w:tcPr>
            <w:tcW w:w="2154" w:type="pct"/>
            <w:tcBorders>
              <w:top w:val="nil"/>
              <w:left w:val="nil"/>
              <w:bottom w:val="nil"/>
              <w:right w:val="nil"/>
            </w:tcBorders>
            <w:shd w:val="clear" w:color="auto" w:fill="auto"/>
            <w:noWrap/>
            <w:vAlign w:val="bottom"/>
            <w:hideMark/>
          </w:tcPr>
          <w:p w14:paraId="7C29F705" w14:textId="77777777" w:rsidR="00B85A2A" w:rsidRPr="00E84A95" w:rsidRDefault="00B85A2A" w:rsidP="00E84A95">
            <w:pPr>
              <w:spacing w:after="0" w:line="240" w:lineRule="auto"/>
              <w:rPr>
                <w:rFonts w:ascii="Arial" w:hAnsi="Arial" w:cs="Arial"/>
                <w:sz w:val="16"/>
                <w:szCs w:val="16"/>
              </w:rPr>
            </w:pPr>
            <w:r w:rsidRPr="00E84A95">
              <w:rPr>
                <w:rFonts w:ascii="Arial" w:hAnsi="Arial" w:cs="Arial"/>
                <w:sz w:val="16"/>
                <w:szCs w:val="16"/>
              </w:rPr>
              <w:t>Special Appropriations:</w:t>
            </w:r>
          </w:p>
        </w:tc>
        <w:tc>
          <w:tcPr>
            <w:tcW w:w="606" w:type="pct"/>
            <w:tcBorders>
              <w:top w:val="nil"/>
              <w:left w:val="nil"/>
              <w:bottom w:val="nil"/>
              <w:right w:val="nil"/>
            </w:tcBorders>
            <w:shd w:val="clear" w:color="auto" w:fill="auto"/>
            <w:noWrap/>
            <w:vAlign w:val="bottom"/>
            <w:hideMark/>
          </w:tcPr>
          <w:p w14:paraId="70F684AF" w14:textId="77777777" w:rsidR="00B85A2A" w:rsidRPr="00E84A95" w:rsidRDefault="00B85A2A" w:rsidP="00E84A95">
            <w:pPr>
              <w:spacing w:after="0" w:line="240" w:lineRule="auto"/>
              <w:ind w:firstLineChars="100" w:firstLine="160"/>
              <w:jc w:val="right"/>
              <w:rPr>
                <w:rFonts w:ascii="Arial" w:hAnsi="Arial" w:cs="Arial"/>
                <w:sz w:val="16"/>
                <w:szCs w:val="16"/>
              </w:rPr>
            </w:pPr>
          </w:p>
        </w:tc>
        <w:tc>
          <w:tcPr>
            <w:tcW w:w="559" w:type="pct"/>
            <w:tcBorders>
              <w:top w:val="nil"/>
              <w:left w:val="nil"/>
              <w:bottom w:val="nil"/>
              <w:right w:val="nil"/>
            </w:tcBorders>
            <w:shd w:val="clear" w:color="000000" w:fill="E6E6E6"/>
            <w:noWrap/>
            <w:vAlign w:val="bottom"/>
            <w:hideMark/>
          </w:tcPr>
          <w:p w14:paraId="3C4D0FCE" w14:textId="54414090" w:rsidR="00B85A2A" w:rsidRPr="00E84A95" w:rsidRDefault="00B85A2A" w:rsidP="00E84A95">
            <w:pPr>
              <w:spacing w:after="0" w:line="240" w:lineRule="auto"/>
              <w:jc w:val="right"/>
              <w:rPr>
                <w:rFonts w:ascii="Arial" w:hAnsi="Arial" w:cs="Arial"/>
                <w:sz w:val="16"/>
                <w:szCs w:val="16"/>
              </w:rPr>
            </w:pPr>
          </w:p>
        </w:tc>
        <w:tc>
          <w:tcPr>
            <w:tcW w:w="560" w:type="pct"/>
            <w:tcBorders>
              <w:top w:val="nil"/>
              <w:left w:val="nil"/>
              <w:bottom w:val="nil"/>
              <w:right w:val="nil"/>
            </w:tcBorders>
            <w:shd w:val="clear" w:color="auto" w:fill="auto"/>
            <w:noWrap/>
            <w:vAlign w:val="bottom"/>
            <w:hideMark/>
          </w:tcPr>
          <w:p w14:paraId="736430C4" w14:textId="77777777" w:rsidR="00B85A2A" w:rsidRPr="00E84A95" w:rsidRDefault="00B85A2A" w:rsidP="00E84A95">
            <w:pPr>
              <w:spacing w:after="0" w:line="240" w:lineRule="auto"/>
              <w:jc w:val="right"/>
              <w:rPr>
                <w:rFonts w:ascii="Arial" w:hAnsi="Arial" w:cs="Arial"/>
                <w:sz w:val="16"/>
                <w:szCs w:val="16"/>
              </w:rPr>
            </w:pPr>
          </w:p>
        </w:tc>
        <w:tc>
          <w:tcPr>
            <w:tcW w:w="560" w:type="pct"/>
            <w:tcBorders>
              <w:top w:val="nil"/>
              <w:left w:val="nil"/>
              <w:bottom w:val="nil"/>
              <w:right w:val="nil"/>
            </w:tcBorders>
            <w:shd w:val="clear" w:color="auto" w:fill="auto"/>
            <w:noWrap/>
            <w:vAlign w:val="bottom"/>
            <w:hideMark/>
          </w:tcPr>
          <w:p w14:paraId="65AFD4B9" w14:textId="77777777" w:rsidR="00B85A2A" w:rsidRPr="00E84A95" w:rsidRDefault="00B85A2A" w:rsidP="00E84A95">
            <w:pPr>
              <w:spacing w:after="0" w:line="240" w:lineRule="auto"/>
              <w:jc w:val="right"/>
              <w:rPr>
                <w:rFonts w:ascii="Arial" w:hAnsi="Arial" w:cs="Arial"/>
                <w:sz w:val="16"/>
                <w:szCs w:val="16"/>
              </w:rPr>
            </w:pPr>
          </w:p>
        </w:tc>
        <w:tc>
          <w:tcPr>
            <w:tcW w:w="560" w:type="pct"/>
            <w:tcBorders>
              <w:top w:val="nil"/>
              <w:left w:val="nil"/>
              <w:bottom w:val="nil"/>
              <w:right w:val="nil"/>
            </w:tcBorders>
            <w:shd w:val="clear" w:color="auto" w:fill="auto"/>
            <w:noWrap/>
            <w:vAlign w:val="bottom"/>
            <w:hideMark/>
          </w:tcPr>
          <w:p w14:paraId="2580B16C" w14:textId="77777777" w:rsidR="00B85A2A" w:rsidRPr="00E84A95" w:rsidRDefault="00B85A2A" w:rsidP="00E84A95">
            <w:pPr>
              <w:spacing w:after="0" w:line="240" w:lineRule="auto"/>
              <w:jc w:val="right"/>
              <w:rPr>
                <w:rFonts w:ascii="Arial" w:hAnsi="Arial" w:cs="Arial"/>
                <w:sz w:val="16"/>
                <w:szCs w:val="16"/>
              </w:rPr>
            </w:pPr>
          </w:p>
        </w:tc>
      </w:tr>
      <w:tr w:rsidR="00B85A2A" w:rsidRPr="00E84A95" w14:paraId="7A43DBCE" w14:textId="77777777" w:rsidTr="00E84A95">
        <w:trPr>
          <w:trHeight w:val="204"/>
        </w:trPr>
        <w:tc>
          <w:tcPr>
            <w:tcW w:w="2154" w:type="pct"/>
            <w:tcBorders>
              <w:top w:val="nil"/>
              <w:left w:val="nil"/>
              <w:bottom w:val="nil"/>
              <w:right w:val="nil"/>
            </w:tcBorders>
            <w:shd w:val="clear" w:color="auto" w:fill="auto"/>
            <w:vAlign w:val="bottom"/>
            <w:hideMark/>
          </w:tcPr>
          <w:p w14:paraId="46149ACF" w14:textId="42D257F5" w:rsidR="00B85A2A" w:rsidRPr="00E84A95" w:rsidRDefault="00B85A2A" w:rsidP="00E84A95">
            <w:pPr>
              <w:spacing w:after="0" w:line="240" w:lineRule="auto"/>
              <w:ind w:left="113"/>
              <w:rPr>
                <w:rFonts w:ascii="Arial" w:hAnsi="Arial" w:cs="Arial"/>
                <w:i/>
                <w:iCs/>
                <w:sz w:val="16"/>
                <w:szCs w:val="16"/>
              </w:rPr>
            </w:pPr>
            <w:r w:rsidRPr="00E84A95">
              <w:rPr>
                <w:rFonts w:ascii="Arial" w:hAnsi="Arial" w:cs="Arial"/>
                <w:i/>
                <w:iCs/>
                <w:sz w:val="16"/>
                <w:szCs w:val="16"/>
              </w:rPr>
              <w:t>Aviation Fuel Revenues (Special Appropriation) Act 1988</w:t>
            </w:r>
            <w:r w:rsidRPr="00E84A95">
              <w:rPr>
                <w:rFonts w:ascii="Arial" w:hAnsi="Arial" w:cs="Arial"/>
                <w:sz w:val="16"/>
                <w:szCs w:val="16"/>
                <w:vertAlign w:val="superscript"/>
              </w:rPr>
              <w:t>(b)</w:t>
            </w:r>
            <w:r w:rsidRPr="00E84A95">
              <w:rPr>
                <w:rFonts w:ascii="Arial" w:hAnsi="Arial" w:cs="Arial"/>
                <w:i/>
                <w:iCs/>
                <w:sz w:val="16"/>
                <w:szCs w:val="16"/>
              </w:rPr>
              <w:t xml:space="preserve"> </w:t>
            </w:r>
          </w:p>
        </w:tc>
        <w:tc>
          <w:tcPr>
            <w:tcW w:w="606" w:type="pct"/>
            <w:tcBorders>
              <w:top w:val="nil"/>
              <w:left w:val="nil"/>
              <w:bottom w:val="nil"/>
              <w:right w:val="nil"/>
            </w:tcBorders>
            <w:shd w:val="clear" w:color="auto" w:fill="auto"/>
            <w:noWrap/>
            <w:vAlign w:val="bottom"/>
            <w:hideMark/>
          </w:tcPr>
          <w:p w14:paraId="1F83D636" w14:textId="6656C826"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115,000</w:t>
            </w:r>
          </w:p>
        </w:tc>
        <w:tc>
          <w:tcPr>
            <w:tcW w:w="559" w:type="pct"/>
            <w:tcBorders>
              <w:top w:val="nil"/>
              <w:left w:val="nil"/>
              <w:bottom w:val="nil"/>
              <w:right w:val="nil"/>
            </w:tcBorders>
            <w:shd w:val="clear" w:color="000000" w:fill="E6E6E6"/>
            <w:noWrap/>
            <w:vAlign w:val="bottom"/>
            <w:hideMark/>
          </w:tcPr>
          <w:p w14:paraId="1FBD9562" w14:textId="2A4952F7"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88,100</w:t>
            </w:r>
          </w:p>
        </w:tc>
        <w:tc>
          <w:tcPr>
            <w:tcW w:w="560" w:type="pct"/>
            <w:tcBorders>
              <w:top w:val="nil"/>
              <w:left w:val="nil"/>
              <w:bottom w:val="nil"/>
              <w:right w:val="nil"/>
            </w:tcBorders>
            <w:shd w:val="clear" w:color="auto" w:fill="auto"/>
            <w:noWrap/>
            <w:vAlign w:val="bottom"/>
            <w:hideMark/>
          </w:tcPr>
          <w:p w14:paraId="47189A2E" w14:textId="5A009C8E"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91,700</w:t>
            </w:r>
          </w:p>
        </w:tc>
        <w:tc>
          <w:tcPr>
            <w:tcW w:w="560" w:type="pct"/>
            <w:tcBorders>
              <w:top w:val="nil"/>
              <w:left w:val="nil"/>
              <w:bottom w:val="nil"/>
              <w:right w:val="nil"/>
            </w:tcBorders>
            <w:shd w:val="clear" w:color="auto" w:fill="auto"/>
            <w:noWrap/>
            <w:vAlign w:val="bottom"/>
            <w:hideMark/>
          </w:tcPr>
          <w:p w14:paraId="15DFBECA" w14:textId="6482D0B8"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92,200</w:t>
            </w:r>
          </w:p>
        </w:tc>
        <w:tc>
          <w:tcPr>
            <w:tcW w:w="560" w:type="pct"/>
            <w:tcBorders>
              <w:top w:val="nil"/>
              <w:left w:val="nil"/>
              <w:bottom w:val="nil"/>
              <w:right w:val="nil"/>
            </w:tcBorders>
            <w:shd w:val="clear" w:color="auto" w:fill="auto"/>
            <w:noWrap/>
            <w:vAlign w:val="bottom"/>
            <w:hideMark/>
          </w:tcPr>
          <w:p w14:paraId="43A70A53" w14:textId="098E1A95"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92,200</w:t>
            </w:r>
          </w:p>
        </w:tc>
      </w:tr>
      <w:tr w:rsidR="00B85A2A" w:rsidRPr="00E84A95" w14:paraId="34C793F6" w14:textId="77777777" w:rsidTr="00E84A95">
        <w:trPr>
          <w:trHeight w:val="204"/>
        </w:trPr>
        <w:tc>
          <w:tcPr>
            <w:tcW w:w="2154" w:type="pct"/>
            <w:tcBorders>
              <w:top w:val="nil"/>
              <w:left w:val="nil"/>
              <w:bottom w:val="nil"/>
              <w:right w:val="nil"/>
            </w:tcBorders>
            <w:shd w:val="clear" w:color="auto" w:fill="auto"/>
            <w:vAlign w:val="bottom"/>
            <w:hideMark/>
          </w:tcPr>
          <w:p w14:paraId="18545CE2" w14:textId="5244BE38" w:rsidR="00B85A2A" w:rsidRPr="00E84A95" w:rsidRDefault="00B85A2A" w:rsidP="00E84A95">
            <w:pPr>
              <w:spacing w:after="0" w:line="240" w:lineRule="auto"/>
              <w:ind w:left="113"/>
              <w:rPr>
                <w:rFonts w:ascii="Arial" w:hAnsi="Arial" w:cs="Arial"/>
                <w:i/>
                <w:iCs/>
                <w:sz w:val="16"/>
                <w:szCs w:val="16"/>
              </w:rPr>
            </w:pPr>
            <w:r w:rsidRPr="00E84A95">
              <w:rPr>
                <w:rFonts w:ascii="Arial" w:hAnsi="Arial" w:cs="Arial"/>
                <w:i/>
                <w:iCs/>
                <w:sz w:val="16"/>
                <w:szCs w:val="16"/>
              </w:rPr>
              <w:t>RPAS levy (Special Appropriation) Act 2020</w:t>
            </w:r>
            <w:r w:rsidRPr="00E84A95">
              <w:rPr>
                <w:rFonts w:ascii="Arial" w:hAnsi="Arial" w:cs="Arial"/>
                <w:sz w:val="16"/>
                <w:szCs w:val="16"/>
                <w:vertAlign w:val="superscript"/>
              </w:rPr>
              <w:t>(b)</w:t>
            </w:r>
          </w:p>
        </w:tc>
        <w:tc>
          <w:tcPr>
            <w:tcW w:w="606" w:type="pct"/>
            <w:tcBorders>
              <w:top w:val="nil"/>
              <w:left w:val="nil"/>
              <w:bottom w:val="nil"/>
              <w:right w:val="nil"/>
            </w:tcBorders>
            <w:shd w:val="clear" w:color="auto" w:fill="auto"/>
            <w:noWrap/>
            <w:vAlign w:val="bottom"/>
            <w:hideMark/>
          </w:tcPr>
          <w:p w14:paraId="777C0511" w14:textId="2B9E83A6"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1,832</w:t>
            </w:r>
          </w:p>
        </w:tc>
        <w:tc>
          <w:tcPr>
            <w:tcW w:w="559" w:type="pct"/>
            <w:tcBorders>
              <w:top w:val="nil"/>
              <w:left w:val="nil"/>
              <w:bottom w:val="nil"/>
              <w:right w:val="nil"/>
            </w:tcBorders>
            <w:shd w:val="clear" w:color="000000" w:fill="E6E6E6"/>
            <w:noWrap/>
            <w:vAlign w:val="bottom"/>
            <w:hideMark/>
          </w:tcPr>
          <w:p w14:paraId="6BDB5B81" w14:textId="7B2D2FA6"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1,000</w:t>
            </w:r>
          </w:p>
        </w:tc>
        <w:tc>
          <w:tcPr>
            <w:tcW w:w="560" w:type="pct"/>
            <w:tcBorders>
              <w:top w:val="nil"/>
              <w:left w:val="nil"/>
              <w:bottom w:val="nil"/>
              <w:right w:val="nil"/>
            </w:tcBorders>
            <w:shd w:val="clear" w:color="auto" w:fill="auto"/>
            <w:noWrap/>
            <w:vAlign w:val="bottom"/>
            <w:hideMark/>
          </w:tcPr>
          <w:p w14:paraId="5952474B" w14:textId="0F89E3ED"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28,490</w:t>
            </w:r>
          </w:p>
        </w:tc>
        <w:tc>
          <w:tcPr>
            <w:tcW w:w="560" w:type="pct"/>
            <w:tcBorders>
              <w:top w:val="nil"/>
              <w:left w:val="nil"/>
              <w:bottom w:val="nil"/>
              <w:right w:val="nil"/>
            </w:tcBorders>
            <w:shd w:val="clear" w:color="auto" w:fill="auto"/>
            <w:noWrap/>
            <w:vAlign w:val="bottom"/>
            <w:hideMark/>
          </w:tcPr>
          <w:p w14:paraId="4485E395" w14:textId="37F9AEE0"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28,490</w:t>
            </w:r>
          </w:p>
        </w:tc>
        <w:tc>
          <w:tcPr>
            <w:tcW w:w="560" w:type="pct"/>
            <w:tcBorders>
              <w:top w:val="nil"/>
              <w:left w:val="nil"/>
              <w:bottom w:val="nil"/>
              <w:right w:val="nil"/>
            </w:tcBorders>
            <w:shd w:val="clear" w:color="auto" w:fill="auto"/>
            <w:noWrap/>
            <w:vAlign w:val="bottom"/>
            <w:hideMark/>
          </w:tcPr>
          <w:p w14:paraId="5F78B513" w14:textId="00B68E90"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28,490</w:t>
            </w:r>
          </w:p>
        </w:tc>
      </w:tr>
      <w:tr w:rsidR="00B85A2A" w:rsidRPr="00E84A95" w14:paraId="1C58C2EE" w14:textId="77777777" w:rsidTr="00E84A95">
        <w:trPr>
          <w:trHeight w:val="204"/>
        </w:trPr>
        <w:tc>
          <w:tcPr>
            <w:tcW w:w="2154" w:type="pct"/>
            <w:tcBorders>
              <w:top w:val="nil"/>
              <w:left w:val="nil"/>
              <w:bottom w:val="nil"/>
              <w:right w:val="nil"/>
            </w:tcBorders>
            <w:shd w:val="clear" w:color="000000" w:fill="FFFFFF"/>
            <w:noWrap/>
            <w:vAlign w:val="bottom"/>
            <w:hideMark/>
          </w:tcPr>
          <w:p w14:paraId="67841A15" w14:textId="5C40C45F" w:rsidR="00B85A2A" w:rsidRPr="00E84A95" w:rsidRDefault="00B85A2A" w:rsidP="00E84A95">
            <w:pPr>
              <w:spacing w:after="0" w:line="240" w:lineRule="auto"/>
              <w:rPr>
                <w:rFonts w:ascii="Arial" w:hAnsi="Arial" w:cs="Arial"/>
                <w:sz w:val="16"/>
                <w:szCs w:val="16"/>
              </w:rPr>
            </w:pPr>
            <w:r w:rsidRPr="00E84A95">
              <w:rPr>
                <w:rFonts w:ascii="Arial" w:hAnsi="Arial" w:cs="Arial"/>
                <w:sz w:val="16"/>
                <w:szCs w:val="16"/>
              </w:rPr>
              <w:t>Payments to corporate entities</w:t>
            </w:r>
            <w:r w:rsidRPr="00E84A95">
              <w:rPr>
                <w:rFonts w:ascii="Arial" w:hAnsi="Arial" w:cs="Arial"/>
                <w:sz w:val="16"/>
                <w:szCs w:val="16"/>
                <w:vertAlign w:val="superscript"/>
              </w:rPr>
              <w:t>(b)</w:t>
            </w:r>
          </w:p>
        </w:tc>
        <w:tc>
          <w:tcPr>
            <w:tcW w:w="606" w:type="pct"/>
            <w:tcBorders>
              <w:top w:val="nil"/>
              <w:left w:val="nil"/>
              <w:bottom w:val="nil"/>
              <w:right w:val="nil"/>
            </w:tcBorders>
            <w:shd w:val="clear" w:color="auto" w:fill="auto"/>
            <w:noWrap/>
            <w:vAlign w:val="bottom"/>
            <w:hideMark/>
          </w:tcPr>
          <w:p w14:paraId="51E9900A" w14:textId="77777777" w:rsidR="00B85A2A" w:rsidRPr="00E84A95" w:rsidRDefault="00B85A2A" w:rsidP="00E84A95">
            <w:pPr>
              <w:spacing w:after="0" w:line="240" w:lineRule="auto"/>
              <w:ind w:firstLineChars="100" w:firstLine="160"/>
              <w:jc w:val="right"/>
              <w:rPr>
                <w:rFonts w:ascii="Arial" w:hAnsi="Arial" w:cs="Arial"/>
                <w:sz w:val="16"/>
                <w:szCs w:val="16"/>
              </w:rPr>
            </w:pPr>
          </w:p>
        </w:tc>
        <w:tc>
          <w:tcPr>
            <w:tcW w:w="559" w:type="pct"/>
            <w:tcBorders>
              <w:top w:val="nil"/>
              <w:left w:val="nil"/>
              <w:bottom w:val="nil"/>
              <w:right w:val="nil"/>
            </w:tcBorders>
            <w:shd w:val="clear" w:color="000000" w:fill="E6E6E6"/>
            <w:noWrap/>
            <w:vAlign w:val="bottom"/>
            <w:hideMark/>
          </w:tcPr>
          <w:p w14:paraId="0847A581" w14:textId="7687CCDA" w:rsidR="00B85A2A" w:rsidRPr="00E84A95" w:rsidRDefault="00B85A2A" w:rsidP="00E84A95">
            <w:pPr>
              <w:spacing w:after="0" w:line="240" w:lineRule="auto"/>
              <w:jc w:val="right"/>
              <w:rPr>
                <w:rFonts w:ascii="Arial" w:hAnsi="Arial" w:cs="Arial"/>
                <w:sz w:val="16"/>
                <w:szCs w:val="16"/>
              </w:rPr>
            </w:pPr>
          </w:p>
        </w:tc>
        <w:tc>
          <w:tcPr>
            <w:tcW w:w="560" w:type="pct"/>
            <w:tcBorders>
              <w:top w:val="nil"/>
              <w:left w:val="nil"/>
              <w:bottom w:val="nil"/>
              <w:right w:val="nil"/>
            </w:tcBorders>
            <w:shd w:val="clear" w:color="auto" w:fill="auto"/>
            <w:noWrap/>
            <w:vAlign w:val="bottom"/>
            <w:hideMark/>
          </w:tcPr>
          <w:p w14:paraId="3FA4FF7C" w14:textId="77777777" w:rsidR="00B85A2A" w:rsidRPr="00E84A95" w:rsidRDefault="00B85A2A" w:rsidP="00E84A95">
            <w:pPr>
              <w:spacing w:after="0" w:line="240" w:lineRule="auto"/>
              <w:jc w:val="right"/>
              <w:rPr>
                <w:rFonts w:ascii="Arial" w:hAnsi="Arial" w:cs="Arial"/>
                <w:sz w:val="16"/>
                <w:szCs w:val="16"/>
              </w:rPr>
            </w:pPr>
          </w:p>
        </w:tc>
        <w:tc>
          <w:tcPr>
            <w:tcW w:w="560" w:type="pct"/>
            <w:tcBorders>
              <w:top w:val="nil"/>
              <w:left w:val="nil"/>
              <w:bottom w:val="nil"/>
              <w:right w:val="nil"/>
            </w:tcBorders>
            <w:shd w:val="clear" w:color="auto" w:fill="auto"/>
            <w:noWrap/>
            <w:vAlign w:val="bottom"/>
            <w:hideMark/>
          </w:tcPr>
          <w:p w14:paraId="37EA05AC" w14:textId="77777777" w:rsidR="00B85A2A" w:rsidRPr="00E84A95" w:rsidRDefault="00B85A2A" w:rsidP="00E84A95">
            <w:pPr>
              <w:spacing w:after="0" w:line="240" w:lineRule="auto"/>
              <w:jc w:val="right"/>
              <w:rPr>
                <w:rFonts w:ascii="Arial" w:hAnsi="Arial" w:cs="Arial"/>
                <w:sz w:val="16"/>
                <w:szCs w:val="16"/>
              </w:rPr>
            </w:pPr>
          </w:p>
        </w:tc>
        <w:tc>
          <w:tcPr>
            <w:tcW w:w="560" w:type="pct"/>
            <w:tcBorders>
              <w:top w:val="nil"/>
              <w:left w:val="nil"/>
              <w:bottom w:val="nil"/>
              <w:right w:val="nil"/>
            </w:tcBorders>
            <w:shd w:val="clear" w:color="auto" w:fill="auto"/>
            <w:noWrap/>
            <w:vAlign w:val="bottom"/>
            <w:hideMark/>
          </w:tcPr>
          <w:p w14:paraId="27E87838" w14:textId="77777777" w:rsidR="00B85A2A" w:rsidRPr="00E84A95" w:rsidRDefault="00B85A2A" w:rsidP="00E84A95">
            <w:pPr>
              <w:spacing w:after="0" w:line="240" w:lineRule="auto"/>
              <w:jc w:val="right"/>
              <w:rPr>
                <w:rFonts w:ascii="Arial" w:hAnsi="Arial" w:cs="Arial"/>
                <w:sz w:val="16"/>
                <w:szCs w:val="16"/>
              </w:rPr>
            </w:pPr>
          </w:p>
        </w:tc>
      </w:tr>
      <w:tr w:rsidR="00B85A2A" w:rsidRPr="00E84A95" w14:paraId="5B15A706" w14:textId="77777777" w:rsidTr="00E84A95">
        <w:trPr>
          <w:trHeight w:val="204"/>
        </w:trPr>
        <w:tc>
          <w:tcPr>
            <w:tcW w:w="2154" w:type="pct"/>
            <w:tcBorders>
              <w:top w:val="nil"/>
              <w:left w:val="nil"/>
              <w:bottom w:val="nil"/>
              <w:right w:val="nil"/>
            </w:tcBorders>
            <w:shd w:val="clear" w:color="000000" w:fill="FFFFFF"/>
            <w:noWrap/>
            <w:vAlign w:val="bottom"/>
            <w:hideMark/>
          </w:tcPr>
          <w:p w14:paraId="143ADBFC" w14:textId="77777777" w:rsidR="00B85A2A" w:rsidRPr="00E84A95" w:rsidRDefault="00B85A2A" w:rsidP="00E84A95">
            <w:pPr>
              <w:spacing w:after="0" w:line="240" w:lineRule="auto"/>
              <w:ind w:left="113"/>
              <w:rPr>
                <w:rFonts w:ascii="Arial" w:hAnsi="Arial" w:cs="Arial"/>
                <w:sz w:val="16"/>
                <w:szCs w:val="16"/>
              </w:rPr>
            </w:pPr>
            <w:r w:rsidRPr="00E84A95">
              <w:rPr>
                <w:rFonts w:ascii="Arial" w:hAnsi="Arial" w:cs="Arial"/>
                <w:sz w:val="16"/>
                <w:szCs w:val="16"/>
              </w:rPr>
              <w:t>Civil Aviation Safety Authority</w:t>
            </w:r>
          </w:p>
        </w:tc>
        <w:tc>
          <w:tcPr>
            <w:tcW w:w="606" w:type="pct"/>
            <w:tcBorders>
              <w:top w:val="nil"/>
              <w:left w:val="nil"/>
              <w:bottom w:val="nil"/>
              <w:right w:val="nil"/>
            </w:tcBorders>
            <w:shd w:val="clear" w:color="auto" w:fill="auto"/>
            <w:noWrap/>
            <w:vAlign w:val="bottom"/>
            <w:hideMark/>
          </w:tcPr>
          <w:p w14:paraId="31161CE1" w14:textId="52CABD48"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91,155</w:t>
            </w:r>
          </w:p>
        </w:tc>
        <w:tc>
          <w:tcPr>
            <w:tcW w:w="559" w:type="pct"/>
            <w:tcBorders>
              <w:top w:val="nil"/>
              <w:left w:val="nil"/>
              <w:bottom w:val="nil"/>
              <w:right w:val="nil"/>
            </w:tcBorders>
            <w:shd w:val="clear" w:color="000000" w:fill="E6E6E6"/>
            <w:noWrap/>
            <w:vAlign w:val="bottom"/>
            <w:hideMark/>
          </w:tcPr>
          <w:p w14:paraId="385E9E68" w14:textId="46CC62B9"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107,602</w:t>
            </w:r>
          </w:p>
        </w:tc>
        <w:tc>
          <w:tcPr>
            <w:tcW w:w="560" w:type="pct"/>
            <w:tcBorders>
              <w:top w:val="nil"/>
              <w:left w:val="nil"/>
              <w:bottom w:val="nil"/>
              <w:right w:val="nil"/>
            </w:tcBorders>
            <w:shd w:val="clear" w:color="auto" w:fill="auto"/>
            <w:noWrap/>
            <w:vAlign w:val="bottom"/>
            <w:hideMark/>
          </w:tcPr>
          <w:p w14:paraId="20EFDE3D" w14:textId="29F43ECE"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41,536</w:t>
            </w:r>
          </w:p>
        </w:tc>
        <w:tc>
          <w:tcPr>
            <w:tcW w:w="560" w:type="pct"/>
            <w:tcBorders>
              <w:top w:val="nil"/>
              <w:left w:val="nil"/>
              <w:bottom w:val="nil"/>
              <w:right w:val="nil"/>
            </w:tcBorders>
            <w:shd w:val="clear" w:color="auto" w:fill="auto"/>
            <w:noWrap/>
            <w:vAlign w:val="bottom"/>
            <w:hideMark/>
          </w:tcPr>
          <w:p w14:paraId="2D2D9790" w14:textId="1A1A3862"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42,089</w:t>
            </w:r>
          </w:p>
        </w:tc>
        <w:tc>
          <w:tcPr>
            <w:tcW w:w="560" w:type="pct"/>
            <w:tcBorders>
              <w:top w:val="nil"/>
              <w:left w:val="nil"/>
              <w:bottom w:val="nil"/>
              <w:right w:val="nil"/>
            </w:tcBorders>
            <w:shd w:val="clear" w:color="auto" w:fill="auto"/>
            <w:noWrap/>
            <w:vAlign w:val="bottom"/>
            <w:hideMark/>
          </w:tcPr>
          <w:p w14:paraId="491C3B24" w14:textId="7AF1CF61" w:rsidR="00B85A2A" w:rsidRPr="00E84A95" w:rsidRDefault="00B85A2A" w:rsidP="00E84A95">
            <w:pPr>
              <w:spacing w:after="0" w:line="240" w:lineRule="auto"/>
              <w:jc w:val="right"/>
              <w:rPr>
                <w:rFonts w:ascii="Arial" w:hAnsi="Arial" w:cs="Arial"/>
                <w:sz w:val="16"/>
                <w:szCs w:val="16"/>
              </w:rPr>
            </w:pPr>
            <w:r w:rsidRPr="00E84A95">
              <w:rPr>
                <w:rFonts w:ascii="Arial" w:hAnsi="Arial" w:cs="Arial"/>
                <w:sz w:val="16"/>
                <w:szCs w:val="16"/>
              </w:rPr>
              <w:t>42,885</w:t>
            </w:r>
          </w:p>
        </w:tc>
      </w:tr>
      <w:tr w:rsidR="00B85A2A" w:rsidRPr="00E84A95" w14:paraId="2240D1D6" w14:textId="77777777" w:rsidTr="00C27D91">
        <w:trPr>
          <w:trHeight w:val="204"/>
        </w:trPr>
        <w:tc>
          <w:tcPr>
            <w:tcW w:w="2154" w:type="pct"/>
            <w:tcBorders>
              <w:top w:val="nil"/>
              <w:left w:val="nil"/>
              <w:bottom w:val="single" w:sz="4" w:space="0" w:color="auto"/>
              <w:right w:val="nil"/>
            </w:tcBorders>
            <w:shd w:val="clear" w:color="auto" w:fill="auto"/>
            <w:noWrap/>
            <w:vAlign w:val="bottom"/>
            <w:hideMark/>
          </w:tcPr>
          <w:p w14:paraId="68B56DF0" w14:textId="77777777" w:rsidR="00B85A2A" w:rsidRPr="00E84A95" w:rsidRDefault="00B85A2A" w:rsidP="00B85A2A">
            <w:pPr>
              <w:spacing w:after="0" w:line="240" w:lineRule="auto"/>
              <w:rPr>
                <w:rFonts w:ascii="Arial" w:hAnsi="Arial" w:cs="Arial"/>
                <w:b/>
                <w:bCs/>
                <w:sz w:val="16"/>
                <w:szCs w:val="16"/>
              </w:rPr>
            </w:pPr>
            <w:r w:rsidRPr="00E84A95">
              <w:rPr>
                <w:rFonts w:ascii="Arial" w:hAnsi="Arial" w:cs="Arial"/>
                <w:b/>
                <w:bCs/>
                <w:sz w:val="16"/>
                <w:szCs w:val="16"/>
              </w:rPr>
              <w:t>Total expenses for Program 2.3</w:t>
            </w:r>
          </w:p>
        </w:tc>
        <w:tc>
          <w:tcPr>
            <w:tcW w:w="606" w:type="pct"/>
            <w:tcBorders>
              <w:top w:val="single" w:sz="4" w:space="0" w:color="auto"/>
              <w:left w:val="nil"/>
              <w:bottom w:val="single" w:sz="4" w:space="0" w:color="auto"/>
              <w:right w:val="nil"/>
            </w:tcBorders>
            <w:shd w:val="clear" w:color="auto" w:fill="auto"/>
            <w:noWrap/>
            <w:vAlign w:val="bottom"/>
            <w:hideMark/>
          </w:tcPr>
          <w:p w14:paraId="13478B73" w14:textId="29ADBCE4" w:rsidR="00B85A2A" w:rsidRPr="00E84A95" w:rsidRDefault="00B85A2A" w:rsidP="00E84A95">
            <w:pPr>
              <w:spacing w:after="0" w:line="240" w:lineRule="auto"/>
              <w:jc w:val="right"/>
              <w:rPr>
                <w:rFonts w:ascii="Arial" w:hAnsi="Arial" w:cs="Arial"/>
                <w:b/>
                <w:bCs/>
                <w:sz w:val="16"/>
                <w:szCs w:val="16"/>
              </w:rPr>
            </w:pPr>
            <w:r w:rsidRPr="00E84A95">
              <w:rPr>
                <w:rFonts w:ascii="Arial" w:hAnsi="Arial" w:cs="Arial"/>
                <w:b/>
                <w:bCs/>
                <w:sz w:val="16"/>
                <w:szCs w:val="16"/>
              </w:rPr>
              <w:t>403,381</w:t>
            </w:r>
          </w:p>
        </w:tc>
        <w:tc>
          <w:tcPr>
            <w:tcW w:w="559" w:type="pct"/>
            <w:tcBorders>
              <w:top w:val="single" w:sz="4" w:space="0" w:color="auto"/>
              <w:left w:val="nil"/>
              <w:bottom w:val="single" w:sz="4" w:space="0" w:color="auto"/>
              <w:right w:val="nil"/>
            </w:tcBorders>
            <w:shd w:val="clear" w:color="000000" w:fill="E6E6E6"/>
            <w:noWrap/>
            <w:vAlign w:val="bottom"/>
            <w:hideMark/>
          </w:tcPr>
          <w:p w14:paraId="3ABD6689" w14:textId="09344C06" w:rsidR="00B85A2A" w:rsidRPr="00E84A95" w:rsidRDefault="00B85A2A" w:rsidP="00E84A95">
            <w:pPr>
              <w:spacing w:after="0" w:line="240" w:lineRule="auto"/>
              <w:jc w:val="right"/>
              <w:rPr>
                <w:rFonts w:ascii="Arial" w:hAnsi="Arial" w:cs="Arial"/>
                <w:b/>
                <w:bCs/>
                <w:sz w:val="16"/>
                <w:szCs w:val="16"/>
              </w:rPr>
            </w:pPr>
            <w:r w:rsidRPr="00E84A95">
              <w:rPr>
                <w:rFonts w:ascii="Arial" w:hAnsi="Arial" w:cs="Arial"/>
                <w:b/>
                <w:bCs/>
                <w:sz w:val="16"/>
                <w:szCs w:val="16"/>
              </w:rPr>
              <w:t>414,113</w:t>
            </w:r>
          </w:p>
        </w:tc>
        <w:tc>
          <w:tcPr>
            <w:tcW w:w="560" w:type="pct"/>
            <w:tcBorders>
              <w:top w:val="single" w:sz="4" w:space="0" w:color="auto"/>
              <w:left w:val="nil"/>
              <w:bottom w:val="single" w:sz="4" w:space="0" w:color="auto"/>
              <w:right w:val="nil"/>
            </w:tcBorders>
            <w:shd w:val="clear" w:color="auto" w:fill="auto"/>
            <w:noWrap/>
            <w:vAlign w:val="bottom"/>
            <w:hideMark/>
          </w:tcPr>
          <w:p w14:paraId="0F13729C" w14:textId="365549D0" w:rsidR="00B85A2A" w:rsidRPr="00E84A95" w:rsidRDefault="00B85A2A" w:rsidP="00E84A95">
            <w:pPr>
              <w:spacing w:after="0" w:line="240" w:lineRule="auto"/>
              <w:jc w:val="right"/>
              <w:rPr>
                <w:rFonts w:ascii="Arial" w:hAnsi="Arial" w:cs="Arial"/>
                <w:b/>
                <w:bCs/>
                <w:sz w:val="16"/>
                <w:szCs w:val="16"/>
              </w:rPr>
            </w:pPr>
            <w:r w:rsidRPr="00E84A95">
              <w:rPr>
                <w:rFonts w:ascii="Arial" w:hAnsi="Arial" w:cs="Arial"/>
                <w:b/>
                <w:bCs/>
                <w:sz w:val="16"/>
                <w:szCs w:val="16"/>
              </w:rPr>
              <w:t>263,425</w:t>
            </w:r>
          </w:p>
        </w:tc>
        <w:tc>
          <w:tcPr>
            <w:tcW w:w="560" w:type="pct"/>
            <w:tcBorders>
              <w:top w:val="single" w:sz="4" w:space="0" w:color="auto"/>
              <w:left w:val="nil"/>
              <w:bottom w:val="single" w:sz="4" w:space="0" w:color="auto"/>
              <w:right w:val="nil"/>
            </w:tcBorders>
            <w:shd w:val="clear" w:color="auto" w:fill="auto"/>
            <w:noWrap/>
            <w:vAlign w:val="bottom"/>
            <w:hideMark/>
          </w:tcPr>
          <w:p w14:paraId="7820802B" w14:textId="00FD7CEB" w:rsidR="00B85A2A" w:rsidRPr="00E84A95" w:rsidRDefault="00B85A2A" w:rsidP="00E84A95">
            <w:pPr>
              <w:spacing w:after="0" w:line="240" w:lineRule="auto"/>
              <w:jc w:val="right"/>
              <w:rPr>
                <w:rFonts w:ascii="Arial" w:hAnsi="Arial" w:cs="Arial"/>
                <w:b/>
                <w:bCs/>
                <w:sz w:val="16"/>
                <w:szCs w:val="16"/>
              </w:rPr>
            </w:pPr>
            <w:r w:rsidRPr="00E84A95">
              <w:rPr>
                <w:rFonts w:ascii="Arial" w:hAnsi="Arial" w:cs="Arial"/>
                <w:b/>
                <w:bCs/>
                <w:sz w:val="16"/>
                <w:szCs w:val="16"/>
              </w:rPr>
              <w:t>316,721</w:t>
            </w:r>
          </w:p>
        </w:tc>
        <w:tc>
          <w:tcPr>
            <w:tcW w:w="560" w:type="pct"/>
            <w:tcBorders>
              <w:top w:val="single" w:sz="4" w:space="0" w:color="auto"/>
              <w:left w:val="nil"/>
              <w:bottom w:val="single" w:sz="4" w:space="0" w:color="auto"/>
              <w:right w:val="nil"/>
            </w:tcBorders>
            <w:shd w:val="clear" w:color="auto" w:fill="auto"/>
            <w:noWrap/>
            <w:vAlign w:val="bottom"/>
            <w:hideMark/>
          </w:tcPr>
          <w:p w14:paraId="11E1E5FD" w14:textId="17ADFA5F" w:rsidR="00B85A2A" w:rsidRPr="00E84A95" w:rsidRDefault="00B85A2A" w:rsidP="00E84A95">
            <w:pPr>
              <w:spacing w:after="0" w:line="240" w:lineRule="auto"/>
              <w:jc w:val="right"/>
              <w:rPr>
                <w:rFonts w:ascii="Arial" w:hAnsi="Arial" w:cs="Arial"/>
                <w:b/>
                <w:bCs/>
                <w:sz w:val="16"/>
                <w:szCs w:val="16"/>
              </w:rPr>
            </w:pPr>
            <w:r w:rsidRPr="00E84A95">
              <w:rPr>
                <w:rFonts w:ascii="Arial" w:hAnsi="Arial" w:cs="Arial"/>
                <w:b/>
                <w:bCs/>
                <w:sz w:val="16"/>
                <w:szCs w:val="16"/>
              </w:rPr>
              <w:t>202,428</w:t>
            </w:r>
          </w:p>
        </w:tc>
      </w:tr>
    </w:tbl>
    <w:p w14:paraId="213FD697" w14:textId="77777777" w:rsidR="00373ADD" w:rsidRDefault="00373ADD" w:rsidP="00373ADD">
      <w:pPr>
        <w:spacing w:before="60" w:after="0"/>
        <w:rPr>
          <w:rFonts w:ascii="Arial" w:hAnsi="Arial" w:cs="Arial"/>
          <w:sz w:val="16"/>
        </w:rPr>
      </w:pPr>
      <w:r>
        <w:rPr>
          <w:rFonts w:ascii="Arial" w:hAnsi="Arial" w:cs="Arial"/>
          <w:sz w:val="16"/>
        </w:rPr>
        <w:t>Table has been prepared inclusive of 2022-23 Additional Estimates figures.</w:t>
      </w:r>
    </w:p>
    <w:p w14:paraId="29183181" w14:textId="68A4BF9B" w:rsidR="00373ADD" w:rsidRDefault="006E0842" w:rsidP="00977C28">
      <w:pPr>
        <w:pStyle w:val="ListParagraph"/>
        <w:numPr>
          <w:ilvl w:val="0"/>
          <w:numId w:val="149"/>
        </w:numPr>
        <w:spacing w:after="0" w:line="240" w:lineRule="auto"/>
        <w:ind w:left="426"/>
        <w:rPr>
          <w:rFonts w:ascii="Arial" w:hAnsi="Arial" w:cs="Arial"/>
          <w:sz w:val="16"/>
        </w:rPr>
      </w:pPr>
      <w:r>
        <w:rPr>
          <w:rFonts w:ascii="Arial" w:hAnsi="Arial" w:cs="Arial"/>
          <w:sz w:val="16"/>
        </w:rPr>
        <w:t>Includes estimates for demand driven programs which</w:t>
      </w:r>
      <w:r w:rsidR="00373ADD">
        <w:rPr>
          <w:rFonts w:ascii="Arial" w:hAnsi="Arial" w:cs="Arial"/>
          <w:sz w:val="16"/>
        </w:rPr>
        <w:t xml:space="preserve"> are calculated at a maximum probable amount in the forward estimates to ensure there is sufficient appropriation to meet demand. Where the estimated demand is not met in a particular year, underspends are returned to the Government and are not available for alternate uses by the </w:t>
      </w:r>
      <w:r w:rsidR="00E17F15">
        <w:rPr>
          <w:rFonts w:ascii="Arial" w:hAnsi="Arial" w:cs="Arial"/>
          <w:sz w:val="16"/>
        </w:rPr>
        <w:t>Department</w:t>
      </w:r>
      <w:r w:rsidR="00373ADD">
        <w:rPr>
          <w:rFonts w:ascii="Arial" w:hAnsi="Arial" w:cs="Arial"/>
          <w:sz w:val="16"/>
        </w:rPr>
        <w:t>.</w:t>
      </w:r>
    </w:p>
    <w:p w14:paraId="202FE2C1" w14:textId="7225AD27" w:rsidR="00373ADD" w:rsidRDefault="00373ADD" w:rsidP="00977C28">
      <w:pPr>
        <w:pStyle w:val="ListParagraph"/>
        <w:numPr>
          <w:ilvl w:val="0"/>
          <w:numId w:val="149"/>
        </w:numPr>
        <w:spacing w:after="0" w:line="240" w:lineRule="auto"/>
        <w:ind w:left="426"/>
        <w:rPr>
          <w:rFonts w:ascii="Arial" w:hAnsi="Arial" w:cs="Arial"/>
          <w:sz w:val="16"/>
        </w:rPr>
      </w:pPr>
      <w:r>
        <w:rPr>
          <w:rFonts w:ascii="Arial" w:hAnsi="Arial" w:cs="Arial"/>
          <w:sz w:val="16"/>
        </w:rPr>
        <w:t xml:space="preserve">Relates to appropriation for corporate entities provided through the </w:t>
      </w:r>
      <w:r w:rsidR="00E17F15">
        <w:rPr>
          <w:rFonts w:ascii="Arial" w:hAnsi="Arial" w:cs="Arial"/>
          <w:sz w:val="16"/>
        </w:rPr>
        <w:t>Department</w:t>
      </w:r>
      <w:r>
        <w:rPr>
          <w:rFonts w:ascii="Arial" w:hAnsi="Arial" w:cs="Arial"/>
          <w:sz w:val="16"/>
        </w:rPr>
        <w:t>.</w:t>
      </w:r>
    </w:p>
    <w:p w14:paraId="0FB11C81" w14:textId="77777777" w:rsidR="00115843" w:rsidRDefault="00115843" w:rsidP="00115843">
      <w:pPr>
        <w:rPr>
          <w:rFonts w:eastAsia="Calibri"/>
          <w:szCs w:val="22"/>
          <w:lang w:val="en-US" w:eastAsia="en-US"/>
        </w:rPr>
      </w:pPr>
      <w:r>
        <w:br w:type="page"/>
      </w:r>
    </w:p>
    <w:p w14:paraId="189F27AE" w14:textId="247DB6A8" w:rsidR="00115843" w:rsidRPr="00F71634" w:rsidRDefault="00115843" w:rsidP="00115843">
      <w:pPr>
        <w:pStyle w:val="TableHeading"/>
      </w:pPr>
      <w:r w:rsidRPr="00F71634">
        <w:lastRenderedPageBreak/>
        <w:t>Table 2.</w:t>
      </w:r>
      <w:r>
        <w:t>2</w:t>
      </w:r>
      <w:r w:rsidRPr="00F71634">
        <w:t xml:space="preserve">.3: Performance </w:t>
      </w:r>
      <w:r>
        <w:t>measure</w:t>
      </w:r>
      <w:r w:rsidR="005F455C">
        <w:rPr>
          <w:lang w:val="en-US"/>
        </w:rPr>
        <w:t>s</w:t>
      </w:r>
      <w:r w:rsidRPr="00F71634">
        <w:t xml:space="preserve"> for Outcome </w:t>
      </w:r>
      <w:r>
        <w:t>2</w:t>
      </w:r>
    </w:p>
    <w:p w14:paraId="2CC1F523" w14:textId="10F29384" w:rsidR="00115843" w:rsidRPr="005A19CC" w:rsidRDefault="00115843" w:rsidP="00115843">
      <w:r w:rsidRPr="005A19CC">
        <w:t>Table 2.</w:t>
      </w:r>
      <w:r>
        <w:t>2</w:t>
      </w:r>
      <w:r w:rsidRPr="005A19CC">
        <w:t xml:space="preserve">.3 details the performance measures for each program associated with Outcome </w:t>
      </w:r>
      <w:r>
        <w:t>2</w:t>
      </w:r>
      <w:r w:rsidRPr="005A19CC">
        <w:t xml:space="preserve">.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the </w:t>
      </w:r>
      <w:r w:rsidR="00047A4C" w:rsidRPr="009505F0">
        <w:rPr>
          <w:rFonts w:eastAsia="Arial" w:cs="Arial"/>
          <w:iCs/>
          <w:szCs w:val="22"/>
        </w:rPr>
        <w:t>2023</w:t>
      </w:r>
      <w:r w:rsidR="00047A4C">
        <w:rPr>
          <w:rFonts w:eastAsia="Arial" w:cs="Arial"/>
          <w:iCs/>
          <w:szCs w:val="22"/>
        </w:rPr>
        <w:noBreakHyphen/>
      </w:r>
      <w:r w:rsidR="00047A4C" w:rsidRPr="009505F0">
        <w:rPr>
          <w:rFonts w:eastAsia="Arial" w:cs="Arial"/>
          <w:iCs/>
          <w:szCs w:val="22"/>
        </w:rPr>
        <w:t xml:space="preserve">24 Budget </w:t>
      </w:r>
      <w:r w:rsidRPr="005A19CC">
        <w:t xml:space="preserve">measures that have created new programs or materially changed existing programs are provided. </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2613"/>
        <w:gridCol w:w="3471"/>
      </w:tblGrid>
      <w:tr w:rsidR="00115843" w:rsidRPr="001B2F81" w14:paraId="3C814708" w14:textId="77777777" w:rsidTr="005C5CF4">
        <w:trPr>
          <w:trHeight w:val="569"/>
        </w:trPr>
        <w:tc>
          <w:tcPr>
            <w:tcW w:w="5000" w:type="pct"/>
            <w:gridSpan w:val="3"/>
            <w:shd w:val="clear" w:color="auto" w:fill="E6E6E6"/>
          </w:tcPr>
          <w:p w14:paraId="27E5F8AA" w14:textId="4145829D" w:rsidR="00115843" w:rsidRPr="00D635B1" w:rsidRDefault="00115843" w:rsidP="00FB0D02">
            <w:pPr>
              <w:spacing w:before="60" w:after="60" w:line="240" w:lineRule="auto"/>
              <w:rPr>
                <w:b/>
                <w:lang w:val="en-US"/>
              </w:rPr>
            </w:pPr>
            <w:r w:rsidRPr="00810627">
              <w:rPr>
                <w:rStyle w:val="TableHeadingChar"/>
                <w:rFonts w:eastAsia="Calibri"/>
              </w:rPr>
              <w:t xml:space="preserve">Outcome 2 </w:t>
            </w:r>
            <w:r w:rsidRPr="00194538">
              <w:rPr>
                <w:rStyle w:val="TableHeadingChar"/>
                <w:rFonts w:eastAsia="Calibri"/>
                <w:b w:val="0"/>
                <w:lang w:val="en-GB"/>
              </w:rPr>
              <w:t xml:space="preserve">– </w:t>
            </w:r>
            <w:r w:rsidRPr="00194538">
              <w:rPr>
                <w:rStyle w:val="TableHeadingChar"/>
                <w:rFonts w:eastAsia="Calibri"/>
                <w:b w:val="0"/>
              </w:rPr>
              <w:t>An efficient, sustainable, competitive, safe and secure transport system for all transport users through regulation, financial assistance and safety investigations</w:t>
            </w:r>
            <w:r w:rsidR="00D635B1">
              <w:rPr>
                <w:rStyle w:val="TableHeadingChar"/>
                <w:rFonts w:eastAsia="Calibri"/>
                <w:b w:val="0"/>
                <w:lang w:val="en-US"/>
              </w:rPr>
              <w:t>.</w:t>
            </w:r>
          </w:p>
        </w:tc>
      </w:tr>
      <w:tr w:rsidR="00115843" w:rsidRPr="001B2F81" w14:paraId="3265FAA4" w14:textId="77777777" w:rsidTr="005C5CF4">
        <w:trPr>
          <w:trHeight w:val="522"/>
        </w:trPr>
        <w:tc>
          <w:tcPr>
            <w:tcW w:w="5000" w:type="pct"/>
            <w:gridSpan w:val="3"/>
            <w:shd w:val="clear" w:color="auto" w:fill="E6E6E6"/>
          </w:tcPr>
          <w:p w14:paraId="468EDD5D" w14:textId="41395955" w:rsidR="00115843" w:rsidRPr="00810627" w:rsidRDefault="00115843" w:rsidP="00FB0D02">
            <w:pPr>
              <w:pStyle w:val="TableTextLeft"/>
              <w:rPr>
                <w:b/>
              </w:rPr>
            </w:pPr>
            <w:bookmarkStart w:id="19" w:name="SurfaceTransport2_1"/>
            <w:r w:rsidRPr="00810627">
              <w:rPr>
                <w:b/>
              </w:rPr>
              <w:t>Program 2.1 – Surface Transport</w:t>
            </w:r>
            <w:bookmarkEnd w:id="19"/>
          </w:p>
          <w:p w14:paraId="71CF225B" w14:textId="77777777" w:rsidR="00115843" w:rsidRPr="005134E8" w:rsidRDefault="00115843" w:rsidP="00FB0D02">
            <w:pPr>
              <w:pStyle w:val="TableTextLeft"/>
              <w:rPr>
                <w:highlight w:val="yellow"/>
              </w:rPr>
            </w:pPr>
            <w:r w:rsidRPr="00810627">
              <w:t>The surface transport program supports economic growth, makes travel safer and increases transport access through delivering programs, policies and regulation for efficient, sustainable, safer and better-connected road, rail and maritime sectors.</w:t>
            </w:r>
          </w:p>
        </w:tc>
      </w:tr>
      <w:tr w:rsidR="00115843" w:rsidRPr="001B2F81" w14:paraId="0ED3DC78" w14:textId="77777777" w:rsidTr="005C5CF4">
        <w:trPr>
          <w:trHeight w:val="694"/>
        </w:trPr>
        <w:tc>
          <w:tcPr>
            <w:tcW w:w="995" w:type="pct"/>
            <w:tcBorders>
              <w:bottom w:val="double" w:sz="4" w:space="0" w:color="auto"/>
            </w:tcBorders>
          </w:tcPr>
          <w:p w14:paraId="0D4D298B" w14:textId="77777777" w:rsidR="00115843" w:rsidRPr="00160C23" w:rsidRDefault="00115843" w:rsidP="00FB0D02">
            <w:pPr>
              <w:tabs>
                <w:tab w:val="left" w:pos="709"/>
              </w:tabs>
              <w:spacing w:before="60"/>
              <w:rPr>
                <w:rFonts w:ascii="Arial" w:hAnsi="Arial" w:cs="Arial"/>
                <w:b/>
                <w:sz w:val="16"/>
                <w:szCs w:val="16"/>
              </w:rPr>
            </w:pPr>
            <w:r w:rsidRPr="00BE08C4">
              <w:rPr>
                <w:rFonts w:ascii="Arial" w:eastAsia="Calibri" w:hAnsi="Arial" w:cs="Arial"/>
                <w:b/>
                <w:sz w:val="16"/>
                <w:szCs w:val="16"/>
              </w:rPr>
              <w:t>Key Activities</w:t>
            </w:r>
          </w:p>
        </w:tc>
        <w:tc>
          <w:tcPr>
            <w:tcW w:w="4005" w:type="pct"/>
            <w:gridSpan w:val="2"/>
            <w:tcBorders>
              <w:bottom w:val="double" w:sz="4" w:space="0" w:color="auto"/>
            </w:tcBorders>
          </w:tcPr>
          <w:p w14:paraId="317093B4" w14:textId="77777777" w:rsidR="00373ADD" w:rsidRDefault="00373ADD" w:rsidP="00977C28">
            <w:pPr>
              <w:pStyle w:val="ListParagraph"/>
              <w:numPr>
                <w:ilvl w:val="0"/>
                <w:numId w:val="9"/>
              </w:numPr>
              <w:spacing w:before="60" w:after="0" w:line="240" w:lineRule="auto"/>
              <w:ind w:left="366"/>
              <w:rPr>
                <w:rFonts w:ascii="Arial" w:hAnsi="Arial" w:cs="Arial"/>
                <w:sz w:val="16"/>
                <w:szCs w:val="16"/>
              </w:rPr>
            </w:pPr>
            <w:r>
              <w:rPr>
                <w:rFonts w:ascii="Arial" w:hAnsi="Arial" w:cs="Arial"/>
                <w:sz w:val="16"/>
                <w:szCs w:val="16"/>
              </w:rPr>
              <w:t>Advise on and deliver better road safety as well as vehicle and rail regulation.</w:t>
            </w:r>
          </w:p>
          <w:p w14:paraId="46DF2327" w14:textId="77777777" w:rsidR="00373ADD" w:rsidRDefault="00373ADD" w:rsidP="00977C28">
            <w:pPr>
              <w:pStyle w:val="ListParagraph"/>
              <w:numPr>
                <w:ilvl w:val="0"/>
                <w:numId w:val="9"/>
              </w:numPr>
              <w:spacing w:before="30" w:after="0" w:line="240" w:lineRule="auto"/>
              <w:ind w:left="366"/>
              <w:rPr>
                <w:rFonts w:ascii="Arial" w:hAnsi="Arial" w:cs="Arial"/>
                <w:sz w:val="16"/>
                <w:szCs w:val="16"/>
              </w:rPr>
            </w:pPr>
            <w:r>
              <w:rPr>
                <w:rFonts w:ascii="Arial" w:hAnsi="Arial" w:cs="Arial"/>
                <w:sz w:val="16"/>
                <w:szCs w:val="16"/>
              </w:rPr>
              <w:t>Advise on technology advances in the road transport sector.</w:t>
            </w:r>
          </w:p>
          <w:p w14:paraId="795462EF" w14:textId="77777777" w:rsidR="00373ADD" w:rsidRDefault="00373ADD" w:rsidP="00977C28">
            <w:pPr>
              <w:pStyle w:val="ListParagraph"/>
              <w:numPr>
                <w:ilvl w:val="0"/>
                <w:numId w:val="9"/>
              </w:numPr>
              <w:spacing w:before="30" w:after="0" w:line="240" w:lineRule="auto"/>
              <w:ind w:left="366"/>
              <w:rPr>
                <w:rFonts w:ascii="Arial" w:hAnsi="Arial" w:cs="Arial"/>
                <w:sz w:val="16"/>
                <w:szCs w:val="16"/>
              </w:rPr>
            </w:pPr>
            <w:r>
              <w:rPr>
                <w:rFonts w:ascii="Arial" w:hAnsi="Arial" w:cs="Arial"/>
                <w:sz w:val="16"/>
                <w:szCs w:val="16"/>
              </w:rPr>
              <w:t>Implement the National Freight and Supply Chain Strategy and Action Plan.</w:t>
            </w:r>
          </w:p>
          <w:p w14:paraId="35646DE0" w14:textId="67AAAFBB" w:rsidR="00373ADD" w:rsidRDefault="00373ADD" w:rsidP="00977C28">
            <w:pPr>
              <w:pStyle w:val="ListParagraph"/>
              <w:numPr>
                <w:ilvl w:val="0"/>
                <w:numId w:val="9"/>
              </w:numPr>
              <w:spacing w:before="30" w:after="0" w:line="240" w:lineRule="auto"/>
              <w:ind w:left="366"/>
              <w:rPr>
                <w:rFonts w:ascii="Arial" w:hAnsi="Arial" w:cs="Arial"/>
                <w:sz w:val="16"/>
                <w:szCs w:val="16"/>
              </w:rPr>
            </w:pPr>
            <w:r>
              <w:rPr>
                <w:rFonts w:ascii="Arial" w:hAnsi="Arial" w:cs="Arial"/>
                <w:sz w:val="16"/>
                <w:szCs w:val="16"/>
              </w:rPr>
              <w:t>Supporting an efficient and sustainable transport system</w:t>
            </w:r>
            <w:r>
              <w:rPr>
                <w:rFonts w:ascii="Arial" w:hAnsi="Arial" w:cs="Arial"/>
                <w:sz w:val="16"/>
                <w:szCs w:val="16"/>
                <w:vertAlign w:val="superscript"/>
              </w:rPr>
              <w:t>(a)</w:t>
            </w:r>
          </w:p>
          <w:p w14:paraId="1987EE76" w14:textId="49C18B15" w:rsidR="00115843" w:rsidRPr="00160C23" w:rsidRDefault="00373ADD" w:rsidP="00977C28">
            <w:pPr>
              <w:numPr>
                <w:ilvl w:val="0"/>
                <w:numId w:val="9"/>
              </w:numPr>
              <w:spacing w:after="60" w:line="240" w:lineRule="auto"/>
              <w:ind w:left="366"/>
              <w:rPr>
                <w:rFonts w:ascii="Arial" w:hAnsi="Arial" w:cs="Arial"/>
                <w:i/>
                <w:sz w:val="16"/>
                <w:szCs w:val="16"/>
              </w:rPr>
            </w:pPr>
            <w:r>
              <w:rPr>
                <w:rFonts w:ascii="Arial" w:hAnsi="Arial" w:cs="Arial"/>
                <w:sz w:val="16"/>
                <w:szCs w:val="16"/>
              </w:rPr>
              <w:t>Supporting a safe and accessible transport system</w:t>
            </w:r>
            <w:r w:rsidR="002B210D">
              <w:rPr>
                <w:rFonts w:ascii="Arial" w:hAnsi="Arial" w:cs="Arial"/>
                <w:sz w:val="16"/>
                <w:szCs w:val="16"/>
              </w:rPr>
              <w:t>.</w:t>
            </w:r>
            <w:r>
              <w:rPr>
                <w:rFonts w:ascii="Arial" w:hAnsi="Arial" w:cs="Arial"/>
                <w:sz w:val="16"/>
                <w:szCs w:val="16"/>
                <w:vertAlign w:val="superscript"/>
              </w:rPr>
              <w:t>(a)</w:t>
            </w:r>
          </w:p>
        </w:tc>
      </w:tr>
      <w:tr w:rsidR="00115843" w:rsidRPr="001B2F81" w14:paraId="5AE19BD6" w14:textId="77777777" w:rsidTr="005C5CF4">
        <w:trPr>
          <w:trHeight w:val="258"/>
        </w:trPr>
        <w:tc>
          <w:tcPr>
            <w:tcW w:w="995" w:type="pct"/>
            <w:tcBorders>
              <w:top w:val="double" w:sz="4" w:space="0" w:color="auto"/>
              <w:bottom w:val="single" w:sz="4" w:space="0" w:color="auto"/>
              <w:right w:val="single" w:sz="4" w:space="0" w:color="auto"/>
            </w:tcBorders>
          </w:tcPr>
          <w:p w14:paraId="70BD9286" w14:textId="77777777" w:rsidR="00115843" w:rsidRPr="00707BCF" w:rsidRDefault="00115843" w:rsidP="00FB0D02">
            <w:pPr>
              <w:pStyle w:val="TableTextBase"/>
              <w:rPr>
                <w:b/>
                <w:sz w:val="16"/>
                <w:szCs w:val="16"/>
              </w:rPr>
            </w:pPr>
            <w:r w:rsidRPr="00707BCF">
              <w:rPr>
                <w:b/>
                <w:sz w:val="16"/>
                <w:szCs w:val="16"/>
              </w:rPr>
              <w:t>Year</w:t>
            </w:r>
          </w:p>
        </w:tc>
        <w:tc>
          <w:tcPr>
            <w:tcW w:w="1720" w:type="pct"/>
            <w:tcBorders>
              <w:top w:val="double" w:sz="4" w:space="0" w:color="auto"/>
              <w:left w:val="single" w:sz="4" w:space="0" w:color="auto"/>
              <w:bottom w:val="single" w:sz="4" w:space="0" w:color="auto"/>
              <w:right w:val="single" w:sz="4" w:space="0" w:color="auto"/>
            </w:tcBorders>
          </w:tcPr>
          <w:p w14:paraId="33AB21F5" w14:textId="77777777" w:rsidR="00115843" w:rsidRPr="00707BCF" w:rsidRDefault="00115843" w:rsidP="00FB0D02">
            <w:pPr>
              <w:pStyle w:val="TableTextBase"/>
              <w:rPr>
                <w:b/>
                <w:sz w:val="16"/>
                <w:szCs w:val="16"/>
              </w:rPr>
            </w:pPr>
            <w:r w:rsidRPr="00707BCF">
              <w:rPr>
                <w:b/>
                <w:sz w:val="16"/>
                <w:szCs w:val="16"/>
              </w:rPr>
              <w:t>Performance measures</w:t>
            </w:r>
          </w:p>
        </w:tc>
        <w:tc>
          <w:tcPr>
            <w:tcW w:w="2286" w:type="pct"/>
            <w:tcBorders>
              <w:top w:val="double" w:sz="4" w:space="0" w:color="auto"/>
              <w:left w:val="single" w:sz="4" w:space="0" w:color="auto"/>
              <w:bottom w:val="single" w:sz="4" w:space="0" w:color="auto"/>
            </w:tcBorders>
          </w:tcPr>
          <w:p w14:paraId="47427079" w14:textId="77777777" w:rsidR="00115843" w:rsidRPr="00707BCF" w:rsidRDefault="00115843" w:rsidP="00FB0D02">
            <w:pPr>
              <w:pStyle w:val="TableTextBase"/>
              <w:rPr>
                <w:b/>
                <w:sz w:val="16"/>
                <w:szCs w:val="16"/>
              </w:rPr>
            </w:pPr>
            <w:r w:rsidRPr="00707BCF">
              <w:rPr>
                <w:b/>
                <w:sz w:val="16"/>
                <w:szCs w:val="16"/>
              </w:rPr>
              <w:t>Expected Performance Results</w:t>
            </w:r>
          </w:p>
        </w:tc>
      </w:tr>
      <w:tr w:rsidR="005C5CF4" w:rsidRPr="001B2F81" w14:paraId="502AAE44" w14:textId="77777777" w:rsidTr="005C5CF4">
        <w:trPr>
          <w:cantSplit/>
          <w:trHeight w:val="1960"/>
        </w:trPr>
        <w:tc>
          <w:tcPr>
            <w:tcW w:w="995" w:type="pct"/>
            <w:vMerge w:val="restart"/>
            <w:tcBorders>
              <w:top w:val="single" w:sz="4" w:space="0" w:color="auto"/>
              <w:right w:val="single" w:sz="4" w:space="0" w:color="auto"/>
            </w:tcBorders>
          </w:tcPr>
          <w:p w14:paraId="1C243E55" w14:textId="3BA9A969" w:rsidR="005C5CF4" w:rsidRPr="00FD292C" w:rsidRDefault="005C5CF4" w:rsidP="00FB0D02">
            <w:pPr>
              <w:pStyle w:val="TableTextBase"/>
              <w:rPr>
                <w:sz w:val="16"/>
                <w:szCs w:val="16"/>
              </w:rPr>
            </w:pPr>
            <w:r>
              <w:rPr>
                <w:sz w:val="16"/>
                <w:szCs w:val="16"/>
              </w:rPr>
              <w:t>Current</w:t>
            </w:r>
            <w:r w:rsidRPr="00FD292C">
              <w:rPr>
                <w:sz w:val="16"/>
                <w:szCs w:val="16"/>
              </w:rPr>
              <w:t xml:space="preserve"> year </w:t>
            </w:r>
            <w:r w:rsidRPr="00FD292C">
              <w:rPr>
                <w:sz w:val="16"/>
                <w:szCs w:val="16"/>
              </w:rPr>
              <w:br/>
              <w:t>202</w:t>
            </w:r>
            <w:r>
              <w:rPr>
                <w:sz w:val="16"/>
                <w:szCs w:val="16"/>
              </w:rPr>
              <w:t>2</w:t>
            </w:r>
            <w:r w:rsidRPr="00FD292C">
              <w:rPr>
                <w:sz w:val="16"/>
                <w:szCs w:val="16"/>
              </w:rPr>
              <w:t>–2</w:t>
            </w:r>
            <w:r>
              <w:rPr>
                <w:sz w:val="16"/>
                <w:szCs w:val="16"/>
              </w:rPr>
              <w:t>3</w:t>
            </w:r>
          </w:p>
        </w:tc>
        <w:tc>
          <w:tcPr>
            <w:tcW w:w="1720" w:type="pct"/>
            <w:tcBorders>
              <w:top w:val="single" w:sz="4" w:space="0" w:color="auto"/>
              <w:left w:val="single" w:sz="4" w:space="0" w:color="auto"/>
              <w:right w:val="single" w:sz="4" w:space="0" w:color="auto"/>
            </w:tcBorders>
          </w:tcPr>
          <w:p w14:paraId="3577F156" w14:textId="474FB604" w:rsidR="005C5CF4" w:rsidRPr="00FD292C" w:rsidRDefault="005C5CF4" w:rsidP="00FB0D02">
            <w:pPr>
              <w:pStyle w:val="TableTextBase"/>
              <w:rPr>
                <w:rFonts w:asciiTheme="minorHAnsi" w:hAnsiTheme="minorHAnsi" w:cstheme="minorHAnsi"/>
                <w:b/>
                <w:sz w:val="16"/>
                <w:szCs w:val="16"/>
              </w:rPr>
            </w:pPr>
            <w:r w:rsidRPr="00373ADD">
              <w:rPr>
                <w:rFonts w:eastAsia="Calibri" w:cs="Arial"/>
                <w:sz w:val="16"/>
                <w:szCs w:val="16"/>
                <w:lang w:eastAsia="en-US"/>
              </w:rPr>
              <w:t>Progress reforms for regulating vehicles and rail that support safety and productivity</w:t>
            </w:r>
            <w:r w:rsidRPr="00373ADD">
              <w:rPr>
                <w:rFonts w:eastAsia="Calibri" w:cs="Arial"/>
                <w:sz w:val="16"/>
                <w:szCs w:val="16"/>
                <w:vertAlign w:val="superscript"/>
                <w:lang w:eastAsia="en-US"/>
              </w:rPr>
              <w:t>(a)</w:t>
            </w:r>
          </w:p>
        </w:tc>
        <w:tc>
          <w:tcPr>
            <w:tcW w:w="2286" w:type="pct"/>
            <w:tcBorders>
              <w:top w:val="single" w:sz="4" w:space="0" w:color="auto"/>
              <w:left w:val="single" w:sz="4" w:space="0" w:color="auto"/>
            </w:tcBorders>
          </w:tcPr>
          <w:p w14:paraId="6990A80B" w14:textId="63710B16" w:rsidR="005C5CF4" w:rsidRPr="00FD292C" w:rsidRDefault="005C5CF4" w:rsidP="002B210D">
            <w:pPr>
              <w:spacing w:before="60" w:after="60" w:line="240" w:lineRule="auto"/>
              <w:ind w:right="-11"/>
              <w:rPr>
                <w:rFonts w:ascii="Arial" w:eastAsia="Calibri" w:hAnsi="Arial" w:cs="Arial"/>
                <w:sz w:val="16"/>
                <w:szCs w:val="16"/>
              </w:rPr>
            </w:pPr>
            <w:r>
              <w:rPr>
                <w:rFonts w:ascii="Arial" w:eastAsia="Calibri" w:hAnsi="Arial" w:cs="Arial"/>
                <w:sz w:val="16"/>
                <w:szCs w:val="16"/>
              </w:rPr>
              <w:t xml:space="preserve">Target: </w:t>
            </w:r>
            <w:r w:rsidRPr="00FD292C">
              <w:rPr>
                <w:rFonts w:ascii="Arial" w:eastAsia="Calibri" w:hAnsi="Arial" w:cs="Arial"/>
                <w:sz w:val="16"/>
                <w:szCs w:val="16"/>
              </w:rPr>
              <w:t>Policy advice is high-quality, timely and evidence-based to support decision making on heavy vehicle and rail productivity and safety matters.</w:t>
            </w:r>
          </w:p>
          <w:p w14:paraId="51D36BE7" w14:textId="59E0C63D" w:rsidR="005C5CF4" w:rsidRDefault="005C5CF4" w:rsidP="002B210D">
            <w:pPr>
              <w:spacing w:before="60" w:after="120" w:line="240" w:lineRule="auto"/>
              <w:rPr>
                <w:rFonts w:ascii="Arial" w:eastAsia="Calibri" w:hAnsi="Arial" w:cs="Arial"/>
                <w:sz w:val="16"/>
                <w:szCs w:val="16"/>
              </w:rPr>
            </w:pPr>
            <w:r w:rsidRPr="00FD292C">
              <w:rPr>
                <w:rFonts w:ascii="Arial" w:eastAsia="Calibri" w:hAnsi="Arial" w:cs="Arial"/>
                <w:sz w:val="16"/>
                <w:szCs w:val="16"/>
              </w:rPr>
              <w:t>Funding is delivered for relevant programs such as the Heavy Vehicle Safety Initiative, Strategic Local Government Asset Assessment Project and rail programs.</w:t>
            </w:r>
          </w:p>
          <w:p w14:paraId="0E0425CC" w14:textId="69E4BC3B" w:rsidR="005C5CF4" w:rsidRPr="00FD292C" w:rsidRDefault="005C5CF4" w:rsidP="002B210D">
            <w:pPr>
              <w:spacing w:before="60" w:after="60" w:line="240" w:lineRule="auto"/>
              <w:rPr>
                <w:rFonts w:ascii="Arial" w:eastAsia="Calibri" w:hAnsi="Arial" w:cs="Arial"/>
                <w:sz w:val="16"/>
                <w:szCs w:val="16"/>
              </w:rPr>
            </w:pPr>
            <w:r w:rsidRPr="00FD292C">
              <w:rPr>
                <w:rFonts w:ascii="Arial" w:eastAsia="Calibri" w:hAnsi="Arial" w:cs="Arial"/>
                <w:sz w:val="16"/>
                <w:szCs w:val="16"/>
              </w:rPr>
              <w:t>Target</w:t>
            </w:r>
            <w:r>
              <w:rPr>
                <w:rFonts w:ascii="Arial" w:eastAsia="Calibri" w:hAnsi="Arial" w:cs="Arial"/>
                <w:sz w:val="16"/>
                <w:szCs w:val="16"/>
              </w:rPr>
              <w:t xml:space="preserve"> expected to be met.</w:t>
            </w:r>
          </w:p>
        </w:tc>
      </w:tr>
      <w:tr w:rsidR="005C5CF4" w:rsidRPr="001B2F81" w14:paraId="76D48533" w14:textId="77777777" w:rsidTr="005C5CF4">
        <w:trPr>
          <w:cantSplit/>
          <w:trHeight w:val="642"/>
        </w:trPr>
        <w:tc>
          <w:tcPr>
            <w:tcW w:w="995" w:type="pct"/>
            <w:vMerge/>
            <w:tcBorders>
              <w:bottom w:val="single" w:sz="4" w:space="0" w:color="auto"/>
              <w:right w:val="single" w:sz="4" w:space="0" w:color="auto"/>
            </w:tcBorders>
          </w:tcPr>
          <w:p w14:paraId="106C5886" w14:textId="77777777" w:rsidR="005C5CF4" w:rsidRPr="00FD292C" w:rsidRDefault="005C5CF4" w:rsidP="00FB0D02">
            <w:pPr>
              <w:pStyle w:val="TableTextBase"/>
              <w:rPr>
                <w:sz w:val="16"/>
                <w:szCs w:val="16"/>
              </w:rPr>
            </w:pPr>
          </w:p>
        </w:tc>
        <w:tc>
          <w:tcPr>
            <w:tcW w:w="1720" w:type="pct"/>
            <w:tcBorders>
              <w:top w:val="single" w:sz="4" w:space="0" w:color="auto"/>
              <w:left w:val="single" w:sz="4" w:space="0" w:color="auto"/>
              <w:bottom w:val="single" w:sz="4" w:space="0" w:color="auto"/>
              <w:right w:val="single" w:sz="4" w:space="0" w:color="auto"/>
            </w:tcBorders>
          </w:tcPr>
          <w:p w14:paraId="278CBCC9" w14:textId="4A3507E6" w:rsidR="005C5CF4" w:rsidRPr="00FD292C" w:rsidRDefault="005C5CF4" w:rsidP="00FB0D02">
            <w:pPr>
              <w:pStyle w:val="TableTextBase"/>
              <w:rPr>
                <w:sz w:val="16"/>
                <w:szCs w:val="16"/>
              </w:rPr>
            </w:pPr>
            <w:r w:rsidRPr="00FD292C">
              <w:rPr>
                <w:rFonts w:eastAsia="Calibri" w:cs="Arial"/>
                <w:sz w:val="16"/>
                <w:szCs w:val="16"/>
                <w:lang w:eastAsia="en-US"/>
              </w:rPr>
              <w:t>Progress of reforms to the disability standards for accessible public transport</w:t>
            </w:r>
            <w:r w:rsidRPr="00FD292C">
              <w:rPr>
                <w:rFonts w:asciiTheme="minorHAnsi" w:hAnsiTheme="minorHAnsi" w:cstheme="minorHAnsi"/>
                <w:b/>
                <w:color w:val="FFFFFF" w:themeColor="background1"/>
                <w:sz w:val="16"/>
                <w:szCs w:val="16"/>
                <w:shd w:val="clear" w:color="auto" w:fill="00B050"/>
                <w:lang w:val="en-US"/>
              </w:rPr>
              <w:t xml:space="preserve">                                         </w:t>
            </w:r>
          </w:p>
        </w:tc>
        <w:tc>
          <w:tcPr>
            <w:tcW w:w="2286" w:type="pct"/>
            <w:tcBorders>
              <w:top w:val="single" w:sz="4" w:space="0" w:color="auto"/>
              <w:left w:val="single" w:sz="4" w:space="0" w:color="auto"/>
              <w:bottom w:val="single" w:sz="4" w:space="0" w:color="auto"/>
            </w:tcBorders>
          </w:tcPr>
          <w:p w14:paraId="700EB087" w14:textId="47F8B07C" w:rsidR="005C5CF4" w:rsidRDefault="005C5CF4" w:rsidP="002B210D">
            <w:pPr>
              <w:spacing w:before="60" w:after="120" w:line="240" w:lineRule="auto"/>
              <w:rPr>
                <w:rFonts w:ascii="Arial" w:eastAsia="Calibri" w:hAnsi="Arial" w:cs="Arial"/>
                <w:sz w:val="16"/>
                <w:szCs w:val="16"/>
              </w:rPr>
            </w:pPr>
            <w:r>
              <w:rPr>
                <w:rFonts w:ascii="Arial" w:eastAsia="Calibri" w:hAnsi="Arial" w:cs="Arial"/>
                <w:sz w:val="16"/>
                <w:szCs w:val="16"/>
              </w:rPr>
              <w:t xml:space="preserve">Target: </w:t>
            </w:r>
            <w:r w:rsidRPr="00FD292C">
              <w:rPr>
                <w:rFonts w:ascii="Arial" w:eastAsia="Calibri" w:hAnsi="Arial" w:cs="Arial"/>
                <w:sz w:val="16"/>
                <w:szCs w:val="16"/>
              </w:rPr>
              <w:t xml:space="preserve">Financial year delivery milestones set by </w:t>
            </w:r>
            <w:r w:rsidRPr="00AA6B15">
              <w:rPr>
                <w:rFonts w:ascii="Arial" w:hAnsi="Arial" w:cs="Arial"/>
                <w:color w:val="000000" w:themeColor="text1"/>
                <w:sz w:val="16"/>
                <w:szCs w:val="16"/>
              </w:rPr>
              <w:t>Infrastructure and Transport Ministers Meetings</w:t>
            </w:r>
            <w:r w:rsidRPr="00FD292C">
              <w:rPr>
                <w:rFonts w:ascii="Arial" w:eastAsia="Calibri" w:hAnsi="Arial" w:cs="Arial"/>
                <w:sz w:val="16"/>
                <w:szCs w:val="16"/>
              </w:rPr>
              <w:t xml:space="preserve"> </w:t>
            </w:r>
            <w:r>
              <w:rPr>
                <w:rFonts w:ascii="Arial" w:eastAsia="Calibri" w:hAnsi="Arial" w:cs="Arial"/>
                <w:sz w:val="16"/>
                <w:szCs w:val="16"/>
              </w:rPr>
              <w:t>(</w:t>
            </w:r>
            <w:r w:rsidRPr="00FD292C">
              <w:rPr>
                <w:rFonts w:ascii="Arial" w:eastAsia="Calibri" w:hAnsi="Arial" w:cs="Arial"/>
                <w:sz w:val="16"/>
                <w:szCs w:val="16"/>
              </w:rPr>
              <w:t>ITMM</w:t>
            </w:r>
            <w:r>
              <w:rPr>
                <w:rFonts w:ascii="Arial" w:eastAsia="Calibri" w:hAnsi="Arial" w:cs="Arial"/>
                <w:sz w:val="16"/>
                <w:szCs w:val="16"/>
              </w:rPr>
              <w:t>)</w:t>
            </w:r>
            <w:r w:rsidRPr="00FD292C">
              <w:rPr>
                <w:rFonts w:ascii="Arial" w:eastAsia="Calibri" w:hAnsi="Arial" w:cs="Arial"/>
                <w:sz w:val="16"/>
                <w:szCs w:val="16"/>
              </w:rPr>
              <w:t xml:space="preserve"> are met</w:t>
            </w:r>
            <w:r>
              <w:rPr>
                <w:rFonts w:ascii="Arial" w:eastAsia="Calibri" w:hAnsi="Arial" w:cs="Arial"/>
                <w:sz w:val="16"/>
                <w:szCs w:val="16"/>
              </w:rPr>
              <w:t>.</w:t>
            </w:r>
          </w:p>
          <w:p w14:paraId="3D7F9D66" w14:textId="465CA33D" w:rsidR="005C5CF4" w:rsidRPr="00373ADD" w:rsidRDefault="005C5CF4" w:rsidP="00373ADD">
            <w:pPr>
              <w:spacing w:before="60" w:after="60" w:line="240" w:lineRule="auto"/>
              <w:rPr>
                <w:rFonts w:ascii="Arial" w:eastAsia="Calibri" w:hAnsi="Arial" w:cs="Arial"/>
                <w:sz w:val="16"/>
                <w:szCs w:val="16"/>
              </w:rPr>
            </w:pPr>
            <w:r w:rsidRPr="00FD292C">
              <w:rPr>
                <w:rFonts w:ascii="Arial" w:eastAsia="Calibri" w:hAnsi="Arial" w:cs="Arial"/>
                <w:sz w:val="16"/>
                <w:szCs w:val="16"/>
              </w:rPr>
              <w:t>Target</w:t>
            </w:r>
            <w:r>
              <w:rPr>
                <w:rFonts w:ascii="Arial" w:eastAsia="Calibri" w:hAnsi="Arial" w:cs="Arial"/>
                <w:sz w:val="16"/>
                <w:szCs w:val="16"/>
              </w:rPr>
              <w:t xml:space="preserve"> expected to be met.</w:t>
            </w:r>
          </w:p>
          <w:p w14:paraId="60FD773F" w14:textId="2816EA6C" w:rsidR="005C5CF4" w:rsidRPr="00373ADD" w:rsidRDefault="005C5CF4" w:rsidP="002B210D">
            <w:pPr>
              <w:spacing w:before="120" w:after="60" w:line="240" w:lineRule="auto"/>
              <w:rPr>
                <w:rFonts w:ascii="Arial" w:eastAsia="Calibri" w:hAnsi="Arial" w:cs="Arial"/>
                <w:sz w:val="16"/>
                <w:szCs w:val="16"/>
              </w:rPr>
            </w:pPr>
            <w:r w:rsidRPr="00373ADD">
              <w:rPr>
                <w:rFonts w:ascii="Arial" w:eastAsia="Calibri" w:hAnsi="Arial" w:cs="Arial"/>
                <w:sz w:val="16"/>
                <w:szCs w:val="16"/>
              </w:rPr>
              <w:t>Final reporting period for this measure. Further details will be included in the 2023–24 Corporate Plan.</w:t>
            </w:r>
          </w:p>
        </w:tc>
      </w:tr>
    </w:tbl>
    <w:p w14:paraId="51EE30EB" w14:textId="6B3C9042" w:rsidR="005C5CF4" w:rsidRDefault="005C5CF4"/>
    <w:p w14:paraId="0D7721D3" w14:textId="77777777" w:rsidR="005C5CF4" w:rsidRDefault="005C5CF4">
      <w:pPr>
        <w:spacing w:after="0" w:line="240" w:lineRule="auto"/>
      </w:pPr>
      <w:r>
        <w:br w:type="page"/>
      </w:r>
    </w:p>
    <w:p w14:paraId="18C8D268" w14:textId="77777777" w:rsidR="005C5CF4" w:rsidRDefault="005C5CF4" w:rsidP="00483198">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2800"/>
        <w:gridCol w:w="3537"/>
      </w:tblGrid>
      <w:tr w:rsidR="005C5CF4" w:rsidRPr="00160C23" w14:paraId="22D75E73" w14:textId="77777777" w:rsidTr="005C5CF4">
        <w:trPr>
          <w:trHeight w:val="258"/>
        </w:trPr>
        <w:tc>
          <w:tcPr>
            <w:tcW w:w="885" w:type="pct"/>
            <w:tcBorders>
              <w:top w:val="double" w:sz="4" w:space="0" w:color="auto"/>
              <w:bottom w:val="single" w:sz="4" w:space="0" w:color="auto"/>
              <w:right w:val="single" w:sz="4" w:space="0" w:color="auto"/>
            </w:tcBorders>
          </w:tcPr>
          <w:p w14:paraId="4E0E2DF4" w14:textId="77777777" w:rsidR="005C5CF4" w:rsidRPr="00707BCF" w:rsidRDefault="005C5CF4" w:rsidP="005C5CF4">
            <w:pPr>
              <w:pStyle w:val="TableTextBase"/>
              <w:rPr>
                <w:b/>
                <w:sz w:val="16"/>
                <w:szCs w:val="16"/>
              </w:rPr>
            </w:pPr>
            <w:r w:rsidRPr="00707BCF">
              <w:rPr>
                <w:b/>
                <w:sz w:val="16"/>
                <w:szCs w:val="16"/>
              </w:rPr>
              <w:t>Year</w:t>
            </w:r>
          </w:p>
        </w:tc>
        <w:tc>
          <w:tcPr>
            <w:tcW w:w="1818" w:type="pct"/>
            <w:tcBorders>
              <w:top w:val="double" w:sz="4" w:space="0" w:color="auto"/>
              <w:left w:val="single" w:sz="4" w:space="0" w:color="auto"/>
              <w:bottom w:val="single" w:sz="4" w:space="0" w:color="auto"/>
              <w:right w:val="single" w:sz="4" w:space="0" w:color="auto"/>
            </w:tcBorders>
          </w:tcPr>
          <w:p w14:paraId="1105BEB0" w14:textId="77777777" w:rsidR="005C5CF4" w:rsidRPr="00707BCF" w:rsidRDefault="005C5CF4" w:rsidP="005C5CF4">
            <w:pPr>
              <w:pStyle w:val="TableTextBase"/>
              <w:rPr>
                <w:b/>
                <w:sz w:val="16"/>
                <w:szCs w:val="16"/>
              </w:rPr>
            </w:pPr>
            <w:r w:rsidRPr="00707BCF">
              <w:rPr>
                <w:b/>
                <w:sz w:val="16"/>
                <w:szCs w:val="16"/>
              </w:rPr>
              <w:t>Performance measures</w:t>
            </w:r>
          </w:p>
        </w:tc>
        <w:tc>
          <w:tcPr>
            <w:tcW w:w="2297" w:type="pct"/>
            <w:tcBorders>
              <w:top w:val="double" w:sz="4" w:space="0" w:color="auto"/>
              <w:left w:val="single" w:sz="4" w:space="0" w:color="auto"/>
              <w:bottom w:val="single" w:sz="4" w:space="0" w:color="auto"/>
            </w:tcBorders>
          </w:tcPr>
          <w:p w14:paraId="24711FA2" w14:textId="77777777" w:rsidR="005C5CF4" w:rsidRPr="00707BCF" w:rsidRDefault="005C5CF4" w:rsidP="005C5CF4">
            <w:pPr>
              <w:pStyle w:val="TableTextBase"/>
              <w:rPr>
                <w:b/>
                <w:sz w:val="16"/>
                <w:szCs w:val="16"/>
              </w:rPr>
            </w:pPr>
            <w:r w:rsidRPr="00707BCF">
              <w:rPr>
                <w:b/>
                <w:sz w:val="16"/>
                <w:szCs w:val="16"/>
              </w:rPr>
              <w:t>Planned Performance Results</w:t>
            </w:r>
          </w:p>
        </w:tc>
      </w:tr>
      <w:tr w:rsidR="005C5CF4" w:rsidRPr="001B2F81" w14:paraId="194295CD" w14:textId="77777777" w:rsidTr="00D92459">
        <w:trPr>
          <w:cantSplit/>
          <w:trHeight w:val="642"/>
        </w:trPr>
        <w:tc>
          <w:tcPr>
            <w:tcW w:w="885" w:type="pct"/>
            <w:vMerge w:val="restart"/>
            <w:tcBorders>
              <w:top w:val="single" w:sz="4" w:space="0" w:color="auto"/>
              <w:right w:val="single" w:sz="4" w:space="0" w:color="auto"/>
            </w:tcBorders>
          </w:tcPr>
          <w:p w14:paraId="5206E326" w14:textId="0B63B98C" w:rsidR="005C5CF4" w:rsidRPr="00FD292C" w:rsidRDefault="005C5CF4" w:rsidP="00FB0D02">
            <w:pPr>
              <w:pStyle w:val="TableTextBase"/>
              <w:rPr>
                <w:sz w:val="16"/>
                <w:szCs w:val="16"/>
              </w:rPr>
            </w:pPr>
            <w:r>
              <w:rPr>
                <w:sz w:val="16"/>
                <w:szCs w:val="16"/>
              </w:rPr>
              <w:t>Current</w:t>
            </w:r>
            <w:r w:rsidRPr="00FD292C">
              <w:rPr>
                <w:sz w:val="16"/>
                <w:szCs w:val="16"/>
              </w:rPr>
              <w:t xml:space="preserve"> year </w:t>
            </w:r>
            <w:r w:rsidRPr="00FD292C">
              <w:rPr>
                <w:sz w:val="16"/>
                <w:szCs w:val="16"/>
              </w:rPr>
              <w:br/>
              <w:t>202</w:t>
            </w:r>
            <w:r>
              <w:rPr>
                <w:sz w:val="16"/>
                <w:szCs w:val="16"/>
              </w:rPr>
              <w:t>2</w:t>
            </w:r>
            <w:r w:rsidRPr="00FD292C">
              <w:rPr>
                <w:sz w:val="16"/>
                <w:szCs w:val="16"/>
              </w:rPr>
              <w:t>–2</w:t>
            </w:r>
            <w:r>
              <w:rPr>
                <w:sz w:val="16"/>
                <w:szCs w:val="16"/>
              </w:rPr>
              <w:t>3</w:t>
            </w:r>
            <w:r w:rsidRPr="00FD292C">
              <w:rPr>
                <w:sz w:val="16"/>
                <w:szCs w:val="16"/>
              </w:rPr>
              <w:t xml:space="preserve"> cont</w:t>
            </w:r>
            <w:r>
              <w:rPr>
                <w:sz w:val="16"/>
                <w:szCs w:val="16"/>
              </w:rPr>
              <w:t>.</w:t>
            </w:r>
          </w:p>
        </w:tc>
        <w:tc>
          <w:tcPr>
            <w:tcW w:w="1818" w:type="pct"/>
            <w:tcBorders>
              <w:top w:val="single" w:sz="4" w:space="0" w:color="auto"/>
              <w:left w:val="single" w:sz="4" w:space="0" w:color="auto"/>
              <w:bottom w:val="single" w:sz="4" w:space="0" w:color="auto"/>
              <w:right w:val="single" w:sz="4" w:space="0" w:color="auto"/>
            </w:tcBorders>
          </w:tcPr>
          <w:p w14:paraId="6D44F8C0" w14:textId="46DABD2E" w:rsidR="005C5CF4" w:rsidRPr="00FD292C" w:rsidRDefault="005C5CF4" w:rsidP="00FB0D02">
            <w:pPr>
              <w:pStyle w:val="TableTextBase"/>
              <w:rPr>
                <w:rFonts w:eastAsia="Calibri" w:cs="Arial"/>
                <w:sz w:val="16"/>
                <w:szCs w:val="16"/>
                <w:lang w:eastAsia="en-US"/>
              </w:rPr>
            </w:pPr>
            <w:r w:rsidRPr="00373ADD">
              <w:rPr>
                <w:rFonts w:eastAsia="Calibri" w:cs="Arial"/>
                <w:sz w:val="16"/>
                <w:szCs w:val="16"/>
                <w:lang w:eastAsia="en-US"/>
              </w:rPr>
              <w:t>Develop policy and regulatory advice, including supporting of trials and research, to support progress towards the safe, legal and nationally consistent introduction and uptake of Connected and Automated Vehicles in Australia</w:t>
            </w:r>
          </w:p>
        </w:tc>
        <w:tc>
          <w:tcPr>
            <w:tcW w:w="2297" w:type="pct"/>
            <w:tcBorders>
              <w:top w:val="single" w:sz="4" w:space="0" w:color="auto"/>
              <w:left w:val="single" w:sz="4" w:space="0" w:color="auto"/>
              <w:bottom w:val="single" w:sz="4" w:space="0" w:color="auto"/>
            </w:tcBorders>
          </w:tcPr>
          <w:p w14:paraId="75435749" w14:textId="476E0184" w:rsidR="005C5CF4" w:rsidRDefault="005C5CF4" w:rsidP="002B210D">
            <w:pPr>
              <w:spacing w:before="60" w:after="60" w:line="240" w:lineRule="auto"/>
              <w:ind w:right="-11"/>
              <w:rPr>
                <w:rFonts w:ascii="Arial" w:eastAsia="Calibri" w:hAnsi="Arial" w:cs="Arial"/>
                <w:sz w:val="16"/>
                <w:szCs w:val="16"/>
              </w:rPr>
            </w:pPr>
            <w:r>
              <w:rPr>
                <w:rFonts w:ascii="Arial" w:eastAsia="Calibri" w:hAnsi="Arial" w:cs="Arial"/>
                <w:sz w:val="16"/>
                <w:szCs w:val="16"/>
              </w:rPr>
              <w:t xml:space="preserve">Target: </w:t>
            </w:r>
            <w:r w:rsidRPr="00FD292C">
              <w:rPr>
                <w:rFonts w:ascii="Arial" w:eastAsia="Calibri" w:hAnsi="Arial" w:cs="Arial"/>
                <w:sz w:val="16"/>
                <w:szCs w:val="16"/>
              </w:rPr>
              <w:t>Policy advice is high-quality, timely and evidence-based, adapts to the changing environment and developed in partnership with states and territories, the National Transport Commission (NTC) and key industry stakeholders</w:t>
            </w:r>
            <w:r>
              <w:rPr>
                <w:rFonts w:ascii="Arial" w:eastAsia="Calibri" w:hAnsi="Arial" w:cs="Arial"/>
                <w:sz w:val="16"/>
                <w:szCs w:val="16"/>
              </w:rPr>
              <w:t xml:space="preserve">. </w:t>
            </w:r>
          </w:p>
          <w:p w14:paraId="6A3AE323" w14:textId="336F28F9" w:rsidR="005C5CF4" w:rsidRDefault="005C5CF4" w:rsidP="00B2772D">
            <w:pPr>
              <w:spacing w:before="60" w:after="60" w:line="240" w:lineRule="auto"/>
              <w:ind w:right="-11"/>
              <w:rPr>
                <w:rFonts w:ascii="Arial" w:eastAsia="Calibri" w:hAnsi="Arial" w:cs="Arial"/>
                <w:sz w:val="16"/>
                <w:szCs w:val="16"/>
              </w:rPr>
            </w:pPr>
            <w:r w:rsidRPr="00FD292C">
              <w:rPr>
                <w:rFonts w:ascii="Arial" w:eastAsia="Calibri" w:hAnsi="Arial" w:cs="Arial"/>
                <w:sz w:val="16"/>
                <w:szCs w:val="16"/>
              </w:rPr>
              <w:t>Progress on a national Automated Vehicle Safety Law (AVSL) and associated in-service framework meets the timeframes set by ITMM</w:t>
            </w:r>
            <w:r>
              <w:rPr>
                <w:rFonts w:ascii="Arial" w:eastAsia="Calibri" w:hAnsi="Arial" w:cs="Arial"/>
                <w:sz w:val="16"/>
                <w:szCs w:val="16"/>
              </w:rPr>
              <w:t>.</w:t>
            </w:r>
          </w:p>
          <w:p w14:paraId="5476EA8A" w14:textId="77777777" w:rsidR="005C5CF4" w:rsidRDefault="005C5CF4" w:rsidP="00373ADD">
            <w:pPr>
              <w:spacing w:before="60" w:after="60" w:line="240" w:lineRule="auto"/>
              <w:rPr>
                <w:rFonts w:ascii="Arial" w:eastAsia="Calibri" w:hAnsi="Arial" w:cs="Arial"/>
                <w:sz w:val="16"/>
                <w:szCs w:val="16"/>
              </w:rPr>
            </w:pPr>
          </w:p>
          <w:p w14:paraId="69C3D801" w14:textId="6319163C" w:rsidR="005C5CF4" w:rsidRPr="00FD292C" w:rsidRDefault="005C5CF4" w:rsidP="00373ADD">
            <w:pPr>
              <w:spacing w:before="60" w:after="60" w:line="240" w:lineRule="auto"/>
              <w:rPr>
                <w:rFonts w:ascii="Arial" w:eastAsia="Calibri" w:hAnsi="Arial" w:cs="Arial"/>
                <w:sz w:val="16"/>
                <w:szCs w:val="16"/>
              </w:rPr>
            </w:pPr>
            <w:r w:rsidRPr="00FD292C">
              <w:rPr>
                <w:rFonts w:ascii="Arial" w:eastAsia="Calibri" w:hAnsi="Arial" w:cs="Arial"/>
                <w:sz w:val="16"/>
                <w:szCs w:val="16"/>
              </w:rPr>
              <w:t>Target</w:t>
            </w:r>
            <w:r>
              <w:rPr>
                <w:rFonts w:ascii="Arial" w:eastAsia="Calibri" w:hAnsi="Arial" w:cs="Arial"/>
                <w:sz w:val="16"/>
                <w:szCs w:val="16"/>
              </w:rPr>
              <w:t xml:space="preserve"> expected to be met.</w:t>
            </w:r>
          </w:p>
        </w:tc>
      </w:tr>
      <w:tr w:rsidR="005C5CF4" w:rsidRPr="001B2F81" w14:paraId="74285E81" w14:textId="77777777" w:rsidTr="00D92459">
        <w:trPr>
          <w:cantSplit/>
          <w:trHeight w:val="2005"/>
        </w:trPr>
        <w:tc>
          <w:tcPr>
            <w:tcW w:w="885" w:type="pct"/>
            <w:vMerge/>
            <w:tcBorders>
              <w:right w:val="single" w:sz="4" w:space="0" w:color="auto"/>
            </w:tcBorders>
          </w:tcPr>
          <w:p w14:paraId="71038255" w14:textId="26F54972" w:rsidR="005C5CF4" w:rsidRPr="00FD292C" w:rsidRDefault="005C5CF4" w:rsidP="00FB0D02">
            <w:pPr>
              <w:pStyle w:val="TableTextBase"/>
              <w:rPr>
                <w:sz w:val="16"/>
                <w:szCs w:val="16"/>
              </w:rPr>
            </w:pPr>
          </w:p>
        </w:tc>
        <w:tc>
          <w:tcPr>
            <w:tcW w:w="1818" w:type="pct"/>
            <w:tcBorders>
              <w:top w:val="single" w:sz="4" w:space="0" w:color="auto"/>
              <w:left w:val="single" w:sz="4" w:space="0" w:color="auto"/>
              <w:bottom w:val="single" w:sz="4" w:space="0" w:color="auto"/>
              <w:right w:val="single" w:sz="4" w:space="0" w:color="auto"/>
            </w:tcBorders>
          </w:tcPr>
          <w:p w14:paraId="2EABE64C" w14:textId="77777777" w:rsidR="005C5CF4" w:rsidRPr="00FD292C" w:rsidRDefault="005C5CF4"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Performance of Tasmanian shipping programs, indicated through number of:</w:t>
            </w:r>
          </w:p>
          <w:p w14:paraId="13AECF59" w14:textId="77777777" w:rsidR="005C5CF4" w:rsidRPr="00FD292C" w:rsidRDefault="005C5CF4" w:rsidP="00977C28">
            <w:pPr>
              <w:numPr>
                <w:ilvl w:val="0"/>
                <w:numId w:val="105"/>
              </w:numPr>
              <w:spacing w:before="60" w:after="60" w:line="240" w:lineRule="auto"/>
              <w:contextualSpacing/>
              <w:rPr>
                <w:rFonts w:ascii="Arial" w:eastAsia="Calibri" w:hAnsi="Arial" w:cs="Arial"/>
                <w:sz w:val="16"/>
                <w:szCs w:val="16"/>
              </w:rPr>
            </w:pPr>
            <w:r w:rsidRPr="00FD292C">
              <w:rPr>
                <w:rFonts w:ascii="Arial" w:eastAsia="Calibri" w:hAnsi="Arial" w:cs="Arial"/>
                <w:sz w:val="16"/>
                <w:szCs w:val="16"/>
              </w:rPr>
              <w:t>claims paid (Tasmanian Freight Equalisation Scheme (TFES))</w:t>
            </w:r>
          </w:p>
          <w:p w14:paraId="345545BA" w14:textId="77777777" w:rsidR="005C5CF4" w:rsidRPr="00FD292C" w:rsidRDefault="005C5CF4" w:rsidP="00977C28">
            <w:pPr>
              <w:numPr>
                <w:ilvl w:val="0"/>
                <w:numId w:val="105"/>
              </w:numPr>
              <w:spacing w:before="60" w:after="60" w:line="240" w:lineRule="auto"/>
              <w:contextualSpacing/>
              <w:rPr>
                <w:rFonts w:ascii="Arial" w:eastAsia="Calibri" w:hAnsi="Arial" w:cs="Arial"/>
                <w:sz w:val="16"/>
                <w:szCs w:val="16"/>
              </w:rPr>
            </w:pPr>
            <w:r w:rsidRPr="00FD292C">
              <w:rPr>
                <w:rFonts w:ascii="Arial" w:eastAsia="Calibri" w:hAnsi="Arial" w:cs="Arial"/>
                <w:sz w:val="16"/>
                <w:szCs w:val="16"/>
              </w:rPr>
              <w:t>rebates provided (Bass Strait Passenger Vehicle Equalisation Scheme (BSPVES))</w:t>
            </w:r>
            <w:r w:rsidRPr="00FD292C">
              <w:rPr>
                <w:rFonts w:cstheme="minorHAnsi"/>
                <w:b/>
                <w:sz w:val="16"/>
                <w:szCs w:val="16"/>
                <w:shd w:val="clear" w:color="auto" w:fill="00B050"/>
                <w:lang w:val="en-US"/>
              </w:rPr>
              <w:t xml:space="preserve"> </w:t>
            </w:r>
            <w:r w:rsidRPr="00FD292C">
              <w:rPr>
                <w:rFonts w:cstheme="minorHAnsi"/>
                <w:b/>
                <w:color w:val="FFFFFF" w:themeColor="background1"/>
                <w:sz w:val="16"/>
                <w:szCs w:val="16"/>
                <w:shd w:val="clear" w:color="auto" w:fill="00B050"/>
                <w:lang w:val="en-US"/>
              </w:rPr>
              <w:t xml:space="preserve">                                             </w:t>
            </w:r>
          </w:p>
        </w:tc>
        <w:tc>
          <w:tcPr>
            <w:tcW w:w="2297" w:type="pct"/>
            <w:tcBorders>
              <w:top w:val="single" w:sz="4" w:space="0" w:color="auto"/>
              <w:left w:val="single" w:sz="4" w:space="0" w:color="auto"/>
              <w:bottom w:val="single" w:sz="4" w:space="0" w:color="auto"/>
            </w:tcBorders>
          </w:tcPr>
          <w:p w14:paraId="4660B37B" w14:textId="3E8A8051" w:rsidR="005C5CF4" w:rsidRPr="00FD292C" w:rsidRDefault="005C5CF4"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Programs are demand-driven</w:t>
            </w:r>
            <w:r>
              <w:rPr>
                <w:rFonts w:ascii="Arial" w:eastAsia="Calibri" w:hAnsi="Arial" w:cs="Arial"/>
                <w:sz w:val="16"/>
                <w:szCs w:val="16"/>
              </w:rPr>
              <w:t>.</w:t>
            </w:r>
            <w:r w:rsidRPr="00FD292C">
              <w:rPr>
                <w:rFonts w:ascii="Arial" w:eastAsia="Calibri" w:hAnsi="Arial" w:cs="Arial"/>
                <w:sz w:val="16"/>
                <w:szCs w:val="16"/>
              </w:rPr>
              <w:t xml:space="preserve"> </w:t>
            </w:r>
          </w:p>
          <w:p w14:paraId="2386599B" w14:textId="17C062E3" w:rsidR="005C5CF4" w:rsidRPr="00373ADD" w:rsidRDefault="005C5CF4" w:rsidP="00373ADD">
            <w:pPr>
              <w:spacing w:before="60" w:after="60" w:line="240" w:lineRule="auto"/>
              <w:rPr>
                <w:rFonts w:ascii="Arial" w:hAnsi="Arial" w:cs="Arial"/>
                <w:sz w:val="16"/>
                <w:szCs w:val="16"/>
              </w:rPr>
            </w:pPr>
            <w:r w:rsidRPr="00373ADD">
              <w:rPr>
                <w:rFonts w:ascii="Arial" w:eastAsia="Calibri" w:hAnsi="Arial" w:cs="Arial"/>
                <w:sz w:val="16"/>
                <w:szCs w:val="16"/>
              </w:rPr>
              <w:t>Final reporting period for this measure. Further details will be included in the 2023–24 Corporate Plan.</w:t>
            </w:r>
          </w:p>
        </w:tc>
      </w:tr>
      <w:tr w:rsidR="005C5CF4" w:rsidRPr="001B2F81" w14:paraId="7C6F9705" w14:textId="77777777" w:rsidTr="00D92459">
        <w:trPr>
          <w:cantSplit/>
          <w:trHeight w:val="642"/>
        </w:trPr>
        <w:tc>
          <w:tcPr>
            <w:tcW w:w="885" w:type="pct"/>
            <w:vMerge/>
            <w:tcBorders>
              <w:right w:val="single" w:sz="4" w:space="0" w:color="auto"/>
            </w:tcBorders>
          </w:tcPr>
          <w:p w14:paraId="4BBE7AD7" w14:textId="77777777" w:rsidR="005C5CF4" w:rsidRPr="00FD292C" w:rsidRDefault="005C5CF4" w:rsidP="00FB0D02">
            <w:pPr>
              <w:pStyle w:val="TableTextBase"/>
              <w:rPr>
                <w:sz w:val="16"/>
                <w:szCs w:val="16"/>
              </w:rPr>
            </w:pPr>
          </w:p>
        </w:tc>
        <w:tc>
          <w:tcPr>
            <w:tcW w:w="1818" w:type="pct"/>
            <w:tcBorders>
              <w:top w:val="single" w:sz="4" w:space="0" w:color="auto"/>
              <w:left w:val="single" w:sz="4" w:space="0" w:color="auto"/>
              <w:bottom w:val="single" w:sz="4" w:space="0" w:color="auto"/>
              <w:right w:val="single" w:sz="4" w:space="0" w:color="auto"/>
            </w:tcBorders>
          </w:tcPr>
          <w:p w14:paraId="657B6D3C" w14:textId="6B9B5B4F" w:rsidR="005C5CF4" w:rsidRPr="00FD292C" w:rsidRDefault="005C5CF4" w:rsidP="00FB0D02">
            <w:pPr>
              <w:pStyle w:val="TableTextBase"/>
              <w:spacing w:after="120"/>
              <w:rPr>
                <w:rFonts w:eastAsia="Calibri" w:cs="Arial"/>
                <w:sz w:val="16"/>
                <w:szCs w:val="16"/>
                <w:lang w:eastAsia="en-US"/>
              </w:rPr>
            </w:pPr>
            <w:r w:rsidRPr="00373ADD">
              <w:rPr>
                <w:rFonts w:eastAsia="Calibri" w:cs="Arial"/>
                <w:sz w:val="16"/>
                <w:szCs w:val="16"/>
                <w:lang w:eastAsia="en-US"/>
              </w:rPr>
              <w:t xml:space="preserve">Progress implementing the National Freight and Supply Chain Strategy </w:t>
            </w:r>
            <w:r w:rsidRPr="00FD292C">
              <w:rPr>
                <w:rFonts w:eastAsia="Calibri" w:cs="Arial"/>
                <w:sz w:val="16"/>
                <w:szCs w:val="16"/>
                <w:lang w:eastAsia="en-US"/>
              </w:rPr>
              <w:t xml:space="preserve">(the Strategy) </w:t>
            </w:r>
            <w:r w:rsidRPr="00373ADD">
              <w:rPr>
                <w:rFonts w:eastAsia="Calibri" w:cs="Arial"/>
                <w:sz w:val="16"/>
                <w:szCs w:val="16"/>
                <w:lang w:eastAsia="en-US"/>
              </w:rPr>
              <w:t>for the next 20 years and beyond to 2040</w:t>
            </w:r>
          </w:p>
        </w:tc>
        <w:tc>
          <w:tcPr>
            <w:tcW w:w="2297" w:type="pct"/>
            <w:tcBorders>
              <w:top w:val="single" w:sz="4" w:space="0" w:color="auto"/>
              <w:left w:val="single" w:sz="4" w:space="0" w:color="auto"/>
              <w:bottom w:val="single" w:sz="4" w:space="0" w:color="auto"/>
            </w:tcBorders>
          </w:tcPr>
          <w:p w14:paraId="5270CFD0" w14:textId="42938339" w:rsidR="005C5CF4" w:rsidRDefault="005C5CF4" w:rsidP="00373ADD">
            <w:pPr>
              <w:spacing w:before="60" w:after="60" w:line="240" w:lineRule="auto"/>
              <w:rPr>
                <w:rFonts w:ascii="Arial" w:eastAsia="Calibri" w:hAnsi="Arial" w:cs="Arial"/>
                <w:sz w:val="16"/>
                <w:szCs w:val="16"/>
              </w:rPr>
            </w:pPr>
            <w:r>
              <w:rPr>
                <w:rFonts w:ascii="Arial" w:eastAsia="Calibri" w:hAnsi="Arial" w:cs="Arial"/>
                <w:sz w:val="16"/>
                <w:szCs w:val="16"/>
              </w:rPr>
              <w:t xml:space="preserve">Target: </w:t>
            </w:r>
            <w:r w:rsidRPr="00FD292C">
              <w:rPr>
                <w:rFonts w:ascii="Arial" w:eastAsia="Calibri" w:hAnsi="Arial" w:cs="Arial"/>
                <w:sz w:val="16"/>
                <w:szCs w:val="16"/>
              </w:rPr>
              <w:t>The National Freight and Supply Chain Strategy is complete and published, and the Strategy’s performance framework is updated June 2023</w:t>
            </w:r>
            <w:r>
              <w:rPr>
                <w:rFonts w:ascii="Arial" w:eastAsia="Calibri" w:hAnsi="Arial" w:cs="Arial"/>
                <w:sz w:val="16"/>
                <w:szCs w:val="16"/>
              </w:rPr>
              <w:t>.</w:t>
            </w:r>
          </w:p>
          <w:p w14:paraId="09181879" w14:textId="1B060EC1" w:rsidR="005C5CF4" w:rsidRPr="00FD292C" w:rsidRDefault="005C5CF4" w:rsidP="00373ADD">
            <w:pPr>
              <w:spacing w:before="60" w:after="60" w:line="240" w:lineRule="auto"/>
              <w:rPr>
                <w:rFonts w:ascii="Arial" w:eastAsia="Calibri" w:hAnsi="Arial" w:cs="Arial"/>
                <w:sz w:val="16"/>
                <w:szCs w:val="16"/>
              </w:rPr>
            </w:pPr>
            <w:r w:rsidRPr="00FD292C">
              <w:rPr>
                <w:rFonts w:ascii="Arial" w:eastAsia="Calibri" w:hAnsi="Arial" w:cs="Arial"/>
                <w:sz w:val="16"/>
                <w:szCs w:val="16"/>
              </w:rPr>
              <w:t>Target</w:t>
            </w:r>
            <w:r>
              <w:rPr>
                <w:rFonts w:ascii="Arial" w:eastAsia="Calibri" w:hAnsi="Arial" w:cs="Arial"/>
                <w:sz w:val="16"/>
                <w:szCs w:val="16"/>
              </w:rPr>
              <w:t xml:space="preserve"> expected to be met.</w:t>
            </w:r>
          </w:p>
        </w:tc>
      </w:tr>
      <w:tr w:rsidR="005C5CF4" w:rsidRPr="001B2F81" w14:paraId="7BEECA97" w14:textId="77777777" w:rsidTr="00D92459">
        <w:trPr>
          <w:cantSplit/>
          <w:trHeight w:val="642"/>
        </w:trPr>
        <w:tc>
          <w:tcPr>
            <w:tcW w:w="885" w:type="pct"/>
            <w:vMerge/>
            <w:tcBorders>
              <w:right w:val="single" w:sz="4" w:space="0" w:color="auto"/>
            </w:tcBorders>
          </w:tcPr>
          <w:p w14:paraId="60019C71" w14:textId="77777777" w:rsidR="005C5CF4" w:rsidRPr="00FD292C" w:rsidRDefault="005C5CF4" w:rsidP="00FB0D02">
            <w:pPr>
              <w:pStyle w:val="TableTextBase"/>
              <w:rPr>
                <w:sz w:val="16"/>
                <w:szCs w:val="16"/>
              </w:rPr>
            </w:pPr>
          </w:p>
        </w:tc>
        <w:tc>
          <w:tcPr>
            <w:tcW w:w="1818" w:type="pct"/>
            <w:tcBorders>
              <w:top w:val="single" w:sz="4" w:space="0" w:color="auto"/>
              <w:left w:val="single" w:sz="4" w:space="0" w:color="auto"/>
              <w:bottom w:val="single" w:sz="4" w:space="0" w:color="auto"/>
              <w:right w:val="single" w:sz="4" w:space="0" w:color="auto"/>
            </w:tcBorders>
          </w:tcPr>
          <w:p w14:paraId="38DB7E2F" w14:textId="39FDA941" w:rsidR="005C5CF4" w:rsidRPr="00FD292C" w:rsidRDefault="005C5CF4" w:rsidP="00FB0D02">
            <w:pPr>
              <w:pStyle w:val="TableTextBase"/>
              <w:rPr>
                <w:rFonts w:eastAsia="Calibri" w:cs="Arial"/>
                <w:sz w:val="16"/>
                <w:szCs w:val="16"/>
                <w:lang w:eastAsia="en-US"/>
              </w:rPr>
            </w:pPr>
            <w:r w:rsidRPr="00373ADD">
              <w:rPr>
                <w:rFonts w:eastAsia="Calibri" w:cs="Arial"/>
                <w:sz w:val="16"/>
                <w:szCs w:val="16"/>
                <w:lang w:eastAsia="en-US"/>
              </w:rPr>
              <w:t>Provide policy advice on reducing C</w:t>
            </w:r>
            <w:r>
              <w:rPr>
                <w:rFonts w:eastAsia="Calibri" w:cs="Arial"/>
                <w:sz w:val="16"/>
                <w:szCs w:val="16"/>
                <w:lang w:eastAsia="en-US"/>
              </w:rPr>
              <w:t>arbon dioxide (CO</w:t>
            </w:r>
            <w:r w:rsidRPr="00B61E2F">
              <w:rPr>
                <w:rFonts w:eastAsia="Calibri" w:cs="Arial"/>
                <w:sz w:val="12"/>
                <w:szCs w:val="12"/>
                <w:lang w:eastAsia="en-US"/>
              </w:rPr>
              <w:t>2</w:t>
            </w:r>
            <w:r w:rsidRPr="00B61E2F">
              <w:rPr>
                <w:rFonts w:eastAsia="Calibri" w:cs="Arial"/>
                <w:sz w:val="16"/>
                <w:szCs w:val="16"/>
                <w:lang w:eastAsia="en-US"/>
              </w:rPr>
              <w:t>)</w:t>
            </w:r>
            <w:r w:rsidRPr="00373ADD">
              <w:rPr>
                <w:rFonts w:eastAsia="Calibri" w:cs="Arial"/>
                <w:sz w:val="16"/>
                <w:szCs w:val="16"/>
                <w:lang w:eastAsia="en-US"/>
              </w:rPr>
              <w:t xml:space="preserve"> emissions consistent with Government commitments for the transport sector</w:t>
            </w:r>
          </w:p>
        </w:tc>
        <w:tc>
          <w:tcPr>
            <w:tcW w:w="2297" w:type="pct"/>
            <w:tcBorders>
              <w:top w:val="single" w:sz="4" w:space="0" w:color="auto"/>
              <w:left w:val="single" w:sz="4" w:space="0" w:color="auto"/>
              <w:bottom w:val="single" w:sz="4" w:space="0" w:color="auto"/>
            </w:tcBorders>
          </w:tcPr>
          <w:p w14:paraId="7CA53804" w14:textId="77777777" w:rsidR="005C5CF4" w:rsidRPr="00FD292C" w:rsidRDefault="005C5CF4" w:rsidP="00B2772D">
            <w:pPr>
              <w:spacing w:before="60" w:after="60" w:line="240" w:lineRule="auto"/>
              <w:ind w:right="-11"/>
              <w:rPr>
                <w:rFonts w:ascii="Arial" w:eastAsia="Calibri" w:hAnsi="Arial" w:cs="Arial"/>
                <w:sz w:val="16"/>
                <w:szCs w:val="16"/>
              </w:rPr>
            </w:pPr>
            <w:r>
              <w:rPr>
                <w:rFonts w:ascii="Arial" w:eastAsia="Calibri" w:hAnsi="Arial" w:cs="Arial"/>
                <w:sz w:val="16"/>
                <w:szCs w:val="16"/>
              </w:rPr>
              <w:t xml:space="preserve">Target: </w:t>
            </w:r>
            <w:r w:rsidRPr="00FD292C">
              <w:rPr>
                <w:rFonts w:ascii="Arial" w:eastAsia="Calibri" w:hAnsi="Arial" w:cs="Arial"/>
                <w:sz w:val="16"/>
                <w:szCs w:val="16"/>
              </w:rPr>
              <w:t>Policy advice is high-quality, timely and evidence-based and adapts to the changing environment</w:t>
            </w:r>
            <w:r>
              <w:rPr>
                <w:rFonts w:ascii="Arial" w:eastAsia="Calibri" w:hAnsi="Arial" w:cs="Arial"/>
                <w:sz w:val="16"/>
                <w:szCs w:val="16"/>
              </w:rPr>
              <w:t>.</w:t>
            </w:r>
          </w:p>
          <w:p w14:paraId="6962E7EA" w14:textId="4EC28170" w:rsidR="005C5CF4" w:rsidRPr="00FD292C" w:rsidRDefault="005C5CF4" w:rsidP="00B2772D">
            <w:pPr>
              <w:spacing w:before="60" w:after="60" w:line="240" w:lineRule="auto"/>
              <w:ind w:right="-11"/>
              <w:rPr>
                <w:rFonts w:ascii="Arial" w:eastAsia="Calibri" w:hAnsi="Arial" w:cs="Arial"/>
                <w:sz w:val="16"/>
                <w:szCs w:val="16"/>
              </w:rPr>
            </w:pPr>
            <w:r w:rsidRPr="00FD292C">
              <w:rPr>
                <w:rFonts w:ascii="Arial" w:eastAsia="Calibri" w:hAnsi="Arial" w:cs="Arial"/>
                <w:sz w:val="16"/>
                <w:szCs w:val="16"/>
              </w:rPr>
              <w:t xml:space="preserve">Active participation in relevant international </w:t>
            </w:r>
            <w:r>
              <w:rPr>
                <w:rFonts w:ascii="Arial" w:eastAsia="Calibri" w:hAnsi="Arial" w:cs="Arial"/>
                <w:sz w:val="16"/>
                <w:szCs w:val="16"/>
              </w:rPr>
              <w:t>fora.</w:t>
            </w:r>
          </w:p>
          <w:p w14:paraId="1267DC98" w14:textId="77777777" w:rsidR="005C5CF4" w:rsidRPr="00FD292C" w:rsidRDefault="005C5CF4" w:rsidP="00B2772D">
            <w:pPr>
              <w:spacing w:before="60" w:after="60" w:line="240" w:lineRule="auto"/>
              <w:ind w:right="-11"/>
              <w:rPr>
                <w:rFonts w:ascii="Arial" w:eastAsia="Calibri" w:hAnsi="Arial" w:cs="Arial"/>
                <w:sz w:val="16"/>
                <w:szCs w:val="16"/>
              </w:rPr>
            </w:pPr>
            <w:r w:rsidRPr="00FD292C">
              <w:rPr>
                <w:rFonts w:ascii="Arial" w:eastAsia="Calibri" w:hAnsi="Arial" w:cs="Arial"/>
                <w:sz w:val="16"/>
                <w:szCs w:val="16"/>
              </w:rPr>
              <w:t>Progress Australia’s engagement and activities under the Clydebank Declaration, Quad Green Shipping Taskforce and maritime low emission technology initiative with Singapore</w:t>
            </w:r>
            <w:r>
              <w:rPr>
                <w:rFonts w:ascii="Arial" w:eastAsia="Calibri" w:hAnsi="Arial" w:cs="Arial"/>
                <w:sz w:val="16"/>
                <w:szCs w:val="16"/>
              </w:rPr>
              <w:t>.</w:t>
            </w:r>
          </w:p>
          <w:p w14:paraId="4983BC8D" w14:textId="41CE2ECD" w:rsidR="005C5CF4" w:rsidRDefault="005C5CF4" w:rsidP="00B2772D">
            <w:pPr>
              <w:spacing w:before="60" w:after="120" w:line="240" w:lineRule="auto"/>
              <w:rPr>
                <w:rFonts w:ascii="Arial" w:eastAsia="Calibri" w:hAnsi="Arial" w:cs="Arial"/>
                <w:sz w:val="16"/>
                <w:szCs w:val="16"/>
              </w:rPr>
            </w:pPr>
            <w:r w:rsidRPr="00FD292C">
              <w:rPr>
                <w:rFonts w:ascii="Arial" w:eastAsia="Calibri" w:hAnsi="Arial" w:cs="Arial"/>
                <w:sz w:val="16"/>
                <w:szCs w:val="16"/>
              </w:rPr>
              <w:t>Updates to the Green Vehicle Guide to improve information on electric vehicles and charging infrastructure</w:t>
            </w:r>
            <w:r>
              <w:rPr>
                <w:rFonts w:ascii="Arial" w:eastAsia="Calibri" w:hAnsi="Arial" w:cs="Arial"/>
                <w:sz w:val="16"/>
                <w:szCs w:val="16"/>
              </w:rPr>
              <w:t>.</w:t>
            </w:r>
          </w:p>
          <w:p w14:paraId="06AB7D33" w14:textId="4254C7DA" w:rsidR="005C5CF4" w:rsidRPr="00FD292C" w:rsidRDefault="005C5CF4"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Target</w:t>
            </w:r>
            <w:r>
              <w:rPr>
                <w:rFonts w:ascii="Arial" w:eastAsia="Calibri" w:hAnsi="Arial" w:cs="Arial"/>
                <w:sz w:val="16"/>
                <w:szCs w:val="16"/>
              </w:rPr>
              <w:t xml:space="preserve"> expected to be met.</w:t>
            </w:r>
          </w:p>
        </w:tc>
      </w:tr>
      <w:tr w:rsidR="005C5CF4" w:rsidRPr="001B2F81" w14:paraId="1889735D" w14:textId="77777777" w:rsidTr="00D92459">
        <w:trPr>
          <w:cantSplit/>
          <w:trHeight w:val="642"/>
        </w:trPr>
        <w:tc>
          <w:tcPr>
            <w:tcW w:w="885" w:type="pct"/>
            <w:vMerge/>
            <w:tcBorders>
              <w:bottom w:val="single" w:sz="4" w:space="0" w:color="auto"/>
              <w:right w:val="single" w:sz="4" w:space="0" w:color="auto"/>
            </w:tcBorders>
          </w:tcPr>
          <w:p w14:paraId="12DF047C" w14:textId="77777777" w:rsidR="005C5CF4" w:rsidRPr="00FD292C" w:rsidRDefault="005C5CF4" w:rsidP="00FB0D02">
            <w:pPr>
              <w:pStyle w:val="TableTextBase"/>
              <w:rPr>
                <w:sz w:val="16"/>
                <w:szCs w:val="16"/>
              </w:rPr>
            </w:pPr>
          </w:p>
        </w:tc>
        <w:tc>
          <w:tcPr>
            <w:tcW w:w="1818" w:type="pct"/>
            <w:tcBorders>
              <w:top w:val="single" w:sz="4" w:space="0" w:color="auto"/>
              <w:left w:val="single" w:sz="4" w:space="0" w:color="auto"/>
              <w:bottom w:val="single" w:sz="4" w:space="0" w:color="auto"/>
              <w:right w:val="single" w:sz="4" w:space="0" w:color="auto"/>
            </w:tcBorders>
          </w:tcPr>
          <w:p w14:paraId="10BBC5D1" w14:textId="5B82F818" w:rsidR="005C5CF4" w:rsidRPr="00FD292C" w:rsidRDefault="005C5CF4" w:rsidP="00FB0D02">
            <w:pPr>
              <w:pStyle w:val="TableTextBase"/>
              <w:rPr>
                <w:rFonts w:eastAsia="Calibri" w:cs="Arial"/>
                <w:sz w:val="16"/>
                <w:szCs w:val="16"/>
                <w:vertAlign w:val="superscript"/>
              </w:rPr>
            </w:pPr>
            <w:r w:rsidRPr="00373ADD">
              <w:rPr>
                <w:rFonts w:eastAsia="Calibri" w:cs="Arial"/>
                <w:sz w:val="16"/>
                <w:szCs w:val="16"/>
              </w:rPr>
              <w:t>Provide policy advice supporting maritime safety</w:t>
            </w:r>
          </w:p>
        </w:tc>
        <w:tc>
          <w:tcPr>
            <w:tcW w:w="2297" w:type="pct"/>
            <w:tcBorders>
              <w:top w:val="single" w:sz="4" w:space="0" w:color="auto"/>
              <w:left w:val="single" w:sz="4" w:space="0" w:color="auto"/>
              <w:bottom w:val="single" w:sz="4" w:space="0" w:color="auto"/>
            </w:tcBorders>
          </w:tcPr>
          <w:p w14:paraId="181517C5" w14:textId="35658FD1" w:rsidR="005C5CF4" w:rsidRDefault="005C5CF4" w:rsidP="00B2772D">
            <w:pPr>
              <w:spacing w:before="60" w:after="120" w:line="240" w:lineRule="auto"/>
              <w:rPr>
                <w:rFonts w:ascii="Arial" w:eastAsia="Calibri" w:hAnsi="Arial" w:cs="Arial"/>
                <w:sz w:val="16"/>
                <w:szCs w:val="16"/>
              </w:rPr>
            </w:pPr>
            <w:r>
              <w:rPr>
                <w:rFonts w:ascii="Arial" w:eastAsia="Calibri" w:hAnsi="Arial" w:cs="Arial"/>
                <w:sz w:val="16"/>
                <w:szCs w:val="16"/>
              </w:rPr>
              <w:t xml:space="preserve">Target: </w:t>
            </w:r>
            <w:r w:rsidRPr="00FD292C">
              <w:rPr>
                <w:rFonts w:ascii="Arial" w:eastAsia="Calibri" w:hAnsi="Arial" w:cs="Arial"/>
                <w:sz w:val="16"/>
                <w:szCs w:val="16"/>
              </w:rPr>
              <w:t>Policy advice is high-quality, timely and evidence-based to support decision making on the Review of Domestic Commercial Vessels Safety Legislation and Costs and Charging Arrangements.</w:t>
            </w:r>
          </w:p>
          <w:p w14:paraId="437FCA87" w14:textId="5D441637" w:rsidR="005C5CF4" w:rsidRPr="00FD292C" w:rsidRDefault="005C5CF4"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Target</w:t>
            </w:r>
            <w:r>
              <w:rPr>
                <w:rFonts w:ascii="Arial" w:eastAsia="Calibri" w:hAnsi="Arial" w:cs="Arial"/>
                <w:sz w:val="16"/>
                <w:szCs w:val="16"/>
              </w:rPr>
              <w:t xml:space="preserve"> expected to be met.</w:t>
            </w:r>
          </w:p>
        </w:tc>
      </w:tr>
    </w:tbl>
    <w:p w14:paraId="3D15B7E2" w14:textId="77777777" w:rsidR="00B2772D" w:rsidRDefault="00B2772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761"/>
        <w:gridCol w:w="3594"/>
      </w:tblGrid>
      <w:tr w:rsidR="00115843" w:rsidRPr="00160C23" w14:paraId="68DEF0AA" w14:textId="77777777" w:rsidTr="00B2772D">
        <w:trPr>
          <w:trHeight w:val="258"/>
        </w:trPr>
        <w:tc>
          <w:tcPr>
            <w:tcW w:w="873" w:type="pct"/>
            <w:tcBorders>
              <w:top w:val="double" w:sz="4" w:space="0" w:color="auto"/>
              <w:bottom w:val="single" w:sz="4" w:space="0" w:color="auto"/>
              <w:right w:val="single" w:sz="4" w:space="0" w:color="auto"/>
            </w:tcBorders>
          </w:tcPr>
          <w:p w14:paraId="0DC2E8CE" w14:textId="02060C62" w:rsidR="00115843" w:rsidRPr="00707BCF" w:rsidRDefault="00115843" w:rsidP="00FB0D02">
            <w:pPr>
              <w:pStyle w:val="TableTextBase"/>
              <w:rPr>
                <w:b/>
                <w:sz w:val="16"/>
                <w:szCs w:val="16"/>
              </w:rPr>
            </w:pPr>
            <w:r w:rsidRPr="00707BCF">
              <w:rPr>
                <w:b/>
                <w:sz w:val="16"/>
                <w:szCs w:val="16"/>
              </w:rPr>
              <w:lastRenderedPageBreak/>
              <w:t>Year</w:t>
            </w:r>
          </w:p>
        </w:tc>
        <w:tc>
          <w:tcPr>
            <w:tcW w:w="1793" w:type="pct"/>
            <w:tcBorders>
              <w:top w:val="double" w:sz="4" w:space="0" w:color="auto"/>
              <w:left w:val="single" w:sz="4" w:space="0" w:color="auto"/>
              <w:bottom w:val="single" w:sz="4" w:space="0" w:color="auto"/>
              <w:right w:val="single" w:sz="4" w:space="0" w:color="auto"/>
            </w:tcBorders>
          </w:tcPr>
          <w:p w14:paraId="0969F0F2" w14:textId="77777777" w:rsidR="00115843" w:rsidRPr="00707BCF" w:rsidRDefault="00115843" w:rsidP="00FB0D02">
            <w:pPr>
              <w:pStyle w:val="TableTextBase"/>
              <w:rPr>
                <w:b/>
                <w:sz w:val="16"/>
                <w:szCs w:val="16"/>
              </w:rPr>
            </w:pPr>
            <w:r w:rsidRPr="00707BCF">
              <w:rPr>
                <w:b/>
                <w:sz w:val="16"/>
                <w:szCs w:val="16"/>
              </w:rPr>
              <w:t>Performance measures</w:t>
            </w:r>
          </w:p>
        </w:tc>
        <w:tc>
          <w:tcPr>
            <w:tcW w:w="2334" w:type="pct"/>
            <w:tcBorders>
              <w:top w:val="double" w:sz="4" w:space="0" w:color="auto"/>
              <w:left w:val="single" w:sz="4" w:space="0" w:color="auto"/>
              <w:bottom w:val="single" w:sz="4" w:space="0" w:color="auto"/>
            </w:tcBorders>
          </w:tcPr>
          <w:p w14:paraId="404D19AE" w14:textId="77777777" w:rsidR="00115843" w:rsidRPr="00707BCF" w:rsidRDefault="00115843" w:rsidP="00FB0D02">
            <w:pPr>
              <w:pStyle w:val="TableTextBase"/>
              <w:rPr>
                <w:b/>
                <w:sz w:val="16"/>
                <w:szCs w:val="16"/>
              </w:rPr>
            </w:pPr>
            <w:r w:rsidRPr="00707BCF">
              <w:rPr>
                <w:b/>
                <w:sz w:val="16"/>
                <w:szCs w:val="16"/>
              </w:rPr>
              <w:t>Planned Performance Results</w:t>
            </w:r>
          </w:p>
        </w:tc>
      </w:tr>
      <w:tr w:rsidR="00B2772D" w14:paraId="4E7BC4D2" w14:textId="77777777" w:rsidTr="00B2772D">
        <w:trPr>
          <w:cantSplit/>
          <w:trHeight w:val="1876"/>
        </w:trPr>
        <w:tc>
          <w:tcPr>
            <w:tcW w:w="873" w:type="pct"/>
            <w:vMerge w:val="restart"/>
            <w:tcBorders>
              <w:top w:val="nil"/>
              <w:left w:val="single" w:sz="4" w:space="0" w:color="auto"/>
              <w:right w:val="single" w:sz="4" w:space="0" w:color="auto"/>
            </w:tcBorders>
          </w:tcPr>
          <w:p w14:paraId="4BC39C66" w14:textId="23FAF76D" w:rsidR="00B2772D" w:rsidRPr="00FD292C" w:rsidRDefault="00B2772D" w:rsidP="00373ADD">
            <w:pPr>
              <w:pStyle w:val="TableTextBase"/>
              <w:spacing w:before="0" w:after="0"/>
              <w:rPr>
                <w:sz w:val="16"/>
                <w:szCs w:val="16"/>
              </w:rPr>
            </w:pPr>
            <w:r w:rsidRPr="00FD292C">
              <w:rPr>
                <w:sz w:val="16"/>
                <w:szCs w:val="16"/>
              </w:rPr>
              <w:t>Budget year 202</w:t>
            </w:r>
            <w:r>
              <w:rPr>
                <w:sz w:val="16"/>
                <w:szCs w:val="16"/>
              </w:rPr>
              <w:t>3</w:t>
            </w:r>
            <w:r w:rsidRPr="00FD292C">
              <w:rPr>
                <w:sz w:val="16"/>
                <w:szCs w:val="16"/>
              </w:rPr>
              <w:t>–2</w:t>
            </w:r>
            <w:r>
              <w:rPr>
                <w:sz w:val="16"/>
                <w:szCs w:val="16"/>
              </w:rPr>
              <w:t>4</w:t>
            </w:r>
          </w:p>
        </w:tc>
        <w:tc>
          <w:tcPr>
            <w:tcW w:w="1793" w:type="pct"/>
            <w:tcBorders>
              <w:top w:val="single" w:sz="4" w:space="0" w:color="auto"/>
              <w:left w:val="single" w:sz="4" w:space="0" w:color="auto"/>
              <w:bottom w:val="single" w:sz="4" w:space="0" w:color="auto"/>
              <w:right w:val="single" w:sz="4" w:space="0" w:color="auto"/>
            </w:tcBorders>
          </w:tcPr>
          <w:p w14:paraId="29E18F4A" w14:textId="6E35C742" w:rsidR="00B2772D" w:rsidRPr="00B2772D" w:rsidRDefault="00B2772D" w:rsidP="00B2772D">
            <w:pPr>
              <w:pStyle w:val="TableParagraph"/>
              <w:spacing w:before="60" w:after="60" w:line="200" w:lineRule="atLeast"/>
              <w:ind w:right="194"/>
              <w:rPr>
                <w:rFonts w:eastAsia="Calibri" w:cs="Times New Roman"/>
                <w:i/>
                <w:sz w:val="16"/>
                <w:szCs w:val="16"/>
                <w:lang w:bidi="ar-SA"/>
              </w:rPr>
            </w:pPr>
            <w:r w:rsidRPr="00373ADD">
              <w:rPr>
                <w:rFonts w:eastAsia="Calibri" w:cs="Times New Roman"/>
                <w:i/>
                <w:sz w:val="16"/>
                <w:szCs w:val="16"/>
                <w:lang w:bidi="ar-SA"/>
              </w:rPr>
              <w:t>Progress reforms to support rail safety and productivity, including increased rail interoperability</w:t>
            </w:r>
          </w:p>
          <w:p w14:paraId="2A53CB73" w14:textId="465F00CF" w:rsidR="00B2772D" w:rsidRPr="00373ADD" w:rsidRDefault="00B2772D" w:rsidP="00373ADD">
            <w:pPr>
              <w:pStyle w:val="TableTextBase"/>
              <w:rPr>
                <w:rFonts w:eastAsia="Calibri"/>
                <w:i/>
                <w:sz w:val="16"/>
                <w:szCs w:val="16"/>
              </w:rPr>
            </w:pPr>
          </w:p>
        </w:tc>
        <w:tc>
          <w:tcPr>
            <w:tcW w:w="2334" w:type="pct"/>
            <w:tcBorders>
              <w:top w:val="single" w:sz="4" w:space="0" w:color="auto"/>
              <w:left w:val="single" w:sz="4" w:space="0" w:color="auto"/>
              <w:right w:val="single" w:sz="4" w:space="0" w:color="auto"/>
            </w:tcBorders>
          </w:tcPr>
          <w:p w14:paraId="51E14FB7" w14:textId="77777777" w:rsidR="00B61E2F" w:rsidRDefault="00B2772D" w:rsidP="00B2772D">
            <w:pPr>
              <w:spacing w:before="60" w:after="120" w:line="240" w:lineRule="auto"/>
              <w:ind w:right="-11"/>
              <w:rPr>
                <w:rFonts w:ascii="Arial" w:hAnsi="Arial" w:cs="Arial"/>
                <w:i/>
                <w:color w:val="000000" w:themeColor="text1"/>
                <w:sz w:val="16"/>
                <w:szCs w:val="16"/>
              </w:rPr>
            </w:pPr>
            <w:r w:rsidRPr="00383FD5">
              <w:rPr>
                <w:rFonts w:ascii="Arial" w:hAnsi="Arial" w:cs="Arial"/>
                <w:i/>
                <w:color w:val="000000" w:themeColor="text1"/>
                <w:sz w:val="16"/>
                <w:szCs w:val="16"/>
              </w:rPr>
              <w:t xml:space="preserve">Provision of policy advice to the Minister to support improvements to rail productivity and safety via priorities agreed at Infrastructure and Transport Ministers Meetings (ITMM). </w:t>
            </w:r>
          </w:p>
          <w:p w14:paraId="769508B3" w14:textId="52639894" w:rsidR="00B2772D" w:rsidRPr="00B2772D" w:rsidRDefault="00B2772D" w:rsidP="00B2772D">
            <w:pPr>
              <w:spacing w:before="60" w:after="120" w:line="240" w:lineRule="auto"/>
              <w:ind w:right="-11"/>
              <w:rPr>
                <w:rFonts w:ascii="Arial" w:hAnsi="Arial" w:cs="Arial"/>
                <w:i/>
                <w:color w:val="000000" w:themeColor="text1"/>
                <w:sz w:val="16"/>
                <w:szCs w:val="16"/>
              </w:rPr>
            </w:pPr>
            <w:r w:rsidRPr="00383FD5">
              <w:rPr>
                <w:rFonts w:ascii="Arial" w:hAnsi="Arial" w:cs="Arial"/>
                <w:i/>
                <w:color w:val="000000" w:themeColor="text1"/>
                <w:sz w:val="16"/>
                <w:szCs w:val="16"/>
              </w:rPr>
              <w:t>Work with stakeholders to deliver the National Cabinet priority to increase rail interoperability, as outlined through the National Rail Action Plan that is agreed by Infrastructure and Transport Ministers.</w:t>
            </w:r>
          </w:p>
        </w:tc>
      </w:tr>
      <w:tr w:rsidR="006F027A" w14:paraId="273486C2" w14:textId="77777777" w:rsidTr="00D92459">
        <w:trPr>
          <w:cantSplit/>
          <w:trHeight w:val="4544"/>
        </w:trPr>
        <w:tc>
          <w:tcPr>
            <w:tcW w:w="873" w:type="pct"/>
            <w:vMerge/>
            <w:tcBorders>
              <w:left w:val="single" w:sz="4" w:space="0" w:color="auto"/>
              <w:right w:val="single" w:sz="4" w:space="0" w:color="auto"/>
            </w:tcBorders>
          </w:tcPr>
          <w:p w14:paraId="1B4D5CA4" w14:textId="77777777" w:rsidR="006F027A" w:rsidRPr="00FD292C" w:rsidRDefault="006F027A" w:rsidP="00373ADD">
            <w:pPr>
              <w:pStyle w:val="TableTextBase"/>
              <w:spacing w:before="0" w:after="0"/>
              <w:rPr>
                <w:sz w:val="16"/>
                <w:szCs w:val="16"/>
              </w:rPr>
            </w:pPr>
          </w:p>
        </w:tc>
        <w:tc>
          <w:tcPr>
            <w:tcW w:w="1793" w:type="pct"/>
            <w:tcBorders>
              <w:top w:val="single" w:sz="4" w:space="0" w:color="auto"/>
              <w:left w:val="single" w:sz="4" w:space="0" w:color="auto"/>
              <w:right w:val="single" w:sz="4" w:space="0" w:color="auto"/>
            </w:tcBorders>
          </w:tcPr>
          <w:p w14:paraId="01E7CA70" w14:textId="5BC89231" w:rsidR="006F027A" w:rsidRPr="00373ADD" w:rsidRDefault="006F027A" w:rsidP="00373ADD">
            <w:pPr>
              <w:pStyle w:val="TableParagraph"/>
              <w:spacing w:before="60" w:after="60" w:line="200" w:lineRule="atLeast"/>
              <w:ind w:right="194"/>
              <w:rPr>
                <w:rFonts w:eastAsia="Calibri" w:cs="Times New Roman"/>
                <w:i/>
                <w:sz w:val="16"/>
                <w:szCs w:val="16"/>
                <w:lang w:bidi="ar-SA"/>
              </w:rPr>
            </w:pPr>
            <w:r>
              <w:rPr>
                <w:rFonts w:eastAsia="Calibri"/>
                <w:i/>
                <w:sz w:val="16"/>
                <w:szCs w:val="16"/>
              </w:rPr>
              <w:t>Progress towards implementation of heavy vehicle reforms and funding, to improve safety and productivity in the heavy vehicle sector</w:t>
            </w:r>
          </w:p>
        </w:tc>
        <w:tc>
          <w:tcPr>
            <w:tcW w:w="2334" w:type="pct"/>
            <w:tcBorders>
              <w:left w:val="single" w:sz="4" w:space="0" w:color="auto"/>
              <w:right w:val="single" w:sz="4" w:space="0" w:color="auto"/>
            </w:tcBorders>
          </w:tcPr>
          <w:p w14:paraId="55825C37" w14:textId="73B661AB" w:rsidR="006F027A" w:rsidRPr="00383FD5" w:rsidRDefault="006F027A" w:rsidP="00383FD5">
            <w:pPr>
              <w:spacing w:before="60" w:after="120" w:line="240" w:lineRule="auto"/>
              <w:ind w:right="-11"/>
              <w:rPr>
                <w:rFonts w:ascii="Arial" w:hAnsi="Arial" w:cs="Arial"/>
                <w:i/>
                <w:color w:val="000000" w:themeColor="text1"/>
                <w:sz w:val="16"/>
                <w:szCs w:val="16"/>
              </w:rPr>
            </w:pPr>
            <w:r w:rsidRPr="00383FD5">
              <w:rPr>
                <w:rFonts w:ascii="Arial" w:hAnsi="Arial" w:cs="Arial"/>
                <w:i/>
                <w:color w:val="000000" w:themeColor="text1"/>
                <w:sz w:val="16"/>
                <w:szCs w:val="16"/>
              </w:rPr>
              <w:t xml:space="preserve">Provide policy advice to Ministers to support reforms to the heavy vehicle sector that improve safety and drive productivity. Reform priorities have been set by ITMM in relation to the </w:t>
            </w:r>
            <w:r w:rsidRPr="00383FD5">
              <w:rPr>
                <w:rFonts w:ascii="Arial" w:hAnsi="Arial" w:cs="Arial"/>
                <w:i/>
                <w:sz w:val="16"/>
                <w:szCs w:val="16"/>
              </w:rPr>
              <w:t>Heavy Vehicle National Law (</w:t>
            </w:r>
            <w:r w:rsidRPr="00383FD5">
              <w:rPr>
                <w:rFonts w:ascii="Arial" w:hAnsi="Arial" w:cs="Arial"/>
                <w:i/>
                <w:color w:val="000000" w:themeColor="text1"/>
                <w:sz w:val="16"/>
                <w:szCs w:val="16"/>
              </w:rPr>
              <w:t xml:space="preserve">HVNL) and </w:t>
            </w:r>
            <w:r w:rsidRPr="00383FD5">
              <w:rPr>
                <w:rFonts w:ascii="Arial" w:hAnsi="Arial" w:cs="Arial"/>
                <w:i/>
                <w:sz w:val="16"/>
                <w:szCs w:val="16"/>
              </w:rPr>
              <w:t>Heavy Vehicle Road Reform (HVRR)</w:t>
            </w:r>
            <w:r w:rsidRPr="00383FD5">
              <w:rPr>
                <w:rFonts w:ascii="Arial" w:hAnsi="Arial" w:cs="Arial"/>
                <w:i/>
                <w:color w:val="000000" w:themeColor="text1"/>
                <w:sz w:val="16"/>
                <w:szCs w:val="16"/>
              </w:rPr>
              <w:t>. The Chairs support the operation of a HVNL Reform Implementation Steering Committee, established by the Commonwealth at the direction of ITMM. Meeting agenda and progress reporting is informed by input from all states and territories, the Australian Local Government Association (ALGA), the NTC, and the National Heavy Vehicle Regulator (NHVR).</w:t>
            </w:r>
          </w:p>
          <w:p w14:paraId="344DC969" w14:textId="051881A7" w:rsidR="006F027A" w:rsidRPr="00383FD5" w:rsidRDefault="006F027A" w:rsidP="00383FD5">
            <w:pPr>
              <w:spacing w:before="120" w:after="60" w:line="240" w:lineRule="auto"/>
              <w:ind w:right="-11"/>
              <w:rPr>
                <w:rFonts w:ascii="Arial" w:hAnsi="Arial" w:cs="Arial"/>
                <w:i/>
                <w:color w:val="000000" w:themeColor="text1"/>
                <w:sz w:val="16"/>
                <w:szCs w:val="16"/>
              </w:rPr>
            </w:pPr>
            <w:r w:rsidRPr="00383FD5">
              <w:rPr>
                <w:rFonts w:ascii="Arial" w:hAnsi="Arial" w:cs="Arial"/>
                <w:i/>
                <w:color w:val="000000" w:themeColor="text1"/>
                <w:sz w:val="16"/>
                <w:szCs w:val="16"/>
              </w:rPr>
              <w:t>Leading engagement with states and territories on developing the next level of detail on the HVRR proposal. Reforms will be considered by ITMM and its sub-committees in 2023-24. Funding is delivered for relevant programs such as the Heavy Vehicle Safety Initiative, Strategic Local Government Asset Assessment Project and the Regional Australia Level Crossing Safety Program.</w:t>
            </w:r>
          </w:p>
        </w:tc>
      </w:tr>
      <w:tr w:rsidR="00B2772D" w14:paraId="085BE1A3" w14:textId="77777777" w:rsidTr="00B2772D">
        <w:trPr>
          <w:cantSplit/>
          <w:trHeight w:val="1558"/>
        </w:trPr>
        <w:tc>
          <w:tcPr>
            <w:tcW w:w="873" w:type="pct"/>
            <w:vMerge/>
            <w:tcBorders>
              <w:left w:val="single" w:sz="4" w:space="0" w:color="auto"/>
              <w:right w:val="single" w:sz="4" w:space="0" w:color="auto"/>
            </w:tcBorders>
          </w:tcPr>
          <w:p w14:paraId="1A2ECB30" w14:textId="77777777" w:rsidR="00B2772D" w:rsidRPr="00FD292C" w:rsidRDefault="00B2772D" w:rsidP="00FB0D02">
            <w:pPr>
              <w:pStyle w:val="TableTextBase"/>
              <w:spacing w:before="0" w:after="0"/>
              <w:rPr>
                <w:sz w:val="16"/>
                <w:szCs w:val="16"/>
              </w:rPr>
            </w:pPr>
          </w:p>
        </w:tc>
        <w:tc>
          <w:tcPr>
            <w:tcW w:w="1793" w:type="pct"/>
            <w:tcBorders>
              <w:top w:val="single" w:sz="4" w:space="0" w:color="auto"/>
              <w:left w:val="single" w:sz="4" w:space="0" w:color="auto"/>
              <w:bottom w:val="single" w:sz="4" w:space="0" w:color="auto"/>
              <w:right w:val="single" w:sz="4" w:space="0" w:color="auto"/>
            </w:tcBorders>
          </w:tcPr>
          <w:p w14:paraId="79BF50B9" w14:textId="6EC9B608" w:rsidR="00B2772D" w:rsidRPr="00FD292C" w:rsidRDefault="00B2772D" w:rsidP="00373ADD">
            <w:pPr>
              <w:spacing w:before="60" w:after="60" w:line="240" w:lineRule="auto"/>
              <w:contextualSpacing/>
              <w:rPr>
                <w:rFonts w:ascii="Arial" w:eastAsia="Calibri" w:hAnsi="Arial" w:cs="Arial"/>
                <w:sz w:val="16"/>
                <w:szCs w:val="16"/>
              </w:rPr>
            </w:pPr>
            <w:r w:rsidRPr="00373ADD">
              <w:rPr>
                <w:rFonts w:ascii="Arial" w:eastAsia="Calibri" w:hAnsi="Arial" w:cs="Arial"/>
                <w:sz w:val="16"/>
                <w:szCs w:val="16"/>
              </w:rPr>
              <w:t>Progress of reforms to support the safe, legal and nationally consistent introduction and uptake of connected and automated vehicles in Australia</w:t>
            </w:r>
          </w:p>
        </w:tc>
        <w:tc>
          <w:tcPr>
            <w:tcW w:w="2334" w:type="pct"/>
            <w:tcBorders>
              <w:top w:val="single" w:sz="4" w:space="0" w:color="auto"/>
              <w:left w:val="single" w:sz="4" w:space="0" w:color="auto"/>
              <w:bottom w:val="single" w:sz="4" w:space="0" w:color="auto"/>
              <w:right w:val="single" w:sz="4" w:space="0" w:color="auto"/>
            </w:tcBorders>
          </w:tcPr>
          <w:p w14:paraId="3EC5C8EE" w14:textId="28BAC00C" w:rsidR="00B2772D" w:rsidRPr="00373ADD" w:rsidRDefault="00B2772D" w:rsidP="00373ADD">
            <w:pPr>
              <w:spacing w:before="60" w:after="60" w:line="240" w:lineRule="auto"/>
              <w:ind w:right="-11"/>
              <w:rPr>
                <w:rFonts w:ascii="Arial" w:eastAsia="Calibri" w:hAnsi="Arial" w:cs="Arial"/>
                <w:sz w:val="16"/>
                <w:szCs w:val="16"/>
              </w:rPr>
            </w:pPr>
            <w:r w:rsidRPr="00373ADD">
              <w:rPr>
                <w:rFonts w:ascii="Arial" w:eastAsia="Calibri" w:hAnsi="Arial" w:cs="Arial"/>
                <w:sz w:val="16"/>
                <w:szCs w:val="16"/>
              </w:rPr>
              <w:t>The majority of Commonwealth-led actions in the National Land Transport Technology Action Plan (NLTTAP) 2020–23 are completed by the end of 2023 and progress is made towards developing the next iteration of the NLTTAP.</w:t>
            </w:r>
          </w:p>
          <w:p w14:paraId="3B88C0DE" w14:textId="588FBEFF" w:rsidR="00B2772D" w:rsidRPr="00FD292C" w:rsidDel="008E1A6E" w:rsidRDefault="00B2772D" w:rsidP="00373ADD">
            <w:pPr>
              <w:spacing w:before="60" w:after="60" w:line="240" w:lineRule="auto"/>
              <w:ind w:right="-11"/>
              <w:rPr>
                <w:rFonts w:ascii="Arial" w:eastAsia="Calibri" w:hAnsi="Arial" w:cs="Arial"/>
                <w:sz w:val="16"/>
                <w:szCs w:val="16"/>
              </w:rPr>
            </w:pPr>
            <w:r w:rsidRPr="00373ADD">
              <w:rPr>
                <w:rFonts w:ascii="Arial" w:eastAsia="Calibri" w:hAnsi="Arial" w:cs="Arial"/>
                <w:sz w:val="16"/>
                <w:szCs w:val="16"/>
              </w:rPr>
              <w:t>Progress on a national AVSL</w:t>
            </w:r>
            <w:r w:rsidR="00D635B1">
              <w:rPr>
                <w:rFonts w:ascii="Arial" w:eastAsia="Calibri" w:hAnsi="Arial" w:cs="Arial"/>
                <w:sz w:val="16"/>
                <w:szCs w:val="16"/>
              </w:rPr>
              <w:t xml:space="preserve"> </w:t>
            </w:r>
            <w:r w:rsidRPr="00373ADD">
              <w:rPr>
                <w:rFonts w:ascii="Arial" w:eastAsia="Calibri" w:hAnsi="Arial" w:cs="Arial"/>
                <w:sz w:val="16"/>
                <w:szCs w:val="16"/>
              </w:rPr>
              <w:t>and associated in-service framework meets the timeframes set by ITMM.</w:t>
            </w:r>
          </w:p>
        </w:tc>
      </w:tr>
      <w:tr w:rsidR="00B2772D" w14:paraId="465C933F" w14:textId="77777777" w:rsidTr="00B2772D">
        <w:trPr>
          <w:cantSplit/>
          <w:trHeight w:val="642"/>
        </w:trPr>
        <w:tc>
          <w:tcPr>
            <w:tcW w:w="873" w:type="pct"/>
            <w:vMerge/>
            <w:tcBorders>
              <w:left w:val="single" w:sz="4" w:space="0" w:color="auto"/>
              <w:right w:val="single" w:sz="4" w:space="0" w:color="auto"/>
            </w:tcBorders>
          </w:tcPr>
          <w:p w14:paraId="47EBEDA6" w14:textId="77777777" w:rsidR="00B2772D" w:rsidRPr="00FD292C" w:rsidRDefault="00B2772D" w:rsidP="00FB0D02">
            <w:pPr>
              <w:pStyle w:val="TableTextBase"/>
              <w:spacing w:before="0" w:after="0"/>
              <w:rPr>
                <w:sz w:val="16"/>
                <w:szCs w:val="16"/>
              </w:rPr>
            </w:pPr>
          </w:p>
        </w:tc>
        <w:tc>
          <w:tcPr>
            <w:tcW w:w="1793" w:type="pct"/>
            <w:tcBorders>
              <w:top w:val="single" w:sz="4" w:space="0" w:color="auto"/>
              <w:left w:val="single" w:sz="4" w:space="0" w:color="auto"/>
              <w:bottom w:val="single" w:sz="4" w:space="0" w:color="auto"/>
              <w:right w:val="single" w:sz="4" w:space="0" w:color="auto"/>
            </w:tcBorders>
          </w:tcPr>
          <w:p w14:paraId="4108E56D" w14:textId="406F5D53" w:rsidR="00B2772D" w:rsidRPr="00FD292C" w:rsidRDefault="00B2772D" w:rsidP="00FB0D02">
            <w:pPr>
              <w:pStyle w:val="TableTextBase"/>
              <w:spacing w:after="0"/>
              <w:rPr>
                <w:rFonts w:eastAsia="Calibri" w:cs="Arial"/>
                <w:sz w:val="16"/>
                <w:szCs w:val="16"/>
              </w:rPr>
            </w:pPr>
            <w:bookmarkStart w:id="20" w:name="_Hlk114135252"/>
            <w:r w:rsidRPr="00FD292C">
              <w:rPr>
                <w:rFonts w:eastAsia="Calibri" w:cs="Arial"/>
                <w:sz w:val="16"/>
                <w:szCs w:val="16"/>
              </w:rPr>
              <w:t>Progress implementing the National Freight and Supply Chain Strategy for the next 20</w:t>
            </w:r>
            <w:r>
              <w:rPr>
                <w:rFonts w:eastAsia="Calibri" w:cs="Arial"/>
                <w:sz w:val="16"/>
                <w:szCs w:val="16"/>
              </w:rPr>
              <w:t> </w:t>
            </w:r>
            <w:r w:rsidRPr="00FD292C">
              <w:rPr>
                <w:rFonts w:eastAsia="Calibri" w:cs="Arial"/>
                <w:sz w:val="16"/>
                <w:szCs w:val="16"/>
              </w:rPr>
              <w:t>years and beyond to 2040</w:t>
            </w:r>
            <w:bookmarkEnd w:id="20"/>
          </w:p>
        </w:tc>
        <w:tc>
          <w:tcPr>
            <w:tcW w:w="2334" w:type="pct"/>
            <w:tcBorders>
              <w:top w:val="single" w:sz="4" w:space="0" w:color="auto"/>
              <w:left w:val="single" w:sz="4" w:space="0" w:color="auto"/>
              <w:bottom w:val="single" w:sz="4" w:space="0" w:color="auto"/>
              <w:right w:val="single" w:sz="4" w:space="0" w:color="auto"/>
            </w:tcBorders>
          </w:tcPr>
          <w:p w14:paraId="0D566490" w14:textId="51F4D491" w:rsidR="00B2772D" w:rsidRPr="00FD292C" w:rsidRDefault="00B2772D" w:rsidP="00FB0D02">
            <w:pPr>
              <w:spacing w:before="60" w:after="60" w:line="240" w:lineRule="auto"/>
              <w:ind w:right="-11"/>
              <w:rPr>
                <w:rFonts w:ascii="Arial" w:eastAsia="Calibri" w:hAnsi="Arial" w:cs="Arial"/>
                <w:sz w:val="16"/>
                <w:szCs w:val="16"/>
              </w:rPr>
            </w:pPr>
            <w:r w:rsidRPr="007C2DF5">
              <w:rPr>
                <w:rFonts w:ascii="Arial" w:eastAsia="Calibri" w:hAnsi="Arial" w:cs="Arial"/>
                <w:sz w:val="16"/>
                <w:szCs w:val="16"/>
              </w:rPr>
              <w:t>The National Freight and Supply Chain 2022</w:t>
            </w:r>
            <w:r w:rsidR="00D635B1">
              <w:rPr>
                <w:rFonts w:ascii="Arial" w:eastAsia="Calibri" w:hAnsi="Arial" w:cs="Arial"/>
                <w:sz w:val="16"/>
                <w:szCs w:val="16"/>
              </w:rPr>
              <w:noBreakHyphen/>
            </w:r>
            <w:r w:rsidRPr="007C2DF5">
              <w:rPr>
                <w:rFonts w:ascii="Arial" w:eastAsia="Calibri" w:hAnsi="Arial" w:cs="Arial"/>
                <w:sz w:val="16"/>
                <w:szCs w:val="16"/>
              </w:rPr>
              <w:t>23 annual report with information on goals in the Strategy and actions in the National Action Plan is completed and presented to Infrastructure and Transport Ministers by December each year.</w:t>
            </w:r>
          </w:p>
        </w:tc>
      </w:tr>
    </w:tbl>
    <w:p w14:paraId="104A58B4" w14:textId="04E9719D" w:rsidR="00B61E2F" w:rsidRDefault="00B61E2F">
      <w:r>
        <w:br w:type="page"/>
      </w:r>
    </w:p>
    <w:p w14:paraId="0AB856F3" w14:textId="77777777" w:rsidR="00483198" w:rsidRDefault="00483198" w:rsidP="00483198">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761"/>
        <w:gridCol w:w="3594"/>
      </w:tblGrid>
      <w:tr w:rsidR="00B61E2F" w:rsidRPr="00A917A8" w14:paraId="76D299EB" w14:textId="77777777" w:rsidTr="00B61E2F">
        <w:trPr>
          <w:cantSplit/>
          <w:trHeight w:val="316"/>
        </w:trPr>
        <w:tc>
          <w:tcPr>
            <w:tcW w:w="873" w:type="pct"/>
            <w:tcBorders>
              <w:top w:val="double" w:sz="4" w:space="0" w:color="auto"/>
              <w:left w:val="single" w:sz="4" w:space="0" w:color="auto"/>
              <w:right w:val="single" w:sz="4" w:space="0" w:color="auto"/>
            </w:tcBorders>
          </w:tcPr>
          <w:p w14:paraId="73ECB0BD" w14:textId="10A225D3" w:rsidR="00B61E2F" w:rsidRPr="00B61E2F" w:rsidRDefault="00B61E2F" w:rsidP="00B61E2F">
            <w:pPr>
              <w:pStyle w:val="TableTextBase"/>
              <w:rPr>
                <w:b/>
                <w:sz w:val="16"/>
                <w:szCs w:val="16"/>
              </w:rPr>
            </w:pPr>
            <w:r w:rsidRPr="00707BCF">
              <w:rPr>
                <w:b/>
                <w:sz w:val="16"/>
                <w:szCs w:val="16"/>
              </w:rPr>
              <w:t>Year</w:t>
            </w:r>
          </w:p>
        </w:tc>
        <w:tc>
          <w:tcPr>
            <w:tcW w:w="1793" w:type="pct"/>
            <w:tcBorders>
              <w:top w:val="double" w:sz="4" w:space="0" w:color="auto"/>
              <w:left w:val="single" w:sz="4" w:space="0" w:color="auto"/>
              <w:bottom w:val="single" w:sz="4" w:space="0" w:color="auto"/>
              <w:right w:val="single" w:sz="4" w:space="0" w:color="auto"/>
            </w:tcBorders>
          </w:tcPr>
          <w:p w14:paraId="5A454269" w14:textId="3791D869" w:rsidR="00B61E2F" w:rsidRPr="00B61E2F" w:rsidRDefault="00B61E2F" w:rsidP="00B61E2F">
            <w:pPr>
              <w:pStyle w:val="TableTextBase"/>
              <w:rPr>
                <w:b/>
                <w:sz w:val="16"/>
                <w:szCs w:val="16"/>
              </w:rPr>
            </w:pPr>
            <w:r w:rsidRPr="00B61E2F">
              <w:rPr>
                <w:b/>
                <w:sz w:val="16"/>
                <w:szCs w:val="16"/>
              </w:rPr>
              <w:t>Performance measures</w:t>
            </w:r>
          </w:p>
        </w:tc>
        <w:tc>
          <w:tcPr>
            <w:tcW w:w="2334" w:type="pct"/>
            <w:tcBorders>
              <w:top w:val="double" w:sz="4" w:space="0" w:color="auto"/>
              <w:left w:val="single" w:sz="4" w:space="0" w:color="auto"/>
              <w:bottom w:val="single" w:sz="4" w:space="0" w:color="auto"/>
              <w:right w:val="single" w:sz="4" w:space="0" w:color="auto"/>
            </w:tcBorders>
          </w:tcPr>
          <w:p w14:paraId="2E11AACF" w14:textId="7127F5EE" w:rsidR="00B61E2F" w:rsidRPr="00B61E2F" w:rsidRDefault="00B61E2F" w:rsidP="00B61E2F">
            <w:pPr>
              <w:spacing w:before="60" w:after="60" w:line="240" w:lineRule="auto"/>
              <w:ind w:right="-11"/>
              <w:rPr>
                <w:rFonts w:ascii="Arial" w:hAnsi="Arial"/>
                <w:b/>
                <w:sz w:val="16"/>
                <w:szCs w:val="16"/>
              </w:rPr>
            </w:pPr>
            <w:r w:rsidRPr="00B61E2F">
              <w:rPr>
                <w:rFonts w:ascii="Arial" w:hAnsi="Arial"/>
                <w:b/>
                <w:sz w:val="16"/>
                <w:szCs w:val="16"/>
              </w:rPr>
              <w:t>Planned Performance Results</w:t>
            </w:r>
          </w:p>
        </w:tc>
      </w:tr>
      <w:tr w:rsidR="00B61E2F" w:rsidRPr="00A917A8" w14:paraId="73E7B3A1" w14:textId="77777777" w:rsidTr="00D92459">
        <w:trPr>
          <w:cantSplit/>
          <w:trHeight w:val="5972"/>
        </w:trPr>
        <w:tc>
          <w:tcPr>
            <w:tcW w:w="873" w:type="pct"/>
            <w:vMerge w:val="restart"/>
            <w:tcBorders>
              <w:left w:val="single" w:sz="4" w:space="0" w:color="auto"/>
              <w:right w:val="single" w:sz="4" w:space="0" w:color="auto"/>
            </w:tcBorders>
          </w:tcPr>
          <w:p w14:paraId="6889B4CC" w14:textId="197607BA" w:rsidR="00B61E2F" w:rsidRPr="00FD292C" w:rsidRDefault="00B61E2F" w:rsidP="00B61E2F">
            <w:pPr>
              <w:pStyle w:val="TableTextBase"/>
              <w:rPr>
                <w:sz w:val="16"/>
                <w:szCs w:val="16"/>
              </w:rPr>
            </w:pPr>
            <w:r w:rsidRPr="00FD292C">
              <w:rPr>
                <w:sz w:val="16"/>
                <w:szCs w:val="16"/>
              </w:rPr>
              <w:t>Budget year 202</w:t>
            </w:r>
            <w:r>
              <w:rPr>
                <w:sz w:val="16"/>
                <w:szCs w:val="16"/>
              </w:rPr>
              <w:t>3</w:t>
            </w:r>
            <w:r w:rsidRPr="00FD292C">
              <w:rPr>
                <w:sz w:val="16"/>
                <w:szCs w:val="16"/>
              </w:rPr>
              <w:t>–2</w:t>
            </w:r>
            <w:r>
              <w:rPr>
                <w:sz w:val="16"/>
                <w:szCs w:val="16"/>
              </w:rPr>
              <w:t>4</w:t>
            </w:r>
            <w:r w:rsidRPr="00FD292C">
              <w:rPr>
                <w:sz w:val="16"/>
                <w:szCs w:val="16"/>
              </w:rPr>
              <w:t xml:space="preserve"> cont.</w:t>
            </w:r>
          </w:p>
        </w:tc>
        <w:tc>
          <w:tcPr>
            <w:tcW w:w="1793" w:type="pct"/>
            <w:tcBorders>
              <w:top w:val="single" w:sz="4" w:space="0" w:color="auto"/>
              <w:left w:val="single" w:sz="4" w:space="0" w:color="auto"/>
              <w:right w:val="single" w:sz="4" w:space="0" w:color="auto"/>
            </w:tcBorders>
          </w:tcPr>
          <w:p w14:paraId="05E9D8F2" w14:textId="49AB4ECE" w:rsidR="00B61E2F" w:rsidRPr="00FD292C" w:rsidRDefault="00B61E2F" w:rsidP="00B61E2F">
            <w:pPr>
              <w:pStyle w:val="TableTextBase"/>
              <w:spacing w:after="0"/>
              <w:rPr>
                <w:rFonts w:eastAsia="Calibri" w:cs="Arial"/>
                <w:sz w:val="16"/>
                <w:szCs w:val="16"/>
              </w:rPr>
            </w:pPr>
            <w:r w:rsidRPr="007C2DF5">
              <w:rPr>
                <w:rFonts w:eastAsia="Calibri" w:cs="Arial"/>
                <w:sz w:val="16"/>
                <w:szCs w:val="16"/>
              </w:rPr>
              <w:t>Provide policy advice on reducing CO</w:t>
            </w:r>
            <w:r w:rsidRPr="007C2DF5">
              <w:rPr>
                <w:rFonts w:eastAsia="Calibri" w:cs="Arial"/>
                <w:sz w:val="16"/>
                <w:szCs w:val="16"/>
                <w:vertAlign w:val="subscript"/>
              </w:rPr>
              <w:t>2</w:t>
            </w:r>
            <w:r w:rsidRPr="007C2DF5">
              <w:rPr>
                <w:rFonts w:eastAsia="Calibri" w:cs="Arial"/>
                <w:sz w:val="16"/>
                <w:szCs w:val="16"/>
              </w:rPr>
              <w:t xml:space="preserve"> emissions consistent with Government commitments for the transport sector. This includes the development of ministerial briefings, Cabinet submissions and New Policy Proposals</w:t>
            </w:r>
          </w:p>
        </w:tc>
        <w:tc>
          <w:tcPr>
            <w:tcW w:w="2334" w:type="pct"/>
            <w:tcBorders>
              <w:top w:val="single" w:sz="4" w:space="0" w:color="auto"/>
              <w:left w:val="single" w:sz="4" w:space="0" w:color="auto"/>
              <w:right w:val="single" w:sz="4" w:space="0" w:color="auto"/>
            </w:tcBorders>
          </w:tcPr>
          <w:p w14:paraId="7D34CF74" w14:textId="31D64DE3" w:rsidR="00B61E2F" w:rsidRPr="007C2DF5" w:rsidRDefault="00B61E2F" w:rsidP="00D92459">
            <w:pPr>
              <w:spacing w:before="60" w:after="120" w:line="240" w:lineRule="auto"/>
              <w:ind w:right="-11"/>
              <w:rPr>
                <w:rFonts w:ascii="Arial" w:eastAsia="Calibri" w:hAnsi="Arial" w:cs="Arial"/>
                <w:sz w:val="16"/>
                <w:szCs w:val="16"/>
              </w:rPr>
            </w:pPr>
            <w:r w:rsidRPr="007C2DF5">
              <w:rPr>
                <w:rFonts w:ascii="Arial" w:eastAsia="Calibri" w:hAnsi="Arial" w:cs="Arial"/>
                <w:sz w:val="16"/>
                <w:szCs w:val="16"/>
              </w:rPr>
              <w:t xml:space="preserve">Policy advice is high-quality, timely and evidence-based and adapts to the changing environment. The quality of the advice will be measured as part of post implementation reviews, and in relation to the abatement achieved. Timely advice is advice that is received by the Minister such </w:t>
            </w:r>
            <w:r>
              <w:rPr>
                <w:rFonts w:ascii="Arial" w:eastAsia="Calibri" w:hAnsi="Arial" w:cs="Arial"/>
                <w:sz w:val="16"/>
                <w:szCs w:val="16"/>
              </w:rPr>
              <w:t>that they have</w:t>
            </w:r>
            <w:r w:rsidRPr="007C2DF5">
              <w:rPr>
                <w:rFonts w:ascii="Arial" w:eastAsia="Calibri" w:hAnsi="Arial" w:cs="Arial"/>
                <w:sz w:val="16"/>
                <w:szCs w:val="16"/>
              </w:rPr>
              <w:t xml:space="preserve"> has a good amount of time to consider it (typically, this is 10 business days). </w:t>
            </w:r>
          </w:p>
          <w:p w14:paraId="58F279B9" w14:textId="77777777" w:rsidR="00B61E2F" w:rsidRPr="007C2DF5" w:rsidRDefault="00B61E2F" w:rsidP="00D92459">
            <w:pPr>
              <w:spacing w:before="60" w:after="120" w:line="240" w:lineRule="auto"/>
              <w:ind w:right="-11"/>
              <w:rPr>
                <w:rFonts w:ascii="Arial" w:eastAsia="Calibri" w:hAnsi="Arial" w:cs="Arial"/>
                <w:sz w:val="16"/>
                <w:szCs w:val="16"/>
              </w:rPr>
            </w:pPr>
            <w:r w:rsidRPr="007C2DF5">
              <w:rPr>
                <w:rFonts w:ascii="Arial" w:eastAsia="Calibri" w:hAnsi="Arial" w:cs="Arial"/>
                <w:sz w:val="16"/>
                <w:szCs w:val="16"/>
              </w:rPr>
              <w:t xml:space="preserve">Active participation in relevant international forums, including progressing Australia’s engagement and activities under the Clydebank Declaration, Quad Green Shipping Taskforce, Green Shipping Challenge, Zero emissions Shipping Missions, and the maritime low emission technology initiative with Singapore. Development of a Maritime Emissions Reduction National Action Plan. </w:t>
            </w:r>
          </w:p>
          <w:p w14:paraId="6229AD3C" w14:textId="22286571" w:rsidR="00B61E2F" w:rsidRPr="00FD292C" w:rsidRDefault="00B61E2F" w:rsidP="00B61E2F">
            <w:pPr>
              <w:spacing w:before="60" w:after="60" w:line="240" w:lineRule="auto"/>
              <w:ind w:right="-11"/>
              <w:rPr>
                <w:rFonts w:ascii="Arial" w:eastAsia="Calibri" w:hAnsi="Arial" w:cs="Arial"/>
                <w:sz w:val="16"/>
                <w:szCs w:val="16"/>
              </w:rPr>
            </w:pPr>
            <w:r w:rsidRPr="007C2DF5">
              <w:rPr>
                <w:rFonts w:ascii="Arial" w:eastAsia="Calibri" w:hAnsi="Arial" w:cs="Arial"/>
                <w:sz w:val="16"/>
                <w:szCs w:val="16"/>
              </w:rPr>
              <w:t>Updates to the Green Vehicle Guide to improve information on electric vehicles and charging infrastructure. Implementing a light vehicle real world testing framework that provides better information to consumers about emissions from the vehicles that they drive. Following the implementation of Euro VI standard for heavy vehicles in 2022–23, ensuring that standard can be complied with from 1 November 2024. Implementation of the Euro6d standard for light vehicles, and development of an Australian Fuel Efficiency Standard model.</w:t>
            </w:r>
          </w:p>
        </w:tc>
      </w:tr>
      <w:tr w:rsidR="00B61E2F" w:rsidRPr="00A5765A" w:rsidDel="008E1A6E" w14:paraId="5A447029" w14:textId="77777777" w:rsidTr="00B61E2F">
        <w:trPr>
          <w:cantSplit/>
          <w:trHeight w:val="642"/>
        </w:trPr>
        <w:tc>
          <w:tcPr>
            <w:tcW w:w="873" w:type="pct"/>
            <w:vMerge/>
            <w:tcBorders>
              <w:left w:val="single" w:sz="4" w:space="0" w:color="auto"/>
              <w:bottom w:val="single" w:sz="4" w:space="0" w:color="auto"/>
              <w:right w:val="single" w:sz="4" w:space="0" w:color="auto"/>
            </w:tcBorders>
          </w:tcPr>
          <w:p w14:paraId="5C0CD087" w14:textId="77777777" w:rsidR="00B61E2F" w:rsidRPr="00FD292C" w:rsidRDefault="00B61E2F" w:rsidP="00B61E2F">
            <w:pPr>
              <w:pStyle w:val="TableTextBase"/>
              <w:rPr>
                <w:sz w:val="16"/>
                <w:szCs w:val="16"/>
              </w:rPr>
            </w:pPr>
          </w:p>
        </w:tc>
        <w:tc>
          <w:tcPr>
            <w:tcW w:w="1793" w:type="pct"/>
            <w:tcBorders>
              <w:top w:val="single" w:sz="4" w:space="0" w:color="auto"/>
              <w:left w:val="single" w:sz="4" w:space="0" w:color="auto"/>
              <w:bottom w:val="single" w:sz="4" w:space="0" w:color="auto"/>
              <w:right w:val="single" w:sz="4" w:space="0" w:color="auto"/>
            </w:tcBorders>
          </w:tcPr>
          <w:p w14:paraId="72A8A926" w14:textId="5DDFB5B1" w:rsidR="00B61E2F" w:rsidRPr="00FD292C" w:rsidRDefault="00B61E2F" w:rsidP="00B61E2F">
            <w:pPr>
              <w:pStyle w:val="TableTextBase"/>
              <w:rPr>
                <w:rFonts w:eastAsia="Calibri" w:cs="Arial"/>
                <w:sz w:val="16"/>
                <w:szCs w:val="16"/>
              </w:rPr>
            </w:pPr>
            <w:r>
              <w:rPr>
                <w:i/>
                <w:sz w:val="16"/>
                <w:szCs w:val="16"/>
              </w:rPr>
              <w:t>Provide policy advice supporting maritime safety, particularly, monitoring the performance of the Australian Maritime Safety Authority (AMSA) as Australia’s maritime safety regulator. This includes monitoring any issues affecting AMSA’s performance and providing advice to ensure it continues to achieve safety outcomes</w:t>
            </w:r>
          </w:p>
        </w:tc>
        <w:tc>
          <w:tcPr>
            <w:tcW w:w="2334" w:type="pct"/>
            <w:tcBorders>
              <w:top w:val="single" w:sz="4" w:space="0" w:color="auto"/>
              <w:left w:val="single" w:sz="4" w:space="0" w:color="auto"/>
              <w:bottom w:val="single" w:sz="4" w:space="0" w:color="auto"/>
              <w:right w:val="single" w:sz="4" w:space="0" w:color="auto"/>
            </w:tcBorders>
          </w:tcPr>
          <w:p w14:paraId="4B6E1C67" w14:textId="122AF6A2" w:rsidR="00B61E2F" w:rsidRPr="007C2DF5" w:rsidRDefault="00B61E2F" w:rsidP="00B61E2F">
            <w:pPr>
              <w:spacing w:before="60" w:after="60" w:line="240" w:lineRule="auto"/>
              <w:ind w:right="-11"/>
              <w:rPr>
                <w:rFonts w:ascii="Arial" w:eastAsia="Calibri" w:hAnsi="Arial" w:cs="Arial"/>
                <w:sz w:val="16"/>
                <w:szCs w:val="16"/>
              </w:rPr>
            </w:pPr>
            <w:r w:rsidRPr="007C2DF5">
              <w:rPr>
                <w:rFonts w:ascii="Arial" w:hAnsi="Arial"/>
                <w:i/>
                <w:sz w:val="16"/>
                <w:szCs w:val="16"/>
              </w:rPr>
              <w:t>Policy advice is high-quality, timely and evidence-based to support decision making on the Review of Domestic Commercial Vessels Safety Legislation and Costs and Charging Arrangements.</w:t>
            </w:r>
          </w:p>
        </w:tc>
      </w:tr>
      <w:tr w:rsidR="00B61E2F" w14:paraId="33CE6E7F" w14:textId="77777777" w:rsidTr="00B61E2F">
        <w:trPr>
          <w:cantSplit/>
          <w:trHeight w:val="642"/>
        </w:trPr>
        <w:tc>
          <w:tcPr>
            <w:tcW w:w="873" w:type="pct"/>
            <w:tcBorders>
              <w:top w:val="single" w:sz="4" w:space="0" w:color="auto"/>
              <w:left w:val="single" w:sz="4" w:space="0" w:color="auto"/>
              <w:right w:val="single" w:sz="4" w:space="0" w:color="auto"/>
            </w:tcBorders>
          </w:tcPr>
          <w:p w14:paraId="496259B7" w14:textId="77777777" w:rsidR="00B61E2F" w:rsidRDefault="00B61E2F" w:rsidP="00B61E2F">
            <w:pPr>
              <w:pStyle w:val="TableTextBase"/>
              <w:rPr>
                <w:sz w:val="16"/>
                <w:szCs w:val="16"/>
              </w:rPr>
            </w:pPr>
            <w:r>
              <w:rPr>
                <w:sz w:val="16"/>
                <w:szCs w:val="16"/>
              </w:rPr>
              <w:t>Forward Estimates</w:t>
            </w:r>
          </w:p>
          <w:p w14:paraId="490E1D62" w14:textId="6A6F9DF5" w:rsidR="00B61E2F" w:rsidRPr="00FD292C" w:rsidRDefault="00B61E2F" w:rsidP="00B61E2F">
            <w:pPr>
              <w:pStyle w:val="TableTextBase"/>
              <w:rPr>
                <w:sz w:val="16"/>
                <w:szCs w:val="16"/>
              </w:rPr>
            </w:pPr>
            <w:r>
              <w:rPr>
                <w:sz w:val="16"/>
                <w:szCs w:val="16"/>
              </w:rPr>
              <w:t>2024-27</w:t>
            </w:r>
          </w:p>
        </w:tc>
        <w:tc>
          <w:tcPr>
            <w:tcW w:w="1793" w:type="pct"/>
            <w:tcBorders>
              <w:top w:val="single" w:sz="4" w:space="0" w:color="auto"/>
              <w:left w:val="single" w:sz="4" w:space="0" w:color="auto"/>
              <w:bottom w:val="single" w:sz="4" w:space="0" w:color="auto"/>
              <w:right w:val="single" w:sz="4" w:space="0" w:color="auto"/>
            </w:tcBorders>
          </w:tcPr>
          <w:p w14:paraId="75B66156" w14:textId="5EBE2A0C" w:rsidR="00B61E2F" w:rsidRPr="007C2DF5" w:rsidRDefault="00B61E2F" w:rsidP="00B61E2F">
            <w:pPr>
              <w:pStyle w:val="TableTextBase"/>
              <w:rPr>
                <w:rFonts w:eastAsia="Calibri" w:cs="Arial"/>
                <w:i/>
                <w:iCs/>
                <w:sz w:val="16"/>
                <w:szCs w:val="16"/>
                <w:lang w:eastAsia="en-US"/>
              </w:rPr>
            </w:pPr>
            <w:r w:rsidRPr="007C2DF5">
              <w:rPr>
                <w:rFonts w:eastAsia="Calibri" w:cs="Arial"/>
                <w:i/>
                <w:iCs/>
                <w:sz w:val="16"/>
                <w:szCs w:val="16"/>
                <w:lang w:eastAsia="en-US"/>
              </w:rPr>
              <w:t>Progress reforms to support rail safety and productivity, including increased rail interoperability</w:t>
            </w:r>
          </w:p>
          <w:p w14:paraId="3D8A1E51" w14:textId="23B85533" w:rsidR="00B61E2F" w:rsidRPr="00FD292C" w:rsidRDefault="00B61E2F" w:rsidP="00B61E2F">
            <w:pPr>
              <w:pStyle w:val="TableTextBase"/>
              <w:rPr>
                <w:rFonts w:eastAsia="Calibri" w:cs="Arial"/>
                <w:i/>
                <w:sz w:val="16"/>
                <w:szCs w:val="16"/>
                <w:highlight w:val="green"/>
                <w:lang w:eastAsia="en-US"/>
              </w:rPr>
            </w:pPr>
          </w:p>
        </w:tc>
        <w:tc>
          <w:tcPr>
            <w:tcW w:w="2334" w:type="pct"/>
            <w:tcBorders>
              <w:top w:val="single" w:sz="4" w:space="0" w:color="auto"/>
              <w:left w:val="single" w:sz="4" w:space="0" w:color="auto"/>
              <w:bottom w:val="single" w:sz="4" w:space="0" w:color="auto"/>
            </w:tcBorders>
          </w:tcPr>
          <w:p w14:paraId="2A221F3C" w14:textId="77777777" w:rsidR="00B61E2F" w:rsidRPr="007C2DF5" w:rsidRDefault="00B61E2F" w:rsidP="00D92459">
            <w:pPr>
              <w:pStyle w:val="TableTextBase"/>
              <w:spacing w:after="120"/>
              <w:rPr>
                <w:i/>
                <w:sz w:val="16"/>
                <w:szCs w:val="16"/>
                <w:lang w:val="en-US"/>
              </w:rPr>
            </w:pPr>
            <w:r w:rsidRPr="007C2DF5">
              <w:rPr>
                <w:i/>
                <w:sz w:val="16"/>
                <w:szCs w:val="16"/>
                <w:lang w:val="en-US"/>
              </w:rPr>
              <w:t>Provision of policy advice to the Minister to support improvements to rail productivity and safety via priorities agreed at Infrastructure and Transport Ministers Meetings, including (potentially) through agreement to a number of mandatory rail standards.</w:t>
            </w:r>
          </w:p>
          <w:p w14:paraId="630AE3B4" w14:textId="797B5065" w:rsidR="00B61E2F" w:rsidRPr="00B61E2F" w:rsidDel="008E1A6E" w:rsidRDefault="00B61E2F" w:rsidP="00B61E2F">
            <w:pPr>
              <w:pStyle w:val="TableTextBase"/>
              <w:rPr>
                <w:i/>
                <w:sz w:val="16"/>
                <w:szCs w:val="16"/>
                <w:lang w:val="en-US"/>
              </w:rPr>
            </w:pPr>
            <w:r w:rsidRPr="007C2DF5">
              <w:rPr>
                <w:i/>
                <w:sz w:val="16"/>
                <w:szCs w:val="16"/>
                <w:lang w:val="en-US"/>
              </w:rPr>
              <w:t xml:space="preserve">Work with stakeholders to deliver the National Cabinet priority to increase rail interoperability through mechanisms outlined in the Infrastructure-and-Transport -Minister-agreed National Rail Action Plan. </w:t>
            </w:r>
          </w:p>
        </w:tc>
      </w:tr>
    </w:tbl>
    <w:p w14:paraId="2A5CB84B" w14:textId="77777777" w:rsidR="00B61E2F" w:rsidRDefault="00B61E2F">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689"/>
        <w:gridCol w:w="3667"/>
      </w:tblGrid>
      <w:tr w:rsidR="007C2DF5" w14:paraId="04F29978" w14:textId="77777777" w:rsidTr="007C2DF5">
        <w:trPr>
          <w:cantSplit/>
          <w:trHeight w:val="268"/>
        </w:trPr>
        <w:tc>
          <w:tcPr>
            <w:tcW w:w="873" w:type="pct"/>
            <w:tcBorders>
              <w:top w:val="double" w:sz="4" w:space="0" w:color="auto"/>
              <w:left w:val="single" w:sz="4" w:space="0" w:color="auto"/>
              <w:bottom w:val="single" w:sz="4" w:space="0" w:color="auto"/>
              <w:right w:val="single" w:sz="4" w:space="0" w:color="auto"/>
            </w:tcBorders>
          </w:tcPr>
          <w:p w14:paraId="30AA2690" w14:textId="1D0D82B9" w:rsidR="007C2DF5" w:rsidRPr="00FD292C" w:rsidRDefault="007C2DF5" w:rsidP="007C2DF5">
            <w:pPr>
              <w:pStyle w:val="TableTextBase"/>
              <w:rPr>
                <w:sz w:val="16"/>
                <w:szCs w:val="16"/>
              </w:rPr>
            </w:pPr>
            <w:r w:rsidRPr="00707BCF">
              <w:rPr>
                <w:b/>
                <w:sz w:val="16"/>
                <w:szCs w:val="16"/>
              </w:rPr>
              <w:lastRenderedPageBreak/>
              <w:t>Year</w:t>
            </w:r>
          </w:p>
        </w:tc>
        <w:tc>
          <w:tcPr>
            <w:tcW w:w="1746" w:type="pct"/>
            <w:tcBorders>
              <w:top w:val="double" w:sz="4" w:space="0" w:color="auto"/>
              <w:left w:val="single" w:sz="4" w:space="0" w:color="auto"/>
              <w:bottom w:val="single" w:sz="4" w:space="0" w:color="auto"/>
              <w:right w:val="single" w:sz="4" w:space="0" w:color="auto"/>
            </w:tcBorders>
          </w:tcPr>
          <w:p w14:paraId="0A963F9A" w14:textId="26575AAD" w:rsidR="007C2DF5" w:rsidRPr="00FD292C" w:rsidRDefault="007C2DF5" w:rsidP="007C2DF5">
            <w:pPr>
              <w:pStyle w:val="TableTextBase"/>
              <w:rPr>
                <w:rFonts w:eastAsia="Calibri" w:cs="Arial"/>
                <w:i/>
                <w:sz w:val="16"/>
                <w:szCs w:val="16"/>
                <w:lang w:eastAsia="en-US"/>
              </w:rPr>
            </w:pPr>
            <w:r w:rsidRPr="00707BCF">
              <w:rPr>
                <w:rFonts w:cs="Arial"/>
                <w:b/>
                <w:sz w:val="16"/>
                <w:szCs w:val="16"/>
              </w:rPr>
              <w:t>Performance measures</w:t>
            </w:r>
          </w:p>
        </w:tc>
        <w:tc>
          <w:tcPr>
            <w:tcW w:w="2381" w:type="pct"/>
            <w:tcBorders>
              <w:top w:val="double" w:sz="4" w:space="0" w:color="auto"/>
              <w:left w:val="single" w:sz="4" w:space="0" w:color="auto"/>
              <w:bottom w:val="single" w:sz="4" w:space="0" w:color="auto"/>
            </w:tcBorders>
          </w:tcPr>
          <w:p w14:paraId="4112AFE4" w14:textId="003E747F" w:rsidR="007C2DF5" w:rsidRPr="00FD292C" w:rsidRDefault="007C2DF5" w:rsidP="007C2DF5">
            <w:pPr>
              <w:pStyle w:val="TableTextBase"/>
              <w:rPr>
                <w:sz w:val="16"/>
                <w:szCs w:val="16"/>
              </w:rPr>
            </w:pPr>
            <w:r w:rsidRPr="00707BCF">
              <w:rPr>
                <w:b/>
                <w:sz w:val="16"/>
                <w:szCs w:val="16"/>
              </w:rPr>
              <w:t>Planned</w:t>
            </w:r>
            <w:r w:rsidRPr="00707BCF">
              <w:rPr>
                <w:rFonts w:cs="Arial"/>
                <w:b/>
                <w:sz w:val="16"/>
                <w:szCs w:val="16"/>
              </w:rPr>
              <w:t xml:space="preserve"> Performance Results</w:t>
            </w:r>
          </w:p>
        </w:tc>
      </w:tr>
      <w:tr w:rsidR="007C2DF5" w14:paraId="6093D475" w14:textId="77777777" w:rsidTr="007C2DF5">
        <w:trPr>
          <w:cantSplit/>
          <w:trHeight w:val="642"/>
        </w:trPr>
        <w:tc>
          <w:tcPr>
            <w:tcW w:w="873" w:type="pct"/>
            <w:vMerge w:val="restart"/>
            <w:tcBorders>
              <w:left w:val="single" w:sz="4" w:space="0" w:color="auto"/>
              <w:right w:val="single" w:sz="4" w:space="0" w:color="auto"/>
            </w:tcBorders>
          </w:tcPr>
          <w:p w14:paraId="2D93EA23" w14:textId="77777777" w:rsidR="007C2DF5" w:rsidRDefault="007C2DF5" w:rsidP="007C2DF5">
            <w:pPr>
              <w:pStyle w:val="TableTextBase"/>
              <w:rPr>
                <w:sz w:val="16"/>
                <w:szCs w:val="16"/>
              </w:rPr>
            </w:pPr>
            <w:r>
              <w:rPr>
                <w:sz w:val="16"/>
                <w:szCs w:val="16"/>
              </w:rPr>
              <w:t>Forward Estimates</w:t>
            </w:r>
          </w:p>
          <w:p w14:paraId="1171CC84" w14:textId="18594239" w:rsidR="007C2DF5" w:rsidRPr="00FD292C" w:rsidRDefault="007C2DF5" w:rsidP="007C2DF5">
            <w:pPr>
              <w:pStyle w:val="TableTextBase"/>
              <w:rPr>
                <w:sz w:val="16"/>
                <w:szCs w:val="16"/>
              </w:rPr>
            </w:pPr>
            <w:r>
              <w:rPr>
                <w:sz w:val="16"/>
                <w:szCs w:val="16"/>
              </w:rPr>
              <w:t>2024-27 cont.</w:t>
            </w:r>
          </w:p>
        </w:tc>
        <w:tc>
          <w:tcPr>
            <w:tcW w:w="1746" w:type="pct"/>
            <w:tcBorders>
              <w:top w:val="single" w:sz="4" w:space="0" w:color="auto"/>
              <w:left w:val="single" w:sz="4" w:space="0" w:color="auto"/>
              <w:bottom w:val="single" w:sz="4" w:space="0" w:color="auto"/>
              <w:right w:val="single" w:sz="4" w:space="0" w:color="auto"/>
            </w:tcBorders>
          </w:tcPr>
          <w:p w14:paraId="55BF9747" w14:textId="1EBB6EF7" w:rsidR="007C2DF5" w:rsidRPr="00FD292C" w:rsidRDefault="00B61E2F" w:rsidP="00B61E2F">
            <w:pPr>
              <w:pStyle w:val="TableTextBase"/>
              <w:rPr>
                <w:rFonts w:eastAsia="Calibri" w:cs="Arial"/>
                <w:i/>
                <w:sz w:val="16"/>
                <w:szCs w:val="16"/>
                <w:lang w:eastAsia="en-US"/>
              </w:rPr>
            </w:pPr>
            <w:r w:rsidRPr="007C2DF5">
              <w:rPr>
                <w:rFonts w:eastAsia="Calibri" w:cs="Arial"/>
                <w:i/>
                <w:iCs/>
                <w:sz w:val="16"/>
                <w:szCs w:val="16"/>
                <w:lang w:eastAsia="en-US"/>
              </w:rPr>
              <w:t>Progress towards implementation of heavy vehicle reforms, relating to the HVNL and HVRR proposal, to improve safety and productivity in the heavy vehicle sector</w:t>
            </w:r>
          </w:p>
        </w:tc>
        <w:tc>
          <w:tcPr>
            <w:tcW w:w="2381" w:type="pct"/>
            <w:tcBorders>
              <w:top w:val="single" w:sz="4" w:space="0" w:color="auto"/>
              <w:left w:val="single" w:sz="4" w:space="0" w:color="auto"/>
              <w:bottom w:val="single" w:sz="4" w:space="0" w:color="auto"/>
            </w:tcBorders>
          </w:tcPr>
          <w:p w14:paraId="512F1F80" w14:textId="77777777" w:rsidR="007C2DF5" w:rsidRPr="007C2DF5" w:rsidRDefault="007C2DF5" w:rsidP="00B61E2F">
            <w:pPr>
              <w:pStyle w:val="TableTextBase"/>
              <w:spacing w:after="120"/>
              <w:rPr>
                <w:i/>
                <w:sz w:val="16"/>
                <w:szCs w:val="16"/>
                <w:lang w:val="en-US"/>
              </w:rPr>
            </w:pPr>
            <w:r w:rsidRPr="007C2DF5">
              <w:rPr>
                <w:i/>
                <w:sz w:val="16"/>
                <w:szCs w:val="16"/>
                <w:lang w:val="en-US"/>
              </w:rPr>
              <w:t xml:space="preserve">Implement the package of HVNL non-legislative reforms (being led by various agencies and coordinated by the Commonwealth). </w:t>
            </w:r>
          </w:p>
          <w:p w14:paraId="00F425C0" w14:textId="396BE77F" w:rsidR="007C2DF5" w:rsidRDefault="007C2DF5" w:rsidP="00B61E2F">
            <w:pPr>
              <w:pStyle w:val="TableTextBase"/>
              <w:spacing w:after="120"/>
              <w:ind w:left="-28"/>
              <w:rPr>
                <w:i/>
                <w:sz w:val="16"/>
                <w:szCs w:val="16"/>
                <w:lang w:val="en-US"/>
              </w:rPr>
            </w:pPr>
            <w:r w:rsidRPr="007C2DF5">
              <w:rPr>
                <w:i/>
                <w:sz w:val="16"/>
                <w:szCs w:val="16"/>
                <w:lang w:val="en-US"/>
              </w:rPr>
              <w:t xml:space="preserve">Consider next gateway decisions under ITMM’s HVRR Pathway (supply side reforms), </w:t>
            </w:r>
            <w:r w:rsidR="00CF07FB">
              <w:rPr>
                <w:i/>
                <w:sz w:val="16"/>
                <w:szCs w:val="16"/>
                <w:lang w:val="en-US"/>
              </w:rPr>
              <w:t>to reform the</w:t>
            </w:r>
            <w:r w:rsidRPr="007C2DF5">
              <w:rPr>
                <w:i/>
                <w:sz w:val="16"/>
                <w:szCs w:val="16"/>
                <w:lang w:val="en-US"/>
              </w:rPr>
              <w:t xml:space="preserve"> system for setting and investing heavy vehicle charges. </w:t>
            </w:r>
          </w:p>
          <w:p w14:paraId="321B68E5" w14:textId="7EC5BDF4" w:rsidR="007C2DF5" w:rsidRPr="007C2DF5" w:rsidDel="008E1A6E" w:rsidRDefault="007C2DF5" w:rsidP="00B61E2F">
            <w:pPr>
              <w:pStyle w:val="TableTextBase"/>
              <w:spacing w:after="120"/>
              <w:ind w:left="-28"/>
              <w:rPr>
                <w:i/>
                <w:sz w:val="16"/>
                <w:szCs w:val="16"/>
                <w:lang w:val="en-US"/>
              </w:rPr>
            </w:pPr>
            <w:r w:rsidRPr="007C2DF5">
              <w:rPr>
                <w:i/>
                <w:sz w:val="16"/>
                <w:szCs w:val="16"/>
              </w:rPr>
              <w:t>Funding is delivered for relevant programs such as the Heavy Vehicle Safety Initiative, Strategic Local Government Asset Assessment Project and the Regional Australia Level Crossing Safety Program, which aim to improve effectiveness of the heavy vehicle and rail industry policies from a national perspective</w:t>
            </w:r>
            <w:r w:rsidR="00B61E2F">
              <w:rPr>
                <w:i/>
                <w:sz w:val="16"/>
                <w:szCs w:val="16"/>
              </w:rPr>
              <w:t>.</w:t>
            </w:r>
          </w:p>
        </w:tc>
      </w:tr>
      <w:tr w:rsidR="007C2DF5" w14:paraId="13418731" w14:textId="77777777" w:rsidTr="007C2DF5">
        <w:trPr>
          <w:cantSplit/>
          <w:trHeight w:val="642"/>
        </w:trPr>
        <w:tc>
          <w:tcPr>
            <w:tcW w:w="873" w:type="pct"/>
            <w:vMerge/>
            <w:tcBorders>
              <w:left w:val="single" w:sz="4" w:space="0" w:color="auto"/>
              <w:right w:val="single" w:sz="4" w:space="0" w:color="auto"/>
            </w:tcBorders>
          </w:tcPr>
          <w:p w14:paraId="00E1CD9C" w14:textId="77777777" w:rsidR="007C2DF5" w:rsidRDefault="007C2DF5" w:rsidP="007C2DF5">
            <w:pPr>
              <w:pStyle w:val="TableTextBase"/>
              <w:rPr>
                <w:sz w:val="16"/>
                <w:szCs w:val="16"/>
              </w:rPr>
            </w:pPr>
          </w:p>
        </w:tc>
        <w:tc>
          <w:tcPr>
            <w:tcW w:w="1746" w:type="pct"/>
            <w:tcBorders>
              <w:top w:val="single" w:sz="4" w:space="0" w:color="auto"/>
              <w:left w:val="single" w:sz="4" w:space="0" w:color="auto"/>
              <w:bottom w:val="single" w:sz="4" w:space="0" w:color="auto"/>
              <w:right w:val="single" w:sz="4" w:space="0" w:color="auto"/>
            </w:tcBorders>
          </w:tcPr>
          <w:p w14:paraId="7199940A" w14:textId="54D8975A" w:rsidR="007C2DF5" w:rsidRPr="00FD292C" w:rsidRDefault="007C2DF5" w:rsidP="007C2DF5">
            <w:pPr>
              <w:pStyle w:val="TableTextBase"/>
              <w:rPr>
                <w:rFonts w:eastAsia="Calibri" w:cs="Arial"/>
                <w:i/>
                <w:sz w:val="16"/>
                <w:szCs w:val="16"/>
                <w:lang w:eastAsia="en-US"/>
              </w:rPr>
            </w:pPr>
            <w:r>
              <w:rPr>
                <w:rFonts w:eastAsia="Calibri"/>
                <w:sz w:val="16"/>
                <w:szCs w:val="16"/>
              </w:rPr>
              <w:t>Progress of reforms to support the safe, legal and nationally consistent introduction and uptake of connected and automated vehicles in Australia</w:t>
            </w:r>
          </w:p>
        </w:tc>
        <w:tc>
          <w:tcPr>
            <w:tcW w:w="2381" w:type="pct"/>
            <w:tcBorders>
              <w:top w:val="single" w:sz="4" w:space="0" w:color="auto"/>
              <w:left w:val="single" w:sz="4" w:space="0" w:color="auto"/>
              <w:bottom w:val="single" w:sz="4" w:space="0" w:color="auto"/>
            </w:tcBorders>
          </w:tcPr>
          <w:p w14:paraId="2BD13095" w14:textId="3C3FB696" w:rsidR="007C2DF5" w:rsidRPr="007C2DF5" w:rsidRDefault="007C2DF5" w:rsidP="007C2DF5">
            <w:pPr>
              <w:pStyle w:val="TableTextBase"/>
              <w:rPr>
                <w:i/>
                <w:sz w:val="16"/>
                <w:szCs w:val="16"/>
                <w:lang w:val="en-US"/>
              </w:rPr>
            </w:pPr>
            <w:r>
              <w:rPr>
                <w:rFonts w:eastAsia="Calibri"/>
                <w:sz w:val="16"/>
                <w:szCs w:val="16"/>
              </w:rPr>
              <w:t>Progress on the Commonwealth’s elements of the national automated vehicle regulatory framework meets the timeframes set by the ITMM.</w:t>
            </w:r>
          </w:p>
        </w:tc>
      </w:tr>
      <w:tr w:rsidR="007C2DF5" w14:paraId="60BF1AFB" w14:textId="77777777" w:rsidTr="007C2DF5">
        <w:trPr>
          <w:cantSplit/>
          <w:trHeight w:val="642"/>
        </w:trPr>
        <w:tc>
          <w:tcPr>
            <w:tcW w:w="873" w:type="pct"/>
            <w:vMerge/>
            <w:tcBorders>
              <w:left w:val="single" w:sz="4" w:space="0" w:color="auto"/>
              <w:right w:val="single" w:sz="4" w:space="0" w:color="auto"/>
            </w:tcBorders>
          </w:tcPr>
          <w:p w14:paraId="35C117B8" w14:textId="77777777" w:rsidR="007C2DF5" w:rsidRDefault="007C2DF5" w:rsidP="007C2DF5">
            <w:pPr>
              <w:pStyle w:val="TableTextBase"/>
              <w:rPr>
                <w:sz w:val="16"/>
                <w:szCs w:val="16"/>
              </w:rPr>
            </w:pPr>
          </w:p>
        </w:tc>
        <w:tc>
          <w:tcPr>
            <w:tcW w:w="1746" w:type="pct"/>
            <w:tcBorders>
              <w:top w:val="single" w:sz="4" w:space="0" w:color="auto"/>
              <w:left w:val="single" w:sz="4" w:space="0" w:color="auto"/>
              <w:bottom w:val="single" w:sz="4" w:space="0" w:color="auto"/>
              <w:right w:val="single" w:sz="4" w:space="0" w:color="auto"/>
            </w:tcBorders>
          </w:tcPr>
          <w:p w14:paraId="4BB7AD28" w14:textId="35CA776C" w:rsidR="007C2DF5" w:rsidRPr="00FD292C" w:rsidRDefault="007C2DF5" w:rsidP="007C2DF5">
            <w:pPr>
              <w:pStyle w:val="TableTextBase"/>
              <w:rPr>
                <w:rFonts w:eastAsia="Calibri" w:cs="Arial"/>
                <w:i/>
                <w:sz w:val="16"/>
                <w:szCs w:val="16"/>
                <w:lang w:eastAsia="en-US"/>
              </w:rPr>
            </w:pPr>
            <w:r>
              <w:rPr>
                <w:rFonts w:eastAsia="Calibri"/>
                <w:sz w:val="16"/>
                <w:szCs w:val="16"/>
              </w:rPr>
              <w:t>Progress implementing the National Freight and Supply Chain Strategy to 2040 and beyond</w:t>
            </w:r>
          </w:p>
        </w:tc>
        <w:tc>
          <w:tcPr>
            <w:tcW w:w="2381" w:type="pct"/>
            <w:tcBorders>
              <w:top w:val="single" w:sz="4" w:space="0" w:color="auto"/>
              <w:left w:val="single" w:sz="4" w:space="0" w:color="auto"/>
              <w:bottom w:val="single" w:sz="4" w:space="0" w:color="auto"/>
            </w:tcBorders>
          </w:tcPr>
          <w:p w14:paraId="607AC407" w14:textId="3C55E4E7" w:rsidR="007C2DF5" w:rsidRPr="007C2DF5" w:rsidRDefault="007C2DF5" w:rsidP="007C2DF5">
            <w:pPr>
              <w:pStyle w:val="TableTextBase"/>
              <w:rPr>
                <w:i/>
                <w:sz w:val="16"/>
                <w:szCs w:val="16"/>
                <w:lang w:val="en-US"/>
              </w:rPr>
            </w:pPr>
            <w:r>
              <w:rPr>
                <w:rFonts w:eastAsia="Calibri"/>
                <w:sz w:val="16"/>
                <w:szCs w:val="16"/>
              </w:rPr>
              <w:t>Annual progress reports are prepared.</w:t>
            </w:r>
          </w:p>
        </w:tc>
      </w:tr>
      <w:tr w:rsidR="007C2DF5" w14:paraId="5B1CCD38" w14:textId="77777777" w:rsidTr="007C2DF5">
        <w:trPr>
          <w:cantSplit/>
          <w:trHeight w:val="642"/>
        </w:trPr>
        <w:tc>
          <w:tcPr>
            <w:tcW w:w="873" w:type="pct"/>
            <w:vMerge/>
            <w:tcBorders>
              <w:left w:val="single" w:sz="4" w:space="0" w:color="auto"/>
              <w:right w:val="single" w:sz="4" w:space="0" w:color="auto"/>
            </w:tcBorders>
          </w:tcPr>
          <w:p w14:paraId="34EAE99D" w14:textId="77777777" w:rsidR="007C2DF5" w:rsidRDefault="007C2DF5" w:rsidP="007C2DF5">
            <w:pPr>
              <w:pStyle w:val="TableTextBase"/>
              <w:rPr>
                <w:sz w:val="16"/>
                <w:szCs w:val="16"/>
              </w:rPr>
            </w:pPr>
          </w:p>
        </w:tc>
        <w:tc>
          <w:tcPr>
            <w:tcW w:w="1746" w:type="pct"/>
            <w:tcBorders>
              <w:top w:val="single" w:sz="4" w:space="0" w:color="auto"/>
              <w:left w:val="single" w:sz="4" w:space="0" w:color="auto"/>
              <w:bottom w:val="single" w:sz="4" w:space="0" w:color="auto"/>
              <w:right w:val="single" w:sz="4" w:space="0" w:color="auto"/>
            </w:tcBorders>
          </w:tcPr>
          <w:p w14:paraId="33110BB8" w14:textId="3081EEEE" w:rsidR="007C2DF5" w:rsidRDefault="007C2DF5" w:rsidP="007C2DF5">
            <w:pPr>
              <w:pStyle w:val="TableTextBase"/>
              <w:rPr>
                <w:rFonts w:eastAsia="Calibri"/>
                <w:sz w:val="16"/>
                <w:szCs w:val="16"/>
              </w:rPr>
            </w:pPr>
            <w:r>
              <w:rPr>
                <w:sz w:val="16"/>
                <w:szCs w:val="16"/>
              </w:rPr>
              <w:t>Provide policy advice on reducing CO</w:t>
            </w:r>
            <w:r>
              <w:rPr>
                <w:sz w:val="16"/>
                <w:szCs w:val="16"/>
                <w:vertAlign w:val="subscript"/>
              </w:rPr>
              <w:t>2</w:t>
            </w:r>
            <w:r>
              <w:rPr>
                <w:sz w:val="16"/>
                <w:szCs w:val="16"/>
              </w:rPr>
              <w:t xml:space="preserve"> emissions consistent with Government commitments for the transport sector. This includes the development of ministerial briefings, Cabinet submissions and New Policy Proposals</w:t>
            </w:r>
          </w:p>
        </w:tc>
        <w:tc>
          <w:tcPr>
            <w:tcW w:w="2381" w:type="pct"/>
            <w:tcBorders>
              <w:top w:val="single" w:sz="4" w:space="0" w:color="auto"/>
              <w:left w:val="single" w:sz="4" w:space="0" w:color="auto"/>
              <w:bottom w:val="single" w:sz="4" w:space="0" w:color="auto"/>
            </w:tcBorders>
          </w:tcPr>
          <w:p w14:paraId="4B19F3AB" w14:textId="57541C37" w:rsidR="007C2DF5" w:rsidRDefault="007C2DF5" w:rsidP="00D92459">
            <w:pPr>
              <w:pStyle w:val="TableParagraph"/>
              <w:spacing w:before="60" w:after="120"/>
              <w:ind w:right="193"/>
              <w:rPr>
                <w:sz w:val="16"/>
                <w:szCs w:val="16"/>
              </w:rPr>
            </w:pPr>
            <w:r>
              <w:rPr>
                <w:sz w:val="16"/>
                <w:szCs w:val="16"/>
              </w:rPr>
              <w:t xml:space="preserve">Implement a Net Zero Unit within the </w:t>
            </w:r>
            <w:r w:rsidR="00E17F15">
              <w:rPr>
                <w:sz w:val="16"/>
                <w:szCs w:val="16"/>
              </w:rPr>
              <w:t>Department</w:t>
            </w:r>
            <w:r>
              <w:rPr>
                <w:sz w:val="16"/>
                <w:szCs w:val="16"/>
              </w:rPr>
              <w:t xml:space="preserve"> to provide Whole-of-Government high quality, timely and evidence-based policy advice on responding to climate change in transport, communications and infrastructure.</w:t>
            </w:r>
          </w:p>
          <w:p w14:paraId="1B66E95A" w14:textId="77777777" w:rsidR="007C2DF5" w:rsidRDefault="007C2DF5" w:rsidP="00D92459">
            <w:pPr>
              <w:pStyle w:val="TableParagraph"/>
              <w:spacing w:before="60" w:after="120"/>
              <w:ind w:right="193"/>
              <w:rPr>
                <w:sz w:val="16"/>
                <w:szCs w:val="16"/>
              </w:rPr>
            </w:pPr>
            <w:r>
              <w:rPr>
                <w:sz w:val="16"/>
                <w:szCs w:val="16"/>
              </w:rPr>
              <w:t xml:space="preserve">Actively participate in relevant international standards setting fora on emissions reduction. Progress Australia’s engagement in international maritime decarbonisation activities and partnerships under relevant initiatives, such as the Clydebank Declaration and Quad Green Shipping Taskforce, supportive by engagement in relevant innovation and technology partnerships. </w:t>
            </w:r>
          </w:p>
          <w:p w14:paraId="2FFB69F6" w14:textId="2D09F954" w:rsidR="007C2DF5" w:rsidRDefault="007C2DF5" w:rsidP="007C2DF5">
            <w:pPr>
              <w:pStyle w:val="TableTextBase"/>
              <w:rPr>
                <w:rFonts w:eastAsia="Calibri"/>
                <w:sz w:val="16"/>
                <w:szCs w:val="16"/>
              </w:rPr>
            </w:pPr>
            <w:r>
              <w:rPr>
                <w:sz w:val="16"/>
                <w:szCs w:val="16"/>
              </w:rPr>
              <w:t>Update the Green Vehicle Guide to improve information on electric vehicles and charging infrastructure. Ongoing work running the light vehicle real world testing framework that continue to provide good information to consumers about emissions from the vehicles that they drive. Ensuring that the Euro6d standard for light vehicles is complied with. Implementation of Australian Fuel Efficiency Standards.</w:t>
            </w:r>
          </w:p>
        </w:tc>
      </w:tr>
    </w:tbl>
    <w:p w14:paraId="5A0E3CD5" w14:textId="70ABDD5E" w:rsidR="007C2DF5" w:rsidRDefault="007C2DF5">
      <w:r>
        <w:br w:type="page"/>
      </w:r>
    </w:p>
    <w:p w14:paraId="0C584AE6" w14:textId="77777777" w:rsidR="00483198" w:rsidRDefault="00483198" w:rsidP="00483198">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689"/>
        <w:gridCol w:w="3667"/>
      </w:tblGrid>
      <w:tr w:rsidR="007C2DF5" w14:paraId="4C1D10DE" w14:textId="77777777" w:rsidTr="007C2DF5">
        <w:trPr>
          <w:cantSplit/>
          <w:trHeight w:val="126"/>
        </w:trPr>
        <w:tc>
          <w:tcPr>
            <w:tcW w:w="873" w:type="pct"/>
            <w:tcBorders>
              <w:top w:val="double" w:sz="4" w:space="0" w:color="auto"/>
              <w:left w:val="single" w:sz="4" w:space="0" w:color="auto"/>
              <w:bottom w:val="single" w:sz="4" w:space="0" w:color="auto"/>
              <w:right w:val="single" w:sz="4" w:space="0" w:color="auto"/>
            </w:tcBorders>
          </w:tcPr>
          <w:p w14:paraId="2337D3AA" w14:textId="31EEF4FD" w:rsidR="007C2DF5" w:rsidRDefault="007C2DF5" w:rsidP="007C2DF5">
            <w:pPr>
              <w:pStyle w:val="TableTextBase"/>
              <w:rPr>
                <w:sz w:val="16"/>
                <w:szCs w:val="16"/>
              </w:rPr>
            </w:pPr>
            <w:r w:rsidRPr="00707BCF">
              <w:rPr>
                <w:b/>
                <w:sz w:val="16"/>
                <w:szCs w:val="16"/>
              </w:rPr>
              <w:t>Year</w:t>
            </w:r>
          </w:p>
        </w:tc>
        <w:tc>
          <w:tcPr>
            <w:tcW w:w="1746" w:type="pct"/>
            <w:tcBorders>
              <w:top w:val="double" w:sz="4" w:space="0" w:color="auto"/>
              <w:left w:val="single" w:sz="4" w:space="0" w:color="auto"/>
              <w:bottom w:val="single" w:sz="4" w:space="0" w:color="auto"/>
              <w:right w:val="single" w:sz="4" w:space="0" w:color="auto"/>
            </w:tcBorders>
          </w:tcPr>
          <w:p w14:paraId="2FBFE6D1" w14:textId="37395E75" w:rsidR="007C2DF5" w:rsidRDefault="007C2DF5" w:rsidP="007C2DF5">
            <w:pPr>
              <w:pStyle w:val="TableTextBase"/>
              <w:rPr>
                <w:i/>
                <w:sz w:val="16"/>
                <w:szCs w:val="16"/>
              </w:rPr>
            </w:pPr>
            <w:r w:rsidRPr="00707BCF">
              <w:rPr>
                <w:rFonts w:cs="Arial"/>
                <w:b/>
                <w:sz w:val="16"/>
                <w:szCs w:val="16"/>
              </w:rPr>
              <w:t>Performance measures</w:t>
            </w:r>
          </w:p>
        </w:tc>
        <w:tc>
          <w:tcPr>
            <w:tcW w:w="2381" w:type="pct"/>
            <w:tcBorders>
              <w:top w:val="double" w:sz="4" w:space="0" w:color="auto"/>
              <w:left w:val="single" w:sz="4" w:space="0" w:color="auto"/>
              <w:bottom w:val="single" w:sz="4" w:space="0" w:color="auto"/>
            </w:tcBorders>
          </w:tcPr>
          <w:p w14:paraId="7006B365" w14:textId="2EE99276" w:rsidR="007C2DF5" w:rsidRDefault="007C2DF5" w:rsidP="007C2DF5">
            <w:pPr>
              <w:pStyle w:val="TableTextBase"/>
              <w:rPr>
                <w:rFonts w:eastAsia="Calibri"/>
                <w:sz w:val="16"/>
                <w:szCs w:val="16"/>
              </w:rPr>
            </w:pPr>
            <w:r w:rsidRPr="00707BCF">
              <w:rPr>
                <w:b/>
                <w:sz w:val="16"/>
                <w:szCs w:val="16"/>
              </w:rPr>
              <w:t>Planned</w:t>
            </w:r>
            <w:r w:rsidRPr="00707BCF">
              <w:rPr>
                <w:rFonts w:cs="Arial"/>
                <w:b/>
                <w:sz w:val="16"/>
                <w:szCs w:val="16"/>
              </w:rPr>
              <w:t xml:space="preserve"> Performance Results</w:t>
            </w:r>
          </w:p>
        </w:tc>
      </w:tr>
      <w:tr w:rsidR="007C2DF5" w14:paraId="138662A9" w14:textId="77777777" w:rsidTr="00FB0D02">
        <w:trPr>
          <w:cantSplit/>
          <w:trHeight w:val="642"/>
        </w:trPr>
        <w:tc>
          <w:tcPr>
            <w:tcW w:w="873" w:type="pct"/>
            <w:tcBorders>
              <w:left w:val="single" w:sz="4" w:space="0" w:color="auto"/>
              <w:bottom w:val="single" w:sz="4" w:space="0" w:color="auto"/>
              <w:right w:val="single" w:sz="4" w:space="0" w:color="auto"/>
            </w:tcBorders>
          </w:tcPr>
          <w:p w14:paraId="4BEED753" w14:textId="77777777" w:rsidR="007C2DF5" w:rsidRDefault="007C2DF5" w:rsidP="007C2DF5">
            <w:pPr>
              <w:pStyle w:val="TableTextBase"/>
              <w:rPr>
                <w:sz w:val="16"/>
                <w:szCs w:val="16"/>
              </w:rPr>
            </w:pPr>
            <w:r>
              <w:rPr>
                <w:sz w:val="16"/>
                <w:szCs w:val="16"/>
              </w:rPr>
              <w:t>Forward Estimates</w:t>
            </w:r>
          </w:p>
          <w:p w14:paraId="3524D924" w14:textId="24C75A0E" w:rsidR="007C2DF5" w:rsidRDefault="007C2DF5" w:rsidP="007C2DF5">
            <w:pPr>
              <w:pStyle w:val="TableTextBase"/>
              <w:rPr>
                <w:sz w:val="16"/>
                <w:szCs w:val="16"/>
              </w:rPr>
            </w:pPr>
            <w:r>
              <w:rPr>
                <w:sz w:val="16"/>
                <w:szCs w:val="16"/>
              </w:rPr>
              <w:t>2024-27 cont.</w:t>
            </w:r>
          </w:p>
        </w:tc>
        <w:tc>
          <w:tcPr>
            <w:tcW w:w="1746" w:type="pct"/>
            <w:tcBorders>
              <w:top w:val="single" w:sz="4" w:space="0" w:color="auto"/>
              <w:left w:val="single" w:sz="4" w:space="0" w:color="auto"/>
              <w:bottom w:val="single" w:sz="4" w:space="0" w:color="auto"/>
              <w:right w:val="single" w:sz="4" w:space="0" w:color="auto"/>
            </w:tcBorders>
          </w:tcPr>
          <w:p w14:paraId="61AAFE7C" w14:textId="0A181823" w:rsidR="007C2DF5" w:rsidRDefault="007C2DF5" w:rsidP="007C2DF5">
            <w:pPr>
              <w:pStyle w:val="TableTextBase"/>
              <w:rPr>
                <w:rFonts w:eastAsia="Calibri"/>
                <w:sz w:val="16"/>
                <w:szCs w:val="16"/>
              </w:rPr>
            </w:pPr>
            <w:r>
              <w:rPr>
                <w:i/>
                <w:sz w:val="16"/>
                <w:szCs w:val="16"/>
              </w:rPr>
              <w:t>Provide policy advice supporting maritime safety, particularly, monitoring the performance of AMSA as Australia’s maritime safety regulator. This includes monitoring any issues affecting AMSA’s performance and providing advice to ensure it continues to achieve safety outcomes</w:t>
            </w:r>
          </w:p>
        </w:tc>
        <w:tc>
          <w:tcPr>
            <w:tcW w:w="2381" w:type="pct"/>
            <w:tcBorders>
              <w:top w:val="single" w:sz="4" w:space="0" w:color="auto"/>
              <w:left w:val="single" w:sz="4" w:space="0" w:color="auto"/>
              <w:bottom w:val="single" w:sz="4" w:space="0" w:color="auto"/>
            </w:tcBorders>
          </w:tcPr>
          <w:p w14:paraId="77F1D507" w14:textId="78FE8474" w:rsidR="007C2DF5" w:rsidRDefault="007C2DF5" w:rsidP="007C2DF5">
            <w:pPr>
              <w:pStyle w:val="TableTextBase"/>
              <w:rPr>
                <w:rFonts w:eastAsia="Calibri"/>
                <w:sz w:val="16"/>
                <w:szCs w:val="16"/>
              </w:rPr>
            </w:pPr>
            <w:r>
              <w:rPr>
                <w:i/>
                <w:sz w:val="16"/>
                <w:szCs w:val="16"/>
              </w:rPr>
              <w:t>Policy advice is high-quality, timely and evidence-based to support decision making on maritime safety matters.</w:t>
            </w:r>
          </w:p>
        </w:tc>
      </w:tr>
    </w:tbl>
    <w:p w14:paraId="224A8058" w14:textId="79B4D300" w:rsidR="00115843" w:rsidRPr="003D46F4" w:rsidRDefault="00115843" w:rsidP="000A3113">
      <w:pPr>
        <w:spacing w:before="60" w:after="0" w:line="240" w:lineRule="auto"/>
        <w:rPr>
          <w:rFonts w:ascii="Arial" w:hAnsi="Arial" w:cs="Arial"/>
          <w:sz w:val="16"/>
        </w:rPr>
      </w:pPr>
      <w:r w:rsidRPr="0016575D">
        <w:rPr>
          <w:rFonts w:ascii="Arial" w:hAnsi="Arial" w:cs="Arial"/>
          <w:sz w:val="16"/>
        </w:rPr>
        <w:t>New or modified performance measures that reflect new or materially changed programs are shown in</w:t>
      </w:r>
      <w:r w:rsidR="007C2DF5">
        <w:rPr>
          <w:rFonts w:ascii="Arial" w:hAnsi="Arial" w:cs="Arial"/>
          <w:sz w:val="16"/>
        </w:rPr>
        <w:t xml:space="preserve"> </w:t>
      </w:r>
      <w:r w:rsidRPr="008D55A3">
        <w:rPr>
          <w:rFonts w:ascii="Arial" w:hAnsi="Arial" w:cs="Arial"/>
          <w:i/>
          <w:sz w:val="16"/>
        </w:rPr>
        <w:t>i</w:t>
      </w:r>
      <w:r w:rsidRPr="0016575D">
        <w:rPr>
          <w:rFonts w:ascii="Arial" w:hAnsi="Arial" w:cs="Arial"/>
          <w:i/>
          <w:sz w:val="16"/>
        </w:rPr>
        <w:t>talics.</w:t>
      </w:r>
      <w:r w:rsidRPr="0016575D">
        <w:rPr>
          <w:rFonts w:ascii="Arial" w:hAnsi="Arial" w:cs="Arial"/>
          <w:sz w:val="16"/>
        </w:rPr>
        <w:t xml:space="preserve"> </w:t>
      </w:r>
    </w:p>
    <w:p w14:paraId="60F093DD" w14:textId="339C50B7" w:rsidR="007C2DF5" w:rsidRDefault="007C2DF5" w:rsidP="00977C28">
      <w:pPr>
        <w:pStyle w:val="ListParagraph"/>
        <w:widowControl w:val="0"/>
        <w:numPr>
          <w:ilvl w:val="0"/>
          <w:numId w:val="150"/>
        </w:numPr>
        <w:autoSpaceDE w:val="0"/>
        <w:autoSpaceDN w:val="0"/>
        <w:spacing w:before="30" w:after="120" w:line="240" w:lineRule="auto"/>
        <w:ind w:left="284" w:hanging="284"/>
        <w:rPr>
          <w:rFonts w:ascii="Arial" w:hAnsi="Arial" w:cs="Arial"/>
        </w:rPr>
      </w:pPr>
      <w:r>
        <w:rPr>
          <w:rFonts w:ascii="Arial" w:hAnsi="Arial" w:cs="Arial"/>
          <w:sz w:val="16"/>
          <w:szCs w:val="16"/>
        </w:rPr>
        <w:t>This measure has been revised for 2023–24.</w:t>
      </w:r>
    </w:p>
    <w:p w14:paraId="439CF821" w14:textId="48BCE75F" w:rsidR="00557DDF" w:rsidRDefault="00557DDF" w:rsidP="00115843">
      <w:pPr>
        <w:spacing w:after="0" w:line="240" w:lineRule="auto"/>
        <w:rPr>
          <w:rFonts w:ascii="Arial" w:hAnsi="Arial" w:cs="Arial"/>
          <w:color w:val="000000"/>
          <w:sz w:val="16"/>
          <w:szCs w:val="16"/>
        </w:rPr>
      </w:pPr>
      <w:r w:rsidRPr="004E26ED">
        <w:rPr>
          <w:rFonts w:ascii="Arial" w:hAnsi="Arial" w:cs="Arial"/>
          <w:color w:val="000000"/>
          <w:sz w:val="16"/>
          <w:szCs w:val="16"/>
        </w:rPr>
        <w:t xml:space="preserve">The </w:t>
      </w:r>
      <w:r w:rsidR="00E17F15">
        <w:rPr>
          <w:rFonts w:ascii="Arial" w:hAnsi="Arial" w:cs="Arial"/>
          <w:color w:val="000000"/>
          <w:sz w:val="16"/>
          <w:szCs w:val="16"/>
        </w:rPr>
        <w:t>Department</w:t>
      </w:r>
      <w:r w:rsidRPr="004E26ED">
        <w:rPr>
          <w:rFonts w:ascii="Arial" w:hAnsi="Arial" w:cs="Arial"/>
          <w:color w:val="000000"/>
          <w:sz w:val="16"/>
          <w:szCs w:val="16"/>
        </w:rPr>
        <w:t xml:space="preserve"> has undertaken a suite of assessment and assurance activities regarding performance measures since </w:t>
      </w:r>
      <w:r w:rsidRPr="00557DDF">
        <w:rPr>
          <w:rFonts w:ascii="Arial" w:hAnsi="Arial" w:cs="Arial"/>
          <w:color w:val="000000"/>
          <w:sz w:val="16"/>
          <w:szCs w:val="16"/>
        </w:rPr>
        <w:t>the 2022</w:t>
      </w:r>
      <w:r w:rsidRPr="00557DDF">
        <w:rPr>
          <w:rFonts w:ascii="Arial" w:hAnsi="Arial" w:cs="Arial"/>
          <w:sz w:val="16"/>
          <w:szCs w:val="16"/>
        </w:rPr>
        <w:t>–</w:t>
      </w:r>
      <w:r w:rsidRPr="00557DDF">
        <w:rPr>
          <w:rFonts w:ascii="Arial" w:hAnsi="Arial" w:cs="Arial"/>
          <w:color w:val="000000"/>
          <w:sz w:val="16"/>
          <w:szCs w:val="16"/>
        </w:rPr>
        <w:t>23 Budget. As a result, a number of measures have been added, removed, or amended in the 2023</w:t>
      </w:r>
      <w:r w:rsidRPr="00557DDF">
        <w:rPr>
          <w:rFonts w:ascii="Arial" w:hAnsi="Arial" w:cs="Arial"/>
          <w:sz w:val="16"/>
          <w:szCs w:val="16"/>
        </w:rPr>
        <w:t>–</w:t>
      </w:r>
      <w:r w:rsidRPr="00557DDF">
        <w:rPr>
          <w:rFonts w:ascii="Arial" w:hAnsi="Arial" w:cs="Arial"/>
          <w:color w:val="000000"/>
          <w:sz w:val="16"/>
          <w:szCs w:val="16"/>
        </w:rPr>
        <w:t>24 Portfolio</w:t>
      </w:r>
      <w:r w:rsidRPr="004E26ED">
        <w:rPr>
          <w:rFonts w:ascii="Arial" w:hAnsi="Arial" w:cs="Arial"/>
          <w:color w:val="000000"/>
          <w:sz w:val="16"/>
          <w:szCs w:val="16"/>
        </w:rPr>
        <w:t xml:space="preserve"> Budget Statements. Further details will be provided in the </w:t>
      </w:r>
      <w:r w:rsidR="0000369A">
        <w:rPr>
          <w:rFonts w:ascii="Arial" w:hAnsi="Arial" w:cs="Arial"/>
          <w:color w:val="000000"/>
          <w:sz w:val="16"/>
          <w:szCs w:val="16"/>
        </w:rPr>
        <w:t>Department’s</w:t>
      </w:r>
      <w:r w:rsidRPr="004E26ED">
        <w:rPr>
          <w:rFonts w:ascii="Arial" w:hAnsi="Arial" w:cs="Arial"/>
          <w:color w:val="000000"/>
          <w:sz w:val="16"/>
          <w:szCs w:val="16"/>
        </w:rPr>
        <w:t xml:space="preserve"> Corporate Plan 2023</w:t>
      </w:r>
      <w:r w:rsidRPr="00557DDF">
        <w:rPr>
          <w:rFonts w:ascii="Arial" w:hAnsi="Arial" w:cs="Arial"/>
          <w:sz w:val="16"/>
          <w:szCs w:val="16"/>
        </w:rPr>
        <w:t>–</w:t>
      </w:r>
      <w:r w:rsidRPr="004E26ED">
        <w:rPr>
          <w:rFonts w:ascii="Arial" w:hAnsi="Arial" w:cs="Arial"/>
          <w:color w:val="000000"/>
          <w:sz w:val="16"/>
          <w:szCs w:val="16"/>
        </w:rPr>
        <w:t>24.  </w:t>
      </w:r>
    </w:p>
    <w:p w14:paraId="1916FC70" w14:textId="35ACDCBC" w:rsidR="00115843" w:rsidRDefault="00115843" w:rsidP="00115843">
      <w:pPr>
        <w:spacing w:after="0" w:line="240" w:lineRule="auto"/>
        <w:rPr>
          <w:rFonts w:ascii="Arial" w:hAnsi="Arial" w:cs="Arial"/>
          <w:sz w:val="16"/>
        </w:rPr>
      </w:pPr>
      <w:r>
        <w:rPr>
          <w:rFonts w:ascii="Arial" w:hAnsi="Arial" w:cs="Arial"/>
          <w:sz w:val="1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2550"/>
        <w:gridCol w:w="3594"/>
      </w:tblGrid>
      <w:tr w:rsidR="00115843" w:rsidRPr="00C71FCE" w14:paraId="73ECB69C" w14:textId="77777777" w:rsidTr="002F3AAF">
        <w:trPr>
          <w:trHeight w:val="522"/>
          <w:tblHeader/>
        </w:trPr>
        <w:tc>
          <w:tcPr>
            <w:tcW w:w="5000" w:type="pct"/>
            <w:gridSpan w:val="3"/>
            <w:tcBorders>
              <w:bottom w:val="single" w:sz="4" w:space="0" w:color="auto"/>
            </w:tcBorders>
            <w:shd w:val="clear" w:color="auto" w:fill="E6E6E6"/>
          </w:tcPr>
          <w:p w14:paraId="21DF1EF2" w14:textId="77777777" w:rsidR="00115843" w:rsidRPr="00C71FCE" w:rsidRDefault="00115843" w:rsidP="00FB0D02">
            <w:pPr>
              <w:spacing w:before="60" w:after="120" w:line="240" w:lineRule="auto"/>
              <w:rPr>
                <w:rFonts w:ascii="Arial" w:eastAsia="Calibri" w:hAnsi="Arial" w:cs="Arial"/>
                <w:sz w:val="18"/>
                <w:szCs w:val="16"/>
                <w:lang w:eastAsia="en-US"/>
              </w:rPr>
            </w:pPr>
            <w:r w:rsidRPr="00C71FCE">
              <w:rPr>
                <w:rFonts w:ascii="Arial" w:eastAsia="Calibri" w:hAnsi="Arial" w:cs="Arial"/>
                <w:b/>
                <w:sz w:val="18"/>
                <w:szCs w:val="16"/>
                <w:lang w:eastAsia="en-US"/>
              </w:rPr>
              <w:lastRenderedPageBreak/>
              <w:t>Program 2.2 – Road Safety</w:t>
            </w:r>
          </w:p>
          <w:p w14:paraId="07B2DD9E" w14:textId="77777777" w:rsidR="00115843" w:rsidRPr="00C71FCE" w:rsidRDefault="00115843" w:rsidP="00FB0D02">
            <w:pPr>
              <w:spacing w:before="60" w:after="60" w:line="240" w:lineRule="auto"/>
              <w:rPr>
                <w:rFonts w:ascii="Arial" w:hAnsi="Arial" w:cs="Arial"/>
                <w:sz w:val="18"/>
                <w:szCs w:val="16"/>
                <w:highlight w:val="yellow"/>
              </w:rPr>
            </w:pPr>
            <w:r w:rsidRPr="00C71FCE">
              <w:rPr>
                <w:rFonts w:ascii="Arial" w:eastAsia="Calibri" w:hAnsi="Arial" w:cs="Arial"/>
                <w:sz w:val="18"/>
                <w:szCs w:val="16"/>
                <w:lang w:eastAsia="en-US"/>
              </w:rPr>
              <w:t>The road safety program makes travel safer through coordinating a national strategic approach to improving road safety and working to make vehicles safer for all road users.</w:t>
            </w:r>
          </w:p>
        </w:tc>
      </w:tr>
      <w:tr w:rsidR="00115843" w:rsidRPr="00927EDB" w14:paraId="0FB32375" w14:textId="77777777" w:rsidTr="00FB0D02">
        <w:trPr>
          <w:trHeight w:val="174"/>
        </w:trPr>
        <w:tc>
          <w:tcPr>
            <w:tcW w:w="1010" w:type="pct"/>
            <w:tcBorders>
              <w:bottom w:val="double" w:sz="4" w:space="0" w:color="auto"/>
            </w:tcBorders>
          </w:tcPr>
          <w:p w14:paraId="5B26720F" w14:textId="77777777" w:rsidR="00115843" w:rsidRPr="0053211D" w:rsidRDefault="00115843" w:rsidP="00FB0D02">
            <w:pPr>
              <w:tabs>
                <w:tab w:val="left" w:pos="709"/>
              </w:tabs>
              <w:spacing w:before="60" w:after="60" w:line="259" w:lineRule="auto"/>
              <w:rPr>
                <w:rFonts w:ascii="Arial" w:eastAsiaTheme="minorHAnsi" w:hAnsi="Arial" w:cs="Arial"/>
                <w:b/>
                <w:sz w:val="16"/>
                <w:szCs w:val="16"/>
                <w:lang w:eastAsia="en-US"/>
              </w:rPr>
            </w:pPr>
            <w:r w:rsidRPr="0053211D">
              <w:rPr>
                <w:rFonts w:ascii="Arial" w:eastAsia="Calibri" w:hAnsi="Arial" w:cs="Arial"/>
                <w:b/>
                <w:sz w:val="16"/>
                <w:szCs w:val="16"/>
                <w:lang w:eastAsia="en-US"/>
              </w:rPr>
              <w:t>Key Activities</w:t>
            </w:r>
          </w:p>
        </w:tc>
        <w:tc>
          <w:tcPr>
            <w:tcW w:w="3990" w:type="pct"/>
            <w:gridSpan w:val="2"/>
            <w:tcBorders>
              <w:bottom w:val="double" w:sz="4" w:space="0" w:color="auto"/>
            </w:tcBorders>
          </w:tcPr>
          <w:p w14:paraId="6CF29F29" w14:textId="52389F07" w:rsidR="00115843" w:rsidRPr="0053211D" w:rsidRDefault="00115843" w:rsidP="00977C28">
            <w:pPr>
              <w:numPr>
                <w:ilvl w:val="0"/>
                <w:numId w:val="9"/>
              </w:numPr>
              <w:spacing w:before="60" w:after="60" w:line="240" w:lineRule="auto"/>
              <w:ind w:left="321"/>
              <w:rPr>
                <w:rFonts w:ascii="Arial" w:eastAsia="Calibri" w:hAnsi="Arial" w:cs="Arial"/>
                <w:sz w:val="16"/>
                <w:szCs w:val="16"/>
                <w:lang w:eastAsia="en-US"/>
              </w:rPr>
            </w:pPr>
            <w:r w:rsidRPr="0053211D">
              <w:rPr>
                <w:rFonts w:ascii="Arial" w:eastAsia="Calibri" w:hAnsi="Arial" w:cs="Arial"/>
                <w:sz w:val="16"/>
                <w:szCs w:val="16"/>
                <w:lang w:eastAsia="en-US"/>
              </w:rPr>
              <w:t>Advise on and deliver better road safet</w:t>
            </w:r>
            <w:r w:rsidR="00376C7E">
              <w:rPr>
                <w:rFonts w:ascii="Arial" w:eastAsia="Calibri" w:hAnsi="Arial" w:cs="Arial"/>
                <w:sz w:val="16"/>
                <w:szCs w:val="16"/>
                <w:lang w:eastAsia="en-US"/>
              </w:rPr>
              <w:t>y</w:t>
            </w:r>
            <w:r w:rsidR="00B61E2F">
              <w:rPr>
                <w:rFonts w:ascii="Arial" w:eastAsia="Calibri" w:hAnsi="Arial" w:cs="Arial"/>
                <w:sz w:val="16"/>
                <w:szCs w:val="16"/>
                <w:lang w:eastAsia="en-US"/>
              </w:rPr>
              <w:t>.</w:t>
            </w:r>
            <w:r w:rsidR="00376C7E" w:rsidRPr="00376C7E">
              <w:rPr>
                <w:rFonts w:ascii="Arial" w:eastAsia="Calibri" w:hAnsi="Arial" w:cs="Arial"/>
                <w:sz w:val="16"/>
                <w:szCs w:val="16"/>
                <w:vertAlign w:val="superscript"/>
                <w:lang w:eastAsia="en-US"/>
              </w:rPr>
              <w:t>(a)</w:t>
            </w:r>
          </w:p>
          <w:p w14:paraId="21D8BE11" w14:textId="41246975" w:rsidR="00115843" w:rsidRPr="006B7933" w:rsidRDefault="00115843" w:rsidP="00977C28">
            <w:pPr>
              <w:numPr>
                <w:ilvl w:val="0"/>
                <w:numId w:val="9"/>
              </w:numPr>
              <w:spacing w:before="60" w:after="60" w:line="240" w:lineRule="auto"/>
              <w:ind w:left="321"/>
              <w:rPr>
                <w:rFonts w:ascii="Arial" w:eastAsia="Calibri" w:hAnsi="Arial" w:cs="Arial"/>
                <w:sz w:val="16"/>
                <w:szCs w:val="16"/>
                <w:lang w:eastAsia="en-US"/>
              </w:rPr>
            </w:pPr>
            <w:r w:rsidRPr="0053211D">
              <w:rPr>
                <w:rFonts w:ascii="Arial" w:eastAsia="Calibri" w:hAnsi="Arial" w:cs="Arial"/>
                <w:sz w:val="16"/>
                <w:szCs w:val="16"/>
                <w:lang w:eastAsia="en-US"/>
              </w:rPr>
              <w:t>Regulate the supply of all road vehicles to the Australian market</w:t>
            </w:r>
            <w:r w:rsidR="00B61E2F">
              <w:rPr>
                <w:rFonts w:ascii="Arial" w:eastAsia="Calibri" w:hAnsi="Arial" w:cs="Arial"/>
                <w:sz w:val="16"/>
                <w:szCs w:val="16"/>
                <w:lang w:eastAsia="en-US"/>
              </w:rPr>
              <w:t>.</w:t>
            </w:r>
          </w:p>
          <w:p w14:paraId="32D0CF72" w14:textId="23914D6D" w:rsidR="006B7933" w:rsidRPr="0053211D" w:rsidRDefault="006B7933" w:rsidP="00977C28">
            <w:pPr>
              <w:numPr>
                <w:ilvl w:val="0"/>
                <w:numId w:val="9"/>
              </w:numPr>
              <w:spacing w:before="60" w:after="60" w:line="240" w:lineRule="auto"/>
              <w:ind w:left="321"/>
              <w:rPr>
                <w:rFonts w:ascii="Arial" w:eastAsia="Calibri" w:hAnsi="Arial" w:cs="Arial"/>
                <w:sz w:val="16"/>
                <w:szCs w:val="16"/>
                <w:lang w:eastAsia="en-US"/>
              </w:rPr>
            </w:pPr>
            <w:r w:rsidRPr="00376C7E">
              <w:rPr>
                <w:rFonts w:ascii="Arial" w:eastAsia="Calibri" w:hAnsi="Arial" w:cs="Arial"/>
                <w:sz w:val="16"/>
                <w:szCs w:val="16"/>
                <w:lang w:eastAsia="en-US"/>
              </w:rPr>
              <w:t>Supporting a safe and accessible transport system.</w:t>
            </w:r>
          </w:p>
        </w:tc>
      </w:tr>
      <w:tr w:rsidR="00115843" w:rsidRPr="005C11A1" w14:paraId="6F08E2AA" w14:textId="77777777" w:rsidTr="00FB0D02">
        <w:trPr>
          <w:trHeight w:val="258"/>
        </w:trPr>
        <w:tc>
          <w:tcPr>
            <w:tcW w:w="1010" w:type="pct"/>
            <w:tcBorders>
              <w:top w:val="double" w:sz="4" w:space="0" w:color="auto"/>
              <w:bottom w:val="single" w:sz="4" w:space="0" w:color="auto"/>
              <w:right w:val="single" w:sz="4" w:space="0" w:color="auto"/>
            </w:tcBorders>
          </w:tcPr>
          <w:p w14:paraId="6663E737" w14:textId="77777777" w:rsidR="00115843" w:rsidRPr="005C11A1" w:rsidRDefault="00115843" w:rsidP="00FB0D02">
            <w:pPr>
              <w:spacing w:before="60" w:after="60" w:line="240" w:lineRule="auto"/>
              <w:rPr>
                <w:rFonts w:ascii="Arial" w:hAnsi="Arial" w:cs="Arial"/>
                <w:b/>
                <w:sz w:val="16"/>
                <w:szCs w:val="16"/>
              </w:rPr>
            </w:pPr>
            <w:r w:rsidRPr="005C11A1">
              <w:rPr>
                <w:rFonts w:ascii="Arial" w:hAnsi="Arial" w:cs="Arial"/>
                <w:b/>
                <w:sz w:val="16"/>
                <w:szCs w:val="16"/>
              </w:rPr>
              <w:t>Year</w:t>
            </w:r>
          </w:p>
        </w:tc>
        <w:tc>
          <w:tcPr>
            <w:tcW w:w="1656" w:type="pct"/>
            <w:tcBorders>
              <w:top w:val="double" w:sz="4" w:space="0" w:color="auto"/>
              <w:left w:val="single" w:sz="4" w:space="0" w:color="auto"/>
              <w:bottom w:val="single" w:sz="4" w:space="0" w:color="auto"/>
              <w:right w:val="single" w:sz="4" w:space="0" w:color="auto"/>
            </w:tcBorders>
          </w:tcPr>
          <w:p w14:paraId="21AA0D29" w14:textId="77777777" w:rsidR="00115843" w:rsidRPr="005C11A1" w:rsidRDefault="00115843" w:rsidP="00FB0D02">
            <w:pPr>
              <w:spacing w:before="60" w:after="60" w:line="240" w:lineRule="auto"/>
              <w:rPr>
                <w:rFonts w:ascii="Arial" w:hAnsi="Arial" w:cs="Arial"/>
                <w:b/>
                <w:sz w:val="16"/>
                <w:szCs w:val="16"/>
              </w:rPr>
            </w:pPr>
            <w:r w:rsidRPr="005C11A1">
              <w:rPr>
                <w:rFonts w:ascii="Arial" w:hAnsi="Arial" w:cs="Arial"/>
                <w:b/>
                <w:sz w:val="16"/>
                <w:szCs w:val="16"/>
              </w:rPr>
              <w:t>Performance measures</w:t>
            </w:r>
          </w:p>
        </w:tc>
        <w:tc>
          <w:tcPr>
            <w:tcW w:w="2334" w:type="pct"/>
            <w:tcBorders>
              <w:top w:val="double" w:sz="4" w:space="0" w:color="auto"/>
              <w:left w:val="single" w:sz="4" w:space="0" w:color="auto"/>
              <w:bottom w:val="single" w:sz="4" w:space="0" w:color="auto"/>
            </w:tcBorders>
          </w:tcPr>
          <w:p w14:paraId="13C7B21E" w14:textId="77777777" w:rsidR="00115843" w:rsidRPr="005C11A1" w:rsidRDefault="00115843" w:rsidP="00FB0D02">
            <w:pPr>
              <w:spacing w:before="60" w:after="60" w:line="240" w:lineRule="auto"/>
              <w:rPr>
                <w:rFonts w:ascii="Arial" w:hAnsi="Arial" w:cs="Arial"/>
                <w:b/>
                <w:sz w:val="16"/>
                <w:szCs w:val="16"/>
              </w:rPr>
            </w:pPr>
            <w:r w:rsidRPr="005C11A1">
              <w:rPr>
                <w:rFonts w:ascii="Arial" w:hAnsi="Arial" w:cs="Arial"/>
                <w:b/>
                <w:sz w:val="16"/>
                <w:szCs w:val="16"/>
              </w:rPr>
              <w:t>Expected Performance Results</w:t>
            </w:r>
          </w:p>
        </w:tc>
      </w:tr>
      <w:tr w:rsidR="00376C7E" w:rsidRPr="005C11A1" w14:paraId="6E55924E" w14:textId="77777777" w:rsidTr="00376C7E">
        <w:trPr>
          <w:cantSplit/>
          <w:trHeight w:val="1488"/>
        </w:trPr>
        <w:tc>
          <w:tcPr>
            <w:tcW w:w="1010" w:type="pct"/>
            <w:vMerge w:val="restart"/>
            <w:tcBorders>
              <w:top w:val="single" w:sz="4" w:space="0" w:color="auto"/>
              <w:right w:val="single" w:sz="4" w:space="0" w:color="auto"/>
            </w:tcBorders>
          </w:tcPr>
          <w:p w14:paraId="42EC95AF" w14:textId="1970E4DA" w:rsidR="00376C7E" w:rsidRPr="005C11A1" w:rsidRDefault="00376C7E" w:rsidP="00FB0D02">
            <w:pPr>
              <w:spacing w:before="60" w:after="60" w:line="240" w:lineRule="auto"/>
              <w:rPr>
                <w:rFonts w:ascii="Arial" w:hAnsi="Arial" w:cs="Arial"/>
                <w:sz w:val="16"/>
                <w:szCs w:val="16"/>
              </w:rPr>
            </w:pPr>
            <w:r>
              <w:rPr>
                <w:rFonts w:ascii="Arial" w:hAnsi="Arial" w:cs="Arial"/>
                <w:sz w:val="16"/>
                <w:szCs w:val="16"/>
              </w:rPr>
              <w:t>Current</w:t>
            </w:r>
            <w:r w:rsidRPr="005C11A1">
              <w:rPr>
                <w:rFonts w:ascii="Arial" w:hAnsi="Arial" w:cs="Arial"/>
                <w:sz w:val="16"/>
                <w:szCs w:val="16"/>
              </w:rPr>
              <w:t xml:space="preserve"> year </w:t>
            </w:r>
            <w:r w:rsidRPr="005C11A1">
              <w:rPr>
                <w:rFonts w:ascii="Arial" w:hAnsi="Arial" w:cs="Arial"/>
                <w:sz w:val="16"/>
                <w:szCs w:val="16"/>
              </w:rPr>
              <w:br/>
              <w:t>202</w:t>
            </w:r>
            <w:r>
              <w:rPr>
                <w:rFonts w:ascii="Arial" w:hAnsi="Arial" w:cs="Arial"/>
                <w:sz w:val="16"/>
                <w:szCs w:val="16"/>
              </w:rPr>
              <w:t>2</w:t>
            </w:r>
            <w:r w:rsidRPr="005C11A1">
              <w:rPr>
                <w:rFonts w:ascii="Arial" w:hAnsi="Arial" w:cs="Arial"/>
                <w:sz w:val="16"/>
                <w:szCs w:val="16"/>
              </w:rPr>
              <w:t>–2</w:t>
            </w:r>
            <w:r>
              <w:rPr>
                <w:rFonts w:ascii="Arial" w:hAnsi="Arial" w:cs="Arial"/>
                <w:sz w:val="16"/>
                <w:szCs w:val="16"/>
              </w:rPr>
              <w:t>3</w:t>
            </w:r>
          </w:p>
        </w:tc>
        <w:tc>
          <w:tcPr>
            <w:tcW w:w="1656" w:type="pct"/>
            <w:tcBorders>
              <w:top w:val="single" w:sz="4" w:space="0" w:color="auto"/>
              <w:left w:val="single" w:sz="4" w:space="0" w:color="auto"/>
              <w:bottom w:val="single" w:sz="4" w:space="0" w:color="auto"/>
              <w:right w:val="single" w:sz="4" w:space="0" w:color="auto"/>
            </w:tcBorders>
          </w:tcPr>
          <w:p w14:paraId="09373338" w14:textId="77777777" w:rsidR="00376C7E" w:rsidRPr="005C11A1" w:rsidRDefault="00376C7E" w:rsidP="00FB0D02">
            <w:pPr>
              <w:spacing w:before="60" w:after="60" w:line="240" w:lineRule="auto"/>
              <w:rPr>
                <w:rFonts w:ascii="Arial" w:eastAsia="Calibri" w:hAnsi="Arial" w:cs="Arial"/>
                <w:sz w:val="16"/>
                <w:szCs w:val="16"/>
                <w:lang w:eastAsia="en-US"/>
              </w:rPr>
            </w:pPr>
            <w:r w:rsidRPr="005C11A1">
              <w:rPr>
                <w:rFonts w:ascii="Arial" w:eastAsia="Calibri" w:hAnsi="Arial" w:cs="Arial"/>
                <w:sz w:val="16"/>
                <w:szCs w:val="16"/>
                <w:lang w:eastAsia="en-US"/>
              </w:rPr>
              <w:t>Progress of the implementation of:</w:t>
            </w:r>
          </w:p>
          <w:p w14:paraId="50EC9B80" w14:textId="25861623" w:rsidR="00376C7E" w:rsidRDefault="00376C7E" w:rsidP="00977C28">
            <w:pPr>
              <w:numPr>
                <w:ilvl w:val="0"/>
                <w:numId w:val="106"/>
              </w:numPr>
              <w:spacing w:before="60" w:after="60" w:line="240" w:lineRule="auto"/>
              <w:ind w:left="357" w:hanging="357"/>
              <w:contextualSpacing/>
              <w:rPr>
                <w:rFonts w:ascii="Arial" w:eastAsia="Calibri" w:hAnsi="Arial" w:cs="Arial"/>
                <w:sz w:val="16"/>
                <w:szCs w:val="16"/>
                <w:lang w:eastAsia="en-US"/>
              </w:rPr>
            </w:pPr>
            <w:r w:rsidRPr="005C11A1">
              <w:rPr>
                <w:rFonts w:ascii="Arial" w:eastAsia="Calibri" w:hAnsi="Arial" w:cs="Arial"/>
                <w:sz w:val="16"/>
                <w:szCs w:val="16"/>
                <w:lang w:eastAsia="en-US"/>
              </w:rPr>
              <w:t>the National Road Safety Strategy for the decade 2021 to 2030</w:t>
            </w:r>
            <w:r w:rsidR="005C5CF4" w:rsidRPr="005C5CF4">
              <w:rPr>
                <w:rFonts w:ascii="Arial" w:eastAsia="Calibri" w:hAnsi="Arial" w:cs="Arial"/>
                <w:sz w:val="16"/>
                <w:szCs w:val="16"/>
                <w:vertAlign w:val="superscript"/>
                <w:lang w:eastAsia="en-US"/>
              </w:rPr>
              <w:t>(b)</w:t>
            </w:r>
            <w:r>
              <w:rPr>
                <w:rFonts w:ascii="Arial" w:eastAsia="Calibri" w:hAnsi="Arial" w:cs="Arial"/>
                <w:sz w:val="16"/>
                <w:szCs w:val="16"/>
                <w:lang w:eastAsia="en-US"/>
              </w:rPr>
              <w:t xml:space="preserve"> a</w:t>
            </w:r>
            <w:r w:rsidRPr="005C11A1">
              <w:rPr>
                <w:rFonts w:ascii="Arial" w:eastAsia="Calibri" w:hAnsi="Arial" w:cs="Arial"/>
                <w:sz w:val="16"/>
                <w:szCs w:val="16"/>
                <w:lang w:eastAsia="en-US"/>
              </w:rPr>
              <w:t>nd</w:t>
            </w:r>
          </w:p>
          <w:p w14:paraId="240BFF1A" w14:textId="77777777" w:rsidR="00483198" w:rsidRPr="00483198" w:rsidRDefault="00483198" w:rsidP="00483198">
            <w:pPr>
              <w:spacing w:before="60" w:after="60" w:line="240" w:lineRule="auto"/>
              <w:contextualSpacing/>
              <w:rPr>
                <w:rFonts w:ascii="Arial" w:eastAsia="Calibri" w:hAnsi="Arial" w:cs="Arial"/>
                <w:sz w:val="6"/>
                <w:szCs w:val="16"/>
                <w:lang w:eastAsia="en-US"/>
              </w:rPr>
            </w:pPr>
          </w:p>
          <w:p w14:paraId="1C8E57DA" w14:textId="77777777" w:rsidR="00376C7E" w:rsidRPr="005C11A1" w:rsidRDefault="00376C7E" w:rsidP="00977C28">
            <w:pPr>
              <w:numPr>
                <w:ilvl w:val="0"/>
                <w:numId w:val="106"/>
              </w:numPr>
              <w:spacing w:before="60" w:after="60" w:line="240" w:lineRule="auto"/>
              <w:ind w:left="357" w:hanging="357"/>
              <w:contextualSpacing/>
              <w:rPr>
                <w:rFonts w:ascii="Arial" w:eastAsiaTheme="minorHAnsi" w:hAnsi="Arial" w:cs="Arial"/>
                <w:sz w:val="16"/>
                <w:szCs w:val="16"/>
                <w:lang w:eastAsia="en-US"/>
              </w:rPr>
            </w:pPr>
            <w:r w:rsidRPr="005C11A1">
              <w:rPr>
                <w:rFonts w:ascii="Arial" w:eastAsia="Calibri" w:hAnsi="Arial" w:cs="Arial"/>
                <w:sz w:val="16"/>
                <w:szCs w:val="16"/>
                <w:lang w:eastAsia="en-US"/>
              </w:rPr>
              <w:t>the National Road Safety Data Hub</w:t>
            </w:r>
          </w:p>
        </w:tc>
        <w:tc>
          <w:tcPr>
            <w:tcW w:w="2334" w:type="pct"/>
            <w:tcBorders>
              <w:top w:val="single" w:sz="4" w:space="0" w:color="auto"/>
              <w:left w:val="single" w:sz="4" w:space="0" w:color="auto"/>
              <w:bottom w:val="single" w:sz="4" w:space="0" w:color="auto"/>
            </w:tcBorders>
          </w:tcPr>
          <w:p w14:paraId="20C8E7E1" w14:textId="77777777" w:rsidR="00483198" w:rsidRPr="00483198" w:rsidRDefault="00483198" w:rsidP="003274D5">
            <w:pPr>
              <w:spacing w:before="60" w:after="60" w:line="240" w:lineRule="auto"/>
              <w:contextualSpacing/>
              <w:rPr>
                <w:rFonts w:ascii="Arial" w:eastAsia="Calibri" w:hAnsi="Arial" w:cs="Arial"/>
                <w:sz w:val="6"/>
                <w:szCs w:val="16"/>
                <w:lang w:eastAsia="en-US"/>
              </w:rPr>
            </w:pPr>
          </w:p>
          <w:p w14:paraId="0FBB3BE7" w14:textId="2D974F45" w:rsidR="003274D5" w:rsidRPr="00483198" w:rsidRDefault="003274D5" w:rsidP="003274D5">
            <w:pPr>
              <w:spacing w:before="60" w:after="60" w:line="240" w:lineRule="auto"/>
              <w:contextualSpacing/>
              <w:rPr>
                <w:rFonts w:ascii="Arial" w:eastAsia="Calibri" w:hAnsi="Arial" w:cs="Arial"/>
                <w:sz w:val="16"/>
                <w:szCs w:val="16"/>
                <w:lang w:eastAsia="en-US"/>
              </w:rPr>
            </w:pPr>
            <w:r w:rsidRPr="00483198">
              <w:rPr>
                <w:rFonts w:ascii="Arial" w:eastAsia="Calibri" w:hAnsi="Arial" w:cs="Arial"/>
                <w:sz w:val="16"/>
                <w:szCs w:val="16"/>
                <w:lang w:eastAsia="en-US"/>
              </w:rPr>
              <w:t xml:space="preserve">Targets: </w:t>
            </w:r>
          </w:p>
          <w:p w14:paraId="701EE39C" w14:textId="77777777" w:rsidR="003274D5" w:rsidRDefault="003274D5" w:rsidP="00977C28">
            <w:pPr>
              <w:numPr>
                <w:ilvl w:val="0"/>
                <w:numId w:val="235"/>
              </w:numPr>
              <w:spacing w:before="60" w:after="60" w:line="240" w:lineRule="auto"/>
              <w:rPr>
                <w:rFonts w:ascii="Arial" w:eastAsia="Calibri" w:hAnsi="Arial" w:cs="Arial"/>
                <w:sz w:val="16"/>
                <w:szCs w:val="16"/>
              </w:rPr>
            </w:pPr>
            <w:r w:rsidRPr="005C11A1">
              <w:rPr>
                <w:rFonts w:ascii="Arial" w:eastAsia="Calibri" w:hAnsi="Arial" w:cs="Arial"/>
                <w:sz w:val="16"/>
                <w:szCs w:val="16"/>
              </w:rPr>
              <w:t>Implement and report using newly established consistent source of national serious injury data</w:t>
            </w:r>
            <w:r>
              <w:rPr>
                <w:rFonts w:ascii="Arial" w:eastAsia="Calibri" w:hAnsi="Arial" w:cs="Arial"/>
                <w:sz w:val="16"/>
                <w:szCs w:val="16"/>
              </w:rPr>
              <w:t>.</w:t>
            </w:r>
          </w:p>
          <w:p w14:paraId="6D7A4AA4" w14:textId="550290DF" w:rsidR="003274D5" w:rsidRPr="003274D5" w:rsidRDefault="003274D5" w:rsidP="00977C28">
            <w:pPr>
              <w:numPr>
                <w:ilvl w:val="0"/>
                <w:numId w:val="235"/>
              </w:numPr>
              <w:spacing w:before="60" w:after="60" w:line="240" w:lineRule="auto"/>
              <w:rPr>
                <w:rFonts w:ascii="Arial" w:eastAsia="Calibri" w:hAnsi="Arial" w:cs="Arial"/>
                <w:sz w:val="16"/>
                <w:szCs w:val="16"/>
              </w:rPr>
            </w:pPr>
            <w:r w:rsidRPr="003274D5">
              <w:rPr>
                <w:rFonts w:ascii="Arial" w:eastAsia="Calibri" w:hAnsi="Arial" w:cs="Arial"/>
                <w:sz w:val="16"/>
                <w:szCs w:val="16"/>
              </w:rPr>
              <w:t>Data hub is established.</w:t>
            </w:r>
          </w:p>
          <w:p w14:paraId="4FCC5E96" w14:textId="21E9F457" w:rsidR="00376C7E" w:rsidRPr="005C11A1" w:rsidRDefault="00376C7E" w:rsidP="003274D5">
            <w:pPr>
              <w:spacing w:before="480" w:after="60" w:line="240" w:lineRule="auto"/>
              <w:contextualSpacing/>
              <w:rPr>
                <w:rFonts w:ascii="Arial" w:eastAsia="Calibri" w:hAnsi="Arial" w:cs="Arial"/>
                <w:sz w:val="16"/>
                <w:szCs w:val="16"/>
                <w:lang w:val="en-US" w:eastAsia="en-US"/>
              </w:rPr>
            </w:pPr>
            <w:r>
              <w:rPr>
                <w:rFonts w:ascii="Arial" w:eastAsia="Calibri" w:hAnsi="Arial" w:cs="Arial"/>
                <w:sz w:val="16"/>
                <w:szCs w:val="16"/>
                <w:lang w:val="en-US" w:eastAsia="en-US"/>
              </w:rPr>
              <w:t>Target expected to be met.</w:t>
            </w:r>
          </w:p>
        </w:tc>
      </w:tr>
      <w:tr w:rsidR="00376C7E" w:rsidRPr="005C11A1" w14:paraId="0986E42B" w14:textId="77777777" w:rsidTr="00376C7E">
        <w:trPr>
          <w:cantSplit/>
          <w:trHeight w:val="642"/>
        </w:trPr>
        <w:tc>
          <w:tcPr>
            <w:tcW w:w="1010" w:type="pct"/>
            <w:vMerge/>
            <w:tcBorders>
              <w:right w:val="single" w:sz="4" w:space="0" w:color="auto"/>
            </w:tcBorders>
          </w:tcPr>
          <w:p w14:paraId="63DAB72A" w14:textId="77777777" w:rsidR="00376C7E" w:rsidRPr="005C11A1" w:rsidRDefault="00376C7E" w:rsidP="00FB0D02">
            <w:pPr>
              <w:spacing w:before="60" w:after="60" w:line="240" w:lineRule="auto"/>
              <w:rPr>
                <w:rFonts w:ascii="Arial" w:hAnsi="Arial" w:cs="Arial"/>
                <w:sz w:val="16"/>
                <w:szCs w:val="16"/>
              </w:rPr>
            </w:pPr>
          </w:p>
        </w:tc>
        <w:tc>
          <w:tcPr>
            <w:tcW w:w="1656" w:type="pct"/>
            <w:tcBorders>
              <w:top w:val="single" w:sz="4" w:space="0" w:color="auto"/>
              <w:left w:val="single" w:sz="4" w:space="0" w:color="auto"/>
              <w:bottom w:val="single" w:sz="4" w:space="0" w:color="auto"/>
              <w:right w:val="single" w:sz="4" w:space="0" w:color="auto"/>
            </w:tcBorders>
          </w:tcPr>
          <w:p w14:paraId="58B1B7C6" w14:textId="3030B343" w:rsidR="00376C7E" w:rsidRPr="005C11A1" w:rsidRDefault="00376C7E" w:rsidP="00FB0D02">
            <w:pPr>
              <w:spacing w:before="60" w:after="60" w:line="240" w:lineRule="auto"/>
              <w:rPr>
                <w:rFonts w:ascii="Arial" w:hAnsi="Arial" w:cs="Arial"/>
                <w:b/>
                <w:sz w:val="16"/>
                <w:szCs w:val="16"/>
                <w:lang w:val="en-US"/>
              </w:rPr>
            </w:pPr>
            <w:r w:rsidRPr="00376C7E">
              <w:rPr>
                <w:rFonts w:ascii="Arial" w:eastAsia="Calibri" w:hAnsi="Arial" w:cs="Arial"/>
                <w:sz w:val="16"/>
                <w:szCs w:val="16"/>
                <w:lang w:eastAsia="en-US"/>
              </w:rPr>
              <w:t>Average time taken to assess applications for road vehicle imports, and the implementation of Road Vehicle Standards legislation</w:t>
            </w:r>
          </w:p>
        </w:tc>
        <w:tc>
          <w:tcPr>
            <w:tcW w:w="2334" w:type="pct"/>
            <w:tcBorders>
              <w:top w:val="single" w:sz="4" w:space="0" w:color="auto"/>
              <w:left w:val="single" w:sz="4" w:space="0" w:color="auto"/>
              <w:bottom w:val="single" w:sz="4" w:space="0" w:color="auto"/>
            </w:tcBorders>
          </w:tcPr>
          <w:p w14:paraId="4211D698" w14:textId="77777777" w:rsidR="003274D5" w:rsidRDefault="003274D5" w:rsidP="00977C28">
            <w:pPr>
              <w:numPr>
                <w:ilvl w:val="0"/>
                <w:numId w:val="107"/>
              </w:numPr>
              <w:spacing w:before="60" w:after="60" w:line="240" w:lineRule="auto"/>
              <w:rPr>
                <w:rFonts w:ascii="Arial" w:hAnsi="Arial" w:cs="Arial"/>
                <w:sz w:val="16"/>
                <w:szCs w:val="16"/>
              </w:rPr>
            </w:pPr>
            <w:r w:rsidRPr="005C11A1">
              <w:rPr>
                <w:rFonts w:ascii="Arial" w:hAnsi="Arial" w:cs="Arial"/>
                <w:sz w:val="16"/>
                <w:szCs w:val="16"/>
              </w:rPr>
              <w:t>95% of applications are assessed within legislative timeframes</w:t>
            </w:r>
            <w:r>
              <w:rPr>
                <w:rFonts w:ascii="Arial" w:hAnsi="Arial" w:cs="Arial"/>
                <w:sz w:val="16"/>
                <w:szCs w:val="16"/>
              </w:rPr>
              <w:t>.</w:t>
            </w:r>
          </w:p>
          <w:p w14:paraId="1AE1AFF8" w14:textId="2944738E" w:rsidR="003274D5" w:rsidRPr="003274D5" w:rsidRDefault="003274D5" w:rsidP="00977C28">
            <w:pPr>
              <w:numPr>
                <w:ilvl w:val="0"/>
                <w:numId w:val="107"/>
              </w:numPr>
              <w:spacing w:before="60" w:after="60" w:line="240" w:lineRule="auto"/>
              <w:rPr>
                <w:rFonts w:ascii="Arial" w:hAnsi="Arial" w:cs="Arial"/>
                <w:sz w:val="16"/>
                <w:szCs w:val="16"/>
              </w:rPr>
            </w:pPr>
            <w:r w:rsidRPr="003274D5">
              <w:rPr>
                <w:rFonts w:ascii="Arial" w:hAnsi="Arial" w:cs="Arial"/>
                <w:sz w:val="16"/>
                <w:szCs w:val="16"/>
              </w:rPr>
              <w:t>All relevant legislation and legislative instruments are in place prior to the end of the transitional period.</w:t>
            </w:r>
          </w:p>
          <w:p w14:paraId="2B0F6AF4" w14:textId="5679D4B3" w:rsidR="00376C7E" w:rsidRPr="005C11A1" w:rsidRDefault="00376C7E" w:rsidP="00FB0D02">
            <w:pPr>
              <w:spacing w:before="60" w:after="60" w:line="240" w:lineRule="auto"/>
              <w:rPr>
                <w:rFonts w:ascii="Arial" w:hAnsi="Arial" w:cs="Arial"/>
                <w:sz w:val="16"/>
                <w:szCs w:val="16"/>
              </w:rPr>
            </w:pPr>
            <w:r>
              <w:rPr>
                <w:rFonts w:ascii="Arial" w:eastAsia="Calibri" w:hAnsi="Arial" w:cs="Arial"/>
                <w:sz w:val="16"/>
                <w:szCs w:val="16"/>
                <w:lang w:eastAsia="en-US"/>
              </w:rPr>
              <w:t>Target expected to be met.</w:t>
            </w:r>
          </w:p>
        </w:tc>
      </w:tr>
      <w:tr w:rsidR="00376C7E" w:rsidRPr="005C11A1" w14:paraId="0595E0D3" w14:textId="77777777" w:rsidTr="00FB0D02">
        <w:trPr>
          <w:cantSplit/>
          <w:trHeight w:val="642"/>
        </w:trPr>
        <w:tc>
          <w:tcPr>
            <w:tcW w:w="1010" w:type="pct"/>
            <w:vMerge/>
            <w:tcBorders>
              <w:bottom w:val="double" w:sz="4" w:space="0" w:color="auto"/>
              <w:right w:val="single" w:sz="4" w:space="0" w:color="auto"/>
            </w:tcBorders>
          </w:tcPr>
          <w:p w14:paraId="355C19CF" w14:textId="77777777" w:rsidR="00376C7E" w:rsidRPr="005C11A1" w:rsidRDefault="00376C7E" w:rsidP="00376C7E">
            <w:pPr>
              <w:spacing w:before="60" w:after="60" w:line="240" w:lineRule="auto"/>
              <w:rPr>
                <w:rFonts w:ascii="Arial" w:hAnsi="Arial" w:cs="Arial"/>
                <w:sz w:val="16"/>
                <w:szCs w:val="16"/>
              </w:rPr>
            </w:pPr>
          </w:p>
        </w:tc>
        <w:tc>
          <w:tcPr>
            <w:tcW w:w="1656" w:type="pct"/>
            <w:tcBorders>
              <w:top w:val="single" w:sz="4" w:space="0" w:color="auto"/>
              <w:left w:val="single" w:sz="4" w:space="0" w:color="auto"/>
              <w:bottom w:val="double" w:sz="4" w:space="0" w:color="auto"/>
              <w:right w:val="single" w:sz="4" w:space="0" w:color="auto"/>
            </w:tcBorders>
          </w:tcPr>
          <w:p w14:paraId="2956F816" w14:textId="3F414206" w:rsidR="00376C7E" w:rsidRPr="00376C7E" w:rsidRDefault="00376C7E" w:rsidP="00376C7E">
            <w:pPr>
              <w:spacing w:before="60" w:after="60" w:line="240" w:lineRule="auto"/>
              <w:rPr>
                <w:rFonts w:ascii="Arial" w:eastAsia="Calibri" w:hAnsi="Arial" w:cs="Arial"/>
                <w:sz w:val="16"/>
                <w:szCs w:val="16"/>
                <w:lang w:eastAsia="en-US"/>
              </w:rPr>
            </w:pPr>
            <w:r w:rsidRPr="00376C7E">
              <w:rPr>
                <w:rFonts w:ascii="Arial" w:hAnsi="Arial" w:cs="Arial"/>
                <w:sz w:val="16"/>
                <w:szCs w:val="16"/>
              </w:rPr>
              <w:t>Reduction in the number of road fatalities and fatality rate per 100,000 population</w:t>
            </w:r>
            <w:r w:rsidR="005C5CF4" w:rsidRPr="005C5CF4">
              <w:rPr>
                <w:rFonts w:ascii="Arial" w:hAnsi="Arial" w:cs="Arial"/>
                <w:sz w:val="16"/>
                <w:szCs w:val="16"/>
                <w:vertAlign w:val="superscript"/>
              </w:rPr>
              <w:t>(c)</w:t>
            </w:r>
          </w:p>
        </w:tc>
        <w:tc>
          <w:tcPr>
            <w:tcW w:w="2334" w:type="pct"/>
            <w:tcBorders>
              <w:top w:val="single" w:sz="4" w:space="0" w:color="auto"/>
              <w:left w:val="single" w:sz="4" w:space="0" w:color="auto"/>
              <w:bottom w:val="double" w:sz="4" w:space="0" w:color="auto"/>
            </w:tcBorders>
          </w:tcPr>
          <w:p w14:paraId="662CD077" w14:textId="18217652" w:rsidR="003274D5" w:rsidRDefault="00D63A02" w:rsidP="00D63A02">
            <w:pPr>
              <w:pStyle w:val="TableParagraph"/>
              <w:spacing w:before="60" w:after="120" w:line="200" w:lineRule="atLeast"/>
              <w:ind w:right="194"/>
              <w:rPr>
                <w:rFonts w:eastAsia="Calibri"/>
                <w:sz w:val="16"/>
                <w:szCs w:val="16"/>
              </w:rPr>
            </w:pPr>
            <w:r w:rsidRPr="005C11A1">
              <w:rPr>
                <w:sz w:val="16"/>
                <w:szCs w:val="16"/>
              </w:rPr>
              <w:t>The rolling ten-year annual average road fatalities is maintained or reduced</w:t>
            </w:r>
            <w:r w:rsidR="001066C8">
              <w:rPr>
                <w:sz w:val="16"/>
                <w:szCs w:val="16"/>
              </w:rPr>
              <w:t>.</w:t>
            </w:r>
          </w:p>
          <w:p w14:paraId="01E6A5C5" w14:textId="53E9E83D" w:rsidR="00376C7E" w:rsidRPr="00376C7E" w:rsidRDefault="00376C7E" w:rsidP="00376C7E">
            <w:pPr>
              <w:pStyle w:val="TableParagraph"/>
              <w:spacing w:before="60" w:after="60" w:line="200" w:lineRule="atLeast"/>
              <w:ind w:right="194"/>
              <w:rPr>
                <w:rFonts w:eastAsia="Calibri"/>
                <w:sz w:val="16"/>
                <w:szCs w:val="16"/>
              </w:rPr>
            </w:pPr>
            <w:r w:rsidRPr="00376C7E">
              <w:rPr>
                <w:rFonts w:eastAsia="Calibri"/>
                <w:sz w:val="16"/>
                <w:szCs w:val="16"/>
              </w:rPr>
              <w:t xml:space="preserve">Target expected to be met, but full results rely on data not yet available. </w:t>
            </w:r>
          </w:p>
          <w:p w14:paraId="08782E53" w14:textId="2C2B9946" w:rsidR="00376C7E" w:rsidRDefault="00376C7E" w:rsidP="00D63A02">
            <w:pPr>
              <w:pStyle w:val="TableParagraph"/>
              <w:spacing w:before="120" w:after="60" w:line="200" w:lineRule="atLeast"/>
              <w:ind w:right="194"/>
              <w:rPr>
                <w:rFonts w:eastAsia="Calibri"/>
                <w:sz w:val="16"/>
                <w:szCs w:val="16"/>
              </w:rPr>
            </w:pPr>
            <w:r w:rsidRPr="00376C7E">
              <w:rPr>
                <w:rFonts w:eastAsia="Calibri"/>
                <w:sz w:val="16"/>
                <w:szCs w:val="16"/>
              </w:rPr>
              <w:t xml:space="preserve">Fatality data for 2022–23 will be released in July 2023. Data is currently available up to December 2022. </w:t>
            </w:r>
          </w:p>
        </w:tc>
      </w:tr>
      <w:tr w:rsidR="00376C7E" w:rsidRPr="005C11A1" w14:paraId="25C37A3C" w14:textId="77777777" w:rsidTr="00FB0D02">
        <w:trPr>
          <w:trHeight w:val="258"/>
        </w:trPr>
        <w:tc>
          <w:tcPr>
            <w:tcW w:w="1010" w:type="pct"/>
            <w:tcBorders>
              <w:top w:val="double" w:sz="4" w:space="0" w:color="auto"/>
              <w:bottom w:val="single" w:sz="4" w:space="0" w:color="auto"/>
              <w:right w:val="single" w:sz="4" w:space="0" w:color="auto"/>
            </w:tcBorders>
          </w:tcPr>
          <w:p w14:paraId="16EBEAB7" w14:textId="77777777" w:rsidR="00376C7E" w:rsidRPr="005C11A1" w:rsidRDefault="00376C7E" w:rsidP="00376C7E">
            <w:pPr>
              <w:spacing w:before="60" w:after="60" w:line="240" w:lineRule="auto"/>
              <w:rPr>
                <w:rFonts w:ascii="Arial" w:hAnsi="Arial" w:cs="Arial"/>
                <w:b/>
                <w:sz w:val="16"/>
                <w:szCs w:val="16"/>
              </w:rPr>
            </w:pPr>
            <w:r w:rsidRPr="005C11A1">
              <w:rPr>
                <w:rFonts w:ascii="Arial" w:hAnsi="Arial" w:cs="Arial"/>
                <w:b/>
                <w:sz w:val="16"/>
                <w:szCs w:val="16"/>
              </w:rPr>
              <w:t>Year</w:t>
            </w:r>
          </w:p>
        </w:tc>
        <w:tc>
          <w:tcPr>
            <w:tcW w:w="1656" w:type="pct"/>
            <w:tcBorders>
              <w:top w:val="double" w:sz="4" w:space="0" w:color="auto"/>
              <w:left w:val="single" w:sz="4" w:space="0" w:color="auto"/>
              <w:bottom w:val="single" w:sz="4" w:space="0" w:color="auto"/>
              <w:right w:val="single" w:sz="4" w:space="0" w:color="auto"/>
            </w:tcBorders>
          </w:tcPr>
          <w:p w14:paraId="73981E95" w14:textId="77777777" w:rsidR="00376C7E" w:rsidRPr="005C11A1" w:rsidRDefault="00376C7E" w:rsidP="00376C7E">
            <w:pPr>
              <w:spacing w:before="60" w:after="60" w:line="240" w:lineRule="auto"/>
              <w:rPr>
                <w:rFonts w:ascii="Arial" w:hAnsi="Arial" w:cs="Arial"/>
                <w:b/>
                <w:sz w:val="16"/>
                <w:szCs w:val="16"/>
              </w:rPr>
            </w:pPr>
            <w:r w:rsidRPr="005C11A1">
              <w:rPr>
                <w:rFonts w:ascii="Arial" w:hAnsi="Arial" w:cs="Arial"/>
                <w:b/>
                <w:sz w:val="16"/>
                <w:szCs w:val="16"/>
              </w:rPr>
              <w:t>Performance measures</w:t>
            </w:r>
          </w:p>
        </w:tc>
        <w:tc>
          <w:tcPr>
            <w:tcW w:w="2334" w:type="pct"/>
            <w:tcBorders>
              <w:top w:val="double" w:sz="4" w:space="0" w:color="auto"/>
              <w:left w:val="single" w:sz="4" w:space="0" w:color="auto"/>
              <w:bottom w:val="single" w:sz="4" w:space="0" w:color="auto"/>
            </w:tcBorders>
          </w:tcPr>
          <w:p w14:paraId="2DDA2B7F" w14:textId="08DC3489" w:rsidR="00376C7E" w:rsidRPr="005C11A1" w:rsidRDefault="00376C7E" w:rsidP="00376C7E">
            <w:pPr>
              <w:spacing w:before="60" w:after="60" w:line="240" w:lineRule="auto"/>
              <w:rPr>
                <w:rFonts w:ascii="Arial" w:hAnsi="Arial" w:cs="Arial"/>
                <w:b/>
                <w:sz w:val="16"/>
                <w:szCs w:val="16"/>
              </w:rPr>
            </w:pPr>
            <w:r>
              <w:rPr>
                <w:rFonts w:ascii="Arial" w:hAnsi="Arial" w:cs="Arial"/>
                <w:b/>
                <w:sz w:val="16"/>
                <w:szCs w:val="16"/>
              </w:rPr>
              <w:t>Plann</w:t>
            </w:r>
            <w:r w:rsidRPr="005C11A1">
              <w:rPr>
                <w:rFonts w:ascii="Arial" w:hAnsi="Arial" w:cs="Arial"/>
                <w:b/>
                <w:sz w:val="16"/>
                <w:szCs w:val="16"/>
              </w:rPr>
              <w:t>ed Performance Results</w:t>
            </w:r>
          </w:p>
        </w:tc>
      </w:tr>
      <w:tr w:rsidR="00483198" w:rsidRPr="005C11A1" w14:paraId="6B441CD5" w14:textId="77777777" w:rsidTr="00FB0D02">
        <w:trPr>
          <w:cantSplit/>
          <w:trHeight w:val="1193"/>
        </w:trPr>
        <w:tc>
          <w:tcPr>
            <w:tcW w:w="1010" w:type="pct"/>
            <w:vMerge w:val="restart"/>
            <w:tcBorders>
              <w:top w:val="single" w:sz="4" w:space="0" w:color="auto"/>
              <w:right w:val="single" w:sz="4" w:space="0" w:color="auto"/>
            </w:tcBorders>
          </w:tcPr>
          <w:p w14:paraId="57351421" w14:textId="5A55D8C8" w:rsidR="00483198" w:rsidRPr="005C11A1" w:rsidRDefault="00483198" w:rsidP="00376C7E">
            <w:pPr>
              <w:spacing w:before="60" w:after="60" w:line="240" w:lineRule="auto"/>
              <w:rPr>
                <w:rFonts w:ascii="Arial" w:hAnsi="Arial" w:cs="Arial"/>
                <w:sz w:val="16"/>
                <w:szCs w:val="16"/>
              </w:rPr>
            </w:pPr>
            <w:r w:rsidRPr="005C11A1">
              <w:rPr>
                <w:rFonts w:ascii="Arial" w:eastAsia="Calibri" w:hAnsi="Arial" w:cs="Arial"/>
                <w:sz w:val="16"/>
                <w:szCs w:val="16"/>
                <w:lang w:eastAsia="en-US"/>
              </w:rPr>
              <w:t>Budget year</w:t>
            </w:r>
            <w:r>
              <w:rPr>
                <w:rFonts w:ascii="Arial" w:eastAsia="Calibri" w:hAnsi="Arial" w:cs="Arial"/>
                <w:sz w:val="16"/>
                <w:szCs w:val="16"/>
                <w:lang w:eastAsia="en-US"/>
              </w:rPr>
              <w:br/>
            </w:r>
            <w:r w:rsidRPr="005C11A1">
              <w:rPr>
                <w:rFonts w:ascii="Arial" w:eastAsia="Calibri" w:hAnsi="Arial" w:cs="Arial"/>
                <w:sz w:val="16"/>
                <w:szCs w:val="16"/>
                <w:lang w:eastAsia="en-US"/>
              </w:rPr>
              <w:t>202</w:t>
            </w:r>
            <w:r>
              <w:rPr>
                <w:rFonts w:ascii="Arial" w:eastAsia="Calibri" w:hAnsi="Arial" w:cs="Arial"/>
                <w:sz w:val="16"/>
                <w:szCs w:val="16"/>
                <w:lang w:eastAsia="en-US"/>
              </w:rPr>
              <w:t>3</w:t>
            </w:r>
            <w:r w:rsidRPr="005C11A1">
              <w:rPr>
                <w:rFonts w:ascii="Arial" w:eastAsia="Calibri" w:hAnsi="Arial" w:cs="Arial"/>
                <w:sz w:val="16"/>
                <w:szCs w:val="16"/>
                <w:lang w:eastAsia="en-US"/>
              </w:rPr>
              <w:t>–2</w:t>
            </w:r>
            <w:r>
              <w:rPr>
                <w:rFonts w:ascii="Arial" w:eastAsia="Calibri" w:hAnsi="Arial" w:cs="Arial"/>
                <w:sz w:val="16"/>
                <w:szCs w:val="16"/>
                <w:lang w:eastAsia="en-US"/>
              </w:rPr>
              <w:t>4</w:t>
            </w:r>
          </w:p>
        </w:tc>
        <w:tc>
          <w:tcPr>
            <w:tcW w:w="1656" w:type="pct"/>
            <w:tcBorders>
              <w:top w:val="single" w:sz="4" w:space="0" w:color="auto"/>
              <w:left w:val="single" w:sz="4" w:space="0" w:color="auto"/>
              <w:bottom w:val="single" w:sz="4" w:space="0" w:color="auto"/>
              <w:right w:val="single" w:sz="4" w:space="0" w:color="auto"/>
            </w:tcBorders>
          </w:tcPr>
          <w:p w14:paraId="30796C75" w14:textId="77777777" w:rsidR="00483198" w:rsidRPr="00483198" w:rsidRDefault="00483198" w:rsidP="00483198">
            <w:pPr>
              <w:spacing w:after="60" w:line="240" w:lineRule="auto"/>
              <w:contextualSpacing/>
              <w:rPr>
                <w:rFonts w:ascii="Arial" w:eastAsia="Calibri" w:hAnsi="Arial" w:cs="Arial"/>
                <w:i/>
                <w:sz w:val="6"/>
                <w:szCs w:val="16"/>
                <w:lang w:eastAsia="en-US"/>
              </w:rPr>
            </w:pPr>
          </w:p>
          <w:p w14:paraId="55897997" w14:textId="4895A8CC" w:rsidR="00483198" w:rsidRPr="005C11A1" w:rsidRDefault="00483198" w:rsidP="00483198">
            <w:pPr>
              <w:spacing w:after="60" w:line="240" w:lineRule="auto"/>
              <w:contextualSpacing/>
              <w:rPr>
                <w:rFonts w:ascii="Arial" w:eastAsia="Calibri" w:hAnsi="Arial" w:cs="Arial"/>
                <w:sz w:val="16"/>
                <w:szCs w:val="16"/>
                <w:lang w:eastAsia="en-US"/>
              </w:rPr>
            </w:pPr>
            <w:r w:rsidRPr="00376C7E">
              <w:rPr>
                <w:rFonts w:ascii="Arial" w:eastAsia="Calibri" w:hAnsi="Arial" w:cs="Arial"/>
                <w:i/>
                <w:sz w:val="16"/>
                <w:szCs w:val="16"/>
                <w:lang w:eastAsia="en-US"/>
              </w:rPr>
              <w:t>Progress of the implementation of: The National Road Safety Strategy 2021–30 through delivery of the Australian Government’s commitments under the National Road Safety Action Plan 2023–25</w:t>
            </w:r>
          </w:p>
        </w:tc>
        <w:tc>
          <w:tcPr>
            <w:tcW w:w="2334" w:type="pct"/>
            <w:tcBorders>
              <w:top w:val="single" w:sz="4" w:space="0" w:color="auto"/>
              <w:left w:val="single" w:sz="4" w:space="0" w:color="auto"/>
              <w:bottom w:val="single" w:sz="4" w:space="0" w:color="auto"/>
            </w:tcBorders>
          </w:tcPr>
          <w:p w14:paraId="302562AF" w14:textId="77777777" w:rsidR="00483198" w:rsidRPr="00557DDF" w:rsidRDefault="00483198" w:rsidP="00977C28">
            <w:pPr>
              <w:numPr>
                <w:ilvl w:val="0"/>
                <w:numId w:val="151"/>
              </w:numPr>
              <w:spacing w:before="60" w:after="60" w:line="240" w:lineRule="auto"/>
              <w:ind w:left="322" w:hanging="322"/>
              <w:rPr>
                <w:rFonts w:ascii="Arial" w:eastAsia="Calibri" w:hAnsi="Arial" w:cs="Arial"/>
                <w:i/>
                <w:sz w:val="16"/>
                <w:szCs w:val="16"/>
                <w:lang w:val="en-US"/>
              </w:rPr>
            </w:pPr>
            <w:r w:rsidRPr="00557DDF">
              <w:rPr>
                <w:rFonts w:ascii="Arial" w:eastAsia="Calibri" w:hAnsi="Arial" w:cs="Arial"/>
                <w:i/>
                <w:sz w:val="16"/>
                <w:szCs w:val="16"/>
                <w:lang w:val="en-US"/>
              </w:rPr>
              <w:t>100% of applications are assessed within legislative timeframes.</w:t>
            </w:r>
          </w:p>
          <w:p w14:paraId="62BA334A" w14:textId="77777777" w:rsidR="00483198" w:rsidRPr="00557DDF" w:rsidRDefault="00483198" w:rsidP="00977C28">
            <w:pPr>
              <w:numPr>
                <w:ilvl w:val="0"/>
                <w:numId w:val="151"/>
              </w:numPr>
              <w:spacing w:before="60" w:after="60" w:line="240" w:lineRule="auto"/>
              <w:ind w:left="322" w:hanging="322"/>
              <w:rPr>
                <w:rFonts w:ascii="Arial" w:eastAsia="Calibri" w:hAnsi="Arial" w:cs="Arial"/>
                <w:i/>
                <w:sz w:val="16"/>
                <w:szCs w:val="16"/>
                <w:lang w:val="en-US"/>
              </w:rPr>
            </w:pPr>
            <w:r w:rsidRPr="00557DDF">
              <w:rPr>
                <w:rFonts w:ascii="Arial" w:eastAsia="Calibri" w:hAnsi="Arial" w:cs="Arial"/>
                <w:i/>
                <w:sz w:val="16"/>
                <w:szCs w:val="16"/>
                <w:lang w:val="en-US"/>
              </w:rPr>
              <w:t>75% of voluntary recalls are published within the service level agreement of seven days.</w:t>
            </w:r>
          </w:p>
          <w:p w14:paraId="294C32C3" w14:textId="272AB08B" w:rsidR="00483198" w:rsidRPr="00557DDF" w:rsidRDefault="00483198" w:rsidP="00977C28">
            <w:pPr>
              <w:numPr>
                <w:ilvl w:val="0"/>
                <w:numId w:val="151"/>
              </w:numPr>
              <w:spacing w:before="60" w:after="60" w:line="240" w:lineRule="auto"/>
              <w:ind w:left="322" w:hanging="322"/>
              <w:rPr>
                <w:rFonts w:ascii="Arial" w:eastAsia="Calibri" w:hAnsi="Arial" w:cs="Arial"/>
                <w:i/>
                <w:sz w:val="16"/>
                <w:szCs w:val="16"/>
                <w:lang w:val="en-US"/>
              </w:rPr>
            </w:pPr>
            <w:r w:rsidRPr="00557DDF">
              <w:rPr>
                <w:rFonts w:ascii="Arial" w:eastAsia="Calibri" w:hAnsi="Arial" w:cs="Arial"/>
                <w:i/>
                <w:sz w:val="16"/>
                <w:szCs w:val="16"/>
              </w:rPr>
              <w:t xml:space="preserve">Undertake planning and procurement activities that will support the commencement of a post-implementation review (PIR) of the </w:t>
            </w:r>
            <w:r w:rsidRPr="00557DDF">
              <w:rPr>
                <w:rFonts w:ascii="Arial" w:hAnsi="Arial" w:cs="Arial"/>
                <w:i/>
                <w:sz w:val="16"/>
                <w:szCs w:val="16"/>
              </w:rPr>
              <w:t>Road Vehicle Standards (RVS)</w:t>
            </w:r>
            <w:r w:rsidRPr="00557DDF">
              <w:rPr>
                <w:rFonts w:ascii="Arial" w:eastAsia="Calibri" w:hAnsi="Arial" w:cs="Arial"/>
                <w:i/>
                <w:sz w:val="16"/>
                <w:szCs w:val="16"/>
              </w:rPr>
              <w:t xml:space="preserve"> legislation in July 2024.</w:t>
            </w:r>
          </w:p>
        </w:tc>
      </w:tr>
      <w:tr w:rsidR="00483198" w:rsidRPr="005C11A1" w14:paraId="05E32723" w14:textId="77777777" w:rsidTr="00FB0D02">
        <w:trPr>
          <w:cantSplit/>
          <w:trHeight w:val="642"/>
        </w:trPr>
        <w:tc>
          <w:tcPr>
            <w:tcW w:w="1010" w:type="pct"/>
            <w:vMerge/>
            <w:tcBorders>
              <w:right w:val="single" w:sz="4" w:space="0" w:color="auto"/>
            </w:tcBorders>
          </w:tcPr>
          <w:p w14:paraId="2F1307D9" w14:textId="77777777" w:rsidR="00483198" w:rsidRPr="005C11A1" w:rsidRDefault="00483198" w:rsidP="00376C7E">
            <w:pPr>
              <w:spacing w:before="60" w:after="60" w:line="240" w:lineRule="auto"/>
              <w:rPr>
                <w:rFonts w:ascii="Arial" w:hAnsi="Arial" w:cs="Arial"/>
                <w:sz w:val="16"/>
                <w:szCs w:val="16"/>
              </w:rPr>
            </w:pPr>
          </w:p>
        </w:tc>
        <w:tc>
          <w:tcPr>
            <w:tcW w:w="1656" w:type="pct"/>
            <w:tcBorders>
              <w:top w:val="single" w:sz="4" w:space="0" w:color="auto"/>
              <w:left w:val="single" w:sz="4" w:space="0" w:color="auto"/>
              <w:bottom w:val="single" w:sz="4" w:space="0" w:color="auto"/>
              <w:right w:val="single" w:sz="4" w:space="0" w:color="auto"/>
            </w:tcBorders>
          </w:tcPr>
          <w:p w14:paraId="0820DC0A" w14:textId="2F5DD96C" w:rsidR="00483198" w:rsidRPr="005C11A1" w:rsidRDefault="00483198" w:rsidP="00376C7E">
            <w:pPr>
              <w:spacing w:before="60" w:after="60" w:line="240" w:lineRule="auto"/>
              <w:rPr>
                <w:rFonts w:ascii="Arial" w:hAnsi="Arial" w:cs="Arial"/>
                <w:i/>
                <w:sz w:val="16"/>
                <w:szCs w:val="16"/>
              </w:rPr>
            </w:pPr>
            <w:r w:rsidRPr="00376C7E">
              <w:rPr>
                <w:rFonts w:ascii="Arial" w:hAnsi="Arial" w:cs="Arial"/>
                <w:i/>
                <w:sz w:val="16"/>
                <w:szCs w:val="16"/>
              </w:rPr>
              <w:t>The efficient and effective implementation of the</w:t>
            </w:r>
            <w:r>
              <w:rPr>
                <w:rFonts w:ascii="Arial" w:hAnsi="Arial" w:cs="Arial"/>
                <w:i/>
                <w:sz w:val="16"/>
                <w:szCs w:val="16"/>
              </w:rPr>
              <w:t xml:space="preserve"> </w:t>
            </w:r>
            <w:r w:rsidRPr="00376C7E">
              <w:rPr>
                <w:rFonts w:ascii="Arial" w:hAnsi="Arial" w:cs="Arial"/>
                <w:i/>
                <w:sz w:val="16"/>
                <w:szCs w:val="16"/>
              </w:rPr>
              <w:t>RVS legislation</w:t>
            </w:r>
          </w:p>
        </w:tc>
        <w:tc>
          <w:tcPr>
            <w:tcW w:w="2334" w:type="pct"/>
            <w:tcBorders>
              <w:top w:val="single" w:sz="4" w:space="0" w:color="auto"/>
              <w:left w:val="single" w:sz="4" w:space="0" w:color="auto"/>
              <w:bottom w:val="single" w:sz="4" w:space="0" w:color="auto"/>
            </w:tcBorders>
          </w:tcPr>
          <w:p w14:paraId="11CF5F18" w14:textId="77777777" w:rsidR="00483198" w:rsidRPr="00557DDF" w:rsidRDefault="00483198" w:rsidP="00977C28">
            <w:pPr>
              <w:pStyle w:val="ListParagraph"/>
              <w:numPr>
                <w:ilvl w:val="0"/>
                <w:numId w:val="236"/>
              </w:numPr>
              <w:spacing w:before="60" w:after="240" w:line="240" w:lineRule="auto"/>
              <w:ind w:left="322" w:hanging="322"/>
              <w:rPr>
                <w:rFonts w:ascii="Arial" w:hAnsi="Arial" w:cs="Arial"/>
                <w:i/>
                <w:sz w:val="16"/>
                <w:szCs w:val="16"/>
              </w:rPr>
            </w:pPr>
            <w:r w:rsidRPr="00557DDF">
              <w:rPr>
                <w:rFonts w:ascii="Arial" w:hAnsi="Arial" w:cs="Arial"/>
                <w:i/>
                <w:sz w:val="16"/>
                <w:szCs w:val="16"/>
              </w:rPr>
              <w:t>95% of applications are assessed within legislative timeframes.</w:t>
            </w:r>
          </w:p>
          <w:p w14:paraId="5174B8D2" w14:textId="455610CD" w:rsidR="00483198" w:rsidRPr="00557DDF" w:rsidRDefault="00483198" w:rsidP="00977C28">
            <w:pPr>
              <w:pStyle w:val="ListParagraph"/>
              <w:numPr>
                <w:ilvl w:val="0"/>
                <w:numId w:val="236"/>
              </w:numPr>
              <w:spacing w:before="240" w:after="60" w:line="240" w:lineRule="auto"/>
              <w:ind w:left="322" w:hanging="322"/>
              <w:rPr>
                <w:rFonts w:ascii="Arial" w:hAnsi="Arial" w:cs="Arial"/>
                <w:i/>
                <w:sz w:val="16"/>
                <w:szCs w:val="16"/>
              </w:rPr>
            </w:pPr>
            <w:r w:rsidRPr="00557DDF">
              <w:rPr>
                <w:rFonts w:ascii="Arial" w:hAnsi="Arial" w:cs="Arial"/>
                <w:i/>
                <w:sz w:val="16"/>
                <w:szCs w:val="16"/>
              </w:rPr>
              <w:t>All relevant legislation and legislative instruments are in place prior to the end of the transitional period.</w:t>
            </w:r>
          </w:p>
        </w:tc>
      </w:tr>
      <w:tr w:rsidR="00483198" w:rsidRPr="005C11A1" w14:paraId="383E33C0" w14:textId="77777777" w:rsidTr="00FB0D02">
        <w:trPr>
          <w:cantSplit/>
          <w:trHeight w:val="642"/>
        </w:trPr>
        <w:tc>
          <w:tcPr>
            <w:tcW w:w="1010" w:type="pct"/>
            <w:vMerge/>
            <w:tcBorders>
              <w:bottom w:val="single" w:sz="4" w:space="0" w:color="auto"/>
              <w:right w:val="single" w:sz="4" w:space="0" w:color="auto"/>
            </w:tcBorders>
          </w:tcPr>
          <w:p w14:paraId="76610AD5" w14:textId="77777777" w:rsidR="00483198" w:rsidRPr="005C11A1" w:rsidRDefault="00483198" w:rsidP="00376C7E">
            <w:pPr>
              <w:spacing w:before="60" w:after="60" w:line="240" w:lineRule="auto"/>
              <w:rPr>
                <w:rFonts w:ascii="Arial" w:hAnsi="Arial" w:cs="Arial"/>
                <w:sz w:val="16"/>
                <w:szCs w:val="16"/>
              </w:rPr>
            </w:pPr>
          </w:p>
        </w:tc>
        <w:tc>
          <w:tcPr>
            <w:tcW w:w="1656" w:type="pct"/>
            <w:tcBorders>
              <w:top w:val="single" w:sz="4" w:space="0" w:color="auto"/>
              <w:left w:val="single" w:sz="4" w:space="0" w:color="auto"/>
              <w:bottom w:val="single" w:sz="4" w:space="0" w:color="auto"/>
              <w:right w:val="single" w:sz="4" w:space="0" w:color="auto"/>
            </w:tcBorders>
          </w:tcPr>
          <w:p w14:paraId="03E97229" w14:textId="71B76278" w:rsidR="00483198" w:rsidRPr="005C11A1" w:rsidRDefault="00483198" w:rsidP="00376C7E">
            <w:pPr>
              <w:spacing w:before="60" w:after="60" w:line="240" w:lineRule="auto"/>
              <w:rPr>
                <w:rFonts w:ascii="Arial" w:eastAsia="Calibri" w:hAnsi="Arial" w:cs="Arial"/>
                <w:sz w:val="16"/>
                <w:szCs w:val="16"/>
                <w:lang w:eastAsia="en-US"/>
              </w:rPr>
            </w:pPr>
            <w:r w:rsidRPr="00376C7E">
              <w:rPr>
                <w:rFonts w:ascii="Arial" w:hAnsi="Arial" w:cs="Arial"/>
                <w:i/>
                <w:sz w:val="16"/>
                <w:szCs w:val="16"/>
              </w:rPr>
              <w:t>Timely delivery of road safety grants programs/projects within budget and achieving the outputs outlined in individual grant agreements</w:t>
            </w:r>
          </w:p>
        </w:tc>
        <w:tc>
          <w:tcPr>
            <w:tcW w:w="2334" w:type="pct"/>
            <w:tcBorders>
              <w:top w:val="single" w:sz="4" w:space="0" w:color="auto"/>
              <w:left w:val="single" w:sz="4" w:space="0" w:color="auto"/>
              <w:bottom w:val="single" w:sz="4" w:space="0" w:color="auto"/>
            </w:tcBorders>
          </w:tcPr>
          <w:p w14:paraId="2DCD4E36" w14:textId="337EAD67" w:rsidR="00483198" w:rsidRPr="005C11A1" w:rsidRDefault="00483198" w:rsidP="00376C7E">
            <w:pPr>
              <w:spacing w:before="60" w:after="60" w:line="240" w:lineRule="auto"/>
              <w:rPr>
                <w:rFonts w:ascii="Arial" w:eastAsia="Calibri" w:hAnsi="Arial" w:cs="Arial"/>
                <w:b/>
                <w:sz w:val="16"/>
                <w:szCs w:val="16"/>
                <w:lang w:eastAsia="en-US"/>
              </w:rPr>
            </w:pPr>
            <w:r w:rsidRPr="00376C7E">
              <w:rPr>
                <w:rFonts w:ascii="Arial" w:hAnsi="Arial" w:cs="Arial"/>
                <w:i/>
                <w:sz w:val="16"/>
                <w:szCs w:val="16"/>
              </w:rPr>
              <w:t>Road safety grants are delivered to projects which support the priorities of the National Road Safety Action Plan 2023-25.</w:t>
            </w:r>
          </w:p>
        </w:tc>
      </w:tr>
    </w:tbl>
    <w:p w14:paraId="7A8CC143" w14:textId="77777777" w:rsidR="00483198" w:rsidRDefault="00483198">
      <w:pPr>
        <w:spacing w:after="0" w:line="240" w:lineRule="auto"/>
        <w:rPr>
          <w:rFonts w:ascii="Arial" w:hAnsi="Arial" w:cs="Arial"/>
          <w:sz w:val="16"/>
        </w:rPr>
      </w:pPr>
      <w:r>
        <w:rPr>
          <w:rFonts w:ascii="Arial" w:hAnsi="Arial" w:cs="Arial"/>
          <w:sz w:val="16"/>
        </w:rPr>
        <w:br w:type="page"/>
      </w:r>
    </w:p>
    <w:p w14:paraId="22CB70CC" w14:textId="77777777" w:rsidR="00557DDF" w:rsidRDefault="00557DDF" w:rsidP="00D64A74">
      <w:pPr>
        <w:widowControl w:val="0"/>
        <w:autoSpaceDE w:val="0"/>
        <w:autoSpaceDN w:val="0"/>
        <w:spacing w:before="30" w:after="0" w:line="240" w:lineRule="auto"/>
        <w:rPr>
          <w:rFonts w:ascii="Arial" w:hAnsi="Arial" w:cs="Arial"/>
          <w:sz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57"/>
        <w:gridCol w:w="2399"/>
        <w:gridCol w:w="3644"/>
      </w:tblGrid>
      <w:tr w:rsidR="00557DDF" w:rsidRPr="00557DDF" w14:paraId="22821A91" w14:textId="77777777" w:rsidTr="00557DDF">
        <w:trPr>
          <w:trHeight w:val="266"/>
        </w:trPr>
        <w:tc>
          <w:tcPr>
            <w:tcW w:w="1076" w:type="pct"/>
            <w:tcBorders>
              <w:top w:val="double" w:sz="4" w:space="0" w:color="auto"/>
              <w:left w:val="single" w:sz="4" w:space="0" w:color="auto"/>
              <w:bottom w:val="single" w:sz="4" w:space="0" w:color="auto"/>
              <w:right w:val="single" w:sz="4" w:space="0" w:color="auto"/>
            </w:tcBorders>
          </w:tcPr>
          <w:p w14:paraId="60264A1E" w14:textId="77777777" w:rsidR="00557DDF" w:rsidRPr="00557DDF" w:rsidRDefault="00557DDF" w:rsidP="002C4539">
            <w:pPr>
              <w:pStyle w:val="TableParagraph"/>
              <w:spacing w:before="44"/>
              <w:ind w:left="107"/>
              <w:rPr>
                <w:b/>
                <w:spacing w:val="-4"/>
                <w:sz w:val="16"/>
              </w:rPr>
            </w:pPr>
            <w:r w:rsidRPr="00557DDF">
              <w:rPr>
                <w:b/>
                <w:spacing w:val="-4"/>
                <w:sz w:val="16"/>
              </w:rPr>
              <w:t>Year</w:t>
            </w:r>
          </w:p>
        </w:tc>
        <w:tc>
          <w:tcPr>
            <w:tcW w:w="1558" w:type="pct"/>
            <w:tcBorders>
              <w:top w:val="double" w:sz="4" w:space="0" w:color="auto"/>
              <w:left w:val="single" w:sz="4" w:space="0" w:color="auto"/>
              <w:bottom w:val="single" w:sz="4" w:space="0" w:color="auto"/>
              <w:right w:val="single" w:sz="4" w:space="0" w:color="auto"/>
            </w:tcBorders>
          </w:tcPr>
          <w:p w14:paraId="37F65A0F" w14:textId="77777777" w:rsidR="00557DDF" w:rsidRPr="00557DDF" w:rsidRDefault="00557DDF" w:rsidP="002C4539">
            <w:pPr>
              <w:pStyle w:val="TableParagraph"/>
              <w:spacing w:before="44"/>
              <w:ind w:left="107"/>
              <w:rPr>
                <w:b/>
                <w:spacing w:val="-4"/>
                <w:sz w:val="16"/>
              </w:rPr>
            </w:pPr>
            <w:r w:rsidRPr="00557DDF">
              <w:rPr>
                <w:b/>
                <w:spacing w:val="-4"/>
                <w:sz w:val="16"/>
              </w:rPr>
              <w:t>Performance measures</w:t>
            </w:r>
          </w:p>
        </w:tc>
        <w:tc>
          <w:tcPr>
            <w:tcW w:w="2366" w:type="pct"/>
            <w:tcBorders>
              <w:top w:val="double" w:sz="4" w:space="0" w:color="auto"/>
              <w:left w:val="single" w:sz="4" w:space="0" w:color="auto"/>
              <w:bottom w:val="single" w:sz="4" w:space="0" w:color="auto"/>
              <w:right w:val="single" w:sz="4" w:space="0" w:color="auto"/>
            </w:tcBorders>
          </w:tcPr>
          <w:p w14:paraId="00E9C047" w14:textId="77777777" w:rsidR="00557DDF" w:rsidRPr="00557DDF" w:rsidRDefault="00557DDF" w:rsidP="002C4539">
            <w:pPr>
              <w:spacing w:before="44" w:after="60"/>
              <w:rPr>
                <w:rFonts w:ascii="Arial" w:hAnsi="Arial" w:cs="Arial"/>
                <w:b/>
                <w:spacing w:val="-4"/>
                <w:sz w:val="16"/>
              </w:rPr>
            </w:pPr>
            <w:r w:rsidRPr="00557DDF">
              <w:rPr>
                <w:rFonts w:ascii="Arial" w:hAnsi="Arial" w:cs="Arial"/>
                <w:b/>
                <w:spacing w:val="-4"/>
                <w:sz w:val="16"/>
              </w:rPr>
              <w:t xml:space="preserve">  Planned Performance Results</w:t>
            </w:r>
          </w:p>
        </w:tc>
      </w:tr>
      <w:tr w:rsidR="00557DDF" w:rsidRPr="00557DDF" w14:paraId="363D003A" w14:textId="77777777" w:rsidTr="00557DDF">
        <w:trPr>
          <w:trHeight w:val="2251"/>
        </w:trPr>
        <w:tc>
          <w:tcPr>
            <w:tcW w:w="1076" w:type="pct"/>
            <w:vMerge w:val="restart"/>
            <w:tcBorders>
              <w:top w:val="single" w:sz="4" w:space="0" w:color="auto"/>
            </w:tcBorders>
          </w:tcPr>
          <w:p w14:paraId="7441FE0C" w14:textId="671D3716" w:rsidR="00557DDF" w:rsidRPr="00557DDF" w:rsidRDefault="00557DDF" w:rsidP="002C4539">
            <w:pPr>
              <w:pStyle w:val="TableParagraph"/>
              <w:spacing w:before="20" w:line="268" w:lineRule="auto"/>
              <w:ind w:left="107" w:right="105"/>
              <w:rPr>
                <w:sz w:val="16"/>
              </w:rPr>
            </w:pPr>
            <w:r w:rsidRPr="00557DDF">
              <w:rPr>
                <w:sz w:val="16"/>
              </w:rPr>
              <w:t>Forward</w:t>
            </w:r>
            <w:r w:rsidRPr="00557DDF">
              <w:rPr>
                <w:spacing w:val="-12"/>
                <w:sz w:val="16"/>
              </w:rPr>
              <w:t xml:space="preserve"> </w:t>
            </w:r>
            <w:r w:rsidRPr="00557DDF">
              <w:rPr>
                <w:sz w:val="16"/>
              </w:rPr>
              <w:t xml:space="preserve">Estimates </w:t>
            </w:r>
            <w:r w:rsidRPr="00557DDF">
              <w:rPr>
                <w:spacing w:val="-2"/>
                <w:sz w:val="16"/>
              </w:rPr>
              <w:t>2024</w:t>
            </w:r>
            <w:r>
              <w:rPr>
                <w:spacing w:val="-2"/>
                <w:sz w:val="16"/>
              </w:rPr>
              <w:noBreakHyphen/>
            </w:r>
            <w:r w:rsidRPr="00557DDF">
              <w:rPr>
                <w:spacing w:val="-2"/>
                <w:sz w:val="16"/>
              </w:rPr>
              <w:t>27</w:t>
            </w:r>
          </w:p>
        </w:tc>
        <w:tc>
          <w:tcPr>
            <w:tcW w:w="1558" w:type="pct"/>
            <w:tcBorders>
              <w:top w:val="single" w:sz="4" w:space="0" w:color="auto"/>
            </w:tcBorders>
          </w:tcPr>
          <w:p w14:paraId="22BC01BE" w14:textId="6934E4ED" w:rsidR="00557DDF" w:rsidRPr="00557DDF" w:rsidRDefault="00557DDF" w:rsidP="00557DDF">
            <w:pPr>
              <w:pStyle w:val="TableParagraph"/>
              <w:spacing w:before="60"/>
              <w:ind w:left="107" w:right="309"/>
              <w:rPr>
                <w:i/>
                <w:color w:val="006FC0"/>
                <w:sz w:val="16"/>
              </w:rPr>
            </w:pPr>
            <w:r w:rsidRPr="00376C7E">
              <w:rPr>
                <w:rFonts w:eastAsia="Calibri"/>
                <w:i/>
                <w:sz w:val="16"/>
                <w:szCs w:val="16"/>
                <w:lang w:eastAsia="en-US"/>
              </w:rPr>
              <w:t>Progress of the implementation of: The National Road Safety Strategy 2021–30 through delivery of the Australian Government’s commitments under the National Road Safety Action Plan 2023–25</w:t>
            </w:r>
          </w:p>
        </w:tc>
        <w:tc>
          <w:tcPr>
            <w:tcW w:w="2366" w:type="pct"/>
            <w:tcBorders>
              <w:top w:val="single" w:sz="4" w:space="0" w:color="auto"/>
            </w:tcBorders>
          </w:tcPr>
          <w:p w14:paraId="219B9D22" w14:textId="3638EE55" w:rsidR="00557DDF" w:rsidRPr="00557DDF" w:rsidRDefault="00557DDF" w:rsidP="00483198">
            <w:pPr>
              <w:pStyle w:val="TableParagraph"/>
              <w:spacing w:before="60" w:after="120"/>
              <w:ind w:left="107" w:right="309"/>
              <w:rPr>
                <w:rFonts w:eastAsia="Calibri"/>
                <w:i/>
                <w:sz w:val="16"/>
                <w:szCs w:val="16"/>
              </w:rPr>
            </w:pPr>
            <w:r w:rsidRPr="00557DDF">
              <w:rPr>
                <w:rFonts w:eastAsia="Calibri"/>
                <w:i/>
                <w:sz w:val="16"/>
                <w:szCs w:val="16"/>
              </w:rPr>
              <w:t>Production of annual reports for the 2024</w:t>
            </w:r>
            <w:r>
              <w:rPr>
                <w:rFonts w:eastAsia="Calibri"/>
                <w:i/>
                <w:sz w:val="16"/>
                <w:szCs w:val="16"/>
              </w:rPr>
              <w:noBreakHyphen/>
            </w:r>
            <w:r w:rsidRPr="00557DDF">
              <w:rPr>
                <w:rFonts w:eastAsia="Calibri"/>
                <w:i/>
                <w:sz w:val="16"/>
                <w:szCs w:val="16"/>
              </w:rPr>
              <w:t>25, and 2025–26 years detailing implementation progress under the National Road Safety Action Plan 2023–25.</w:t>
            </w:r>
          </w:p>
          <w:p w14:paraId="000761BB" w14:textId="60B22C08" w:rsidR="00557DDF" w:rsidRPr="00557DDF" w:rsidRDefault="00557DDF" w:rsidP="002C4539">
            <w:pPr>
              <w:pStyle w:val="TableParagraph"/>
              <w:spacing w:before="20"/>
              <w:ind w:left="107" w:right="309"/>
              <w:rPr>
                <w:i/>
                <w:color w:val="006FC0"/>
                <w:sz w:val="16"/>
              </w:rPr>
            </w:pPr>
            <w:r w:rsidRPr="00557DDF">
              <w:rPr>
                <w:rFonts w:eastAsia="Calibri"/>
                <w:i/>
                <w:sz w:val="16"/>
                <w:szCs w:val="16"/>
              </w:rPr>
              <w:t>Develop and implement a second National Road Safety Action Plan for the period 2026–2030 and report on implementation progress from 2026–2027.</w:t>
            </w:r>
          </w:p>
        </w:tc>
      </w:tr>
      <w:tr w:rsidR="00557DDF" w:rsidRPr="00557DDF" w14:paraId="54158816" w14:textId="77777777" w:rsidTr="00557DDF">
        <w:trPr>
          <w:trHeight w:val="796"/>
        </w:trPr>
        <w:tc>
          <w:tcPr>
            <w:tcW w:w="1076" w:type="pct"/>
            <w:vMerge/>
          </w:tcPr>
          <w:p w14:paraId="5D3E7AE0" w14:textId="77777777" w:rsidR="00557DDF" w:rsidRPr="00557DDF" w:rsidRDefault="00557DDF" w:rsidP="002C4539">
            <w:pPr>
              <w:pStyle w:val="TableParagraph"/>
              <w:spacing w:before="20" w:line="268" w:lineRule="auto"/>
              <w:ind w:left="107" w:right="105"/>
              <w:rPr>
                <w:sz w:val="16"/>
              </w:rPr>
            </w:pPr>
          </w:p>
        </w:tc>
        <w:tc>
          <w:tcPr>
            <w:tcW w:w="1558" w:type="pct"/>
            <w:tcBorders>
              <w:top w:val="dotted" w:sz="4" w:space="0" w:color="000000"/>
            </w:tcBorders>
          </w:tcPr>
          <w:p w14:paraId="40FCC7A1" w14:textId="4C3A6ABB" w:rsidR="00557DDF" w:rsidRPr="00557DDF" w:rsidRDefault="00557DDF" w:rsidP="00557DDF">
            <w:pPr>
              <w:pStyle w:val="TableParagraph"/>
              <w:spacing w:before="60"/>
              <w:ind w:left="107" w:right="309"/>
            </w:pPr>
            <w:r w:rsidRPr="00376C7E">
              <w:rPr>
                <w:i/>
                <w:sz w:val="16"/>
                <w:szCs w:val="16"/>
              </w:rPr>
              <w:t>The efficient and effective implementation of the</w:t>
            </w:r>
            <w:r>
              <w:rPr>
                <w:i/>
                <w:sz w:val="16"/>
                <w:szCs w:val="16"/>
              </w:rPr>
              <w:t xml:space="preserve"> </w:t>
            </w:r>
            <w:r w:rsidRPr="00376C7E">
              <w:rPr>
                <w:i/>
                <w:sz w:val="16"/>
                <w:szCs w:val="16"/>
              </w:rPr>
              <w:t>RVS legislation</w:t>
            </w:r>
          </w:p>
        </w:tc>
        <w:tc>
          <w:tcPr>
            <w:tcW w:w="2366" w:type="pct"/>
            <w:tcBorders>
              <w:top w:val="dotted" w:sz="4" w:space="0" w:color="000000"/>
            </w:tcBorders>
          </w:tcPr>
          <w:p w14:paraId="3C8346AD" w14:textId="77777777" w:rsidR="00557DDF" w:rsidRPr="00557DDF" w:rsidRDefault="00557DDF" w:rsidP="00977C28">
            <w:pPr>
              <w:pStyle w:val="ListParagraph"/>
              <w:numPr>
                <w:ilvl w:val="0"/>
                <w:numId w:val="262"/>
              </w:numPr>
              <w:spacing w:before="60" w:after="60" w:line="240" w:lineRule="auto"/>
              <w:ind w:left="331" w:hanging="256"/>
              <w:rPr>
                <w:rFonts w:ascii="Arial" w:hAnsi="Arial" w:cs="Arial"/>
                <w:i/>
                <w:sz w:val="16"/>
                <w:szCs w:val="16"/>
              </w:rPr>
            </w:pPr>
            <w:r w:rsidRPr="00557DDF">
              <w:rPr>
                <w:rFonts w:ascii="Arial" w:hAnsi="Arial" w:cs="Arial"/>
                <w:i/>
                <w:sz w:val="16"/>
                <w:szCs w:val="16"/>
              </w:rPr>
              <w:t>100 per cent of applications are assessed within legislative timeframes.</w:t>
            </w:r>
          </w:p>
          <w:p w14:paraId="133B36DD" w14:textId="77777777" w:rsidR="00557DDF" w:rsidRPr="00557DDF" w:rsidRDefault="00557DDF" w:rsidP="00977C28">
            <w:pPr>
              <w:pStyle w:val="ListParagraph"/>
              <w:numPr>
                <w:ilvl w:val="0"/>
                <w:numId w:val="262"/>
              </w:numPr>
              <w:spacing w:before="60" w:after="60" w:line="240" w:lineRule="auto"/>
              <w:ind w:left="331" w:hanging="256"/>
              <w:rPr>
                <w:rFonts w:ascii="Arial" w:hAnsi="Arial" w:cs="Arial"/>
                <w:i/>
                <w:sz w:val="16"/>
                <w:szCs w:val="16"/>
              </w:rPr>
            </w:pPr>
            <w:r w:rsidRPr="00557DDF">
              <w:rPr>
                <w:rFonts w:ascii="Arial" w:hAnsi="Arial" w:cs="Arial"/>
                <w:i/>
                <w:sz w:val="16"/>
                <w:szCs w:val="16"/>
              </w:rPr>
              <w:t>75 per cent of voluntary recalls published within the service level agreement of seven days.</w:t>
            </w:r>
          </w:p>
          <w:p w14:paraId="61B471DB" w14:textId="77777777" w:rsidR="00557DDF" w:rsidRPr="00557DDF" w:rsidRDefault="00557DDF" w:rsidP="00977C28">
            <w:pPr>
              <w:pStyle w:val="ListParagraph"/>
              <w:numPr>
                <w:ilvl w:val="0"/>
                <w:numId w:val="262"/>
              </w:numPr>
              <w:spacing w:before="60" w:after="60" w:line="240" w:lineRule="auto"/>
              <w:ind w:left="331" w:hanging="256"/>
              <w:rPr>
                <w:rFonts w:ascii="Arial" w:hAnsi="Arial" w:cs="Arial"/>
                <w:i/>
                <w:sz w:val="16"/>
                <w:szCs w:val="16"/>
              </w:rPr>
            </w:pPr>
            <w:r w:rsidRPr="00557DDF">
              <w:rPr>
                <w:rFonts w:ascii="Arial" w:hAnsi="Arial" w:cs="Arial"/>
                <w:i/>
                <w:sz w:val="16"/>
                <w:szCs w:val="16"/>
              </w:rPr>
              <w:t>As part of implementing the RVS legislation, a PIR is conducted through industry consultation and analysis of industry submissions.</w:t>
            </w:r>
          </w:p>
          <w:p w14:paraId="0433D8EC" w14:textId="013706DF" w:rsidR="00557DDF" w:rsidRPr="00557DDF" w:rsidRDefault="00557DDF" w:rsidP="00977C28">
            <w:pPr>
              <w:pStyle w:val="ListParagraph"/>
              <w:numPr>
                <w:ilvl w:val="0"/>
                <w:numId w:val="262"/>
              </w:numPr>
              <w:spacing w:before="60" w:after="60" w:line="240" w:lineRule="auto"/>
              <w:ind w:left="331" w:hanging="256"/>
              <w:rPr>
                <w:rFonts w:ascii="Arial" w:hAnsi="Arial" w:cs="Arial"/>
                <w:i/>
                <w:sz w:val="16"/>
                <w:szCs w:val="16"/>
              </w:rPr>
            </w:pPr>
            <w:r w:rsidRPr="00557DDF">
              <w:rPr>
                <w:rFonts w:ascii="Arial" w:hAnsi="Arial" w:cs="Arial"/>
                <w:i/>
                <w:sz w:val="16"/>
                <w:szCs w:val="16"/>
              </w:rPr>
              <w:t>Agreed recommendations of the PIR are implemented.</w:t>
            </w:r>
          </w:p>
        </w:tc>
      </w:tr>
      <w:tr w:rsidR="00557DDF" w:rsidRPr="00557DDF" w14:paraId="5E716F3F" w14:textId="77777777" w:rsidTr="00557DDF">
        <w:trPr>
          <w:trHeight w:val="796"/>
        </w:trPr>
        <w:tc>
          <w:tcPr>
            <w:tcW w:w="1076" w:type="pct"/>
            <w:vMerge/>
          </w:tcPr>
          <w:p w14:paraId="5912903A" w14:textId="77777777" w:rsidR="00557DDF" w:rsidRPr="00557DDF" w:rsidRDefault="00557DDF" w:rsidP="002C4539">
            <w:pPr>
              <w:pStyle w:val="TableParagraph"/>
              <w:spacing w:before="20" w:line="268" w:lineRule="auto"/>
              <w:ind w:left="107" w:right="105"/>
              <w:rPr>
                <w:sz w:val="16"/>
              </w:rPr>
            </w:pPr>
          </w:p>
        </w:tc>
        <w:tc>
          <w:tcPr>
            <w:tcW w:w="1558" w:type="pct"/>
            <w:tcBorders>
              <w:top w:val="dotted" w:sz="4" w:space="0" w:color="000000"/>
            </w:tcBorders>
          </w:tcPr>
          <w:p w14:paraId="3833F1EA" w14:textId="25EB0AA1" w:rsidR="00557DDF" w:rsidRPr="00557DDF" w:rsidRDefault="00557DDF" w:rsidP="00557DDF">
            <w:pPr>
              <w:pStyle w:val="TableParagraph"/>
              <w:spacing w:before="60" w:after="60"/>
              <w:ind w:left="107" w:right="309"/>
              <w:rPr>
                <w:i/>
                <w:color w:val="006FC0"/>
                <w:sz w:val="16"/>
              </w:rPr>
            </w:pPr>
            <w:r w:rsidRPr="00376C7E">
              <w:rPr>
                <w:i/>
                <w:sz w:val="16"/>
                <w:szCs w:val="16"/>
              </w:rPr>
              <w:t>Timely delivery of road safety grants programs/projects within budget and achieving the outputs outlined in individual grant agreements</w:t>
            </w:r>
          </w:p>
        </w:tc>
        <w:tc>
          <w:tcPr>
            <w:tcW w:w="2366" w:type="pct"/>
            <w:tcBorders>
              <w:top w:val="dotted" w:sz="4" w:space="0" w:color="000000"/>
            </w:tcBorders>
          </w:tcPr>
          <w:p w14:paraId="3BD4669D" w14:textId="77777777" w:rsidR="00557DDF" w:rsidRPr="00557DDF" w:rsidRDefault="00557DDF" w:rsidP="00483198">
            <w:pPr>
              <w:pStyle w:val="TableParagraph"/>
              <w:spacing w:before="60"/>
              <w:ind w:left="107" w:right="309"/>
              <w:rPr>
                <w:i/>
                <w:color w:val="006FC0"/>
                <w:sz w:val="16"/>
              </w:rPr>
            </w:pPr>
            <w:r w:rsidRPr="00557DDF" w:rsidDel="007D75E0">
              <w:rPr>
                <w:rFonts w:eastAsia="Calibri"/>
                <w:i/>
                <w:sz w:val="16"/>
                <w:szCs w:val="16"/>
              </w:rPr>
              <w:t>Grants programs will likely occur to support the implementation of the Action Plan to 2025</w:t>
            </w:r>
            <w:r w:rsidRPr="00557DDF">
              <w:rPr>
                <w:rFonts w:eastAsia="Calibri"/>
                <w:i/>
                <w:sz w:val="16"/>
                <w:szCs w:val="16"/>
              </w:rPr>
              <w:t>.</w:t>
            </w:r>
          </w:p>
        </w:tc>
      </w:tr>
    </w:tbl>
    <w:p w14:paraId="59437A6F" w14:textId="54049BD7" w:rsidR="00D64A74" w:rsidRDefault="00D64A74" w:rsidP="00557DDF">
      <w:pPr>
        <w:widowControl w:val="0"/>
        <w:autoSpaceDE w:val="0"/>
        <w:autoSpaceDN w:val="0"/>
        <w:spacing w:before="60" w:after="0" w:line="240" w:lineRule="auto"/>
        <w:rPr>
          <w:rFonts w:ascii="Arial" w:hAnsi="Arial" w:cs="Arial"/>
          <w:i/>
          <w:sz w:val="16"/>
        </w:rPr>
      </w:pPr>
      <w:r>
        <w:rPr>
          <w:rFonts w:ascii="Arial" w:hAnsi="Arial" w:cs="Arial"/>
          <w:sz w:val="16"/>
        </w:rPr>
        <w:t xml:space="preserve">New or modified performance measures that reflect new or materially changed programs are shown in </w:t>
      </w:r>
      <w:r>
        <w:rPr>
          <w:rFonts w:ascii="Arial" w:hAnsi="Arial" w:cs="Arial"/>
          <w:i/>
          <w:sz w:val="16"/>
        </w:rPr>
        <w:t>italics</w:t>
      </w:r>
    </w:p>
    <w:p w14:paraId="7B14BA49" w14:textId="77777777" w:rsidR="005C5CF4" w:rsidRPr="005C5CF4" w:rsidRDefault="00D64A74" w:rsidP="00977C28">
      <w:pPr>
        <w:pStyle w:val="ListParagraph"/>
        <w:widowControl w:val="0"/>
        <w:numPr>
          <w:ilvl w:val="0"/>
          <w:numId w:val="234"/>
        </w:numPr>
        <w:autoSpaceDE w:val="0"/>
        <w:autoSpaceDN w:val="0"/>
        <w:spacing w:line="240" w:lineRule="auto"/>
        <w:ind w:left="426" w:hanging="426"/>
        <w:rPr>
          <w:rFonts w:ascii="Arial" w:hAnsi="Arial" w:cs="Arial"/>
          <w:i/>
          <w:sz w:val="16"/>
        </w:rPr>
      </w:pPr>
      <w:r w:rsidRPr="00B61E2F">
        <w:rPr>
          <w:rFonts w:ascii="Arial" w:hAnsi="Arial" w:cs="Arial"/>
          <w:sz w:val="16"/>
          <w:szCs w:val="16"/>
        </w:rPr>
        <w:t>New key activity that will be reflected in the 2023–24 Corporate Plan.</w:t>
      </w:r>
      <w:bookmarkStart w:id="21" w:name="_Hlk132280341"/>
    </w:p>
    <w:p w14:paraId="0CBCD85B" w14:textId="34AAF9A4" w:rsidR="00D64A74" w:rsidRPr="00557DDF" w:rsidRDefault="00557DDF" w:rsidP="00977C28">
      <w:pPr>
        <w:pStyle w:val="ListParagraph"/>
        <w:widowControl w:val="0"/>
        <w:numPr>
          <w:ilvl w:val="0"/>
          <w:numId w:val="234"/>
        </w:numPr>
        <w:autoSpaceDE w:val="0"/>
        <w:autoSpaceDN w:val="0"/>
        <w:spacing w:line="240" w:lineRule="auto"/>
        <w:ind w:left="426" w:hanging="426"/>
        <w:rPr>
          <w:rFonts w:ascii="Arial" w:hAnsi="Arial" w:cs="Arial"/>
          <w:i/>
          <w:sz w:val="16"/>
        </w:rPr>
      </w:pPr>
      <w:r>
        <w:rPr>
          <w:rFonts w:ascii="Arial" w:hAnsi="Arial" w:cs="Arial"/>
          <w:sz w:val="16"/>
        </w:rPr>
        <w:t>The 2022-23 target for this measure has been amended to accurately reflect the breadth of the National Road Safety Strategy, with further information to be reflected in the 2022-23 Annual Report (including results against the 2022-23 target published in the 2022-23 Corporate Plan).</w:t>
      </w:r>
    </w:p>
    <w:p w14:paraId="1E37D861" w14:textId="0818BE83" w:rsidR="00557DDF" w:rsidRPr="00557DDF" w:rsidRDefault="00557DDF" w:rsidP="00977C28">
      <w:pPr>
        <w:pStyle w:val="ListParagraph"/>
        <w:widowControl w:val="0"/>
        <w:numPr>
          <w:ilvl w:val="0"/>
          <w:numId w:val="234"/>
        </w:numPr>
        <w:autoSpaceDE w:val="0"/>
        <w:autoSpaceDN w:val="0"/>
        <w:spacing w:after="120" w:line="240" w:lineRule="auto"/>
        <w:ind w:left="426" w:hanging="426"/>
        <w:rPr>
          <w:rFonts w:ascii="Arial" w:hAnsi="Arial" w:cs="Arial"/>
          <w:sz w:val="16"/>
        </w:rPr>
      </w:pPr>
      <w:r w:rsidRPr="00557DDF">
        <w:rPr>
          <w:rFonts w:ascii="Arial" w:hAnsi="Arial" w:cs="Arial"/>
          <w:sz w:val="16"/>
        </w:rPr>
        <w:t xml:space="preserve">The 2022-23 target for this measure has been amended to report on the reduction of the rolling 3-year annual average road fatalities. Further information to be reflected in the 2022-23 Annual Report. This measure has been amended in 2023-24 to better reflect what the </w:t>
      </w:r>
      <w:r w:rsidR="00E17F15">
        <w:rPr>
          <w:rFonts w:ascii="Arial" w:hAnsi="Arial" w:cs="Arial"/>
          <w:sz w:val="16"/>
        </w:rPr>
        <w:t>Department</w:t>
      </w:r>
      <w:r w:rsidRPr="00557DDF">
        <w:rPr>
          <w:rFonts w:ascii="Arial" w:hAnsi="Arial" w:cs="Arial"/>
          <w:sz w:val="16"/>
        </w:rPr>
        <w:t xml:space="preserve"> i</w:t>
      </w:r>
      <w:r>
        <w:rPr>
          <w:rFonts w:ascii="Arial" w:hAnsi="Arial" w:cs="Arial"/>
          <w:sz w:val="16"/>
        </w:rPr>
        <w:t>s</w:t>
      </w:r>
      <w:r w:rsidRPr="00557DDF">
        <w:rPr>
          <w:rFonts w:ascii="Arial" w:hAnsi="Arial" w:cs="Arial"/>
          <w:sz w:val="16"/>
        </w:rPr>
        <w:t xml:space="preserve"> responsible for.</w:t>
      </w:r>
    </w:p>
    <w:p w14:paraId="61FEA84B" w14:textId="2B787A3B" w:rsidR="00557DDF" w:rsidRPr="00557DDF" w:rsidRDefault="00557DDF" w:rsidP="00557DDF">
      <w:pPr>
        <w:autoSpaceDE w:val="0"/>
        <w:autoSpaceDN w:val="0"/>
        <w:spacing w:before="40" w:after="40" w:line="240" w:lineRule="auto"/>
        <w:rPr>
          <w:rFonts w:ascii="Arial" w:hAnsi="Arial" w:cs="Arial"/>
          <w:sz w:val="16"/>
          <w:szCs w:val="16"/>
        </w:rPr>
      </w:pPr>
      <w:r w:rsidRPr="004E26ED">
        <w:rPr>
          <w:rFonts w:ascii="Arial" w:hAnsi="Arial" w:cs="Arial"/>
          <w:color w:val="000000"/>
          <w:sz w:val="16"/>
          <w:szCs w:val="16"/>
        </w:rPr>
        <w:t xml:space="preserve">The </w:t>
      </w:r>
      <w:r w:rsidR="00E17F15">
        <w:rPr>
          <w:rFonts w:ascii="Arial" w:hAnsi="Arial" w:cs="Arial"/>
          <w:color w:val="000000"/>
          <w:sz w:val="16"/>
          <w:szCs w:val="16"/>
        </w:rPr>
        <w:t>Department</w:t>
      </w:r>
      <w:r w:rsidRPr="004E26ED">
        <w:rPr>
          <w:rFonts w:ascii="Arial" w:hAnsi="Arial" w:cs="Arial"/>
          <w:color w:val="000000"/>
          <w:sz w:val="16"/>
          <w:szCs w:val="16"/>
        </w:rPr>
        <w:t xml:space="preserve"> has undertaken a suite of assessment and assurance activities regarding performance measures since </w:t>
      </w:r>
      <w:r w:rsidRPr="00557DDF">
        <w:rPr>
          <w:rFonts w:ascii="Arial" w:hAnsi="Arial" w:cs="Arial"/>
          <w:color w:val="000000"/>
          <w:sz w:val="16"/>
          <w:szCs w:val="16"/>
        </w:rPr>
        <w:t>the 2022</w:t>
      </w:r>
      <w:r w:rsidRPr="00557DDF">
        <w:rPr>
          <w:rFonts w:ascii="Arial" w:hAnsi="Arial" w:cs="Arial"/>
          <w:sz w:val="16"/>
          <w:szCs w:val="16"/>
        </w:rPr>
        <w:t>–</w:t>
      </w:r>
      <w:r w:rsidRPr="00557DDF">
        <w:rPr>
          <w:rFonts w:ascii="Arial" w:hAnsi="Arial" w:cs="Arial"/>
          <w:color w:val="000000"/>
          <w:sz w:val="16"/>
          <w:szCs w:val="16"/>
        </w:rPr>
        <w:t>23 Budget. As a result, a number of measures have been added, removed, or amended in the 2023</w:t>
      </w:r>
      <w:r w:rsidRPr="00557DDF">
        <w:rPr>
          <w:rFonts w:ascii="Arial" w:hAnsi="Arial" w:cs="Arial"/>
          <w:sz w:val="16"/>
          <w:szCs w:val="16"/>
        </w:rPr>
        <w:t>–</w:t>
      </w:r>
      <w:r w:rsidRPr="00557DDF">
        <w:rPr>
          <w:rFonts w:ascii="Arial" w:hAnsi="Arial" w:cs="Arial"/>
          <w:color w:val="000000"/>
          <w:sz w:val="16"/>
          <w:szCs w:val="16"/>
        </w:rPr>
        <w:t>24 Portfolio</w:t>
      </w:r>
      <w:r w:rsidRPr="004E26ED">
        <w:rPr>
          <w:rFonts w:ascii="Arial" w:hAnsi="Arial" w:cs="Arial"/>
          <w:color w:val="000000"/>
          <w:sz w:val="16"/>
          <w:szCs w:val="16"/>
        </w:rPr>
        <w:t xml:space="preserve"> Budget Statements. Further details will be provided in the </w:t>
      </w:r>
      <w:r w:rsidR="0000369A">
        <w:rPr>
          <w:rFonts w:ascii="Arial" w:hAnsi="Arial" w:cs="Arial"/>
          <w:color w:val="000000"/>
          <w:sz w:val="16"/>
          <w:szCs w:val="16"/>
        </w:rPr>
        <w:t>Department’s</w:t>
      </w:r>
      <w:r w:rsidRPr="004E26ED">
        <w:rPr>
          <w:rFonts w:ascii="Arial" w:hAnsi="Arial" w:cs="Arial"/>
          <w:color w:val="000000"/>
          <w:sz w:val="16"/>
          <w:szCs w:val="16"/>
        </w:rPr>
        <w:t xml:space="preserve"> Corporate Plan 2023</w:t>
      </w:r>
      <w:r w:rsidRPr="00557DDF">
        <w:rPr>
          <w:rFonts w:ascii="Arial" w:hAnsi="Arial" w:cs="Arial"/>
          <w:sz w:val="16"/>
          <w:szCs w:val="16"/>
        </w:rPr>
        <w:t>–</w:t>
      </w:r>
      <w:r w:rsidRPr="004E26ED">
        <w:rPr>
          <w:rFonts w:ascii="Arial" w:hAnsi="Arial" w:cs="Arial"/>
          <w:color w:val="000000"/>
          <w:sz w:val="16"/>
          <w:szCs w:val="16"/>
        </w:rPr>
        <w:t>24.  </w:t>
      </w:r>
    </w:p>
    <w:p w14:paraId="4983AE92" w14:textId="65DF8C0E" w:rsidR="00557DDF" w:rsidRDefault="00557DDF">
      <w:pPr>
        <w:spacing w:after="0" w:line="240" w:lineRule="auto"/>
        <w:rPr>
          <w:rFonts w:ascii="Arial" w:eastAsia="Calibri" w:hAnsi="Arial" w:cs="Arial"/>
          <w:i/>
          <w:sz w:val="16"/>
          <w:szCs w:val="22"/>
          <w:lang w:val="en-US" w:eastAsia="en-US"/>
        </w:rPr>
      </w:pPr>
      <w:r>
        <w:rPr>
          <w:rFonts w:ascii="Arial" w:hAnsi="Arial" w:cs="Arial"/>
          <w:i/>
          <w:sz w:val="1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2550"/>
        <w:gridCol w:w="3594"/>
      </w:tblGrid>
      <w:tr w:rsidR="00115843" w:rsidRPr="004810CF" w14:paraId="41A20D59" w14:textId="77777777" w:rsidTr="002F3AAF">
        <w:trPr>
          <w:trHeight w:val="522"/>
        </w:trPr>
        <w:tc>
          <w:tcPr>
            <w:tcW w:w="5000" w:type="pct"/>
            <w:gridSpan w:val="3"/>
            <w:shd w:val="clear" w:color="auto" w:fill="E6E6E6"/>
          </w:tcPr>
          <w:p w14:paraId="45CCB661" w14:textId="77777777" w:rsidR="00115843" w:rsidRPr="004810CF" w:rsidRDefault="00115843" w:rsidP="00FB0D02">
            <w:pPr>
              <w:spacing w:before="60" w:after="120" w:line="240" w:lineRule="auto"/>
              <w:rPr>
                <w:rFonts w:ascii="Arial" w:eastAsia="Calibri" w:hAnsi="Arial" w:cs="Arial"/>
                <w:b/>
                <w:sz w:val="18"/>
                <w:szCs w:val="18"/>
                <w:lang w:eastAsia="en-US"/>
              </w:rPr>
            </w:pPr>
            <w:bookmarkStart w:id="22" w:name="AirTransport2_3"/>
            <w:bookmarkEnd w:id="21"/>
            <w:r w:rsidRPr="004810CF">
              <w:rPr>
                <w:rFonts w:ascii="Arial" w:eastAsia="Calibri" w:hAnsi="Arial" w:cs="Arial"/>
                <w:b/>
                <w:sz w:val="18"/>
                <w:szCs w:val="18"/>
                <w:lang w:eastAsia="en-US"/>
              </w:rPr>
              <w:lastRenderedPageBreak/>
              <w:t>Program 2.3 – Air Transport</w:t>
            </w:r>
            <w:bookmarkEnd w:id="22"/>
          </w:p>
          <w:p w14:paraId="597D93F5" w14:textId="77777777" w:rsidR="00115843" w:rsidRPr="004810CF" w:rsidRDefault="00115843" w:rsidP="00FB0D02">
            <w:pPr>
              <w:spacing w:before="60" w:after="60" w:line="240" w:lineRule="auto"/>
              <w:rPr>
                <w:rFonts w:ascii="Arial" w:hAnsi="Arial"/>
                <w:sz w:val="18"/>
                <w:highlight w:val="yellow"/>
              </w:rPr>
            </w:pPr>
            <w:r w:rsidRPr="004810CF">
              <w:rPr>
                <w:rFonts w:ascii="Arial" w:eastAsia="Calibri" w:hAnsi="Arial" w:cs="Arial"/>
                <w:sz w:val="18"/>
                <w:szCs w:val="18"/>
                <w:lang w:eastAsia="en-US"/>
              </w:rPr>
              <w:t>The air transport program facilitates investment in aviation infrastructure, ensures the aviation industry operates within a clear and robust regulatory framework, and ensures Australian businesses and consumers have access to competitive international and domestic air services, and access to regional and remote areas.</w:t>
            </w:r>
          </w:p>
        </w:tc>
      </w:tr>
      <w:tr w:rsidR="00115843" w:rsidRPr="004810CF" w14:paraId="75990C71" w14:textId="77777777" w:rsidTr="00FB0D02">
        <w:trPr>
          <w:trHeight w:val="174"/>
        </w:trPr>
        <w:tc>
          <w:tcPr>
            <w:tcW w:w="1010" w:type="pct"/>
            <w:tcBorders>
              <w:bottom w:val="double" w:sz="4" w:space="0" w:color="auto"/>
            </w:tcBorders>
          </w:tcPr>
          <w:p w14:paraId="00E6E607" w14:textId="17D0470A" w:rsidR="00115843" w:rsidRPr="004810CF" w:rsidRDefault="00115843" w:rsidP="00FB0D02">
            <w:pPr>
              <w:tabs>
                <w:tab w:val="left" w:pos="709"/>
              </w:tabs>
              <w:spacing w:before="60" w:after="60" w:line="259" w:lineRule="auto"/>
              <w:rPr>
                <w:rFonts w:ascii="Arial" w:eastAsiaTheme="minorHAnsi" w:hAnsi="Arial" w:cs="Arial"/>
                <w:b/>
                <w:sz w:val="16"/>
                <w:szCs w:val="16"/>
                <w:lang w:eastAsia="en-US"/>
              </w:rPr>
            </w:pPr>
            <w:r w:rsidRPr="004810CF">
              <w:rPr>
                <w:rFonts w:ascii="Arial" w:eastAsia="Calibri" w:hAnsi="Arial" w:cs="Arial"/>
                <w:b/>
                <w:sz w:val="16"/>
                <w:szCs w:val="16"/>
                <w:lang w:eastAsia="en-US"/>
              </w:rPr>
              <w:t xml:space="preserve">Key </w:t>
            </w:r>
            <w:r w:rsidRPr="0002192E">
              <w:rPr>
                <w:rFonts w:ascii="Arial" w:eastAsia="Calibri" w:hAnsi="Arial" w:cs="Arial"/>
                <w:b/>
                <w:sz w:val="16"/>
                <w:szCs w:val="16"/>
                <w:lang w:eastAsia="en-US"/>
              </w:rPr>
              <w:t>Activities</w:t>
            </w:r>
          </w:p>
        </w:tc>
        <w:tc>
          <w:tcPr>
            <w:tcW w:w="3990" w:type="pct"/>
            <w:gridSpan w:val="2"/>
            <w:tcBorders>
              <w:bottom w:val="double" w:sz="4" w:space="0" w:color="auto"/>
            </w:tcBorders>
          </w:tcPr>
          <w:p w14:paraId="77B43F16" w14:textId="77777777" w:rsidR="00D64A74" w:rsidRDefault="00D64A74" w:rsidP="00977C28">
            <w:pPr>
              <w:pStyle w:val="ListParagraph"/>
              <w:numPr>
                <w:ilvl w:val="0"/>
                <w:numId w:val="9"/>
              </w:numPr>
              <w:spacing w:before="60" w:after="0" w:line="240" w:lineRule="auto"/>
              <w:ind w:left="321"/>
              <w:rPr>
                <w:rFonts w:ascii="Arial" w:hAnsi="Arial" w:cs="Arial"/>
                <w:sz w:val="16"/>
                <w:szCs w:val="16"/>
              </w:rPr>
            </w:pPr>
            <w:r>
              <w:rPr>
                <w:rFonts w:ascii="Arial" w:hAnsi="Arial" w:cs="Arial"/>
                <w:sz w:val="16"/>
                <w:szCs w:val="16"/>
              </w:rPr>
              <w:t>Lead the design of the Western Sydney Airport flight path.</w:t>
            </w:r>
          </w:p>
          <w:p w14:paraId="58E52CB8" w14:textId="77777777" w:rsidR="00D64A74" w:rsidRDefault="00D64A74" w:rsidP="00977C28">
            <w:pPr>
              <w:pStyle w:val="ListParagraph"/>
              <w:numPr>
                <w:ilvl w:val="0"/>
                <w:numId w:val="9"/>
              </w:numPr>
              <w:spacing w:before="30" w:after="0" w:line="240" w:lineRule="auto"/>
              <w:ind w:left="321"/>
              <w:rPr>
                <w:rFonts w:ascii="Arial" w:hAnsi="Arial" w:cs="Arial"/>
                <w:sz w:val="16"/>
                <w:szCs w:val="16"/>
              </w:rPr>
            </w:pPr>
            <w:r>
              <w:rPr>
                <w:rFonts w:ascii="Arial" w:hAnsi="Arial" w:cs="Arial"/>
                <w:sz w:val="16"/>
                <w:szCs w:val="16"/>
              </w:rPr>
              <w:t>Manage domestic aviation policy, program and regulation.</w:t>
            </w:r>
          </w:p>
          <w:p w14:paraId="418DBD04" w14:textId="49B1F15F" w:rsidR="00115843" w:rsidRPr="004810CF" w:rsidRDefault="00D64A74" w:rsidP="00977C28">
            <w:pPr>
              <w:numPr>
                <w:ilvl w:val="0"/>
                <w:numId w:val="9"/>
              </w:numPr>
              <w:spacing w:after="60" w:line="240" w:lineRule="auto"/>
              <w:ind w:left="321"/>
              <w:rPr>
                <w:rFonts w:ascii="Arial" w:eastAsia="Calibri" w:hAnsi="Arial" w:cs="Arial"/>
                <w:sz w:val="16"/>
                <w:szCs w:val="16"/>
                <w:lang w:eastAsia="en-US"/>
              </w:rPr>
            </w:pPr>
            <w:r>
              <w:rPr>
                <w:rFonts w:ascii="Arial" w:hAnsi="Arial" w:cs="Arial"/>
                <w:sz w:val="16"/>
                <w:szCs w:val="16"/>
              </w:rPr>
              <w:t>Supporting a safe and accessible transport system.</w:t>
            </w:r>
            <w:r>
              <w:rPr>
                <w:rFonts w:ascii="Arial" w:hAnsi="Arial" w:cs="Arial"/>
                <w:sz w:val="16"/>
                <w:szCs w:val="16"/>
                <w:vertAlign w:val="superscript"/>
              </w:rPr>
              <w:t>(a)</w:t>
            </w:r>
          </w:p>
        </w:tc>
      </w:tr>
      <w:tr w:rsidR="00115843" w:rsidRPr="004810CF" w14:paraId="380E7E49" w14:textId="77777777" w:rsidTr="00FB0D02">
        <w:trPr>
          <w:trHeight w:val="258"/>
        </w:trPr>
        <w:tc>
          <w:tcPr>
            <w:tcW w:w="1010" w:type="pct"/>
            <w:tcBorders>
              <w:top w:val="double" w:sz="4" w:space="0" w:color="auto"/>
              <w:bottom w:val="single" w:sz="4" w:space="0" w:color="auto"/>
              <w:right w:val="single" w:sz="4" w:space="0" w:color="auto"/>
            </w:tcBorders>
          </w:tcPr>
          <w:p w14:paraId="0B7F463D" w14:textId="77777777" w:rsidR="00115843" w:rsidRPr="004810CF" w:rsidRDefault="00115843" w:rsidP="00FB0D02">
            <w:pPr>
              <w:spacing w:before="60" w:after="60" w:line="240" w:lineRule="auto"/>
              <w:rPr>
                <w:rFonts w:ascii="Arial" w:hAnsi="Arial"/>
                <w:b/>
                <w:sz w:val="16"/>
                <w:szCs w:val="16"/>
              </w:rPr>
            </w:pPr>
            <w:r w:rsidRPr="004810CF">
              <w:rPr>
                <w:rFonts w:ascii="Arial" w:hAnsi="Arial"/>
                <w:b/>
                <w:sz w:val="16"/>
                <w:szCs w:val="16"/>
              </w:rPr>
              <w:t>Year</w:t>
            </w:r>
          </w:p>
        </w:tc>
        <w:tc>
          <w:tcPr>
            <w:tcW w:w="1656" w:type="pct"/>
            <w:tcBorders>
              <w:top w:val="double" w:sz="4" w:space="0" w:color="auto"/>
              <w:left w:val="single" w:sz="4" w:space="0" w:color="auto"/>
              <w:bottom w:val="single" w:sz="4" w:space="0" w:color="auto"/>
              <w:right w:val="single" w:sz="4" w:space="0" w:color="auto"/>
            </w:tcBorders>
          </w:tcPr>
          <w:p w14:paraId="2CB636F4" w14:textId="77777777" w:rsidR="00115843" w:rsidRPr="004810CF" w:rsidRDefault="00115843" w:rsidP="00FB0D02">
            <w:pPr>
              <w:spacing w:before="60" w:after="60" w:line="240" w:lineRule="auto"/>
              <w:rPr>
                <w:rFonts w:ascii="Arial" w:hAnsi="Arial" w:cs="Arial"/>
                <w:b/>
                <w:sz w:val="16"/>
                <w:szCs w:val="16"/>
              </w:rPr>
            </w:pPr>
            <w:r w:rsidRPr="004810CF">
              <w:rPr>
                <w:rFonts w:ascii="Arial" w:hAnsi="Arial" w:cs="Arial"/>
                <w:b/>
                <w:sz w:val="16"/>
                <w:szCs w:val="16"/>
              </w:rPr>
              <w:t>Performance measures</w:t>
            </w:r>
          </w:p>
        </w:tc>
        <w:tc>
          <w:tcPr>
            <w:tcW w:w="2334" w:type="pct"/>
            <w:tcBorders>
              <w:top w:val="double" w:sz="4" w:space="0" w:color="auto"/>
              <w:left w:val="single" w:sz="4" w:space="0" w:color="auto"/>
              <w:bottom w:val="single" w:sz="4" w:space="0" w:color="auto"/>
            </w:tcBorders>
          </w:tcPr>
          <w:p w14:paraId="6566E93C" w14:textId="77777777" w:rsidR="00115843" w:rsidRPr="004810CF" w:rsidRDefault="00115843" w:rsidP="00FB0D02">
            <w:pPr>
              <w:spacing w:before="60" w:after="60" w:line="240" w:lineRule="auto"/>
              <w:rPr>
                <w:rFonts w:ascii="Arial" w:hAnsi="Arial" w:cs="Arial"/>
                <w:b/>
                <w:sz w:val="16"/>
                <w:szCs w:val="16"/>
              </w:rPr>
            </w:pPr>
            <w:r>
              <w:rPr>
                <w:rFonts w:ascii="Arial" w:hAnsi="Arial" w:cs="Arial"/>
                <w:b/>
                <w:sz w:val="16"/>
                <w:szCs w:val="16"/>
              </w:rPr>
              <w:t>Expected</w:t>
            </w:r>
            <w:r w:rsidRPr="004810CF">
              <w:rPr>
                <w:rFonts w:ascii="Arial" w:hAnsi="Arial" w:cs="Arial"/>
                <w:b/>
                <w:sz w:val="16"/>
                <w:szCs w:val="16"/>
              </w:rPr>
              <w:t xml:space="preserve"> Performance Results</w:t>
            </w:r>
          </w:p>
        </w:tc>
      </w:tr>
      <w:tr w:rsidR="00C636D0" w:rsidRPr="004810CF" w14:paraId="22F92790" w14:textId="77777777" w:rsidTr="007406E2">
        <w:trPr>
          <w:cantSplit/>
          <w:trHeight w:val="642"/>
        </w:trPr>
        <w:tc>
          <w:tcPr>
            <w:tcW w:w="1010" w:type="pct"/>
            <w:vMerge w:val="restart"/>
            <w:tcBorders>
              <w:top w:val="single" w:sz="4" w:space="0" w:color="auto"/>
              <w:right w:val="single" w:sz="4" w:space="0" w:color="auto"/>
            </w:tcBorders>
          </w:tcPr>
          <w:p w14:paraId="1F0F880B" w14:textId="32A1D03B" w:rsidR="00C636D0" w:rsidRPr="00DB0E5D" w:rsidRDefault="00C636D0" w:rsidP="00FB0D02">
            <w:pPr>
              <w:spacing w:before="60" w:after="60" w:line="240" w:lineRule="auto"/>
              <w:rPr>
                <w:rFonts w:ascii="Arial" w:hAnsi="Arial"/>
                <w:sz w:val="16"/>
                <w:szCs w:val="16"/>
              </w:rPr>
            </w:pPr>
            <w:r>
              <w:rPr>
                <w:rFonts w:ascii="Arial" w:hAnsi="Arial"/>
                <w:sz w:val="16"/>
                <w:szCs w:val="16"/>
              </w:rPr>
              <w:t>Current</w:t>
            </w:r>
            <w:r w:rsidRPr="008D55A3">
              <w:rPr>
                <w:rFonts w:ascii="Arial" w:hAnsi="Arial"/>
                <w:sz w:val="16"/>
                <w:szCs w:val="16"/>
              </w:rPr>
              <w:t xml:space="preserve"> </w:t>
            </w:r>
            <w:r>
              <w:rPr>
                <w:rFonts w:ascii="Arial" w:hAnsi="Arial"/>
                <w:sz w:val="16"/>
                <w:szCs w:val="16"/>
              </w:rPr>
              <w:t>y</w:t>
            </w:r>
            <w:r w:rsidRPr="008D55A3">
              <w:rPr>
                <w:rFonts w:ascii="Arial" w:hAnsi="Arial"/>
                <w:sz w:val="16"/>
                <w:szCs w:val="16"/>
              </w:rPr>
              <w:t xml:space="preserve">ear </w:t>
            </w:r>
            <w:r>
              <w:rPr>
                <w:rFonts w:ascii="Arial" w:hAnsi="Arial"/>
                <w:sz w:val="16"/>
                <w:szCs w:val="16"/>
              </w:rPr>
              <w:br/>
            </w:r>
            <w:r w:rsidRPr="008D55A3">
              <w:rPr>
                <w:rFonts w:ascii="Arial" w:hAnsi="Arial"/>
                <w:sz w:val="16"/>
                <w:szCs w:val="16"/>
              </w:rPr>
              <w:t>202</w:t>
            </w:r>
            <w:r>
              <w:rPr>
                <w:rFonts w:ascii="Arial" w:hAnsi="Arial"/>
                <w:sz w:val="16"/>
                <w:szCs w:val="16"/>
              </w:rPr>
              <w:t>2</w:t>
            </w:r>
            <w:r w:rsidRPr="008D55A3">
              <w:rPr>
                <w:rFonts w:ascii="Arial" w:hAnsi="Arial"/>
                <w:sz w:val="16"/>
                <w:szCs w:val="16"/>
              </w:rPr>
              <w:t>–2</w:t>
            </w:r>
            <w:r>
              <w:rPr>
                <w:rFonts w:ascii="Arial" w:hAnsi="Arial"/>
                <w:sz w:val="16"/>
                <w:szCs w:val="16"/>
              </w:rPr>
              <w:t>3</w:t>
            </w:r>
          </w:p>
        </w:tc>
        <w:tc>
          <w:tcPr>
            <w:tcW w:w="1656" w:type="pct"/>
            <w:tcBorders>
              <w:top w:val="single" w:sz="4" w:space="0" w:color="auto"/>
              <w:left w:val="single" w:sz="4" w:space="0" w:color="auto"/>
              <w:bottom w:val="single" w:sz="4" w:space="0" w:color="auto"/>
              <w:right w:val="single" w:sz="4" w:space="0" w:color="auto"/>
            </w:tcBorders>
          </w:tcPr>
          <w:p w14:paraId="3D2B593D" w14:textId="77777777" w:rsidR="00730ABF" w:rsidRPr="00730ABF" w:rsidRDefault="00730ABF" w:rsidP="00730ABF">
            <w:pPr>
              <w:spacing w:before="60" w:after="0" w:line="240" w:lineRule="auto"/>
              <w:contextualSpacing/>
              <w:rPr>
                <w:rFonts w:ascii="Arial" w:eastAsia="Calibri" w:hAnsi="Arial" w:cs="Arial"/>
                <w:sz w:val="6"/>
                <w:szCs w:val="16"/>
                <w:lang w:eastAsia="en-US"/>
              </w:rPr>
            </w:pPr>
          </w:p>
          <w:p w14:paraId="31E2D973" w14:textId="16B87348" w:rsidR="00C636D0" w:rsidRPr="004810CF" w:rsidRDefault="00C636D0" w:rsidP="00730ABF">
            <w:pPr>
              <w:spacing w:after="60" w:line="240" w:lineRule="auto"/>
              <w:contextualSpacing/>
              <w:rPr>
                <w:rFonts w:ascii="Arial" w:eastAsia="Calibri" w:hAnsi="Arial" w:cs="Arial"/>
                <w:sz w:val="16"/>
                <w:szCs w:val="16"/>
                <w:vertAlign w:val="superscript"/>
                <w:lang w:eastAsia="en-US"/>
              </w:rPr>
            </w:pPr>
            <w:r w:rsidRPr="00D64A74">
              <w:rPr>
                <w:rFonts w:ascii="Arial" w:eastAsia="Calibri" w:hAnsi="Arial" w:cs="Arial"/>
                <w:sz w:val="16"/>
                <w:szCs w:val="16"/>
                <w:lang w:eastAsia="en-US"/>
              </w:rPr>
              <w:t>Development of an Environmental Assessment of Preliminary Flight Paths for Western Sydney International (Nancy-Bird Walton) Airport (WSI)</w:t>
            </w:r>
          </w:p>
        </w:tc>
        <w:tc>
          <w:tcPr>
            <w:tcW w:w="2334" w:type="pct"/>
            <w:tcBorders>
              <w:top w:val="single" w:sz="4" w:space="0" w:color="auto"/>
              <w:left w:val="single" w:sz="4" w:space="0" w:color="auto"/>
              <w:bottom w:val="single" w:sz="4" w:space="0" w:color="auto"/>
            </w:tcBorders>
          </w:tcPr>
          <w:p w14:paraId="0B8803F0" w14:textId="5BB34800" w:rsidR="00E606DC" w:rsidRDefault="00E606DC" w:rsidP="00E606DC">
            <w:pPr>
              <w:spacing w:before="60" w:after="120" w:line="240" w:lineRule="auto"/>
              <w:rPr>
                <w:rFonts w:ascii="Arial" w:eastAsia="Calibri" w:hAnsi="Arial" w:cs="Arial"/>
                <w:sz w:val="16"/>
                <w:szCs w:val="16"/>
                <w:lang w:eastAsia="en-US"/>
              </w:rPr>
            </w:pPr>
            <w:r>
              <w:rPr>
                <w:rFonts w:ascii="Arial" w:eastAsia="Calibri" w:hAnsi="Arial" w:cs="Arial"/>
                <w:sz w:val="16"/>
                <w:szCs w:val="16"/>
                <w:lang w:eastAsia="en-US"/>
              </w:rPr>
              <w:t>Target: Delivery milestones are met for 2022</w:t>
            </w:r>
            <w:r>
              <w:rPr>
                <w:rFonts w:ascii="Arial" w:eastAsia="Calibri" w:hAnsi="Arial" w:cs="Arial"/>
                <w:sz w:val="16"/>
                <w:szCs w:val="16"/>
                <w:lang w:eastAsia="en-US"/>
              </w:rPr>
              <w:noBreakHyphen/>
              <w:t>23.</w:t>
            </w:r>
          </w:p>
          <w:p w14:paraId="083CB47C" w14:textId="0C3C9760" w:rsidR="00C636D0" w:rsidRPr="00D64A74" w:rsidRDefault="00C636D0" w:rsidP="00D64A74">
            <w:pPr>
              <w:spacing w:before="60" w:after="60" w:line="240" w:lineRule="auto"/>
              <w:rPr>
                <w:rFonts w:ascii="Arial" w:eastAsia="Calibri" w:hAnsi="Arial" w:cs="Arial"/>
                <w:sz w:val="16"/>
                <w:szCs w:val="16"/>
                <w:lang w:eastAsia="en-US"/>
              </w:rPr>
            </w:pPr>
            <w:r w:rsidRPr="00D64A74">
              <w:rPr>
                <w:rFonts w:ascii="Arial" w:eastAsia="Calibri" w:hAnsi="Arial" w:cs="Arial"/>
                <w:sz w:val="16"/>
                <w:szCs w:val="16"/>
                <w:lang w:eastAsia="en-US"/>
              </w:rPr>
              <w:t>Target expected to be partially met.</w:t>
            </w:r>
          </w:p>
          <w:p w14:paraId="38E0CBD9" w14:textId="20519BE4" w:rsidR="00C636D0" w:rsidRPr="004810CF" w:rsidRDefault="00C636D0" w:rsidP="00E606DC">
            <w:pPr>
              <w:spacing w:before="120" w:after="60" w:line="240" w:lineRule="auto"/>
              <w:rPr>
                <w:rFonts w:ascii="Arial" w:eastAsia="Calibri" w:hAnsi="Arial" w:cs="Arial"/>
                <w:sz w:val="16"/>
                <w:szCs w:val="16"/>
                <w:lang w:eastAsia="en-US"/>
              </w:rPr>
            </w:pPr>
            <w:r w:rsidRPr="00D64A74">
              <w:rPr>
                <w:rFonts w:ascii="Arial" w:eastAsia="Calibri" w:hAnsi="Arial" w:cs="Arial"/>
                <w:sz w:val="16"/>
                <w:szCs w:val="16"/>
                <w:lang w:eastAsia="en-US"/>
              </w:rPr>
              <w:t xml:space="preserve">Implementation of the airspace design Environmental Impact Statement </w:t>
            </w:r>
            <w:r w:rsidR="007D6553">
              <w:rPr>
                <w:rFonts w:ascii="Arial" w:eastAsia="Calibri" w:hAnsi="Arial" w:cs="Arial"/>
                <w:sz w:val="16"/>
                <w:szCs w:val="16"/>
                <w:lang w:eastAsia="en-US"/>
              </w:rPr>
              <w:t xml:space="preserve">(EIS) </w:t>
            </w:r>
            <w:r w:rsidRPr="00D64A74">
              <w:rPr>
                <w:rFonts w:ascii="Arial" w:eastAsia="Calibri" w:hAnsi="Arial" w:cs="Arial"/>
                <w:sz w:val="16"/>
                <w:szCs w:val="16"/>
                <w:lang w:eastAsia="en-US"/>
              </w:rPr>
              <w:t>is progressing consistent with WSI opening in late-2026, as per schedule. Community consultation on the draft flight paths is now expected in September</w:t>
            </w:r>
            <w:r w:rsidR="00D63A02">
              <w:rPr>
                <w:rFonts w:ascii="Arial" w:eastAsia="Calibri" w:hAnsi="Arial" w:cs="Arial"/>
                <w:sz w:val="16"/>
                <w:szCs w:val="16"/>
                <w:lang w:eastAsia="en-US"/>
              </w:rPr>
              <w:t>-</w:t>
            </w:r>
            <w:r w:rsidRPr="00D64A74">
              <w:rPr>
                <w:rFonts w:ascii="Arial" w:eastAsia="Calibri" w:hAnsi="Arial" w:cs="Arial"/>
                <w:sz w:val="16"/>
                <w:szCs w:val="16"/>
                <w:lang w:eastAsia="en-US"/>
              </w:rPr>
              <w:t>October 2023, a small delay on the previous timeframe of ‘mid-2023’.</w:t>
            </w:r>
          </w:p>
        </w:tc>
      </w:tr>
      <w:tr w:rsidR="00C636D0" w:rsidRPr="004810CF" w14:paraId="6F51C294" w14:textId="77777777" w:rsidTr="007406E2">
        <w:trPr>
          <w:cantSplit/>
          <w:trHeight w:val="642"/>
        </w:trPr>
        <w:tc>
          <w:tcPr>
            <w:tcW w:w="1010" w:type="pct"/>
            <w:vMerge/>
            <w:tcBorders>
              <w:right w:val="single" w:sz="4" w:space="0" w:color="auto"/>
            </w:tcBorders>
          </w:tcPr>
          <w:p w14:paraId="4B6F9016" w14:textId="77777777" w:rsidR="00C636D0" w:rsidRPr="004810CF" w:rsidRDefault="00C636D0" w:rsidP="00FB0D02">
            <w:pPr>
              <w:spacing w:before="60" w:after="60" w:line="240" w:lineRule="auto"/>
              <w:rPr>
                <w:rFonts w:ascii="Arial" w:hAnsi="Arial"/>
                <w:sz w:val="16"/>
                <w:szCs w:val="16"/>
              </w:rPr>
            </w:pPr>
          </w:p>
        </w:tc>
        <w:tc>
          <w:tcPr>
            <w:tcW w:w="1656" w:type="pct"/>
            <w:tcBorders>
              <w:top w:val="single" w:sz="4" w:space="0" w:color="auto"/>
              <w:left w:val="single" w:sz="4" w:space="0" w:color="auto"/>
              <w:bottom w:val="single" w:sz="4" w:space="0" w:color="auto"/>
              <w:right w:val="single" w:sz="4" w:space="0" w:color="auto"/>
            </w:tcBorders>
          </w:tcPr>
          <w:p w14:paraId="11F76E7E" w14:textId="36BB969F" w:rsidR="00C636D0" w:rsidRPr="004810CF" w:rsidRDefault="00C636D0" w:rsidP="00C636D0">
            <w:pPr>
              <w:spacing w:before="60" w:after="60" w:line="240" w:lineRule="auto"/>
              <w:rPr>
                <w:rFonts w:ascii="Arial" w:eastAsia="Calibri" w:hAnsi="Arial" w:cs="Arial"/>
                <w:sz w:val="16"/>
                <w:szCs w:val="16"/>
                <w:lang w:eastAsia="en-US"/>
              </w:rPr>
            </w:pPr>
            <w:r w:rsidRPr="00D64A74">
              <w:rPr>
                <w:rFonts w:ascii="Arial" w:eastAsia="Calibri" w:hAnsi="Arial" w:cs="Arial"/>
                <w:sz w:val="16"/>
                <w:szCs w:val="16"/>
                <w:lang w:eastAsia="en-US"/>
              </w:rPr>
              <w:t>Percentage of Master Plans and Major Development Plans processed for federally leased airports within statutory timeframes</w:t>
            </w:r>
          </w:p>
        </w:tc>
        <w:tc>
          <w:tcPr>
            <w:tcW w:w="2334" w:type="pct"/>
            <w:tcBorders>
              <w:top w:val="single" w:sz="4" w:space="0" w:color="auto"/>
              <w:left w:val="single" w:sz="4" w:space="0" w:color="auto"/>
              <w:bottom w:val="single" w:sz="4" w:space="0" w:color="auto"/>
            </w:tcBorders>
          </w:tcPr>
          <w:p w14:paraId="0271A234" w14:textId="6A2C365A" w:rsidR="00E606DC" w:rsidRDefault="00E606DC" w:rsidP="001066C8">
            <w:pPr>
              <w:spacing w:before="60" w:after="120" w:line="240" w:lineRule="auto"/>
              <w:rPr>
                <w:rFonts w:ascii="Arial" w:eastAsia="Calibri" w:hAnsi="Arial" w:cs="Arial"/>
                <w:sz w:val="16"/>
                <w:szCs w:val="16"/>
                <w:lang w:eastAsia="en-US"/>
              </w:rPr>
            </w:pPr>
            <w:r>
              <w:rPr>
                <w:rFonts w:ascii="Arial" w:eastAsia="Calibri" w:hAnsi="Arial" w:cs="Arial"/>
                <w:sz w:val="16"/>
                <w:szCs w:val="16"/>
                <w:lang w:eastAsia="en-US"/>
              </w:rPr>
              <w:t xml:space="preserve">Target: </w:t>
            </w:r>
            <w:r w:rsidRPr="004810CF">
              <w:rPr>
                <w:rFonts w:ascii="Arial" w:eastAsia="Calibri" w:hAnsi="Arial" w:cs="Arial"/>
                <w:sz w:val="16"/>
                <w:szCs w:val="16"/>
                <w:lang w:eastAsia="en-US"/>
              </w:rPr>
              <w:t>100% in each financial year</w:t>
            </w:r>
          </w:p>
          <w:p w14:paraId="5B693CE3" w14:textId="3F60DFAC" w:rsidR="00C636D0" w:rsidRPr="00D64A74" w:rsidRDefault="00C636D0" w:rsidP="00FB0D02">
            <w:pPr>
              <w:spacing w:before="60" w:after="60" w:line="240" w:lineRule="auto"/>
              <w:rPr>
                <w:rFonts w:ascii="Arial" w:eastAsia="Calibri" w:hAnsi="Arial" w:cs="Arial"/>
                <w:sz w:val="16"/>
                <w:szCs w:val="16"/>
                <w:lang w:eastAsia="en-US"/>
              </w:rPr>
            </w:pPr>
            <w:r w:rsidRPr="00D64A74">
              <w:rPr>
                <w:rFonts w:ascii="Arial" w:eastAsia="Calibri" w:hAnsi="Arial" w:cs="Arial"/>
                <w:sz w:val="16"/>
                <w:szCs w:val="16"/>
                <w:lang w:eastAsia="en-US"/>
              </w:rPr>
              <w:t>Target expected to be met.</w:t>
            </w:r>
          </w:p>
        </w:tc>
      </w:tr>
      <w:tr w:rsidR="00C636D0" w:rsidRPr="004810CF" w14:paraId="2AB2E6B3" w14:textId="77777777" w:rsidTr="007406E2">
        <w:trPr>
          <w:cantSplit/>
          <w:trHeight w:val="1503"/>
        </w:trPr>
        <w:tc>
          <w:tcPr>
            <w:tcW w:w="1010" w:type="pct"/>
            <w:vMerge/>
            <w:tcBorders>
              <w:right w:val="single" w:sz="4" w:space="0" w:color="auto"/>
            </w:tcBorders>
          </w:tcPr>
          <w:p w14:paraId="2EA29A1C" w14:textId="77777777" w:rsidR="00C636D0" w:rsidRPr="004810CF" w:rsidRDefault="00C636D0" w:rsidP="00FB0D02">
            <w:pPr>
              <w:spacing w:before="60" w:after="60" w:line="240" w:lineRule="auto"/>
              <w:rPr>
                <w:rFonts w:ascii="Arial" w:hAnsi="Arial"/>
                <w:sz w:val="16"/>
                <w:szCs w:val="16"/>
              </w:rPr>
            </w:pPr>
          </w:p>
        </w:tc>
        <w:tc>
          <w:tcPr>
            <w:tcW w:w="1656" w:type="pct"/>
            <w:tcBorders>
              <w:top w:val="single" w:sz="4" w:space="0" w:color="auto"/>
              <w:left w:val="single" w:sz="4" w:space="0" w:color="auto"/>
              <w:bottom w:val="single" w:sz="4" w:space="0" w:color="auto"/>
              <w:right w:val="single" w:sz="4" w:space="0" w:color="auto"/>
            </w:tcBorders>
          </w:tcPr>
          <w:p w14:paraId="00297918" w14:textId="74284472" w:rsidR="00C636D0" w:rsidRPr="00D64A74" w:rsidRDefault="00C636D0" w:rsidP="00C636D0">
            <w:pPr>
              <w:spacing w:before="60" w:after="60" w:line="240" w:lineRule="auto"/>
              <w:rPr>
                <w:rFonts w:ascii="Arial" w:hAnsi="Arial" w:cs="Arial"/>
                <w:sz w:val="16"/>
                <w:szCs w:val="16"/>
              </w:rPr>
            </w:pPr>
            <w:r>
              <w:rPr>
                <w:rFonts w:ascii="Arial" w:hAnsi="Arial" w:cs="Arial"/>
                <w:sz w:val="16"/>
                <w:szCs w:val="16"/>
              </w:rPr>
              <w:t>Performance of the Regional Airports Program (RAP) and the Remote Airstrip Upgrade (RAU) program, indicated through number of completed projects:</w:t>
            </w:r>
          </w:p>
          <w:p w14:paraId="072FFA01" w14:textId="324AF1C2" w:rsidR="00C636D0" w:rsidRPr="00D64A74" w:rsidRDefault="00C636D0" w:rsidP="00977C28">
            <w:pPr>
              <w:pStyle w:val="ListParagraph"/>
              <w:numPr>
                <w:ilvl w:val="0"/>
                <w:numId w:val="108"/>
              </w:numPr>
              <w:spacing w:before="60" w:after="60" w:line="240" w:lineRule="auto"/>
              <w:rPr>
                <w:rFonts w:ascii="Arial" w:hAnsi="Arial" w:cs="Arial"/>
                <w:sz w:val="16"/>
                <w:szCs w:val="16"/>
                <w:lang w:val="en-AU"/>
              </w:rPr>
            </w:pPr>
            <w:r w:rsidRPr="00D64A74">
              <w:rPr>
                <w:rFonts w:ascii="Arial" w:hAnsi="Arial" w:cs="Arial"/>
                <w:sz w:val="16"/>
                <w:szCs w:val="16"/>
                <w:lang w:val="en-AU"/>
              </w:rPr>
              <w:t>in regional Australia (RAP)</w:t>
            </w:r>
          </w:p>
          <w:p w14:paraId="5E6321B6" w14:textId="6E823A85" w:rsidR="00C636D0" w:rsidRPr="004810CF" w:rsidRDefault="00C636D0" w:rsidP="00977C28">
            <w:pPr>
              <w:numPr>
                <w:ilvl w:val="0"/>
                <w:numId w:val="108"/>
              </w:numPr>
              <w:spacing w:before="60" w:after="60" w:line="240" w:lineRule="auto"/>
              <w:contextualSpacing/>
              <w:rPr>
                <w:rFonts w:ascii="Arial" w:eastAsia="Calibri" w:hAnsi="Arial" w:cs="Arial"/>
                <w:sz w:val="16"/>
                <w:szCs w:val="16"/>
                <w:lang w:eastAsia="en-US"/>
              </w:rPr>
            </w:pPr>
            <w:r w:rsidRPr="00D64A74">
              <w:rPr>
                <w:rFonts w:ascii="Arial" w:eastAsia="Calibri" w:hAnsi="Arial" w:cs="Arial"/>
                <w:sz w:val="16"/>
                <w:szCs w:val="16"/>
                <w:lang w:eastAsia="en-US"/>
              </w:rPr>
              <w:t>in remote Australia (RAU)</w:t>
            </w:r>
          </w:p>
        </w:tc>
        <w:tc>
          <w:tcPr>
            <w:tcW w:w="2334" w:type="pct"/>
            <w:tcBorders>
              <w:top w:val="single" w:sz="4" w:space="0" w:color="auto"/>
              <w:left w:val="single" w:sz="4" w:space="0" w:color="auto"/>
              <w:bottom w:val="single" w:sz="4" w:space="0" w:color="auto"/>
            </w:tcBorders>
          </w:tcPr>
          <w:p w14:paraId="00189710" w14:textId="0F3E0F80" w:rsidR="00E606DC" w:rsidRDefault="00E606DC" w:rsidP="00C636D0">
            <w:pPr>
              <w:spacing w:before="60" w:after="60" w:line="240" w:lineRule="auto"/>
              <w:rPr>
                <w:rFonts w:ascii="Arial" w:eastAsia="Calibri" w:hAnsi="Arial" w:cs="Arial"/>
                <w:sz w:val="16"/>
                <w:szCs w:val="16"/>
                <w:lang w:eastAsia="en-US"/>
              </w:rPr>
            </w:pPr>
            <w:r>
              <w:rPr>
                <w:rFonts w:ascii="Arial" w:eastAsia="Calibri" w:hAnsi="Arial" w:cs="Arial"/>
                <w:sz w:val="16"/>
                <w:szCs w:val="16"/>
                <w:lang w:eastAsia="en-US"/>
              </w:rPr>
              <w:t xml:space="preserve">Target: </w:t>
            </w:r>
            <w:r w:rsidRPr="004810CF">
              <w:rPr>
                <w:rFonts w:ascii="Arial" w:eastAsia="Calibri" w:hAnsi="Arial" w:cs="Arial"/>
                <w:sz w:val="16"/>
                <w:szCs w:val="16"/>
                <w:lang w:eastAsia="en-US"/>
              </w:rPr>
              <w:t>In 2022–23, RAP and RAU projects are completed in line with their funding agreements. Both RAP and RAU continue for one round with RAP funding to 2024–25; RAU funding to 2023–24</w:t>
            </w:r>
            <w:r>
              <w:rPr>
                <w:rFonts w:ascii="Arial" w:eastAsia="Calibri" w:hAnsi="Arial" w:cs="Arial"/>
                <w:sz w:val="16"/>
                <w:szCs w:val="16"/>
                <w:lang w:eastAsia="en-US"/>
              </w:rPr>
              <w:t>.</w:t>
            </w:r>
          </w:p>
          <w:p w14:paraId="5CC91EE4" w14:textId="4180AA78" w:rsidR="00C636D0" w:rsidRPr="004810CF" w:rsidRDefault="00C636D0" w:rsidP="00E606DC">
            <w:pPr>
              <w:spacing w:before="240" w:after="60" w:line="240" w:lineRule="auto"/>
              <w:rPr>
                <w:rFonts w:ascii="Arial" w:eastAsia="Calibri" w:hAnsi="Arial" w:cs="Arial"/>
                <w:sz w:val="16"/>
                <w:szCs w:val="16"/>
                <w:lang w:eastAsia="en-US"/>
              </w:rPr>
            </w:pPr>
            <w:r w:rsidRPr="00C636D0">
              <w:rPr>
                <w:rFonts w:ascii="Arial" w:eastAsia="Calibri" w:hAnsi="Arial" w:cs="Arial"/>
                <w:sz w:val="16"/>
                <w:szCs w:val="16"/>
                <w:lang w:eastAsia="en-US"/>
              </w:rPr>
              <w:t>Target expected to be met.</w:t>
            </w:r>
          </w:p>
        </w:tc>
      </w:tr>
      <w:tr w:rsidR="00C636D0" w:rsidRPr="004810CF" w14:paraId="2D7A5A46" w14:textId="77777777" w:rsidTr="007406E2">
        <w:trPr>
          <w:cantSplit/>
          <w:trHeight w:val="872"/>
        </w:trPr>
        <w:tc>
          <w:tcPr>
            <w:tcW w:w="1010" w:type="pct"/>
            <w:vMerge/>
            <w:tcBorders>
              <w:right w:val="single" w:sz="4" w:space="0" w:color="auto"/>
            </w:tcBorders>
          </w:tcPr>
          <w:p w14:paraId="1AA88399" w14:textId="77777777" w:rsidR="00C636D0" w:rsidRPr="004810CF" w:rsidRDefault="00C636D0" w:rsidP="00FB0D02">
            <w:pPr>
              <w:spacing w:before="60" w:after="60" w:line="240" w:lineRule="auto"/>
              <w:rPr>
                <w:rFonts w:ascii="Arial" w:hAnsi="Arial"/>
                <w:sz w:val="16"/>
                <w:szCs w:val="16"/>
              </w:rPr>
            </w:pPr>
          </w:p>
        </w:tc>
        <w:tc>
          <w:tcPr>
            <w:tcW w:w="1656" w:type="pct"/>
            <w:tcBorders>
              <w:top w:val="single" w:sz="4" w:space="0" w:color="auto"/>
              <w:left w:val="single" w:sz="4" w:space="0" w:color="auto"/>
              <w:bottom w:val="single" w:sz="4" w:space="0" w:color="auto"/>
              <w:right w:val="single" w:sz="4" w:space="0" w:color="auto"/>
            </w:tcBorders>
          </w:tcPr>
          <w:p w14:paraId="4DCD4D90" w14:textId="33B4FE72" w:rsidR="00C636D0" w:rsidRDefault="00C636D0" w:rsidP="00C636D0">
            <w:pPr>
              <w:spacing w:before="60" w:after="60" w:line="240" w:lineRule="auto"/>
              <w:rPr>
                <w:rFonts w:ascii="Arial" w:hAnsi="Arial" w:cs="Arial"/>
                <w:sz w:val="16"/>
                <w:szCs w:val="16"/>
              </w:rPr>
            </w:pPr>
            <w:r w:rsidRPr="00C636D0">
              <w:rPr>
                <w:rFonts w:ascii="Arial" w:hAnsi="Arial" w:cs="Arial"/>
                <w:sz w:val="16"/>
                <w:szCs w:val="16"/>
              </w:rPr>
              <w:t>Remote Air Services Subsidy (RASS) Scheme performance is indicated by eligible communities in remote and isolated areas of Australia having access to a regular air transport service for the carriage of passengers and goods</w:t>
            </w:r>
          </w:p>
        </w:tc>
        <w:tc>
          <w:tcPr>
            <w:tcW w:w="2334" w:type="pct"/>
            <w:tcBorders>
              <w:top w:val="single" w:sz="4" w:space="0" w:color="auto"/>
              <w:left w:val="single" w:sz="4" w:space="0" w:color="auto"/>
              <w:bottom w:val="single" w:sz="4" w:space="0" w:color="auto"/>
            </w:tcBorders>
          </w:tcPr>
          <w:p w14:paraId="5541CB2E" w14:textId="70F9D060" w:rsidR="00E606DC" w:rsidRDefault="00E606DC" w:rsidP="00C636D0">
            <w:pPr>
              <w:spacing w:before="60" w:after="60" w:line="240" w:lineRule="auto"/>
              <w:rPr>
                <w:rFonts w:ascii="Arial" w:eastAsia="Calibri" w:hAnsi="Arial" w:cs="Arial"/>
                <w:sz w:val="16"/>
                <w:szCs w:val="16"/>
                <w:lang w:eastAsia="en-US"/>
              </w:rPr>
            </w:pPr>
            <w:r>
              <w:rPr>
                <w:rFonts w:ascii="Arial" w:eastAsia="Calibri" w:hAnsi="Arial" w:cs="Arial"/>
                <w:sz w:val="16"/>
                <w:szCs w:val="16"/>
                <w:lang w:eastAsia="en-US"/>
              </w:rPr>
              <w:t xml:space="preserve">Target: </w:t>
            </w:r>
            <w:r w:rsidRPr="004810CF">
              <w:rPr>
                <w:rFonts w:ascii="Arial" w:eastAsia="Calibri" w:hAnsi="Arial" w:cs="Arial"/>
                <w:sz w:val="16"/>
                <w:szCs w:val="16"/>
                <w:lang w:eastAsia="en-US"/>
              </w:rPr>
              <w:t>All eligible communities are admitted and maintained in the RASS Scheme</w:t>
            </w:r>
            <w:r>
              <w:rPr>
                <w:rFonts w:ascii="Arial" w:eastAsia="Calibri" w:hAnsi="Arial" w:cs="Arial"/>
                <w:sz w:val="16"/>
                <w:szCs w:val="16"/>
                <w:lang w:eastAsia="en-US"/>
              </w:rPr>
              <w:t>.</w:t>
            </w:r>
          </w:p>
          <w:p w14:paraId="58256401" w14:textId="1240A68B" w:rsidR="00C636D0" w:rsidRPr="00C636D0" w:rsidRDefault="00C636D0" w:rsidP="00E606DC">
            <w:pPr>
              <w:spacing w:before="240" w:after="60" w:line="240" w:lineRule="auto"/>
              <w:rPr>
                <w:rFonts w:ascii="Arial" w:eastAsia="Calibri" w:hAnsi="Arial" w:cs="Arial"/>
                <w:sz w:val="16"/>
                <w:szCs w:val="16"/>
                <w:lang w:eastAsia="en-US"/>
              </w:rPr>
            </w:pPr>
            <w:r w:rsidRPr="00C636D0">
              <w:rPr>
                <w:rFonts w:ascii="Arial" w:eastAsia="Calibri" w:hAnsi="Arial" w:cs="Arial"/>
                <w:sz w:val="16"/>
                <w:szCs w:val="16"/>
                <w:lang w:eastAsia="en-US"/>
              </w:rPr>
              <w:t>Target expected to be met.</w:t>
            </w:r>
          </w:p>
        </w:tc>
      </w:tr>
      <w:tr w:rsidR="00C636D0" w:rsidRPr="004810CF" w14:paraId="52E164B8" w14:textId="77777777" w:rsidTr="007406E2">
        <w:trPr>
          <w:cantSplit/>
          <w:trHeight w:val="872"/>
        </w:trPr>
        <w:tc>
          <w:tcPr>
            <w:tcW w:w="1010" w:type="pct"/>
            <w:vMerge/>
            <w:tcBorders>
              <w:right w:val="single" w:sz="4" w:space="0" w:color="auto"/>
            </w:tcBorders>
          </w:tcPr>
          <w:p w14:paraId="5A50645F" w14:textId="77777777" w:rsidR="00C636D0" w:rsidRPr="004810CF" w:rsidRDefault="00C636D0" w:rsidP="00FB0D02">
            <w:pPr>
              <w:spacing w:before="60" w:after="60" w:line="240" w:lineRule="auto"/>
              <w:rPr>
                <w:rFonts w:ascii="Arial" w:hAnsi="Arial"/>
                <w:sz w:val="16"/>
                <w:szCs w:val="16"/>
              </w:rPr>
            </w:pPr>
          </w:p>
        </w:tc>
        <w:tc>
          <w:tcPr>
            <w:tcW w:w="1656" w:type="pct"/>
            <w:tcBorders>
              <w:top w:val="single" w:sz="4" w:space="0" w:color="auto"/>
              <w:left w:val="single" w:sz="4" w:space="0" w:color="auto"/>
              <w:bottom w:val="single" w:sz="4" w:space="0" w:color="auto"/>
              <w:right w:val="single" w:sz="4" w:space="0" w:color="auto"/>
            </w:tcBorders>
          </w:tcPr>
          <w:p w14:paraId="59277B5C" w14:textId="7069E83A" w:rsidR="00C636D0" w:rsidRDefault="00C636D0" w:rsidP="00C636D0">
            <w:pPr>
              <w:spacing w:before="60" w:after="60" w:line="240" w:lineRule="auto"/>
              <w:rPr>
                <w:rFonts w:ascii="Arial" w:hAnsi="Arial" w:cs="Arial"/>
                <w:sz w:val="16"/>
                <w:szCs w:val="16"/>
              </w:rPr>
            </w:pPr>
            <w:r w:rsidRPr="00C636D0">
              <w:rPr>
                <w:rFonts w:ascii="Arial" w:hAnsi="Arial" w:cs="Arial"/>
                <w:sz w:val="16"/>
                <w:szCs w:val="16"/>
              </w:rPr>
              <w:t>Provide policy advice supporting aviation safety</w:t>
            </w:r>
          </w:p>
        </w:tc>
        <w:tc>
          <w:tcPr>
            <w:tcW w:w="2334" w:type="pct"/>
            <w:tcBorders>
              <w:top w:val="single" w:sz="4" w:space="0" w:color="auto"/>
              <w:left w:val="single" w:sz="4" w:space="0" w:color="auto"/>
              <w:bottom w:val="single" w:sz="4" w:space="0" w:color="auto"/>
            </w:tcBorders>
          </w:tcPr>
          <w:p w14:paraId="3088762C" w14:textId="513FD44F" w:rsidR="00E606DC" w:rsidRDefault="00E606DC" w:rsidP="00C636D0">
            <w:pPr>
              <w:spacing w:before="60" w:after="60" w:line="240" w:lineRule="auto"/>
              <w:rPr>
                <w:rFonts w:ascii="Arial" w:eastAsia="Calibri" w:hAnsi="Arial" w:cs="Arial"/>
                <w:sz w:val="16"/>
                <w:szCs w:val="16"/>
                <w:lang w:eastAsia="en-US"/>
              </w:rPr>
            </w:pPr>
            <w:r>
              <w:rPr>
                <w:rFonts w:ascii="Arial" w:eastAsia="Calibri" w:hAnsi="Arial" w:cs="Arial"/>
                <w:sz w:val="16"/>
                <w:szCs w:val="16"/>
                <w:lang w:eastAsia="en-US"/>
              </w:rPr>
              <w:t xml:space="preserve">Target: </w:t>
            </w:r>
            <w:r w:rsidRPr="004810CF">
              <w:rPr>
                <w:rFonts w:ascii="Arial" w:eastAsia="Calibri" w:hAnsi="Arial" w:cs="Arial"/>
                <w:sz w:val="16"/>
                <w:szCs w:val="16"/>
                <w:lang w:eastAsia="en-US"/>
              </w:rPr>
              <w:t>Policy advice is high-quality, timely and evidence-based</w:t>
            </w:r>
            <w:r>
              <w:rPr>
                <w:rFonts w:ascii="Arial" w:eastAsia="Calibri" w:hAnsi="Arial" w:cs="Arial"/>
                <w:sz w:val="16"/>
                <w:szCs w:val="16"/>
                <w:lang w:eastAsia="en-US"/>
              </w:rPr>
              <w:t>.</w:t>
            </w:r>
          </w:p>
          <w:p w14:paraId="5AB45302" w14:textId="3CAF6A29" w:rsidR="00C636D0" w:rsidRPr="00C636D0" w:rsidRDefault="00C636D0" w:rsidP="00E606DC">
            <w:pPr>
              <w:spacing w:before="240" w:after="60" w:line="240" w:lineRule="auto"/>
              <w:rPr>
                <w:rFonts w:ascii="Arial" w:eastAsia="Calibri" w:hAnsi="Arial" w:cs="Arial"/>
                <w:sz w:val="16"/>
                <w:szCs w:val="16"/>
                <w:lang w:eastAsia="en-US"/>
              </w:rPr>
            </w:pPr>
            <w:r w:rsidRPr="00C636D0">
              <w:rPr>
                <w:rFonts w:ascii="Arial" w:eastAsia="Calibri" w:hAnsi="Arial" w:cs="Arial"/>
                <w:sz w:val="16"/>
                <w:szCs w:val="16"/>
                <w:lang w:eastAsia="en-US"/>
              </w:rPr>
              <w:t>Target expected to be met.</w:t>
            </w:r>
          </w:p>
        </w:tc>
      </w:tr>
    </w:tbl>
    <w:p w14:paraId="52DA38F8" w14:textId="7BE43532" w:rsidR="00C26B16" w:rsidRDefault="00C26B16">
      <w:r>
        <w:br w:type="page"/>
      </w:r>
    </w:p>
    <w:p w14:paraId="7CD9BB51" w14:textId="77777777" w:rsidR="00730ABF" w:rsidRDefault="00730ABF" w:rsidP="00730ABF">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2550"/>
        <w:gridCol w:w="3594"/>
      </w:tblGrid>
      <w:tr w:rsidR="00C26B16" w:rsidRPr="004810CF" w14:paraId="2ED27B89" w14:textId="77777777" w:rsidTr="00B14412">
        <w:trPr>
          <w:trHeight w:val="258"/>
        </w:trPr>
        <w:tc>
          <w:tcPr>
            <w:tcW w:w="1010" w:type="pct"/>
            <w:tcBorders>
              <w:top w:val="double" w:sz="4" w:space="0" w:color="auto"/>
              <w:bottom w:val="single" w:sz="4" w:space="0" w:color="auto"/>
              <w:right w:val="single" w:sz="4" w:space="0" w:color="auto"/>
            </w:tcBorders>
          </w:tcPr>
          <w:p w14:paraId="5B92A7F6" w14:textId="77777777" w:rsidR="00C26B16" w:rsidRPr="004810CF" w:rsidRDefault="00C26B16" w:rsidP="00B14412">
            <w:pPr>
              <w:spacing w:before="60" w:after="60" w:line="240" w:lineRule="auto"/>
              <w:rPr>
                <w:rFonts w:ascii="Arial" w:hAnsi="Arial"/>
                <w:b/>
                <w:sz w:val="16"/>
                <w:szCs w:val="16"/>
              </w:rPr>
            </w:pPr>
            <w:r w:rsidRPr="004810CF">
              <w:rPr>
                <w:rFonts w:ascii="Arial" w:hAnsi="Arial"/>
                <w:b/>
                <w:sz w:val="16"/>
                <w:szCs w:val="16"/>
              </w:rPr>
              <w:t>Year</w:t>
            </w:r>
          </w:p>
        </w:tc>
        <w:tc>
          <w:tcPr>
            <w:tcW w:w="1656" w:type="pct"/>
            <w:tcBorders>
              <w:top w:val="double" w:sz="4" w:space="0" w:color="auto"/>
              <w:left w:val="single" w:sz="4" w:space="0" w:color="auto"/>
              <w:bottom w:val="single" w:sz="4" w:space="0" w:color="auto"/>
              <w:right w:val="single" w:sz="4" w:space="0" w:color="auto"/>
            </w:tcBorders>
          </w:tcPr>
          <w:p w14:paraId="24425F70" w14:textId="77777777" w:rsidR="00C26B16" w:rsidRPr="004810CF" w:rsidRDefault="00C26B16" w:rsidP="00B14412">
            <w:pPr>
              <w:spacing w:before="60" w:after="60" w:line="240" w:lineRule="auto"/>
              <w:rPr>
                <w:rFonts w:ascii="Arial" w:hAnsi="Arial" w:cs="Arial"/>
                <w:b/>
                <w:sz w:val="16"/>
                <w:szCs w:val="16"/>
              </w:rPr>
            </w:pPr>
            <w:r w:rsidRPr="004810CF">
              <w:rPr>
                <w:rFonts w:ascii="Arial" w:hAnsi="Arial" w:cs="Arial"/>
                <w:b/>
                <w:sz w:val="16"/>
                <w:szCs w:val="16"/>
              </w:rPr>
              <w:t>Performance measures</w:t>
            </w:r>
          </w:p>
        </w:tc>
        <w:tc>
          <w:tcPr>
            <w:tcW w:w="2334" w:type="pct"/>
            <w:tcBorders>
              <w:top w:val="double" w:sz="4" w:space="0" w:color="auto"/>
              <w:left w:val="single" w:sz="4" w:space="0" w:color="auto"/>
              <w:bottom w:val="single" w:sz="4" w:space="0" w:color="auto"/>
            </w:tcBorders>
          </w:tcPr>
          <w:p w14:paraId="215401B7" w14:textId="747D2C53" w:rsidR="00C26B16" w:rsidRPr="004810CF" w:rsidRDefault="00C636D0" w:rsidP="00B14412">
            <w:pPr>
              <w:spacing w:before="60" w:after="60" w:line="240" w:lineRule="auto"/>
              <w:rPr>
                <w:rFonts w:ascii="Arial" w:hAnsi="Arial" w:cs="Arial"/>
                <w:b/>
                <w:sz w:val="16"/>
                <w:szCs w:val="16"/>
              </w:rPr>
            </w:pPr>
            <w:r>
              <w:rPr>
                <w:rFonts w:ascii="Arial" w:hAnsi="Arial" w:cs="Arial"/>
                <w:b/>
                <w:sz w:val="16"/>
                <w:szCs w:val="16"/>
              </w:rPr>
              <w:t>Plann</w:t>
            </w:r>
            <w:r w:rsidR="00C26B16">
              <w:rPr>
                <w:rFonts w:ascii="Arial" w:hAnsi="Arial" w:cs="Arial"/>
                <w:b/>
                <w:sz w:val="16"/>
                <w:szCs w:val="16"/>
              </w:rPr>
              <w:t>ed</w:t>
            </w:r>
            <w:r w:rsidR="00C26B16" w:rsidRPr="004810CF">
              <w:rPr>
                <w:rFonts w:ascii="Arial" w:hAnsi="Arial" w:cs="Arial"/>
                <w:b/>
                <w:sz w:val="16"/>
                <w:szCs w:val="16"/>
              </w:rPr>
              <w:t xml:space="preserve"> Performance Results</w:t>
            </w:r>
          </w:p>
        </w:tc>
      </w:tr>
      <w:tr w:rsidR="00115843" w:rsidRPr="004810CF" w14:paraId="163C22C7" w14:textId="77777777" w:rsidTr="002C712B">
        <w:trPr>
          <w:cantSplit/>
          <w:trHeight w:val="1675"/>
        </w:trPr>
        <w:tc>
          <w:tcPr>
            <w:tcW w:w="1010" w:type="pct"/>
            <w:tcBorders>
              <w:bottom w:val="nil"/>
              <w:right w:val="single" w:sz="4" w:space="0" w:color="auto"/>
            </w:tcBorders>
          </w:tcPr>
          <w:p w14:paraId="2C491AA6" w14:textId="3BDA1042" w:rsidR="00115843" w:rsidRPr="004810CF" w:rsidRDefault="00C636D0" w:rsidP="00FB0D02">
            <w:pPr>
              <w:spacing w:before="60" w:after="60" w:line="240" w:lineRule="auto"/>
              <w:rPr>
                <w:rFonts w:ascii="Arial" w:hAnsi="Arial"/>
                <w:sz w:val="16"/>
                <w:szCs w:val="16"/>
              </w:rPr>
            </w:pPr>
            <w:r>
              <w:rPr>
                <w:rFonts w:ascii="Arial" w:hAnsi="Arial"/>
                <w:sz w:val="16"/>
                <w:szCs w:val="16"/>
              </w:rPr>
              <w:t>Budget</w:t>
            </w:r>
            <w:r w:rsidR="00115843" w:rsidRPr="008D55A3">
              <w:rPr>
                <w:rFonts w:ascii="Arial" w:hAnsi="Arial"/>
                <w:sz w:val="16"/>
                <w:szCs w:val="16"/>
              </w:rPr>
              <w:t xml:space="preserve"> </w:t>
            </w:r>
            <w:r w:rsidR="00115843">
              <w:rPr>
                <w:rFonts w:ascii="Arial" w:hAnsi="Arial"/>
                <w:sz w:val="16"/>
                <w:szCs w:val="16"/>
              </w:rPr>
              <w:t>y</w:t>
            </w:r>
            <w:r w:rsidR="00115843" w:rsidRPr="008D55A3">
              <w:rPr>
                <w:rFonts w:ascii="Arial" w:hAnsi="Arial"/>
                <w:sz w:val="16"/>
                <w:szCs w:val="16"/>
              </w:rPr>
              <w:t xml:space="preserve">ear </w:t>
            </w:r>
            <w:r w:rsidR="00115843">
              <w:rPr>
                <w:rFonts w:ascii="Arial" w:hAnsi="Arial"/>
                <w:sz w:val="16"/>
                <w:szCs w:val="16"/>
              </w:rPr>
              <w:br/>
            </w:r>
            <w:r w:rsidR="00115843" w:rsidRPr="008D55A3">
              <w:rPr>
                <w:rFonts w:ascii="Arial" w:hAnsi="Arial"/>
                <w:sz w:val="16"/>
                <w:szCs w:val="16"/>
              </w:rPr>
              <w:t>202</w:t>
            </w:r>
            <w:r>
              <w:rPr>
                <w:rFonts w:ascii="Arial" w:hAnsi="Arial"/>
                <w:sz w:val="16"/>
                <w:szCs w:val="16"/>
              </w:rPr>
              <w:t>3</w:t>
            </w:r>
            <w:r w:rsidR="00115843" w:rsidRPr="008D55A3">
              <w:rPr>
                <w:rFonts w:ascii="Arial" w:hAnsi="Arial"/>
                <w:sz w:val="16"/>
                <w:szCs w:val="16"/>
              </w:rPr>
              <w:t>–2</w:t>
            </w:r>
            <w:r>
              <w:rPr>
                <w:rFonts w:ascii="Arial" w:hAnsi="Arial"/>
                <w:sz w:val="16"/>
                <w:szCs w:val="16"/>
              </w:rPr>
              <w:t>4</w:t>
            </w:r>
          </w:p>
        </w:tc>
        <w:tc>
          <w:tcPr>
            <w:tcW w:w="1656" w:type="pct"/>
            <w:tcBorders>
              <w:top w:val="single" w:sz="4" w:space="0" w:color="auto"/>
              <w:left w:val="single" w:sz="4" w:space="0" w:color="auto"/>
              <w:bottom w:val="single" w:sz="4" w:space="0" w:color="auto"/>
              <w:right w:val="single" w:sz="4" w:space="0" w:color="auto"/>
            </w:tcBorders>
          </w:tcPr>
          <w:p w14:paraId="40756E61" w14:textId="77777777" w:rsidR="00730ABF" w:rsidRPr="00730ABF" w:rsidRDefault="00730ABF" w:rsidP="00730ABF">
            <w:pPr>
              <w:spacing w:after="0" w:line="240" w:lineRule="auto"/>
              <w:contextualSpacing/>
              <w:rPr>
                <w:rFonts w:ascii="Arial" w:hAnsi="Arial"/>
                <w:sz w:val="6"/>
                <w:szCs w:val="16"/>
              </w:rPr>
            </w:pPr>
          </w:p>
          <w:p w14:paraId="4C641ABF" w14:textId="0EB492EE" w:rsidR="00115843" w:rsidRPr="00C71FCE" w:rsidRDefault="00C636D0" w:rsidP="00730ABF">
            <w:pPr>
              <w:spacing w:after="60" w:line="240" w:lineRule="auto"/>
              <w:contextualSpacing/>
              <w:rPr>
                <w:rFonts w:ascii="Arial" w:eastAsia="Calibri" w:hAnsi="Arial" w:cs="Arial"/>
                <w:sz w:val="16"/>
                <w:szCs w:val="16"/>
                <w:lang w:eastAsia="en-US"/>
              </w:rPr>
            </w:pPr>
            <w:r w:rsidRPr="00730ABF">
              <w:rPr>
                <w:rFonts w:ascii="Arial" w:hAnsi="Arial"/>
                <w:sz w:val="16"/>
                <w:szCs w:val="16"/>
              </w:rPr>
              <w:t>Development of</w:t>
            </w:r>
            <w:r w:rsidRPr="00C636D0">
              <w:rPr>
                <w:rFonts w:ascii="Arial" w:eastAsia="Calibri" w:hAnsi="Arial" w:cs="Arial"/>
                <w:sz w:val="16"/>
                <w:szCs w:val="16"/>
                <w:lang w:eastAsia="en-US"/>
              </w:rPr>
              <w:t xml:space="preserve"> an Environmental Assessment of Preliminary Flight Paths for </w:t>
            </w:r>
            <w:r w:rsidR="007D6553">
              <w:rPr>
                <w:rFonts w:ascii="Arial" w:eastAsia="Calibri" w:hAnsi="Arial" w:cs="Arial"/>
                <w:sz w:val="16"/>
                <w:szCs w:val="16"/>
                <w:lang w:eastAsia="en-US"/>
              </w:rPr>
              <w:t>WSI</w:t>
            </w:r>
          </w:p>
        </w:tc>
        <w:tc>
          <w:tcPr>
            <w:tcW w:w="2334" w:type="pct"/>
            <w:tcBorders>
              <w:top w:val="single" w:sz="4" w:space="0" w:color="auto"/>
              <w:left w:val="single" w:sz="4" w:space="0" w:color="auto"/>
              <w:bottom w:val="single" w:sz="4" w:space="0" w:color="auto"/>
            </w:tcBorders>
          </w:tcPr>
          <w:p w14:paraId="60251683" w14:textId="77777777" w:rsidR="00730ABF" w:rsidRPr="00730ABF" w:rsidRDefault="00730ABF" w:rsidP="00730ABF">
            <w:pPr>
              <w:spacing w:after="0" w:line="240" w:lineRule="auto"/>
              <w:ind w:right="-12"/>
              <w:contextualSpacing/>
              <w:rPr>
                <w:rFonts w:ascii="Arial" w:hAnsi="Arial"/>
                <w:sz w:val="6"/>
                <w:szCs w:val="16"/>
              </w:rPr>
            </w:pPr>
          </w:p>
          <w:p w14:paraId="53A4AA30" w14:textId="562EE571" w:rsidR="00C636D0" w:rsidRPr="00C636D0" w:rsidRDefault="00C636D0" w:rsidP="0072693E">
            <w:pPr>
              <w:spacing w:before="60" w:after="60" w:line="240" w:lineRule="auto"/>
              <w:ind w:right="-12"/>
              <w:contextualSpacing/>
              <w:rPr>
                <w:rFonts w:ascii="Arial" w:eastAsia="Calibri" w:hAnsi="Arial" w:cs="Arial"/>
                <w:sz w:val="16"/>
                <w:szCs w:val="16"/>
                <w:lang w:eastAsia="en-US"/>
              </w:rPr>
            </w:pPr>
            <w:r w:rsidRPr="00730ABF">
              <w:rPr>
                <w:rFonts w:ascii="Arial" w:hAnsi="Arial"/>
                <w:sz w:val="16"/>
                <w:szCs w:val="16"/>
              </w:rPr>
              <w:t>Delivery milestones are</w:t>
            </w:r>
            <w:r w:rsidRPr="00C636D0">
              <w:rPr>
                <w:rFonts w:ascii="Arial" w:eastAsia="Calibri" w:hAnsi="Arial" w:cs="Arial"/>
                <w:sz w:val="16"/>
                <w:szCs w:val="16"/>
                <w:lang w:eastAsia="en-US"/>
              </w:rPr>
              <w:t xml:space="preserve"> met for </w:t>
            </w:r>
            <w:r w:rsidRPr="00C636D0">
              <w:rPr>
                <w:rFonts w:ascii="Arial" w:eastAsia="Calibri" w:hAnsi="Arial" w:cs="Arial"/>
                <w:sz w:val="16"/>
                <w:szCs w:val="16"/>
                <w:lang w:eastAsia="en-US"/>
              </w:rPr>
              <w:br/>
              <w:t>2023–24:</w:t>
            </w:r>
          </w:p>
          <w:p w14:paraId="0797BACC" w14:textId="11EA6CC8" w:rsidR="00C636D0" w:rsidRDefault="00C636D0" w:rsidP="00977C28">
            <w:pPr>
              <w:numPr>
                <w:ilvl w:val="0"/>
                <w:numId w:val="152"/>
              </w:numPr>
              <w:spacing w:before="60" w:after="60" w:line="240" w:lineRule="auto"/>
              <w:ind w:left="322" w:right="-12" w:hanging="322"/>
              <w:contextualSpacing/>
              <w:rPr>
                <w:rFonts w:ascii="Arial" w:eastAsia="Calibri" w:hAnsi="Arial" w:cs="Arial"/>
                <w:sz w:val="16"/>
                <w:szCs w:val="16"/>
                <w:lang w:val="en-US" w:eastAsia="en-US"/>
              </w:rPr>
            </w:pPr>
            <w:r w:rsidRPr="00C636D0">
              <w:rPr>
                <w:rFonts w:ascii="Arial" w:eastAsia="Calibri" w:hAnsi="Arial" w:cs="Arial"/>
                <w:sz w:val="16"/>
                <w:szCs w:val="16"/>
                <w:lang w:val="en-US" w:eastAsia="en-US"/>
              </w:rPr>
              <w:t>Release of the draft EIS for WSI’s preliminary flight paths</w:t>
            </w:r>
            <w:r>
              <w:rPr>
                <w:rFonts w:ascii="Arial" w:eastAsia="Calibri" w:hAnsi="Arial" w:cs="Arial"/>
                <w:sz w:val="16"/>
                <w:szCs w:val="16"/>
                <w:lang w:val="en-US" w:eastAsia="en-US"/>
              </w:rPr>
              <w:t xml:space="preserve">, </w:t>
            </w:r>
            <w:r w:rsidRPr="00C636D0">
              <w:rPr>
                <w:rFonts w:ascii="Arial" w:eastAsia="Calibri" w:hAnsi="Arial" w:cs="Arial"/>
                <w:sz w:val="16"/>
                <w:szCs w:val="16"/>
                <w:lang w:val="en-US" w:eastAsia="en-US"/>
              </w:rPr>
              <w:t>September</w:t>
            </w:r>
            <w:r w:rsidR="00D92459">
              <w:rPr>
                <w:rFonts w:ascii="Arial" w:eastAsia="Calibri" w:hAnsi="Arial" w:cs="Arial"/>
                <w:sz w:val="16"/>
                <w:szCs w:val="16"/>
                <w:lang w:val="en-US" w:eastAsia="en-US"/>
              </w:rPr>
              <w:t xml:space="preserve"> </w:t>
            </w:r>
            <w:r w:rsidR="00D92459" w:rsidRPr="004810CF">
              <w:rPr>
                <w:rFonts w:ascii="Arial" w:eastAsia="Calibri" w:hAnsi="Arial" w:cs="Arial"/>
                <w:b/>
                <w:sz w:val="18"/>
                <w:szCs w:val="18"/>
                <w:lang w:eastAsia="en-US"/>
              </w:rPr>
              <w:t>–</w:t>
            </w:r>
            <w:r w:rsidRPr="00C636D0">
              <w:rPr>
                <w:rFonts w:ascii="Arial" w:eastAsia="Calibri" w:hAnsi="Arial" w:cs="Arial"/>
                <w:sz w:val="16"/>
                <w:szCs w:val="16"/>
                <w:lang w:val="en-US" w:eastAsia="en-US"/>
              </w:rPr>
              <w:t>October 2023.</w:t>
            </w:r>
          </w:p>
          <w:p w14:paraId="57208932" w14:textId="08D8154B" w:rsidR="00E606DC" w:rsidRPr="00E606DC" w:rsidRDefault="00C636D0" w:rsidP="00977C28">
            <w:pPr>
              <w:numPr>
                <w:ilvl w:val="0"/>
                <w:numId w:val="152"/>
              </w:numPr>
              <w:spacing w:before="60" w:after="120" w:line="240" w:lineRule="auto"/>
              <w:ind w:left="322" w:right="-12" w:hanging="322"/>
              <w:contextualSpacing/>
              <w:rPr>
                <w:rFonts w:ascii="Arial" w:eastAsia="Calibri" w:hAnsi="Arial" w:cs="Arial"/>
                <w:sz w:val="16"/>
                <w:szCs w:val="16"/>
                <w:lang w:val="en-US" w:eastAsia="en-US"/>
              </w:rPr>
            </w:pPr>
            <w:r w:rsidRPr="00C636D0">
              <w:rPr>
                <w:rFonts w:ascii="Arial" w:eastAsia="Calibri" w:hAnsi="Arial" w:cs="Arial"/>
                <w:sz w:val="16"/>
                <w:szCs w:val="16"/>
                <w:lang w:eastAsia="en-US"/>
              </w:rPr>
              <w:t>Release of the Public Submissions Report</w:t>
            </w:r>
            <w:r>
              <w:rPr>
                <w:rFonts w:ascii="Arial" w:eastAsia="Calibri" w:hAnsi="Arial" w:cs="Arial"/>
                <w:sz w:val="16"/>
                <w:szCs w:val="16"/>
                <w:lang w:eastAsia="en-US"/>
              </w:rPr>
              <w:t xml:space="preserve">, </w:t>
            </w:r>
            <w:r w:rsidRPr="00C636D0">
              <w:rPr>
                <w:rFonts w:ascii="Arial" w:eastAsia="Calibri" w:hAnsi="Arial" w:cs="Arial"/>
                <w:sz w:val="16"/>
                <w:szCs w:val="16"/>
                <w:lang w:eastAsia="en-US"/>
              </w:rPr>
              <w:t>March</w:t>
            </w:r>
            <w:r w:rsidR="00D92459" w:rsidRPr="004810CF">
              <w:rPr>
                <w:rFonts w:ascii="Arial" w:eastAsia="Calibri" w:hAnsi="Arial" w:cs="Arial"/>
                <w:b/>
                <w:sz w:val="18"/>
                <w:szCs w:val="18"/>
                <w:lang w:eastAsia="en-US"/>
              </w:rPr>
              <w:t>–</w:t>
            </w:r>
            <w:r w:rsidRPr="00C636D0">
              <w:rPr>
                <w:rFonts w:ascii="Arial" w:eastAsia="Calibri" w:hAnsi="Arial" w:cs="Arial"/>
                <w:sz w:val="16"/>
                <w:szCs w:val="16"/>
                <w:lang w:eastAsia="en-US"/>
              </w:rPr>
              <w:t>April 2024, subject to further planning and decision by Minister.</w:t>
            </w:r>
          </w:p>
        </w:tc>
      </w:tr>
      <w:tr w:rsidR="00115843" w:rsidRPr="004810CF" w14:paraId="142D6069" w14:textId="77777777" w:rsidTr="002C712B">
        <w:trPr>
          <w:cantSplit/>
          <w:trHeight w:val="1085"/>
        </w:trPr>
        <w:tc>
          <w:tcPr>
            <w:tcW w:w="1010" w:type="pct"/>
            <w:vMerge w:val="restart"/>
            <w:tcBorders>
              <w:top w:val="nil"/>
              <w:bottom w:val="single" w:sz="4" w:space="0" w:color="auto"/>
              <w:right w:val="single" w:sz="4" w:space="0" w:color="auto"/>
            </w:tcBorders>
          </w:tcPr>
          <w:p w14:paraId="1C0ED714" w14:textId="77777777" w:rsidR="00115843" w:rsidRPr="004810CF" w:rsidRDefault="00115843" w:rsidP="00FB0D02">
            <w:pPr>
              <w:spacing w:before="60" w:after="60" w:line="240" w:lineRule="auto"/>
              <w:rPr>
                <w:rFonts w:ascii="Arial" w:hAnsi="Arial"/>
                <w:sz w:val="16"/>
                <w:szCs w:val="16"/>
              </w:rPr>
            </w:pPr>
          </w:p>
        </w:tc>
        <w:tc>
          <w:tcPr>
            <w:tcW w:w="1656" w:type="pct"/>
            <w:tcBorders>
              <w:top w:val="single" w:sz="4" w:space="0" w:color="auto"/>
              <w:left w:val="single" w:sz="4" w:space="0" w:color="auto"/>
              <w:bottom w:val="single" w:sz="4" w:space="0" w:color="auto"/>
              <w:right w:val="single" w:sz="4" w:space="0" w:color="auto"/>
            </w:tcBorders>
          </w:tcPr>
          <w:p w14:paraId="005DE93F" w14:textId="53C2E6A6" w:rsidR="00115843" w:rsidRPr="004810CF" w:rsidRDefault="00C636D0" w:rsidP="00FB0D02">
            <w:pPr>
              <w:spacing w:before="60" w:after="60" w:line="240" w:lineRule="auto"/>
              <w:rPr>
                <w:rFonts w:ascii="Arial" w:eastAsia="Calibri" w:hAnsi="Arial" w:cs="Arial"/>
                <w:sz w:val="16"/>
                <w:szCs w:val="16"/>
                <w:lang w:eastAsia="en-US"/>
              </w:rPr>
            </w:pPr>
            <w:r w:rsidRPr="00C636D0">
              <w:rPr>
                <w:rFonts w:ascii="Arial" w:eastAsia="Calibri" w:hAnsi="Arial" w:cs="Arial"/>
                <w:sz w:val="16"/>
                <w:szCs w:val="16"/>
                <w:lang w:eastAsia="en-US"/>
              </w:rPr>
              <w:t>Percentage of Master Plans and Major Development Plans processed for federally leased airports within statutory timeframes</w:t>
            </w:r>
          </w:p>
        </w:tc>
        <w:tc>
          <w:tcPr>
            <w:tcW w:w="2334" w:type="pct"/>
            <w:tcBorders>
              <w:top w:val="single" w:sz="4" w:space="0" w:color="auto"/>
              <w:left w:val="single" w:sz="4" w:space="0" w:color="auto"/>
              <w:bottom w:val="single" w:sz="4" w:space="0" w:color="auto"/>
            </w:tcBorders>
          </w:tcPr>
          <w:p w14:paraId="56BFB91D" w14:textId="069B0F80" w:rsidR="00115843" w:rsidRPr="00666202" w:rsidRDefault="00666202" w:rsidP="00666202">
            <w:pPr>
              <w:spacing w:before="60" w:after="60" w:line="240" w:lineRule="auto"/>
              <w:ind w:right="-12"/>
              <w:rPr>
                <w:rFonts w:ascii="Arial" w:eastAsia="Calibri" w:hAnsi="Arial" w:cs="Arial"/>
                <w:sz w:val="16"/>
                <w:szCs w:val="16"/>
                <w:lang w:eastAsia="en-US"/>
              </w:rPr>
            </w:pPr>
            <w:r w:rsidRPr="00666202">
              <w:rPr>
                <w:rFonts w:ascii="Arial" w:eastAsia="Calibri" w:hAnsi="Arial" w:cs="Arial"/>
                <w:sz w:val="16"/>
                <w:szCs w:val="16"/>
                <w:lang w:eastAsia="en-US"/>
              </w:rPr>
              <w:t>100% of Master Plans and Major Development Plans assessed and submitted to Minister with sufficient time for consideration with statutory timeframes in each financial year.</w:t>
            </w:r>
          </w:p>
        </w:tc>
      </w:tr>
      <w:tr w:rsidR="00666202" w:rsidRPr="004810CF" w14:paraId="2587E516" w14:textId="77777777" w:rsidTr="002C712B">
        <w:trPr>
          <w:cantSplit/>
          <w:trHeight w:val="1111"/>
        </w:trPr>
        <w:tc>
          <w:tcPr>
            <w:tcW w:w="1010" w:type="pct"/>
            <w:vMerge/>
            <w:tcBorders>
              <w:top w:val="double" w:sz="4" w:space="0" w:color="auto"/>
              <w:bottom w:val="single" w:sz="4" w:space="0" w:color="auto"/>
              <w:right w:val="single" w:sz="4" w:space="0" w:color="auto"/>
            </w:tcBorders>
          </w:tcPr>
          <w:p w14:paraId="084B1D4A" w14:textId="77777777" w:rsidR="00666202" w:rsidRPr="004810CF" w:rsidRDefault="00666202" w:rsidP="00FB0D02">
            <w:pPr>
              <w:spacing w:before="60" w:after="60" w:line="240" w:lineRule="auto"/>
              <w:rPr>
                <w:rFonts w:ascii="Arial" w:hAnsi="Arial"/>
                <w:sz w:val="16"/>
                <w:szCs w:val="16"/>
              </w:rPr>
            </w:pPr>
          </w:p>
        </w:tc>
        <w:tc>
          <w:tcPr>
            <w:tcW w:w="1656" w:type="pct"/>
            <w:tcBorders>
              <w:top w:val="single" w:sz="4" w:space="0" w:color="auto"/>
              <w:left w:val="single" w:sz="4" w:space="0" w:color="auto"/>
              <w:bottom w:val="single" w:sz="4" w:space="0" w:color="auto"/>
              <w:right w:val="single" w:sz="4" w:space="0" w:color="auto"/>
            </w:tcBorders>
          </w:tcPr>
          <w:p w14:paraId="2EEE8834" w14:textId="2E224BFA" w:rsidR="00666202" w:rsidRPr="00666202" w:rsidRDefault="00666202" w:rsidP="00666202">
            <w:pPr>
              <w:spacing w:before="60" w:after="60" w:line="240" w:lineRule="auto"/>
              <w:rPr>
                <w:rFonts w:ascii="Arial" w:eastAsia="Calibri" w:hAnsi="Arial" w:cs="Arial"/>
                <w:sz w:val="16"/>
                <w:szCs w:val="16"/>
                <w:lang w:eastAsia="en-US"/>
              </w:rPr>
            </w:pPr>
            <w:r w:rsidRPr="00666202">
              <w:rPr>
                <w:rFonts w:ascii="Arial" w:eastAsia="Calibri" w:hAnsi="Arial" w:cs="Arial"/>
                <w:sz w:val="16"/>
                <w:szCs w:val="16"/>
                <w:lang w:eastAsia="en-US"/>
              </w:rPr>
              <w:t xml:space="preserve">Performance of the RAP and the RAU program, indicated through number of completed projects: </w:t>
            </w:r>
          </w:p>
          <w:p w14:paraId="1B81A10B" w14:textId="77777777" w:rsidR="00666202" w:rsidRDefault="00666202" w:rsidP="00977C28">
            <w:pPr>
              <w:numPr>
                <w:ilvl w:val="0"/>
                <w:numId w:val="155"/>
              </w:numPr>
              <w:spacing w:before="60" w:after="60" w:line="240" w:lineRule="auto"/>
              <w:ind w:left="321" w:hanging="284"/>
              <w:rPr>
                <w:rFonts w:ascii="Arial" w:eastAsia="Calibri" w:hAnsi="Arial" w:cs="Arial"/>
                <w:sz w:val="16"/>
                <w:szCs w:val="16"/>
                <w:lang w:val="en-US" w:eastAsia="en-US"/>
              </w:rPr>
            </w:pPr>
            <w:r w:rsidRPr="00666202">
              <w:rPr>
                <w:rFonts w:ascii="Arial" w:eastAsia="Calibri" w:hAnsi="Arial" w:cs="Arial"/>
                <w:sz w:val="16"/>
                <w:szCs w:val="16"/>
                <w:lang w:val="en-US" w:eastAsia="en-US"/>
              </w:rPr>
              <w:t>in regional Australia (RAP)</w:t>
            </w:r>
          </w:p>
          <w:p w14:paraId="44AF6065" w14:textId="3907B7A6" w:rsidR="00666202" w:rsidRPr="00666202" w:rsidRDefault="00666202" w:rsidP="00977C28">
            <w:pPr>
              <w:numPr>
                <w:ilvl w:val="0"/>
                <w:numId w:val="155"/>
              </w:numPr>
              <w:spacing w:before="60" w:after="60" w:line="240" w:lineRule="auto"/>
              <w:ind w:left="321" w:hanging="284"/>
              <w:rPr>
                <w:rFonts w:ascii="Arial" w:eastAsia="Calibri" w:hAnsi="Arial" w:cs="Arial"/>
                <w:sz w:val="16"/>
                <w:szCs w:val="16"/>
                <w:lang w:val="en-US" w:eastAsia="en-US"/>
              </w:rPr>
            </w:pPr>
            <w:r w:rsidRPr="00666202">
              <w:rPr>
                <w:rFonts w:ascii="Arial" w:eastAsia="Calibri" w:hAnsi="Arial" w:cs="Arial"/>
                <w:sz w:val="16"/>
                <w:szCs w:val="16"/>
                <w:lang w:eastAsia="en-US"/>
              </w:rPr>
              <w:t>in remote Australia (RAU)</w:t>
            </w:r>
          </w:p>
        </w:tc>
        <w:tc>
          <w:tcPr>
            <w:tcW w:w="2334" w:type="pct"/>
            <w:tcBorders>
              <w:top w:val="single" w:sz="4" w:space="0" w:color="auto"/>
              <w:left w:val="single" w:sz="4" w:space="0" w:color="auto"/>
              <w:bottom w:val="single" w:sz="4" w:space="0" w:color="auto"/>
            </w:tcBorders>
          </w:tcPr>
          <w:p w14:paraId="6AFC0725" w14:textId="77777777" w:rsidR="00666202" w:rsidRDefault="00666202" w:rsidP="00977C28">
            <w:pPr>
              <w:numPr>
                <w:ilvl w:val="0"/>
                <w:numId w:val="153"/>
              </w:numPr>
              <w:spacing w:before="60" w:after="60" w:line="240" w:lineRule="auto"/>
              <w:ind w:left="322" w:right="-12" w:hanging="322"/>
              <w:rPr>
                <w:rFonts w:ascii="Arial" w:eastAsia="Calibri" w:hAnsi="Arial" w:cs="Arial"/>
                <w:sz w:val="16"/>
                <w:szCs w:val="16"/>
                <w:lang w:val="en-US" w:eastAsia="en-US"/>
              </w:rPr>
            </w:pPr>
            <w:r w:rsidRPr="00C636D0">
              <w:rPr>
                <w:rFonts w:ascii="Arial" w:eastAsia="Calibri" w:hAnsi="Arial" w:cs="Arial"/>
                <w:sz w:val="16"/>
                <w:szCs w:val="16"/>
                <w:lang w:val="en-US" w:eastAsia="en-US"/>
              </w:rPr>
              <w:t>In 2023–24, RAP and RAU projects are completed in line with their funding agreements.</w:t>
            </w:r>
          </w:p>
          <w:p w14:paraId="1711EB98" w14:textId="7F930620" w:rsidR="00666202" w:rsidRPr="00666202" w:rsidRDefault="00666202" w:rsidP="00977C28">
            <w:pPr>
              <w:numPr>
                <w:ilvl w:val="0"/>
                <w:numId w:val="153"/>
              </w:numPr>
              <w:spacing w:before="60" w:after="60" w:line="240" w:lineRule="auto"/>
              <w:ind w:left="322" w:right="-12" w:hanging="322"/>
              <w:rPr>
                <w:rFonts w:ascii="Arial" w:eastAsia="Calibri" w:hAnsi="Arial" w:cs="Arial"/>
                <w:sz w:val="16"/>
                <w:szCs w:val="16"/>
                <w:lang w:val="en-US" w:eastAsia="en-US"/>
              </w:rPr>
            </w:pPr>
            <w:r w:rsidRPr="00666202">
              <w:rPr>
                <w:rFonts w:ascii="Arial" w:eastAsia="Calibri" w:hAnsi="Arial" w:cs="Arial"/>
                <w:sz w:val="16"/>
                <w:szCs w:val="16"/>
                <w:lang w:eastAsia="en-US"/>
              </w:rPr>
              <w:t>The RAU program funding ceases at 30</w:t>
            </w:r>
            <w:r w:rsidR="00E606DC">
              <w:rPr>
                <w:rFonts w:ascii="Arial" w:eastAsia="Calibri" w:hAnsi="Arial" w:cs="Arial"/>
                <w:sz w:val="16"/>
                <w:szCs w:val="16"/>
                <w:lang w:eastAsia="en-US"/>
              </w:rPr>
              <w:t> </w:t>
            </w:r>
            <w:r w:rsidRPr="00666202">
              <w:rPr>
                <w:rFonts w:ascii="Arial" w:eastAsia="Calibri" w:hAnsi="Arial" w:cs="Arial"/>
                <w:sz w:val="16"/>
                <w:szCs w:val="16"/>
                <w:lang w:eastAsia="en-US"/>
              </w:rPr>
              <w:t>June 2024. 100% of RAU projects with funding agreements in place are completed by 30 June 2024.</w:t>
            </w:r>
          </w:p>
        </w:tc>
      </w:tr>
      <w:tr w:rsidR="00115843" w:rsidRPr="004810CF" w14:paraId="06965243" w14:textId="77777777" w:rsidTr="002C712B">
        <w:trPr>
          <w:cantSplit/>
          <w:trHeight w:val="1111"/>
        </w:trPr>
        <w:tc>
          <w:tcPr>
            <w:tcW w:w="1010" w:type="pct"/>
            <w:vMerge/>
            <w:tcBorders>
              <w:top w:val="double" w:sz="4" w:space="0" w:color="auto"/>
              <w:bottom w:val="single" w:sz="4" w:space="0" w:color="auto"/>
              <w:right w:val="single" w:sz="4" w:space="0" w:color="auto"/>
            </w:tcBorders>
          </w:tcPr>
          <w:p w14:paraId="2BD84B93" w14:textId="77777777" w:rsidR="00115843" w:rsidRPr="004810CF" w:rsidRDefault="00115843" w:rsidP="00FB0D02">
            <w:pPr>
              <w:spacing w:before="60" w:after="60" w:line="240" w:lineRule="auto"/>
              <w:rPr>
                <w:rFonts w:ascii="Arial" w:hAnsi="Arial"/>
                <w:sz w:val="16"/>
                <w:szCs w:val="16"/>
              </w:rPr>
            </w:pPr>
          </w:p>
        </w:tc>
        <w:tc>
          <w:tcPr>
            <w:tcW w:w="1656" w:type="pct"/>
            <w:tcBorders>
              <w:top w:val="single" w:sz="4" w:space="0" w:color="auto"/>
              <w:left w:val="single" w:sz="4" w:space="0" w:color="auto"/>
              <w:bottom w:val="single" w:sz="4" w:space="0" w:color="auto"/>
              <w:right w:val="single" w:sz="4" w:space="0" w:color="auto"/>
            </w:tcBorders>
          </w:tcPr>
          <w:p w14:paraId="23D81F6B" w14:textId="251F8775" w:rsidR="00115843" w:rsidRPr="004810CF" w:rsidRDefault="00C636D0" w:rsidP="00FB0D02">
            <w:pPr>
              <w:spacing w:before="60" w:after="60" w:line="240" w:lineRule="auto"/>
              <w:rPr>
                <w:rFonts w:ascii="Arial" w:eastAsia="Calibri" w:hAnsi="Arial" w:cs="Arial"/>
                <w:sz w:val="16"/>
                <w:szCs w:val="16"/>
                <w:vertAlign w:val="superscript"/>
                <w:lang w:eastAsia="en-US"/>
              </w:rPr>
            </w:pPr>
            <w:r w:rsidRPr="00C636D0">
              <w:rPr>
                <w:rFonts w:ascii="Arial" w:eastAsia="Calibri" w:hAnsi="Arial" w:cs="Arial"/>
                <w:sz w:val="16"/>
                <w:szCs w:val="16"/>
                <w:lang w:eastAsia="en-US"/>
              </w:rPr>
              <w:t>Remote Air Services Subsidy (RASS) Scheme performance is indicated by eligible communities in remote and isolated areas of Australia having access to a regular air transport service for the carriage of passengers and goods</w:t>
            </w:r>
          </w:p>
        </w:tc>
        <w:tc>
          <w:tcPr>
            <w:tcW w:w="2334" w:type="pct"/>
            <w:tcBorders>
              <w:top w:val="single" w:sz="4" w:space="0" w:color="auto"/>
              <w:left w:val="single" w:sz="4" w:space="0" w:color="auto"/>
              <w:bottom w:val="single" w:sz="4" w:space="0" w:color="auto"/>
            </w:tcBorders>
          </w:tcPr>
          <w:p w14:paraId="3968DA95" w14:textId="3981CA83" w:rsidR="00115843" w:rsidRPr="004810CF" w:rsidRDefault="00C636D0" w:rsidP="00C26B16">
            <w:pPr>
              <w:spacing w:before="60" w:after="60" w:line="240" w:lineRule="auto"/>
              <w:rPr>
                <w:rFonts w:ascii="Arial" w:eastAsia="Calibri" w:hAnsi="Arial" w:cs="Arial"/>
                <w:sz w:val="16"/>
                <w:szCs w:val="16"/>
                <w:lang w:eastAsia="en-US"/>
              </w:rPr>
            </w:pPr>
            <w:r w:rsidRPr="00C636D0">
              <w:rPr>
                <w:rFonts w:ascii="Arial" w:eastAsia="Calibri" w:hAnsi="Arial" w:cs="Arial"/>
                <w:sz w:val="16"/>
                <w:szCs w:val="16"/>
                <w:lang w:eastAsia="en-US"/>
              </w:rPr>
              <w:t>All eligible communities are admitted and maintained in the RASS Scheme.</w:t>
            </w:r>
          </w:p>
        </w:tc>
      </w:tr>
      <w:tr w:rsidR="00115843" w:rsidRPr="004810CF" w14:paraId="568319B8" w14:textId="77777777" w:rsidTr="002C712B">
        <w:trPr>
          <w:cantSplit/>
          <w:trHeight w:val="642"/>
        </w:trPr>
        <w:tc>
          <w:tcPr>
            <w:tcW w:w="1010" w:type="pct"/>
            <w:vMerge/>
            <w:tcBorders>
              <w:top w:val="double" w:sz="4" w:space="0" w:color="auto"/>
              <w:bottom w:val="single" w:sz="4" w:space="0" w:color="auto"/>
              <w:right w:val="single" w:sz="4" w:space="0" w:color="auto"/>
            </w:tcBorders>
          </w:tcPr>
          <w:p w14:paraId="4FDE766E" w14:textId="77777777" w:rsidR="00115843" w:rsidRPr="004810CF" w:rsidRDefault="00115843" w:rsidP="00FB0D02">
            <w:pPr>
              <w:spacing w:before="60" w:after="60" w:line="240" w:lineRule="auto"/>
              <w:rPr>
                <w:rFonts w:ascii="Arial" w:hAnsi="Arial"/>
                <w:b/>
                <w:sz w:val="16"/>
                <w:szCs w:val="16"/>
              </w:rPr>
            </w:pPr>
          </w:p>
        </w:tc>
        <w:tc>
          <w:tcPr>
            <w:tcW w:w="1656" w:type="pct"/>
            <w:tcBorders>
              <w:top w:val="single" w:sz="4" w:space="0" w:color="auto"/>
              <w:left w:val="single" w:sz="4" w:space="0" w:color="auto"/>
              <w:bottom w:val="single" w:sz="4" w:space="0" w:color="auto"/>
              <w:right w:val="single" w:sz="4" w:space="0" w:color="auto"/>
            </w:tcBorders>
          </w:tcPr>
          <w:p w14:paraId="24724C9A" w14:textId="3C7FB9D4" w:rsidR="00115843" w:rsidRPr="004810CF" w:rsidRDefault="00C636D0" w:rsidP="00FB0D02">
            <w:pPr>
              <w:spacing w:before="60" w:after="60" w:line="240" w:lineRule="auto"/>
              <w:rPr>
                <w:rFonts w:ascii="Arial" w:eastAsia="Calibri" w:hAnsi="Arial" w:cs="Arial"/>
                <w:sz w:val="16"/>
                <w:szCs w:val="16"/>
                <w:vertAlign w:val="superscript"/>
                <w:lang w:eastAsia="en-US"/>
              </w:rPr>
            </w:pPr>
            <w:r w:rsidRPr="00C636D0">
              <w:rPr>
                <w:rFonts w:ascii="Arial" w:eastAsia="Calibri" w:hAnsi="Arial" w:cs="Arial"/>
                <w:i/>
                <w:sz w:val="16"/>
                <w:szCs w:val="16"/>
                <w:lang w:eastAsia="en-US"/>
              </w:rPr>
              <w:t>The number of per- and poly-fluoroalkyl substances (PFAS) investigations commenced at civilian airport</w:t>
            </w:r>
            <w:r w:rsidR="00E606DC">
              <w:rPr>
                <w:rFonts w:ascii="Arial" w:eastAsia="Calibri" w:hAnsi="Arial" w:cs="Arial"/>
                <w:i/>
                <w:sz w:val="16"/>
                <w:szCs w:val="16"/>
                <w:lang w:eastAsia="en-US"/>
              </w:rPr>
              <w:t>s</w:t>
            </w:r>
          </w:p>
        </w:tc>
        <w:tc>
          <w:tcPr>
            <w:tcW w:w="2334" w:type="pct"/>
            <w:tcBorders>
              <w:top w:val="single" w:sz="4" w:space="0" w:color="auto"/>
              <w:left w:val="single" w:sz="4" w:space="0" w:color="auto"/>
              <w:bottom w:val="single" w:sz="4" w:space="0" w:color="auto"/>
            </w:tcBorders>
          </w:tcPr>
          <w:p w14:paraId="7FBB7BA3" w14:textId="5C8DB6C8" w:rsidR="00115843" w:rsidRPr="004810CF" w:rsidRDefault="00C636D0" w:rsidP="00FB0D02">
            <w:pPr>
              <w:spacing w:before="60" w:after="60" w:line="240" w:lineRule="auto"/>
              <w:rPr>
                <w:rFonts w:ascii="Arial" w:eastAsia="Calibri" w:hAnsi="Arial" w:cs="Arial"/>
                <w:sz w:val="16"/>
                <w:szCs w:val="16"/>
                <w:lang w:eastAsia="en-US"/>
              </w:rPr>
            </w:pPr>
            <w:r w:rsidRPr="00C636D0">
              <w:rPr>
                <w:rFonts w:ascii="Arial" w:eastAsia="Calibri" w:hAnsi="Arial" w:cs="Arial"/>
                <w:i/>
                <w:sz w:val="16"/>
                <w:szCs w:val="16"/>
                <w:lang w:eastAsia="en-US"/>
              </w:rPr>
              <w:t xml:space="preserve">The </w:t>
            </w:r>
            <w:r w:rsidR="00E17F15">
              <w:rPr>
                <w:rFonts w:ascii="Arial" w:eastAsia="Calibri" w:hAnsi="Arial" w:cs="Arial"/>
                <w:i/>
                <w:sz w:val="16"/>
                <w:szCs w:val="16"/>
                <w:lang w:eastAsia="en-US"/>
              </w:rPr>
              <w:t>Department</w:t>
            </w:r>
            <w:r w:rsidRPr="00C636D0">
              <w:rPr>
                <w:rFonts w:ascii="Arial" w:eastAsia="Calibri" w:hAnsi="Arial" w:cs="Arial"/>
                <w:i/>
                <w:sz w:val="16"/>
                <w:szCs w:val="16"/>
                <w:lang w:eastAsia="en-US"/>
              </w:rPr>
              <w:t xml:space="preserve"> has executed contracts to undertake PFAS investigations at 20 civilian airports. This figure is determined by considering the program scope of up to 37</w:t>
            </w:r>
            <w:r w:rsidR="00E606DC">
              <w:rPr>
                <w:rFonts w:ascii="Arial" w:eastAsia="Calibri" w:hAnsi="Arial" w:cs="Arial"/>
                <w:i/>
                <w:sz w:val="16"/>
                <w:szCs w:val="16"/>
                <w:lang w:eastAsia="en-US"/>
              </w:rPr>
              <w:t> </w:t>
            </w:r>
            <w:r w:rsidRPr="00C636D0">
              <w:rPr>
                <w:rFonts w:ascii="Arial" w:eastAsia="Calibri" w:hAnsi="Arial" w:cs="Arial"/>
                <w:i/>
                <w:sz w:val="16"/>
                <w:szCs w:val="16"/>
                <w:lang w:eastAsia="en-US"/>
              </w:rPr>
              <w:t>civilian airports and program end date of 30</w:t>
            </w:r>
            <w:r w:rsidR="00E606DC">
              <w:rPr>
                <w:rFonts w:ascii="Arial" w:eastAsia="Calibri" w:hAnsi="Arial" w:cs="Arial"/>
                <w:i/>
                <w:sz w:val="16"/>
                <w:szCs w:val="16"/>
                <w:lang w:eastAsia="en-US"/>
              </w:rPr>
              <w:t> </w:t>
            </w:r>
            <w:r w:rsidRPr="00C636D0">
              <w:rPr>
                <w:rFonts w:ascii="Arial" w:eastAsia="Calibri" w:hAnsi="Arial" w:cs="Arial"/>
                <w:i/>
                <w:sz w:val="16"/>
                <w:szCs w:val="16"/>
                <w:lang w:eastAsia="en-US"/>
              </w:rPr>
              <w:t>June 2027, with the assumption that more than half of the PFAS investigations would have commenced by the program’s midpoint in 2023–24.</w:t>
            </w:r>
          </w:p>
        </w:tc>
      </w:tr>
      <w:tr w:rsidR="00115843" w:rsidRPr="004810CF" w14:paraId="6E221A94" w14:textId="77777777" w:rsidTr="002C712B">
        <w:trPr>
          <w:cantSplit/>
          <w:trHeight w:val="642"/>
        </w:trPr>
        <w:tc>
          <w:tcPr>
            <w:tcW w:w="1010" w:type="pct"/>
            <w:vMerge/>
            <w:tcBorders>
              <w:top w:val="double" w:sz="4" w:space="0" w:color="auto"/>
              <w:bottom w:val="single" w:sz="4" w:space="0" w:color="auto"/>
              <w:right w:val="single" w:sz="4" w:space="0" w:color="auto"/>
            </w:tcBorders>
          </w:tcPr>
          <w:p w14:paraId="7E7E8B45" w14:textId="77777777" w:rsidR="00115843" w:rsidRPr="004810CF" w:rsidRDefault="00115843" w:rsidP="00FB0D02">
            <w:pPr>
              <w:spacing w:before="60" w:after="60" w:line="240" w:lineRule="auto"/>
              <w:rPr>
                <w:rFonts w:ascii="Arial" w:hAnsi="Arial"/>
                <w:sz w:val="16"/>
                <w:szCs w:val="16"/>
              </w:rPr>
            </w:pPr>
          </w:p>
        </w:tc>
        <w:tc>
          <w:tcPr>
            <w:tcW w:w="1656" w:type="pct"/>
            <w:tcBorders>
              <w:top w:val="single" w:sz="4" w:space="0" w:color="auto"/>
              <w:left w:val="single" w:sz="4" w:space="0" w:color="auto"/>
              <w:bottom w:val="single" w:sz="4" w:space="0" w:color="auto"/>
              <w:right w:val="single" w:sz="4" w:space="0" w:color="auto"/>
            </w:tcBorders>
          </w:tcPr>
          <w:p w14:paraId="469C2059" w14:textId="62475A92" w:rsidR="00C636D0" w:rsidRPr="00C636D0" w:rsidRDefault="00C636D0" w:rsidP="00C636D0">
            <w:pPr>
              <w:spacing w:before="60" w:after="60" w:line="240" w:lineRule="auto"/>
              <w:rPr>
                <w:rFonts w:ascii="Arial" w:eastAsia="Calibri" w:hAnsi="Arial" w:cs="Arial"/>
                <w:i/>
                <w:sz w:val="16"/>
                <w:szCs w:val="16"/>
                <w:lang w:eastAsia="en-US"/>
              </w:rPr>
            </w:pPr>
            <w:r w:rsidRPr="00C636D0">
              <w:rPr>
                <w:rFonts w:ascii="Arial" w:eastAsia="Calibri" w:hAnsi="Arial" w:cs="Arial"/>
                <w:i/>
                <w:sz w:val="16"/>
                <w:szCs w:val="16"/>
                <w:lang w:eastAsia="en-US"/>
              </w:rPr>
              <w:t>Provide policy advice supporting aviation safety</w:t>
            </w:r>
            <w:r w:rsidR="00E606DC">
              <w:rPr>
                <w:rFonts w:ascii="Arial" w:eastAsia="Calibri" w:hAnsi="Arial" w:cs="Arial"/>
                <w:i/>
                <w:sz w:val="16"/>
                <w:szCs w:val="16"/>
                <w:lang w:eastAsia="en-US"/>
              </w:rPr>
              <w:t>.</w:t>
            </w:r>
          </w:p>
          <w:p w14:paraId="57B1D7B1" w14:textId="5319FEB1" w:rsidR="00115843" w:rsidRPr="004810CF" w:rsidRDefault="00C636D0" w:rsidP="00C636D0">
            <w:pPr>
              <w:spacing w:before="120" w:after="60" w:line="240" w:lineRule="auto"/>
              <w:rPr>
                <w:rFonts w:ascii="Arial" w:eastAsia="Calibri" w:hAnsi="Arial" w:cs="Arial"/>
                <w:sz w:val="16"/>
                <w:szCs w:val="16"/>
                <w:lang w:eastAsia="en-US"/>
              </w:rPr>
            </w:pPr>
            <w:r w:rsidRPr="00C636D0">
              <w:rPr>
                <w:rFonts w:ascii="Arial" w:eastAsia="Calibri" w:hAnsi="Arial" w:cs="Arial"/>
                <w:i/>
                <w:sz w:val="16"/>
                <w:szCs w:val="16"/>
                <w:lang w:eastAsia="en-US"/>
              </w:rPr>
              <w:t>The number of fatalities per 100,000 people for the current year’s 10-year average compared against the previous year’s 10-year averag</w:t>
            </w:r>
            <w:r w:rsidR="00E606DC">
              <w:rPr>
                <w:rFonts w:ascii="Arial" w:eastAsia="Calibri" w:hAnsi="Arial" w:cs="Arial"/>
                <w:i/>
                <w:sz w:val="16"/>
                <w:szCs w:val="16"/>
                <w:lang w:eastAsia="en-US"/>
              </w:rPr>
              <w:t xml:space="preserve">e </w:t>
            </w:r>
            <w:r w:rsidRPr="00C636D0">
              <w:rPr>
                <w:rFonts w:ascii="Arial" w:eastAsia="Calibri" w:hAnsi="Arial" w:cs="Arial"/>
                <w:i/>
                <w:sz w:val="16"/>
                <w:szCs w:val="16"/>
                <w:vertAlign w:val="superscript"/>
                <w:lang w:eastAsia="en-US"/>
              </w:rPr>
              <w:t>(b)</w:t>
            </w:r>
          </w:p>
        </w:tc>
        <w:tc>
          <w:tcPr>
            <w:tcW w:w="2334" w:type="pct"/>
            <w:tcBorders>
              <w:top w:val="single" w:sz="4" w:space="0" w:color="auto"/>
              <w:left w:val="single" w:sz="4" w:space="0" w:color="auto"/>
              <w:bottom w:val="single" w:sz="4" w:space="0" w:color="auto"/>
            </w:tcBorders>
          </w:tcPr>
          <w:p w14:paraId="616155B6" w14:textId="2CA9F9E2" w:rsidR="00115843" w:rsidRPr="004810CF" w:rsidRDefault="00C636D0" w:rsidP="00FB0D02">
            <w:pPr>
              <w:spacing w:before="60" w:after="60" w:line="240" w:lineRule="auto"/>
              <w:ind w:right="-12"/>
              <w:rPr>
                <w:rFonts w:ascii="Arial" w:eastAsia="Calibri" w:hAnsi="Arial" w:cs="Arial"/>
                <w:sz w:val="16"/>
                <w:szCs w:val="16"/>
                <w:lang w:eastAsia="en-US"/>
              </w:rPr>
            </w:pPr>
            <w:r w:rsidRPr="00C636D0">
              <w:rPr>
                <w:rFonts w:ascii="Arial" w:eastAsia="Calibri" w:hAnsi="Arial" w:cs="Arial"/>
                <w:i/>
                <w:sz w:val="16"/>
                <w:szCs w:val="16"/>
                <w:lang w:eastAsia="en-US"/>
              </w:rPr>
              <w:t>High quality and timely policy advice supporting aviation safety to help reduce the number of fatalities over the 10-year average period.</w:t>
            </w:r>
          </w:p>
        </w:tc>
      </w:tr>
    </w:tbl>
    <w:p w14:paraId="61F3EC09" w14:textId="77777777" w:rsidR="003B1606" w:rsidRDefault="003B1606">
      <w:pPr>
        <w:spacing w:after="0" w:line="240"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2550"/>
        <w:gridCol w:w="3594"/>
      </w:tblGrid>
      <w:tr w:rsidR="00115843" w:rsidRPr="004810CF" w14:paraId="247961EA" w14:textId="77777777" w:rsidTr="0072693E">
        <w:trPr>
          <w:trHeight w:val="258"/>
        </w:trPr>
        <w:tc>
          <w:tcPr>
            <w:tcW w:w="1010" w:type="pct"/>
            <w:tcBorders>
              <w:top w:val="double" w:sz="4" w:space="0" w:color="auto"/>
              <w:bottom w:val="single" w:sz="4" w:space="0" w:color="auto"/>
              <w:right w:val="single" w:sz="4" w:space="0" w:color="auto"/>
            </w:tcBorders>
          </w:tcPr>
          <w:p w14:paraId="2D629C73" w14:textId="77777777" w:rsidR="00115843" w:rsidRPr="004810CF" w:rsidRDefault="00115843" w:rsidP="00FB0D02">
            <w:pPr>
              <w:spacing w:before="60" w:after="60" w:line="240" w:lineRule="auto"/>
              <w:rPr>
                <w:rFonts w:ascii="Arial" w:hAnsi="Arial"/>
                <w:b/>
                <w:sz w:val="16"/>
                <w:szCs w:val="16"/>
              </w:rPr>
            </w:pPr>
            <w:r w:rsidRPr="004810CF">
              <w:rPr>
                <w:rFonts w:ascii="Arial" w:hAnsi="Arial"/>
                <w:b/>
                <w:sz w:val="16"/>
                <w:szCs w:val="16"/>
              </w:rPr>
              <w:lastRenderedPageBreak/>
              <w:t>Year</w:t>
            </w:r>
          </w:p>
        </w:tc>
        <w:tc>
          <w:tcPr>
            <w:tcW w:w="1656" w:type="pct"/>
            <w:tcBorders>
              <w:top w:val="double" w:sz="4" w:space="0" w:color="auto"/>
              <w:left w:val="single" w:sz="4" w:space="0" w:color="auto"/>
              <w:bottom w:val="single" w:sz="4" w:space="0" w:color="auto"/>
              <w:right w:val="single" w:sz="4" w:space="0" w:color="auto"/>
            </w:tcBorders>
          </w:tcPr>
          <w:p w14:paraId="3B18A4D8" w14:textId="77777777" w:rsidR="00115843" w:rsidRPr="004810CF" w:rsidRDefault="00115843" w:rsidP="00FB0D02">
            <w:pPr>
              <w:spacing w:before="60" w:after="60" w:line="240" w:lineRule="auto"/>
              <w:rPr>
                <w:rFonts w:ascii="Arial" w:hAnsi="Arial" w:cs="Arial"/>
                <w:b/>
                <w:sz w:val="16"/>
                <w:szCs w:val="16"/>
              </w:rPr>
            </w:pPr>
            <w:r w:rsidRPr="004810CF">
              <w:rPr>
                <w:rFonts w:ascii="Arial" w:hAnsi="Arial" w:cs="Arial"/>
                <w:b/>
                <w:sz w:val="16"/>
                <w:szCs w:val="16"/>
              </w:rPr>
              <w:t>Performance measures</w:t>
            </w:r>
          </w:p>
        </w:tc>
        <w:tc>
          <w:tcPr>
            <w:tcW w:w="2334" w:type="pct"/>
            <w:tcBorders>
              <w:top w:val="double" w:sz="4" w:space="0" w:color="auto"/>
              <w:left w:val="single" w:sz="4" w:space="0" w:color="auto"/>
              <w:bottom w:val="single" w:sz="4" w:space="0" w:color="auto"/>
            </w:tcBorders>
          </w:tcPr>
          <w:p w14:paraId="3B78CDBB" w14:textId="77777777" w:rsidR="00115843" w:rsidRPr="004810CF" w:rsidRDefault="00115843" w:rsidP="00FB0D02">
            <w:pPr>
              <w:spacing w:before="60" w:after="60" w:line="240" w:lineRule="auto"/>
              <w:rPr>
                <w:rFonts w:ascii="Arial" w:hAnsi="Arial" w:cs="Arial"/>
                <w:b/>
                <w:sz w:val="16"/>
                <w:szCs w:val="16"/>
              </w:rPr>
            </w:pPr>
            <w:r w:rsidRPr="004810CF">
              <w:rPr>
                <w:rFonts w:ascii="Arial" w:hAnsi="Arial" w:cs="Arial"/>
                <w:b/>
                <w:sz w:val="16"/>
                <w:szCs w:val="16"/>
              </w:rPr>
              <w:t>Planned Performance Results</w:t>
            </w:r>
          </w:p>
        </w:tc>
      </w:tr>
      <w:tr w:rsidR="00730ABF" w:rsidRPr="004810CF" w14:paraId="6E84155C" w14:textId="77777777" w:rsidTr="00FB0D02">
        <w:trPr>
          <w:cantSplit/>
          <w:trHeight w:val="642"/>
        </w:trPr>
        <w:tc>
          <w:tcPr>
            <w:tcW w:w="1010" w:type="pct"/>
            <w:vMerge w:val="restart"/>
            <w:tcBorders>
              <w:top w:val="single" w:sz="4" w:space="0" w:color="auto"/>
              <w:right w:val="single" w:sz="4" w:space="0" w:color="auto"/>
            </w:tcBorders>
          </w:tcPr>
          <w:p w14:paraId="5FAE25D2" w14:textId="7A7CE133" w:rsidR="00730ABF" w:rsidRPr="004810CF" w:rsidRDefault="00730ABF" w:rsidP="00FB0D02">
            <w:pPr>
              <w:spacing w:before="60" w:after="60" w:line="240" w:lineRule="auto"/>
              <w:rPr>
                <w:rFonts w:ascii="Arial" w:hAnsi="Arial"/>
                <w:sz w:val="16"/>
                <w:szCs w:val="16"/>
              </w:rPr>
            </w:pPr>
            <w:r>
              <w:rPr>
                <w:rFonts w:ascii="Arial" w:eastAsia="Calibri" w:hAnsi="Arial" w:cs="Arial"/>
                <w:sz w:val="16"/>
                <w:szCs w:val="16"/>
                <w:lang w:eastAsia="en-US"/>
              </w:rPr>
              <w:t>Forward Estimates</w:t>
            </w:r>
            <w:r>
              <w:rPr>
                <w:rFonts w:ascii="Arial" w:eastAsia="Calibri" w:hAnsi="Arial" w:cs="Arial"/>
                <w:sz w:val="16"/>
                <w:szCs w:val="16"/>
                <w:lang w:eastAsia="en-US"/>
              </w:rPr>
              <w:br/>
            </w:r>
            <w:r w:rsidRPr="008D55A3">
              <w:rPr>
                <w:rFonts w:ascii="Arial" w:eastAsia="Calibri" w:hAnsi="Arial" w:cs="Arial"/>
                <w:sz w:val="16"/>
                <w:szCs w:val="16"/>
                <w:lang w:eastAsia="en-US"/>
              </w:rPr>
              <w:t>202</w:t>
            </w:r>
            <w:r>
              <w:rPr>
                <w:rFonts w:ascii="Arial" w:eastAsia="Calibri" w:hAnsi="Arial" w:cs="Arial"/>
                <w:sz w:val="16"/>
                <w:szCs w:val="16"/>
                <w:lang w:eastAsia="en-US"/>
              </w:rPr>
              <w:t>4</w:t>
            </w:r>
            <w:r w:rsidRPr="008D55A3">
              <w:rPr>
                <w:rFonts w:ascii="Arial" w:eastAsia="Calibri" w:hAnsi="Arial" w:cs="Arial"/>
                <w:sz w:val="16"/>
                <w:szCs w:val="16"/>
                <w:lang w:eastAsia="en-US"/>
              </w:rPr>
              <w:t>–2</w:t>
            </w:r>
            <w:r>
              <w:rPr>
                <w:rFonts w:ascii="Arial" w:eastAsia="Calibri" w:hAnsi="Arial" w:cs="Arial"/>
                <w:sz w:val="16"/>
                <w:szCs w:val="16"/>
                <w:lang w:eastAsia="en-US"/>
              </w:rPr>
              <w:t>7</w:t>
            </w:r>
          </w:p>
        </w:tc>
        <w:tc>
          <w:tcPr>
            <w:tcW w:w="1656" w:type="pct"/>
            <w:tcBorders>
              <w:top w:val="single" w:sz="4" w:space="0" w:color="auto"/>
              <w:left w:val="single" w:sz="4" w:space="0" w:color="auto"/>
              <w:bottom w:val="single" w:sz="4" w:space="0" w:color="auto"/>
              <w:right w:val="single" w:sz="4" w:space="0" w:color="auto"/>
            </w:tcBorders>
          </w:tcPr>
          <w:p w14:paraId="36EDE4FF" w14:textId="7B26B4FE" w:rsidR="00730ABF" w:rsidRPr="00666202" w:rsidRDefault="00730ABF" w:rsidP="00FB0D02">
            <w:pPr>
              <w:spacing w:before="60" w:after="60" w:line="240" w:lineRule="auto"/>
              <w:rPr>
                <w:rFonts w:ascii="Arial" w:eastAsia="Calibri" w:hAnsi="Arial" w:cs="Arial"/>
                <w:sz w:val="16"/>
                <w:szCs w:val="16"/>
                <w:lang w:eastAsia="en-US"/>
              </w:rPr>
            </w:pPr>
            <w:r w:rsidRPr="00666202">
              <w:rPr>
                <w:rFonts w:ascii="Arial" w:eastAsia="Calibri" w:hAnsi="Arial" w:cs="Arial"/>
                <w:sz w:val="16"/>
                <w:szCs w:val="16"/>
                <w:lang w:eastAsia="en-US"/>
              </w:rPr>
              <w:t xml:space="preserve">Development of an Environmental Assessment of Preliminary Flight Paths for </w:t>
            </w:r>
            <w:r>
              <w:rPr>
                <w:rFonts w:ascii="Arial" w:eastAsia="Calibri" w:hAnsi="Arial" w:cs="Arial"/>
                <w:sz w:val="16"/>
                <w:szCs w:val="16"/>
                <w:lang w:eastAsia="en-US"/>
              </w:rPr>
              <w:t>WSI</w:t>
            </w:r>
          </w:p>
        </w:tc>
        <w:tc>
          <w:tcPr>
            <w:tcW w:w="2334" w:type="pct"/>
            <w:tcBorders>
              <w:top w:val="single" w:sz="4" w:space="0" w:color="auto"/>
              <w:left w:val="single" w:sz="4" w:space="0" w:color="auto"/>
              <w:bottom w:val="single" w:sz="4" w:space="0" w:color="auto"/>
            </w:tcBorders>
          </w:tcPr>
          <w:p w14:paraId="4348310A" w14:textId="77777777" w:rsidR="00730ABF" w:rsidRPr="00666202" w:rsidRDefault="00730ABF" w:rsidP="00666202">
            <w:pPr>
              <w:spacing w:before="60" w:after="60" w:line="240" w:lineRule="auto"/>
              <w:rPr>
                <w:rFonts w:ascii="Arial" w:eastAsia="Calibri" w:hAnsi="Arial" w:cs="Arial"/>
                <w:sz w:val="16"/>
                <w:szCs w:val="16"/>
                <w:lang w:eastAsia="en-US"/>
              </w:rPr>
            </w:pPr>
            <w:r w:rsidRPr="00666202">
              <w:rPr>
                <w:rFonts w:ascii="Arial" w:eastAsia="Calibri" w:hAnsi="Arial" w:cs="Arial"/>
                <w:sz w:val="16"/>
                <w:szCs w:val="16"/>
                <w:lang w:eastAsia="en-US"/>
              </w:rPr>
              <w:t xml:space="preserve">Delivery milestones are met for </w:t>
            </w:r>
            <w:r w:rsidRPr="00666202">
              <w:rPr>
                <w:rFonts w:ascii="Arial" w:eastAsia="Calibri" w:hAnsi="Arial" w:cs="Arial"/>
                <w:sz w:val="16"/>
                <w:szCs w:val="16"/>
                <w:lang w:eastAsia="en-US"/>
              </w:rPr>
              <w:br/>
              <w:t>2023–24:</w:t>
            </w:r>
          </w:p>
          <w:p w14:paraId="3D3A9129" w14:textId="43471E57" w:rsidR="00730ABF" w:rsidRDefault="00730ABF" w:rsidP="00977C28">
            <w:pPr>
              <w:numPr>
                <w:ilvl w:val="0"/>
                <w:numId w:val="154"/>
              </w:numPr>
              <w:spacing w:before="60" w:after="60" w:line="240" w:lineRule="auto"/>
              <w:ind w:left="322" w:hanging="322"/>
              <w:rPr>
                <w:rFonts w:ascii="Arial" w:eastAsia="Calibri" w:hAnsi="Arial" w:cs="Arial"/>
                <w:sz w:val="16"/>
                <w:szCs w:val="16"/>
                <w:lang w:val="en-US" w:eastAsia="en-US"/>
              </w:rPr>
            </w:pPr>
            <w:r w:rsidRPr="00666202">
              <w:rPr>
                <w:rFonts w:ascii="Arial" w:eastAsia="Calibri" w:hAnsi="Arial" w:cs="Arial"/>
                <w:sz w:val="16"/>
                <w:szCs w:val="16"/>
                <w:lang w:val="en-US" w:eastAsia="en-US"/>
              </w:rPr>
              <w:t>Release of the draft EIS for WSI’s preliminary flight paths</w:t>
            </w:r>
            <w:r>
              <w:rPr>
                <w:rFonts w:ascii="Arial" w:eastAsia="Calibri" w:hAnsi="Arial" w:cs="Arial"/>
                <w:sz w:val="16"/>
                <w:szCs w:val="16"/>
                <w:lang w:val="en-US" w:eastAsia="en-US"/>
              </w:rPr>
              <w:t xml:space="preserve">, </w:t>
            </w:r>
            <w:r w:rsidRPr="00666202">
              <w:rPr>
                <w:rFonts w:ascii="Arial" w:eastAsia="Calibri" w:hAnsi="Arial" w:cs="Arial"/>
                <w:sz w:val="16"/>
                <w:szCs w:val="16"/>
                <w:lang w:val="en-US" w:eastAsia="en-US"/>
              </w:rPr>
              <w:t>September</w:t>
            </w:r>
            <w:r>
              <w:rPr>
                <w:rFonts w:ascii="Arial" w:eastAsia="Calibri" w:hAnsi="Arial" w:cs="Arial"/>
                <w:sz w:val="16"/>
                <w:szCs w:val="16"/>
                <w:lang w:val="en-US" w:eastAsia="en-US"/>
              </w:rPr>
              <w:t>-</w:t>
            </w:r>
            <w:r w:rsidRPr="00666202">
              <w:rPr>
                <w:rFonts w:ascii="Arial" w:eastAsia="Calibri" w:hAnsi="Arial" w:cs="Arial"/>
                <w:sz w:val="16"/>
                <w:szCs w:val="16"/>
                <w:lang w:val="en-US" w:eastAsia="en-US"/>
              </w:rPr>
              <w:t>October 2023.</w:t>
            </w:r>
          </w:p>
          <w:p w14:paraId="5F76E034" w14:textId="0FD2CB5E" w:rsidR="00730ABF" w:rsidRPr="00666202" w:rsidRDefault="00730ABF" w:rsidP="00977C28">
            <w:pPr>
              <w:numPr>
                <w:ilvl w:val="0"/>
                <w:numId w:val="154"/>
              </w:numPr>
              <w:spacing w:before="60" w:after="60" w:line="240" w:lineRule="auto"/>
              <w:ind w:left="322" w:hanging="322"/>
              <w:rPr>
                <w:rFonts w:ascii="Arial" w:eastAsia="Calibri" w:hAnsi="Arial" w:cs="Arial"/>
                <w:sz w:val="16"/>
                <w:szCs w:val="16"/>
                <w:lang w:val="en-US" w:eastAsia="en-US"/>
              </w:rPr>
            </w:pPr>
            <w:r w:rsidRPr="00666202">
              <w:rPr>
                <w:rFonts w:ascii="Arial" w:eastAsia="Calibri" w:hAnsi="Arial" w:cs="Arial"/>
                <w:sz w:val="16"/>
                <w:szCs w:val="16"/>
                <w:lang w:eastAsia="en-US"/>
              </w:rPr>
              <w:t>Release of the Public Submissions Report</w:t>
            </w:r>
            <w:r>
              <w:rPr>
                <w:rFonts w:ascii="Arial" w:eastAsia="Calibri" w:hAnsi="Arial" w:cs="Arial"/>
                <w:sz w:val="16"/>
                <w:szCs w:val="16"/>
                <w:lang w:eastAsia="en-US"/>
              </w:rPr>
              <w:t xml:space="preserve">, </w:t>
            </w:r>
            <w:r w:rsidRPr="00666202">
              <w:rPr>
                <w:rFonts w:ascii="Arial" w:eastAsia="Calibri" w:hAnsi="Arial" w:cs="Arial"/>
                <w:sz w:val="16"/>
                <w:szCs w:val="16"/>
                <w:lang w:eastAsia="en-US"/>
              </w:rPr>
              <w:t>March</w:t>
            </w:r>
            <w:r>
              <w:rPr>
                <w:rFonts w:ascii="Arial" w:eastAsia="Calibri" w:hAnsi="Arial" w:cs="Arial"/>
                <w:sz w:val="16"/>
                <w:szCs w:val="16"/>
                <w:lang w:eastAsia="en-US"/>
              </w:rPr>
              <w:t>-</w:t>
            </w:r>
            <w:r w:rsidRPr="00666202">
              <w:rPr>
                <w:rFonts w:ascii="Arial" w:eastAsia="Calibri" w:hAnsi="Arial" w:cs="Arial"/>
                <w:sz w:val="16"/>
                <w:szCs w:val="16"/>
                <w:lang w:eastAsia="en-US"/>
              </w:rPr>
              <w:t>April 2024, subject to further planning and decision by Minister.</w:t>
            </w:r>
          </w:p>
        </w:tc>
      </w:tr>
      <w:tr w:rsidR="00730ABF" w:rsidRPr="004810CF" w14:paraId="345E2C49" w14:textId="77777777" w:rsidTr="007406E2">
        <w:trPr>
          <w:cantSplit/>
          <w:trHeight w:val="642"/>
        </w:trPr>
        <w:tc>
          <w:tcPr>
            <w:tcW w:w="1010" w:type="pct"/>
            <w:vMerge/>
            <w:tcBorders>
              <w:right w:val="single" w:sz="4" w:space="0" w:color="auto"/>
            </w:tcBorders>
          </w:tcPr>
          <w:p w14:paraId="5C346EE5" w14:textId="108873FF" w:rsidR="00730ABF" w:rsidRPr="004810CF" w:rsidRDefault="00730ABF" w:rsidP="00FB0D02">
            <w:pPr>
              <w:spacing w:before="60" w:after="60" w:line="240" w:lineRule="auto"/>
              <w:rPr>
                <w:rFonts w:ascii="Arial" w:hAnsi="Arial"/>
                <w:sz w:val="16"/>
                <w:szCs w:val="16"/>
              </w:rPr>
            </w:pPr>
          </w:p>
        </w:tc>
        <w:tc>
          <w:tcPr>
            <w:tcW w:w="1656" w:type="pct"/>
            <w:tcBorders>
              <w:top w:val="single" w:sz="4" w:space="0" w:color="auto"/>
              <w:left w:val="single" w:sz="4" w:space="0" w:color="auto"/>
              <w:bottom w:val="single" w:sz="4" w:space="0" w:color="auto"/>
              <w:right w:val="single" w:sz="4" w:space="0" w:color="auto"/>
            </w:tcBorders>
          </w:tcPr>
          <w:p w14:paraId="628F266C" w14:textId="26295FA6" w:rsidR="00730ABF" w:rsidRPr="004810CF" w:rsidRDefault="00730ABF" w:rsidP="00FB0D02">
            <w:pPr>
              <w:spacing w:before="60" w:after="60" w:line="240" w:lineRule="auto"/>
              <w:rPr>
                <w:rFonts w:ascii="Arial" w:eastAsia="Calibri" w:hAnsi="Arial" w:cs="Arial"/>
                <w:sz w:val="16"/>
                <w:szCs w:val="16"/>
                <w:lang w:eastAsia="en-US"/>
              </w:rPr>
            </w:pPr>
            <w:r w:rsidRPr="00666202">
              <w:rPr>
                <w:rFonts w:ascii="Arial" w:eastAsia="Calibri" w:hAnsi="Arial" w:cs="Arial"/>
                <w:sz w:val="16"/>
                <w:szCs w:val="16"/>
                <w:lang w:eastAsia="en-US"/>
              </w:rPr>
              <w:t>Percentage of Master Plans and Major Development Plans processed for federally leased airports within statutory timeframes</w:t>
            </w:r>
          </w:p>
        </w:tc>
        <w:tc>
          <w:tcPr>
            <w:tcW w:w="2334" w:type="pct"/>
            <w:tcBorders>
              <w:top w:val="single" w:sz="4" w:space="0" w:color="auto"/>
              <w:left w:val="single" w:sz="4" w:space="0" w:color="auto"/>
              <w:bottom w:val="single" w:sz="4" w:space="0" w:color="auto"/>
            </w:tcBorders>
          </w:tcPr>
          <w:p w14:paraId="28C1F845" w14:textId="491479D5" w:rsidR="00730ABF" w:rsidRPr="004810CF" w:rsidRDefault="00730ABF" w:rsidP="00FB0D02">
            <w:pPr>
              <w:spacing w:before="60" w:after="60" w:line="240" w:lineRule="auto"/>
              <w:rPr>
                <w:rFonts w:ascii="Arial" w:eastAsia="Calibri" w:hAnsi="Arial" w:cs="Arial"/>
                <w:sz w:val="16"/>
                <w:szCs w:val="16"/>
                <w:lang w:eastAsia="en-US"/>
              </w:rPr>
            </w:pPr>
            <w:r w:rsidRPr="00666202">
              <w:rPr>
                <w:rFonts w:ascii="Arial" w:eastAsia="Calibri" w:hAnsi="Arial" w:cs="Arial"/>
                <w:sz w:val="16"/>
                <w:szCs w:val="16"/>
                <w:lang w:eastAsia="en-US"/>
              </w:rPr>
              <w:t>100% of Master Plans and Major Development Plans assessed and submitted to Minister with sufficient time for consideration with statutory timeframes in each financial year.</w:t>
            </w:r>
          </w:p>
        </w:tc>
      </w:tr>
      <w:tr w:rsidR="00730ABF" w:rsidRPr="004810CF" w14:paraId="5862BFAE" w14:textId="77777777" w:rsidTr="007406E2">
        <w:trPr>
          <w:cantSplit/>
          <w:trHeight w:val="1257"/>
        </w:trPr>
        <w:tc>
          <w:tcPr>
            <w:tcW w:w="1010" w:type="pct"/>
            <w:vMerge/>
            <w:tcBorders>
              <w:right w:val="single" w:sz="4" w:space="0" w:color="auto"/>
            </w:tcBorders>
          </w:tcPr>
          <w:p w14:paraId="1BD5AF5C" w14:textId="77777777" w:rsidR="00730ABF" w:rsidRPr="004810CF" w:rsidRDefault="00730ABF" w:rsidP="00FB0D02">
            <w:pPr>
              <w:spacing w:before="60" w:after="60" w:line="240" w:lineRule="auto"/>
              <w:rPr>
                <w:rFonts w:ascii="Arial" w:hAnsi="Arial"/>
                <w:sz w:val="16"/>
                <w:szCs w:val="16"/>
              </w:rPr>
            </w:pPr>
          </w:p>
        </w:tc>
        <w:tc>
          <w:tcPr>
            <w:tcW w:w="1656" w:type="pct"/>
            <w:tcBorders>
              <w:top w:val="single" w:sz="4" w:space="0" w:color="auto"/>
              <w:left w:val="single" w:sz="4" w:space="0" w:color="auto"/>
              <w:bottom w:val="single" w:sz="4" w:space="0" w:color="auto"/>
              <w:right w:val="single" w:sz="4" w:space="0" w:color="auto"/>
            </w:tcBorders>
          </w:tcPr>
          <w:p w14:paraId="6FB510CB" w14:textId="7D518854" w:rsidR="00730ABF" w:rsidRPr="004810CF" w:rsidRDefault="00730ABF" w:rsidP="00FB0D02">
            <w:pPr>
              <w:spacing w:before="60" w:after="60" w:line="240" w:lineRule="auto"/>
              <w:rPr>
                <w:rFonts w:ascii="Arial" w:eastAsia="Calibri" w:hAnsi="Arial" w:cs="Arial"/>
                <w:sz w:val="16"/>
                <w:szCs w:val="16"/>
                <w:lang w:eastAsia="en-US"/>
              </w:rPr>
            </w:pPr>
            <w:r w:rsidRPr="004810CF">
              <w:rPr>
                <w:rFonts w:ascii="Arial" w:eastAsia="Calibri" w:hAnsi="Arial" w:cs="Arial"/>
                <w:sz w:val="16"/>
                <w:szCs w:val="16"/>
                <w:lang w:eastAsia="en-US"/>
              </w:rPr>
              <w:t xml:space="preserve">Performance of the RAP and the RAU program, indicated through number of completed projects: </w:t>
            </w:r>
          </w:p>
          <w:p w14:paraId="10523AAE" w14:textId="77777777" w:rsidR="00730ABF" w:rsidRPr="004810CF" w:rsidRDefault="00730ABF" w:rsidP="00977C28">
            <w:pPr>
              <w:numPr>
                <w:ilvl w:val="0"/>
                <w:numId w:val="109"/>
              </w:numPr>
              <w:spacing w:before="60" w:after="60" w:line="240" w:lineRule="auto"/>
              <w:ind w:left="313" w:hanging="313"/>
              <w:contextualSpacing/>
              <w:rPr>
                <w:rFonts w:ascii="Arial" w:eastAsia="Calibri" w:hAnsi="Arial" w:cs="Arial"/>
                <w:sz w:val="16"/>
                <w:szCs w:val="16"/>
                <w:lang w:eastAsia="en-US"/>
              </w:rPr>
            </w:pPr>
            <w:r w:rsidRPr="004810CF">
              <w:rPr>
                <w:rFonts w:ascii="Arial" w:eastAsia="Calibri" w:hAnsi="Arial" w:cs="Arial"/>
                <w:sz w:val="16"/>
                <w:szCs w:val="16"/>
                <w:lang w:eastAsia="en-US"/>
              </w:rPr>
              <w:t>in regional Australia (RAP)</w:t>
            </w:r>
          </w:p>
          <w:p w14:paraId="3DA1CD4C" w14:textId="77777777" w:rsidR="00730ABF" w:rsidRPr="004810CF" w:rsidRDefault="00730ABF" w:rsidP="00977C28">
            <w:pPr>
              <w:numPr>
                <w:ilvl w:val="0"/>
                <w:numId w:val="109"/>
              </w:numPr>
              <w:spacing w:before="60" w:after="60" w:line="240" w:lineRule="auto"/>
              <w:ind w:left="313" w:hanging="313"/>
              <w:contextualSpacing/>
              <w:rPr>
                <w:rFonts w:ascii="Arial" w:eastAsia="Calibri" w:hAnsi="Arial" w:cs="Arial"/>
                <w:sz w:val="16"/>
                <w:szCs w:val="16"/>
                <w:lang w:eastAsia="en-US"/>
              </w:rPr>
            </w:pPr>
            <w:r w:rsidRPr="004810CF">
              <w:rPr>
                <w:rFonts w:ascii="Arial" w:eastAsia="Calibri" w:hAnsi="Arial" w:cs="Arial"/>
                <w:sz w:val="16"/>
                <w:szCs w:val="16"/>
                <w:lang w:eastAsia="en-US"/>
              </w:rPr>
              <w:t>in remote Australia (RAU)</w:t>
            </w:r>
          </w:p>
        </w:tc>
        <w:tc>
          <w:tcPr>
            <w:tcW w:w="2334" w:type="pct"/>
            <w:tcBorders>
              <w:top w:val="single" w:sz="4" w:space="0" w:color="auto"/>
              <w:left w:val="single" w:sz="4" w:space="0" w:color="auto"/>
              <w:bottom w:val="single" w:sz="4" w:space="0" w:color="auto"/>
            </w:tcBorders>
          </w:tcPr>
          <w:p w14:paraId="10BA7348" w14:textId="77777777" w:rsidR="00730ABF" w:rsidRDefault="00730ABF" w:rsidP="00977C28">
            <w:pPr>
              <w:pStyle w:val="ListParagraph"/>
              <w:numPr>
                <w:ilvl w:val="0"/>
                <w:numId w:val="156"/>
              </w:numPr>
              <w:spacing w:before="60" w:after="60" w:line="240" w:lineRule="auto"/>
              <w:ind w:left="322" w:right="-12" w:hanging="322"/>
              <w:rPr>
                <w:rFonts w:ascii="Arial" w:hAnsi="Arial" w:cs="Arial"/>
                <w:sz w:val="16"/>
                <w:szCs w:val="16"/>
              </w:rPr>
            </w:pPr>
            <w:r w:rsidRPr="00666202">
              <w:rPr>
                <w:rFonts w:ascii="Arial" w:hAnsi="Arial" w:cs="Arial"/>
                <w:sz w:val="16"/>
                <w:szCs w:val="16"/>
              </w:rPr>
              <w:t>In 2023–24, RAP and RAU projects are completed in line with their funding agreements.</w:t>
            </w:r>
          </w:p>
          <w:p w14:paraId="034DBD45" w14:textId="747FADA0" w:rsidR="00730ABF" w:rsidRPr="00666202" w:rsidRDefault="00730ABF" w:rsidP="00977C28">
            <w:pPr>
              <w:pStyle w:val="ListParagraph"/>
              <w:numPr>
                <w:ilvl w:val="0"/>
                <w:numId w:val="156"/>
              </w:numPr>
              <w:spacing w:before="60" w:after="60" w:line="240" w:lineRule="auto"/>
              <w:ind w:left="322" w:right="-12" w:hanging="322"/>
              <w:rPr>
                <w:rFonts w:ascii="Arial" w:hAnsi="Arial" w:cs="Arial"/>
                <w:sz w:val="16"/>
                <w:szCs w:val="16"/>
              </w:rPr>
            </w:pPr>
            <w:r w:rsidRPr="00666202">
              <w:rPr>
                <w:rFonts w:ascii="Arial" w:hAnsi="Arial" w:cs="Arial"/>
                <w:sz w:val="16"/>
                <w:szCs w:val="16"/>
              </w:rPr>
              <w:t>The RAU program funding ceases at 30</w:t>
            </w:r>
            <w:r>
              <w:rPr>
                <w:rFonts w:ascii="Arial" w:hAnsi="Arial" w:cs="Arial"/>
                <w:sz w:val="16"/>
                <w:szCs w:val="16"/>
              </w:rPr>
              <w:t> </w:t>
            </w:r>
            <w:r w:rsidRPr="00666202">
              <w:rPr>
                <w:rFonts w:ascii="Arial" w:hAnsi="Arial" w:cs="Arial"/>
                <w:sz w:val="16"/>
                <w:szCs w:val="16"/>
              </w:rPr>
              <w:t>June 2024. 100% of RAU projects with funding agreements in place are completed by 30 June 2024.</w:t>
            </w:r>
          </w:p>
        </w:tc>
      </w:tr>
      <w:tr w:rsidR="00730ABF" w:rsidRPr="004810CF" w14:paraId="2E3F1664" w14:textId="77777777" w:rsidTr="007406E2">
        <w:trPr>
          <w:cantSplit/>
          <w:trHeight w:val="642"/>
        </w:trPr>
        <w:tc>
          <w:tcPr>
            <w:tcW w:w="1010" w:type="pct"/>
            <w:vMerge/>
            <w:tcBorders>
              <w:right w:val="single" w:sz="4" w:space="0" w:color="auto"/>
            </w:tcBorders>
          </w:tcPr>
          <w:p w14:paraId="5F605838" w14:textId="77777777" w:rsidR="00730ABF" w:rsidRPr="004810CF" w:rsidRDefault="00730ABF" w:rsidP="00FB0D02">
            <w:pPr>
              <w:spacing w:before="60" w:after="60" w:line="240" w:lineRule="auto"/>
              <w:rPr>
                <w:rFonts w:ascii="Arial" w:hAnsi="Arial"/>
                <w:sz w:val="16"/>
                <w:szCs w:val="16"/>
              </w:rPr>
            </w:pPr>
          </w:p>
        </w:tc>
        <w:tc>
          <w:tcPr>
            <w:tcW w:w="1656" w:type="pct"/>
            <w:tcBorders>
              <w:top w:val="single" w:sz="4" w:space="0" w:color="auto"/>
              <w:left w:val="single" w:sz="4" w:space="0" w:color="auto"/>
              <w:bottom w:val="single" w:sz="4" w:space="0" w:color="auto"/>
              <w:right w:val="single" w:sz="4" w:space="0" w:color="auto"/>
            </w:tcBorders>
          </w:tcPr>
          <w:p w14:paraId="0E253D4E" w14:textId="257CD2C2" w:rsidR="00730ABF" w:rsidRPr="00666202" w:rsidRDefault="00730ABF" w:rsidP="00FB0D02">
            <w:pPr>
              <w:spacing w:before="60" w:after="60" w:line="240" w:lineRule="auto"/>
              <w:rPr>
                <w:rFonts w:ascii="Arial" w:eastAsia="Calibri" w:hAnsi="Arial" w:cs="Arial"/>
                <w:sz w:val="16"/>
                <w:szCs w:val="16"/>
                <w:lang w:eastAsia="en-US"/>
              </w:rPr>
            </w:pPr>
            <w:r w:rsidRPr="00666202">
              <w:rPr>
                <w:rFonts w:ascii="Arial" w:eastAsia="Calibri" w:hAnsi="Arial" w:cs="Arial"/>
                <w:sz w:val="16"/>
                <w:szCs w:val="16"/>
                <w:lang w:eastAsia="en-US"/>
              </w:rPr>
              <w:t>Remote Air Services Subsidy (RASS) Scheme performance is indicated by eligible communities in remote and isolated areas of Australia having access to a regular air transport service for the carriage of passengers and goods</w:t>
            </w:r>
          </w:p>
        </w:tc>
        <w:tc>
          <w:tcPr>
            <w:tcW w:w="2334" w:type="pct"/>
            <w:tcBorders>
              <w:top w:val="single" w:sz="4" w:space="0" w:color="auto"/>
              <w:left w:val="single" w:sz="4" w:space="0" w:color="auto"/>
              <w:bottom w:val="single" w:sz="4" w:space="0" w:color="auto"/>
            </w:tcBorders>
          </w:tcPr>
          <w:p w14:paraId="45AD8E76" w14:textId="0169DF96" w:rsidR="00730ABF" w:rsidRPr="004810CF" w:rsidDel="008E1A6E" w:rsidRDefault="00730ABF" w:rsidP="00FB0D02">
            <w:pPr>
              <w:spacing w:before="60" w:after="60" w:line="240" w:lineRule="auto"/>
              <w:ind w:right="-12"/>
              <w:rPr>
                <w:rFonts w:ascii="Arial" w:eastAsia="Calibri" w:hAnsi="Arial" w:cs="Arial"/>
                <w:b/>
                <w:sz w:val="16"/>
                <w:szCs w:val="16"/>
                <w:lang w:eastAsia="en-US"/>
              </w:rPr>
            </w:pPr>
            <w:r w:rsidRPr="004810CF">
              <w:rPr>
                <w:rFonts w:ascii="Arial" w:eastAsia="Calibri" w:hAnsi="Arial" w:cs="Arial"/>
                <w:sz w:val="16"/>
                <w:szCs w:val="16"/>
                <w:lang w:eastAsia="en-US"/>
              </w:rPr>
              <w:t>All eligible communities are admitted and maintained in the RASS Scheme</w:t>
            </w:r>
            <w:r>
              <w:rPr>
                <w:rFonts w:ascii="Arial" w:eastAsia="Calibri" w:hAnsi="Arial" w:cs="Arial"/>
                <w:sz w:val="16"/>
                <w:szCs w:val="16"/>
                <w:lang w:eastAsia="en-US"/>
              </w:rPr>
              <w:t>.</w:t>
            </w:r>
          </w:p>
        </w:tc>
      </w:tr>
      <w:tr w:rsidR="00730ABF" w:rsidRPr="004810CF" w14:paraId="1099D183" w14:textId="77777777" w:rsidTr="007406E2">
        <w:trPr>
          <w:cantSplit/>
          <w:trHeight w:val="415"/>
        </w:trPr>
        <w:tc>
          <w:tcPr>
            <w:tcW w:w="1010" w:type="pct"/>
            <w:vMerge/>
            <w:tcBorders>
              <w:right w:val="single" w:sz="4" w:space="0" w:color="auto"/>
            </w:tcBorders>
          </w:tcPr>
          <w:p w14:paraId="454AC5C8" w14:textId="77777777" w:rsidR="00730ABF" w:rsidRPr="00DB0E5D" w:rsidRDefault="00730ABF" w:rsidP="00FB0D02">
            <w:pPr>
              <w:spacing w:before="60" w:after="60" w:line="240" w:lineRule="auto"/>
              <w:rPr>
                <w:rFonts w:ascii="Arial" w:hAnsi="Arial"/>
                <w:sz w:val="16"/>
                <w:szCs w:val="16"/>
              </w:rPr>
            </w:pPr>
          </w:p>
        </w:tc>
        <w:tc>
          <w:tcPr>
            <w:tcW w:w="1656" w:type="pct"/>
            <w:tcBorders>
              <w:top w:val="single" w:sz="4" w:space="0" w:color="auto"/>
              <w:left w:val="single" w:sz="4" w:space="0" w:color="auto"/>
              <w:bottom w:val="single" w:sz="4" w:space="0" w:color="auto"/>
              <w:right w:val="single" w:sz="4" w:space="0" w:color="auto"/>
            </w:tcBorders>
          </w:tcPr>
          <w:p w14:paraId="6092601F" w14:textId="5F396A0C" w:rsidR="00730ABF" w:rsidRPr="004810CF" w:rsidRDefault="00730ABF" w:rsidP="00FB0D02">
            <w:pPr>
              <w:spacing w:before="60" w:after="60" w:line="240" w:lineRule="auto"/>
              <w:rPr>
                <w:rFonts w:ascii="Arial" w:eastAsia="Calibri" w:hAnsi="Arial" w:cs="Arial"/>
                <w:i/>
                <w:sz w:val="16"/>
                <w:szCs w:val="16"/>
                <w:lang w:eastAsia="en-US"/>
              </w:rPr>
            </w:pPr>
            <w:r w:rsidRPr="00666202">
              <w:rPr>
                <w:rFonts w:ascii="Arial" w:eastAsia="Calibri" w:hAnsi="Arial" w:cs="Arial"/>
                <w:i/>
                <w:sz w:val="16"/>
                <w:szCs w:val="16"/>
                <w:lang w:eastAsia="en-US"/>
              </w:rPr>
              <w:t>The number of PFAS investigations commenced at civilian airports</w:t>
            </w:r>
          </w:p>
        </w:tc>
        <w:tc>
          <w:tcPr>
            <w:tcW w:w="2334" w:type="pct"/>
            <w:tcBorders>
              <w:top w:val="single" w:sz="4" w:space="0" w:color="auto"/>
              <w:left w:val="single" w:sz="4" w:space="0" w:color="auto"/>
              <w:bottom w:val="single" w:sz="4" w:space="0" w:color="auto"/>
            </w:tcBorders>
          </w:tcPr>
          <w:p w14:paraId="6A7E76A0" w14:textId="314FFE9E" w:rsidR="00730ABF" w:rsidRPr="004810CF" w:rsidDel="008E1A6E" w:rsidRDefault="00730ABF" w:rsidP="00FB0D02">
            <w:pPr>
              <w:spacing w:before="60" w:after="60" w:line="240" w:lineRule="auto"/>
              <w:ind w:right="-12"/>
              <w:rPr>
                <w:rFonts w:ascii="Arial" w:eastAsia="Calibri" w:hAnsi="Arial" w:cs="Arial"/>
                <w:b/>
                <w:sz w:val="16"/>
                <w:szCs w:val="16"/>
                <w:lang w:eastAsia="en-US"/>
              </w:rPr>
            </w:pPr>
            <w:r w:rsidRPr="00666202">
              <w:rPr>
                <w:rFonts w:ascii="Arial" w:eastAsia="Calibri" w:hAnsi="Arial" w:cs="Arial"/>
                <w:i/>
                <w:sz w:val="16"/>
                <w:szCs w:val="16"/>
                <w:lang w:eastAsia="en-US"/>
              </w:rPr>
              <w:t xml:space="preserve">The </w:t>
            </w:r>
            <w:r>
              <w:rPr>
                <w:rFonts w:ascii="Arial" w:eastAsia="Calibri" w:hAnsi="Arial" w:cs="Arial"/>
                <w:i/>
                <w:sz w:val="16"/>
                <w:szCs w:val="16"/>
                <w:lang w:eastAsia="en-US"/>
              </w:rPr>
              <w:t>Department</w:t>
            </w:r>
            <w:r w:rsidRPr="00666202">
              <w:rPr>
                <w:rFonts w:ascii="Arial" w:eastAsia="Calibri" w:hAnsi="Arial" w:cs="Arial"/>
                <w:i/>
                <w:sz w:val="16"/>
                <w:szCs w:val="16"/>
                <w:lang w:eastAsia="en-US"/>
              </w:rPr>
              <w:t xml:space="preserve"> has executed contracts to undertake PFAS investigations at up to 37 civilian airports. This figure is determined by considering the program scope of up to 37 civilian airports and program end date of 30 June 2027, and assumes PFAS investigations would have commenced at all airports in scope over this period.</w:t>
            </w:r>
          </w:p>
        </w:tc>
      </w:tr>
    </w:tbl>
    <w:p w14:paraId="2322A0B8" w14:textId="77777777" w:rsidR="00730ABF" w:rsidRDefault="00730ABF">
      <w:pPr>
        <w:spacing w:after="0" w:line="240" w:lineRule="auto"/>
      </w:pPr>
      <w:r>
        <w:br w:type="page"/>
      </w:r>
    </w:p>
    <w:p w14:paraId="405B065D" w14:textId="77777777" w:rsidR="00730ABF" w:rsidRDefault="00730ABF" w:rsidP="00730ABF">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2550"/>
        <w:gridCol w:w="3594"/>
      </w:tblGrid>
      <w:tr w:rsidR="00730ABF" w:rsidRPr="004810CF" w14:paraId="030F9F6C" w14:textId="77777777" w:rsidTr="00C82C4D">
        <w:trPr>
          <w:trHeight w:val="258"/>
        </w:trPr>
        <w:tc>
          <w:tcPr>
            <w:tcW w:w="1010" w:type="pct"/>
            <w:tcBorders>
              <w:top w:val="double" w:sz="4" w:space="0" w:color="auto"/>
              <w:bottom w:val="single" w:sz="4" w:space="0" w:color="auto"/>
              <w:right w:val="single" w:sz="4" w:space="0" w:color="auto"/>
            </w:tcBorders>
          </w:tcPr>
          <w:p w14:paraId="0983D45F" w14:textId="77777777" w:rsidR="00730ABF" w:rsidRPr="004810CF" w:rsidRDefault="00730ABF" w:rsidP="00C82C4D">
            <w:pPr>
              <w:spacing w:before="60" w:after="60" w:line="240" w:lineRule="auto"/>
              <w:rPr>
                <w:rFonts w:ascii="Arial" w:hAnsi="Arial"/>
                <w:b/>
                <w:sz w:val="16"/>
                <w:szCs w:val="16"/>
              </w:rPr>
            </w:pPr>
            <w:r w:rsidRPr="004810CF">
              <w:rPr>
                <w:rFonts w:ascii="Arial" w:hAnsi="Arial"/>
                <w:b/>
                <w:sz w:val="16"/>
                <w:szCs w:val="16"/>
              </w:rPr>
              <w:t>Year</w:t>
            </w:r>
          </w:p>
        </w:tc>
        <w:tc>
          <w:tcPr>
            <w:tcW w:w="1656" w:type="pct"/>
            <w:tcBorders>
              <w:top w:val="double" w:sz="4" w:space="0" w:color="auto"/>
              <w:left w:val="single" w:sz="4" w:space="0" w:color="auto"/>
              <w:bottom w:val="single" w:sz="4" w:space="0" w:color="auto"/>
              <w:right w:val="single" w:sz="4" w:space="0" w:color="auto"/>
            </w:tcBorders>
          </w:tcPr>
          <w:p w14:paraId="2176E65A" w14:textId="77777777" w:rsidR="00730ABF" w:rsidRPr="004810CF" w:rsidRDefault="00730ABF" w:rsidP="00C82C4D">
            <w:pPr>
              <w:spacing w:before="60" w:after="60" w:line="240" w:lineRule="auto"/>
              <w:rPr>
                <w:rFonts w:ascii="Arial" w:hAnsi="Arial" w:cs="Arial"/>
                <w:b/>
                <w:sz w:val="16"/>
                <w:szCs w:val="16"/>
              </w:rPr>
            </w:pPr>
            <w:r w:rsidRPr="004810CF">
              <w:rPr>
                <w:rFonts w:ascii="Arial" w:hAnsi="Arial" w:cs="Arial"/>
                <w:b/>
                <w:sz w:val="16"/>
                <w:szCs w:val="16"/>
              </w:rPr>
              <w:t>Performance measures</w:t>
            </w:r>
          </w:p>
        </w:tc>
        <w:tc>
          <w:tcPr>
            <w:tcW w:w="2334" w:type="pct"/>
            <w:tcBorders>
              <w:top w:val="double" w:sz="4" w:space="0" w:color="auto"/>
              <w:left w:val="single" w:sz="4" w:space="0" w:color="auto"/>
              <w:bottom w:val="single" w:sz="4" w:space="0" w:color="auto"/>
            </w:tcBorders>
          </w:tcPr>
          <w:p w14:paraId="696FDA1E" w14:textId="77777777" w:rsidR="00730ABF" w:rsidRPr="004810CF" w:rsidRDefault="00730ABF" w:rsidP="00C82C4D">
            <w:pPr>
              <w:spacing w:before="60" w:after="60" w:line="240" w:lineRule="auto"/>
              <w:rPr>
                <w:rFonts w:ascii="Arial" w:hAnsi="Arial" w:cs="Arial"/>
                <w:b/>
                <w:sz w:val="16"/>
                <w:szCs w:val="16"/>
              </w:rPr>
            </w:pPr>
            <w:r w:rsidRPr="004810CF">
              <w:rPr>
                <w:rFonts w:ascii="Arial" w:hAnsi="Arial" w:cs="Arial"/>
                <w:b/>
                <w:sz w:val="16"/>
                <w:szCs w:val="16"/>
              </w:rPr>
              <w:t>Planned Performance Results</w:t>
            </w:r>
          </w:p>
        </w:tc>
      </w:tr>
      <w:tr w:rsidR="00730ABF" w:rsidRPr="004810CF" w14:paraId="4E89E8F0" w14:textId="77777777" w:rsidTr="0072693E">
        <w:trPr>
          <w:cantSplit/>
          <w:trHeight w:val="415"/>
        </w:trPr>
        <w:tc>
          <w:tcPr>
            <w:tcW w:w="1010" w:type="pct"/>
            <w:tcBorders>
              <w:bottom w:val="single" w:sz="4" w:space="0" w:color="auto"/>
              <w:right w:val="single" w:sz="4" w:space="0" w:color="auto"/>
            </w:tcBorders>
          </w:tcPr>
          <w:p w14:paraId="3EF268C2" w14:textId="3969524B" w:rsidR="00730ABF" w:rsidRPr="00DB0E5D" w:rsidRDefault="00730ABF" w:rsidP="00730ABF">
            <w:pPr>
              <w:spacing w:before="60" w:after="60" w:line="240" w:lineRule="auto"/>
              <w:rPr>
                <w:rFonts w:ascii="Arial" w:hAnsi="Arial"/>
                <w:sz w:val="16"/>
                <w:szCs w:val="16"/>
              </w:rPr>
            </w:pPr>
            <w:r>
              <w:rPr>
                <w:rFonts w:ascii="Arial" w:eastAsia="Calibri" w:hAnsi="Arial" w:cs="Arial"/>
                <w:sz w:val="16"/>
                <w:szCs w:val="16"/>
                <w:lang w:eastAsia="en-US"/>
              </w:rPr>
              <w:t>Forward Estimates</w:t>
            </w:r>
            <w:r>
              <w:rPr>
                <w:rFonts w:ascii="Arial" w:eastAsia="Calibri" w:hAnsi="Arial" w:cs="Arial"/>
                <w:sz w:val="16"/>
                <w:szCs w:val="16"/>
                <w:lang w:eastAsia="en-US"/>
              </w:rPr>
              <w:br/>
            </w:r>
            <w:r w:rsidRPr="008D55A3">
              <w:rPr>
                <w:rFonts w:ascii="Arial" w:eastAsia="Calibri" w:hAnsi="Arial" w:cs="Arial"/>
                <w:sz w:val="16"/>
                <w:szCs w:val="16"/>
                <w:lang w:eastAsia="en-US"/>
              </w:rPr>
              <w:t>202</w:t>
            </w:r>
            <w:r>
              <w:rPr>
                <w:rFonts w:ascii="Arial" w:eastAsia="Calibri" w:hAnsi="Arial" w:cs="Arial"/>
                <w:sz w:val="16"/>
                <w:szCs w:val="16"/>
                <w:lang w:eastAsia="en-US"/>
              </w:rPr>
              <w:t>4</w:t>
            </w:r>
            <w:r w:rsidRPr="008D55A3">
              <w:rPr>
                <w:rFonts w:ascii="Arial" w:eastAsia="Calibri" w:hAnsi="Arial" w:cs="Arial"/>
                <w:sz w:val="16"/>
                <w:szCs w:val="16"/>
                <w:lang w:eastAsia="en-US"/>
              </w:rPr>
              <w:t>–2</w:t>
            </w:r>
            <w:r>
              <w:rPr>
                <w:rFonts w:ascii="Arial" w:eastAsia="Calibri" w:hAnsi="Arial" w:cs="Arial"/>
                <w:sz w:val="16"/>
                <w:szCs w:val="16"/>
                <w:lang w:eastAsia="en-US"/>
              </w:rPr>
              <w:t>7 cont.</w:t>
            </w:r>
          </w:p>
        </w:tc>
        <w:tc>
          <w:tcPr>
            <w:tcW w:w="1656" w:type="pct"/>
            <w:tcBorders>
              <w:top w:val="single" w:sz="4" w:space="0" w:color="auto"/>
              <w:left w:val="single" w:sz="4" w:space="0" w:color="auto"/>
              <w:bottom w:val="single" w:sz="4" w:space="0" w:color="auto"/>
              <w:right w:val="single" w:sz="4" w:space="0" w:color="auto"/>
            </w:tcBorders>
          </w:tcPr>
          <w:p w14:paraId="4EC34D9D" w14:textId="77777777" w:rsidR="00730ABF" w:rsidRPr="00666202" w:rsidRDefault="00730ABF" w:rsidP="00730ABF">
            <w:pPr>
              <w:spacing w:before="60" w:after="60" w:line="240" w:lineRule="auto"/>
              <w:rPr>
                <w:rFonts w:ascii="Arial" w:eastAsia="Calibri" w:hAnsi="Arial" w:cs="Arial"/>
                <w:i/>
                <w:sz w:val="16"/>
                <w:szCs w:val="16"/>
                <w:lang w:eastAsia="en-US"/>
              </w:rPr>
            </w:pPr>
            <w:r w:rsidRPr="00666202">
              <w:rPr>
                <w:rFonts w:ascii="Arial" w:eastAsia="Calibri" w:hAnsi="Arial" w:cs="Arial"/>
                <w:i/>
                <w:sz w:val="16"/>
                <w:szCs w:val="16"/>
                <w:lang w:eastAsia="en-US"/>
              </w:rPr>
              <w:t>Provide policy advice supporting aviation safety</w:t>
            </w:r>
          </w:p>
          <w:p w14:paraId="74A9BD01" w14:textId="0A88C1C4" w:rsidR="00730ABF" w:rsidRPr="004810CF" w:rsidRDefault="00730ABF" w:rsidP="00730ABF">
            <w:pPr>
              <w:spacing w:before="120" w:after="60" w:line="240" w:lineRule="auto"/>
              <w:rPr>
                <w:rFonts w:ascii="Arial" w:eastAsia="Calibri" w:hAnsi="Arial" w:cs="Arial"/>
                <w:i/>
                <w:sz w:val="16"/>
                <w:szCs w:val="16"/>
                <w:lang w:eastAsia="en-US"/>
              </w:rPr>
            </w:pPr>
            <w:r w:rsidRPr="00666202">
              <w:rPr>
                <w:rFonts w:ascii="Arial" w:eastAsia="Calibri" w:hAnsi="Arial" w:cs="Arial"/>
                <w:i/>
                <w:sz w:val="16"/>
                <w:szCs w:val="16"/>
                <w:lang w:eastAsia="en-US"/>
              </w:rPr>
              <w:t>The number of fatalities per 100,000 people for the current year’s 10-year average compared against the previous year’s 10-year average</w:t>
            </w:r>
          </w:p>
        </w:tc>
        <w:tc>
          <w:tcPr>
            <w:tcW w:w="2334" w:type="pct"/>
            <w:tcBorders>
              <w:top w:val="single" w:sz="4" w:space="0" w:color="auto"/>
              <w:left w:val="single" w:sz="4" w:space="0" w:color="auto"/>
              <w:bottom w:val="single" w:sz="4" w:space="0" w:color="auto"/>
            </w:tcBorders>
          </w:tcPr>
          <w:p w14:paraId="30B98B7F" w14:textId="77777777" w:rsidR="00730ABF" w:rsidRDefault="00730ABF" w:rsidP="00730ABF">
            <w:pPr>
              <w:spacing w:before="60" w:after="60" w:line="240" w:lineRule="auto"/>
              <w:ind w:left="40" w:right="-11"/>
              <w:rPr>
                <w:rFonts w:ascii="Arial" w:eastAsia="Calibri" w:hAnsi="Arial" w:cs="Arial"/>
                <w:i/>
                <w:sz w:val="16"/>
                <w:szCs w:val="16"/>
              </w:rPr>
            </w:pPr>
            <w:r>
              <w:rPr>
                <w:rFonts w:ascii="Arial" w:eastAsia="Calibri" w:hAnsi="Arial" w:cs="Arial"/>
                <w:i/>
                <w:sz w:val="16"/>
                <w:szCs w:val="16"/>
              </w:rPr>
              <w:t>A trending reduction in the 10-year average of annual aviation fatalities.</w:t>
            </w:r>
          </w:p>
          <w:p w14:paraId="2EC4CA19" w14:textId="77777777" w:rsidR="00730ABF" w:rsidRPr="004810CF" w:rsidRDefault="00730ABF" w:rsidP="00730ABF">
            <w:pPr>
              <w:spacing w:before="60" w:after="60" w:line="240" w:lineRule="auto"/>
              <w:ind w:right="-12"/>
              <w:rPr>
                <w:rFonts w:ascii="Arial" w:eastAsia="Calibri" w:hAnsi="Arial" w:cs="Arial"/>
                <w:sz w:val="16"/>
                <w:szCs w:val="16"/>
                <w:lang w:eastAsia="en-US"/>
              </w:rPr>
            </w:pPr>
          </w:p>
        </w:tc>
      </w:tr>
    </w:tbl>
    <w:p w14:paraId="3CAFB9AC" w14:textId="57B578B5" w:rsidR="00115843" w:rsidRPr="0016575D" w:rsidRDefault="00115843" w:rsidP="00115843">
      <w:pPr>
        <w:spacing w:before="60" w:after="0" w:line="240" w:lineRule="auto"/>
        <w:rPr>
          <w:rFonts w:ascii="Arial" w:hAnsi="Arial" w:cs="Arial"/>
          <w:sz w:val="16"/>
        </w:rPr>
      </w:pPr>
      <w:bookmarkStart w:id="23" w:name="_Hlk115687921"/>
      <w:r w:rsidRPr="0016575D">
        <w:rPr>
          <w:rFonts w:ascii="Arial" w:hAnsi="Arial" w:cs="Arial"/>
          <w:sz w:val="16"/>
        </w:rPr>
        <w:t xml:space="preserve">New or modified performance </w:t>
      </w:r>
      <w:r>
        <w:rPr>
          <w:rFonts w:ascii="Arial" w:hAnsi="Arial" w:cs="Arial"/>
          <w:sz w:val="16"/>
        </w:rPr>
        <w:t>m</w:t>
      </w:r>
      <w:r w:rsidRPr="0016575D">
        <w:rPr>
          <w:rFonts w:ascii="Arial" w:hAnsi="Arial" w:cs="Arial"/>
          <w:sz w:val="16"/>
        </w:rPr>
        <w:t>easure</w:t>
      </w:r>
      <w:r>
        <w:rPr>
          <w:rFonts w:ascii="Arial" w:hAnsi="Arial" w:cs="Arial"/>
          <w:sz w:val="16"/>
        </w:rPr>
        <w:t>s</w:t>
      </w:r>
      <w:r w:rsidRPr="0016575D">
        <w:rPr>
          <w:rFonts w:ascii="Arial" w:hAnsi="Arial" w:cs="Arial"/>
          <w:sz w:val="16"/>
        </w:rPr>
        <w:t xml:space="preserve"> that reflect new or materially changed programs are shown in</w:t>
      </w:r>
      <w:r w:rsidR="00657C23">
        <w:rPr>
          <w:rFonts w:ascii="Arial" w:hAnsi="Arial" w:cs="Arial"/>
          <w:sz w:val="16"/>
        </w:rPr>
        <w:t xml:space="preserve"> </w:t>
      </w:r>
      <w:r w:rsidRPr="001066C8">
        <w:rPr>
          <w:rFonts w:ascii="Arial" w:hAnsi="Arial" w:cs="Arial"/>
          <w:i/>
          <w:sz w:val="16"/>
        </w:rPr>
        <w:t>ita</w:t>
      </w:r>
      <w:r w:rsidRPr="0016575D">
        <w:rPr>
          <w:rFonts w:ascii="Arial" w:hAnsi="Arial" w:cs="Arial"/>
          <w:i/>
          <w:sz w:val="16"/>
        </w:rPr>
        <w:t>lics.</w:t>
      </w:r>
      <w:r w:rsidRPr="0016575D">
        <w:rPr>
          <w:rFonts w:ascii="Arial" w:hAnsi="Arial" w:cs="Arial"/>
          <w:sz w:val="16"/>
        </w:rPr>
        <w:t xml:space="preserve"> </w:t>
      </w:r>
    </w:p>
    <w:bookmarkEnd w:id="23"/>
    <w:p w14:paraId="04230C0A" w14:textId="77777777" w:rsidR="00666202" w:rsidRDefault="00666202" w:rsidP="00977C28">
      <w:pPr>
        <w:pStyle w:val="ListParagraph"/>
        <w:widowControl w:val="0"/>
        <w:numPr>
          <w:ilvl w:val="0"/>
          <w:numId w:val="157"/>
        </w:numPr>
        <w:autoSpaceDE w:val="0"/>
        <w:autoSpaceDN w:val="0"/>
        <w:spacing w:before="30" w:after="0" w:line="240" w:lineRule="auto"/>
        <w:ind w:left="426" w:hanging="426"/>
        <w:rPr>
          <w:rFonts w:ascii="Arial" w:hAnsi="Arial" w:cs="Arial"/>
          <w:i/>
          <w:sz w:val="16"/>
        </w:rPr>
      </w:pPr>
      <w:r>
        <w:rPr>
          <w:rFonts w:ascii="Arial" w:hAnsi="Arial" w:cs="Arial"/>
          <w:sz w:val="16"/>
          <w:szCs w:val="16"/>
        </w:rPr>
        <w:t>New key activity that will be reflected in the 2023–24 Corporate Plan.</w:t>
      </w:r>
    </w:p>
    <w:p w14:paraId="4F91813F" w14:textId="11D4898D" w:rsidR="00666202" w:rsidRPr="00666202" w:rsidRDefault="00666202" w:rsidP="00977C28">
      <w:pPr>
        <w:pStyle w:val="ListParagraph"/>
        <w:widowControl w:val="0"/>
        <w:numPr>
          <w:ilvl w:val="0"/>
          <w:numId w:val="157"/>
        </w:numPr>
        <w:autoSpaceDE w:val="0"/>
        <w:autoSpaceDN w:val="0"/>
        <w:spacing w:before="30" w:after="0" w:line="240" w:lineRule="auto"/>
        <w:ind w:left="426" w:hanging="426"/>
        <w:rPr>
          <w:rFonts w:ascii="Arial" w:hAnsi="Arial" w:cs="Arial"/>
          <w:sz w:val="16"/>
        </w:rPr>
      </w:pPr>
      <w:r w:rsidRPr="00666202">
        <w:rPr>
          <w:rFonts w:ascii="Arial" w:hAnsi="Arial" w:cs="Arial"/>
          <w:sz w:val="16"/>
        </w:rPr>
        <w:t xml:space="preserve">The </w:t>
      </w:r>
      <w:r w:rsidR="00E17F15">
        <w:rPr>
          <w:rFonts w:ascii="Arial" w:hAnsi="Arial" w:cs="Arial"/>
          <w:sz w:val="16"/>
        </w:rPr>
        <w:t>Department</w:t>
      </w:r>
      <w:r w:rsidRPr="00666202">
        <w:rPr>
          <w:rFonts w:ascii="Arial" w:hAnsi="Arial" w:cs="Arial"/>
          <w:sz w:val="16"/>
        </w:rPr>
        <w:t xml:space="preserve"> reviews these trends, in consultation with other aviation agencies, to see whether aviation safety related policies are helping to reduce aviation related fatalities and whether any changes to existing measures or new measures may be required and provides advice to Government where appropriate.</w:t>
      </w:r>
    </w:p>
    <w:p w14:paraId="1C182EC6" w14:textId="398DF207" w:rsidR="00666202" w:rsidRPr="00666202" w:rsidRDefault="00666202" w:rsidP="00977C28">
      <w:pPr>
        <w:pStyle w:val="ListParagraph"/>
        <w:widowControl w:val="0"/>
        <w:numPr>
          <w:ilvl w:val="0"/>
          <w:numId w:val="158"/>
        </w:numPr>
        <w:autoSpaceDE w:val="0"/>
        <w:autoSpaceDN w:val="0"/>
        <w:spacing w:before="30" w:after="0" w:line="240" w:lineRule="auto"/>
        <w:ind w:left="851" w:hanging="425"/>
        <w:rPr>
          <w:rFonts w:ascii="Arial" w:hAnsi="Arial" w:cs="Arial"/>
          <w:sz w:val="16"/>
        </w:rPr>
      </w:pPr>
      <w:r w:rsidRPr="00666202">
        <w:rPr>
          <w:rFonts w:ascii="Arial" w:hAnsi="Arial" w:cs="Arial"/>
          <w:sz w:val="16"/>
        </w:rPr>
        <w:t xml:space="preserve">The </w:t>
      </w:r>
      <w:r w:rsidR="00E17F15">
        <w:rPr>
          <w:rFonts w:ascii="Arial" w:hAnsi="Arial" w:cs="Arial"/>
          <w:sz w:val="16"/>
        </w:rPr>
        <w:t>Department</w:t>
      </w:r>
      <w:r w:rsidRPr="00666202">
        <w:rPr>
          <w:rFonts w:ascii="Arial" w:hAnsi="Arial" w:cs="Arial"/>
          <w:sz w:val="16"/>
        </w:rPr>
        <w:t>’s policy development and governance roles help with establishing and maintaining the safe and efficient operation of Australia’s aviation safety system. Efforts to reduce the number of aviation fatalities in Australia involve the:</w:t>
      </w:r>
    </w:p>
    <w:p w14:paraId="66C71015" w14:textId="5AD9528A" w:rsidR="00666202" w:rsidRPr="00666202" w:rsidRDefault="00666202" w:rsidP="00977C28">
      <w:pPr>
        <w:pStyle w:val="ListParagraph"/>
        <w:widowControl w:val="0"/>
        <w:numPr>
          <w:ilvl w:val="1"/>
          <w:numId w:val="158"/>
        </w:numPr>
        <w:autoSpaceDE w:val="0"/>
        <w:autoSpaceDN w:val="0"/>
        <w:spacing w:before="30" w:after="0" w:line="240" w:lineRule="auto"/>
        <w:ind w:left="1276" w:hanging="425"/>
        <w:rPr>
          <w:rFonts w:ascii="Arial" w:hAnsi="Arial" w:cs="Arial"/>
          <w:sz w:val="16"/>
        </w:rPr>
      </w:pPr>
      <w:r w:rsidRPr="00666202">
        <w:rPr>
          <w:rFonts w:ascii="Arial" w:hAnsi="Arial" w:cs="Arial"/>
          <w:sz w:val="16"/>
        </w:rPr>
        <w:t>Civil Aviation Safety Authority (CASA)</w:t>
      </w:r>
    </w:p>
    <w:p w14:paraId="7DC0F1A2" w14:textId="72C65C8B" w:rsidR="00666202" w:rsidRPr="00666202" w:rsidRDefault="00666202" w:rsidP="00977C28">
      <w:pPr>
        <w:pStyle w:val="ListParagraph"/>
        <w:widowControl w:val="0"/>
        <w:numPr>
          <w:ilvl w:val="1"/>
          <w:numId w:val="158"/>
        </w:numPr>
        <w:autoSpaceDE w:val="0"/>
        <w:autoSpaceDN w:val="0"/>
        <w:spacing w:before="30" w:after="0" w:line="240" w:lineRule="auto"/>
        <w:ind w:left="1276" w:hanging="425"/>
        <w:rPr>
          <w:rFonts w:ascii="Arial" w:hAnsi="Arial" w:cs="Arial"/>
          <w:sz w:val="16"/>
        </w:rPr>
      </w:pPr>
      <w:r w:rsidRPr="00666202">
        <w:rPr>
          <w:rFonts w:ascii="Arial" w:hAnsi="Arial" w:cs="Arial"/>
          <w:sz w:val="16"/>
        </w:rPr>
        <w:t>Airservices Australia</w:t>
      </w:r>
    </w:p>
    <w:p w14:paraId="6E02C54A" w14:textId="41D6FA91" w:rsidR="00666202" w:rsidRPr="00666202" w:rsidRDefault="00666202" w:rsidP="00977C28">
      <w:pPr>
        <w:pStyle w:val="ListParagraph"/>
        <w:widowControl w:val="0"/>
        <w:numPr>
          <w:ilvl w:val="1"/>
          <w:numId w:val="158"/>
        </w:numPr>
        <w:autoSpaceDE w:val="0"/>
        <w:autoSpaceDN w:val="0"/>
        <w:spacing w:before="30" w:after="0" w:line="240" w:lineRule="auto"/>
        <w:ind w:left="1276" w:hanging="425"/>
        <w:rPr>
          <w:rFonts w:ascii="Arial" w:hAnsi="Arial" w:cs="Arial"/>
          <w:sz w:val="16"/>
        </w:rPr>
      </w:pPr>
      <w:r w:rsidRPr="00666202">
        <w:rPr>
          <w:rFonts w:ascii="Arial" w:hAnsi="Arial" w:cs="Arial"/>
          <w:sz w:val="16"/>
        </w:rPr>
        <w:t>Australian Transport Safety Bureau (ATSB)</w:t>
      </w:r>
    </w:p>
    <w:p w14:paraId="7B57A862" w14:textId="3216B9C2" w:rsidR="00666202" w:rsidRPr="00666202" w:rsidRDefault="00666202" w:rsidP="00977C28">
      <w:pPr>
        <w:pStyle w:val="ListParagraph"/>
        <w:widowControl w:val="0"/>
        <w:numPr>
          <w:ilvl w:val="1"/>
          <w:numId w:val="158"/>
        </w:numPr>
        <w:autoSpaceDE w:val="0"/>
        <w:autoSpaceDN w:val="0"/>
        <w:spacing w:before="30" w:after="0" w:line="240" w:lineRule="auto"/>
        <w:ind w:left="1276" w:hanging="425"/>
        <w:rPr>
          <w:rFonts w:ascii="Arial" w:hAnsi="Arial" w:cs="Arial"/>
          <w:sz w:val="16"/>
        </w:rPr>
      </w:pPr>
      <w:r w:rsidRPr="00666202">
        <w:rPr>
          <w:rFonts w:ascii="Arial" w:hAnsi="Arial" w:cs="Arial"/>
          <w:sz w:val="16"/>
        </w:rPr>
        <w:t>Australian Maritime Safety Authority (search and rescue)</w:t>
      </w:r>
    </w:p>
    <w:p w14:paraId="6CE3A538" w14:textId="1E13FDBA" w:rsidR="00666202" w:rsidRPr="00666202" w:rsidRDefault="00666202" w:rsidP="00977C28">
      <w:pPr>
        <w:pStyle w:val="ListParagraph"/>
        <w:widowControl w:val="0"/>
        <w:numPr>
          <w:ilvl w:val="1"/>
          <w:numId w:val="158"/>
        </w:numPr>
        <w:autoSpaceDE w:val="0"/>
        <w:autoSpaceDN w:val="0"/>
        <w:spacing w:before="30" w:after="0" w:line="240" w:lineRule="auto"/>
        <w:ind w:left="1276" w:hanging="425"/>
        <w:rPr>
          <w:rFonts w:ascii="Arial" w:hAnsi="Arial" w:cs="Arial"/>
          <w:sz w:val="16"/>
        </w:rPr>
      </w:pPr>
      <w:r w:rsidRPr="00666202">
        <w:rPr>
          <w:rFonts w:ascii="Arial" w:hAnsi="Arial" w:cs="Arial"/>
          <w:sz w:val="16"/>
        </w:rPr>
        <w:t>aviation industry (including airlines, airports)</w:t>
      </w:r>
    </w:p>
    <w:p w14:paraId="453E5295" w14:textId="03CFCEEC" w:rsidR="00666202" w:rsidRPr="00666202" w:rsidRDefault="00666202" w:rsidP="00977C28">
      <w:pPr>
        <w:pStyle w:val="ListParagraph"/>
        <w:widowControl w:val="0"/>
        <w:numPr>
          <w:ilvl w:val="1"/>
          <w:numId w:val="158"/>
        </w:numPr>
        <w:autoSpaceDE w:val="0"/>
        <w:autoSpaceDN w:val="0"/>
        <w:spacing w:before="30" w:after="0" w:line="240" w:lineRule="auto"/>
        <w:ind w:left="1276" w:hanging="425"/>
        <w:rPr>
          <w:sz w:val="20"/>
        </w:rPr>
      </w:pPr>
      <w:r w:rsidRPr="00666202">
        <w:rPr>
          <w:rFonts w:ascii="Arial" w:hAnsi="Arial" w:cs="Arial"/>
          <w:sz w:val="16"/>
        </w:rPr>
        <w:t>aircraft manufacturers</w:t>
      </w:r>
    </w:p>
    <w:p w14:paraId="04190A43" w14:textId="77777777" w:rsidR="00557DDF" w:rsidRPr="00557DDF" w:rsidRDefault="00666202" w:rsidP="00977C28">
      <w:pPr>
        <w:pStyle w:val="ListParagraph"/>
        <w:widowControl w:val="0"/>
        <w:numPr>
          <w:ilvl w:val="1"/>
          <w:numId w:val="158"/>
        </w:numPr>
        <w:autoSpaceDE w:val="0"/>
        <w:autoSpaceDN w:val="0"/>
        <w:spacing w:before="30" w:after="120" w:line="240" w:lineRule="auto"/>
        <w:ind w:left="1276" w:hanging="425"/>
        <w:rPr>
          <w:sz w:val="20"/>
        </w:rPr>
      </w:pPr>
      <w:r w:rsidRPr="00666202">
        <w:rPr>
          <w:rFonts w:ascii="Arial" w:hAnsi="Arial" w:cs="Arial"/>
          <w:sz w:val="16"/>
        </w:rPr>
        <w:t>individual aviation personnel.</w:t>
      </w:r>
    </w:p>
    <w:p w14:paraId="256355E4" w14:textId="67EC0D38" w:rsidR="00557DDF" w:rsidRPr="00557DDF" w:rsidRDefault="00557DDF" w:rsidP="00557DDF">
      <w:pPr>
        <w:autoSpaceDE w:val="0"/>
        <w:autoSpaceDN w:val="0"/>
        <w:spacing w:before="40" w:after="40" w:line="240" w:lineRule="auto"/>
        <w:rPr>
          <w:rFonts w:ascii="Arial" w:hAnsi="Arial" w:cs="Arial"/>
          <w:sz w:val="16"/>
          <w:szCs w:val="16"/>
        </w:rPr>
      </w:pPr>
      <w:r w:rsidRPr="004E26ED">
        <w:rPr>
          <w:rFonts w:ascii="Arial" w:hAnsi="Arial" w:cs="Arial"/>
          <w:color w:val="000000"/>
          <w:sz w:val="16"/>
          <w:szCs w:val="16"/>
        </w:rPr>
        <w:t xml:space="preserve">The </w:t>
      </w:r>
      <w:r w:rsidR="00E17F15">
        <w:rPr>
          <w:rFonts w:ascii="Arial" w:hAnsi="Arial" w:cs="Arial"/>
          <w:color w:val="000000"/>
          <w:sz w:val="16"/>
          <w:szCs w:val="16"/>
        </w:rPr>
        <w:t>Department</w:t>
      </w:r>
      <w:r w:rsidRPr="004E26ED">
        <w:rPr>
          <w:rFonts w:ascii="Arial" w:hAnsi="Arial" w:cs="Arial"/>
          <w:color w:val="000000"/>
          <w:sz w:val="16"/>
          <w:szCs w:val="16"/>
        </w:rPr>
        <w:t xml:space="preserve"> has undertaken a suite of assessment and assurance activities regarding performance measures since </w:t>
      </w:r>
      <w:r w:rsidRPr="00557DDF">
        <w:rPr>
          <w:rFonts w:ascii="Arial" w:hAnsi="Arial" w:cs="Arial"/>
          <w:color w:val="000000"/>
          <w:sz w:val="16"/>
          <w:szCs w:val="16"/>
        </w:rPr>
        <w:t>the 2022</w:t>
      </w:r>
      <w:r w:rsidRPr="00557DDF">
        <w:rPr>
          <w:rFonts w:ascii="Arial" w:hAnsi="Arial" w:cs="Arial"/>
          <w:sz w:val="16"/>
          <w:szCs w:val="16"/>
        </w:rPr>
        <w:t>–</w:t>
      </w:r>
      <w:r w:rsidRPr="00557DDF">
        <w:rPr>
          <w:rFonts w:ascii="Arial" w:hAnsi="Arial" w:cs="Arial"/>
          <w:color w:val="000000"/>
          <w:sz w:val="16"/>
          <w:szCs w:val="16"/>
        </w:rPr>
        <w:t>23 Budget. As a result, a number of measures have been added, removed, or amended in the 2023</w:t>
      </w:r>
      <w:r w:rsidRPr="00557DDF">
        <w:rPr>
          <w:rFonts w:ascii="Arial" w:hAnsi="Arial" w:cs="Arial"/>
          <w:sz w:val="16"/>
          <w:szCs w:val="16"/>
        </w:rPr>
        <w:t>–</w:t>
      </w:r>
      <w:r w:rsidRPr="00557DDF">
        <w:rPr>
          <w:rFonts w:ascii="Arial" w:hAnsi="Arial" w:cs="Arial"/>
          <w:color w:val="000000"/>
          <w:sz w:val="16"/>
          <w:szCs w:val="16"/>
        </w:rPr>
        <w:t>24 Portfolio</w:t>
      </w:r>
      <w:r w:rsidRPr="004E26ED">
        <w:rPr>
          <w:rFonts w:ascii="Arial" w:hAnsi="Arial" w:cs="Arial"/>
          <w:color w:val="000000"/>
          <w:sz w:val="16"/>
          <w:szCs w:val="16"/>
        </w:rPr>
        <w:t xml:space="preserve"> Budget Statements. Further details will be provided in the </w:t>
      </w:r>
      <w:r w:rsidR="0000369A">
        <w:rPr>
          <w:rFonts w:ascii="Arial" w:hAnsi="Arial" w:cs="Arial"/>
          <w:color w:val="000000"/>
          <w:sz w:val="16"/>
          <w:szCs w:val="16"/>
        </w:rPr>
        <w:t>Department’s</w:t>
      </w:r>
      <w:r w:rsidRPr="004E26ED">
        <w:rPr>
          <w:rFonts w:ascii="Arial" w:hAnsi="Arial" w:cs="Arial"/>
          <w:color w:val="000000"/>
          <w:sz w:val="16"/>
          <w:szCs w:val="16"/>
        </w:rPr>
        <w:t xml:space="preserve"> Corporate Plan 2023</w:t>
      </w:r>
      <w:r w:rsidRPr="00557DDF">
        <w:rPr>
          <w:rFonts w:ascii="Arial" w:hAnsi="Arial" w:cs="Arial"/>
          <w:sz w:val="16"/>
          <w:szCs w:val="16"/>
        </w:rPr>
        <w:t>–</w:t>
      </w:r>
      <w:r w:rsidRPr="004E26ED">
        <w:rPr>
          <w:rFonts w:ascii="Arial" w:hAnsi="Arial" w:cs="Arial"/>
          <w:color w:val="000000"/>
          <w:sz w:val="16"/>
          <w:szCs w:val="16"/>
        </w:rPr>
        <w:t>24.</w:t>
      </w:r>
    </w:p>
    <w:p w14:paraId="1C916611" w14:textId="1C64D23E" w:rsidR="00115843" w:rsidRPr="00557DDF" w:rsidRDefault="00115843" w:rsidP="00557DDF">
      <w:pPr>
        <w:widowControl w:val="0"/>
        <w:autoSpaceDE w:val="0"/>
        <w:autoSpaceDN w:val="0"/>
        <w:spacing w:before="30" w:after="0" w:line="240" w:lineRule="auto"/>
      </w:pPr>
      <w:r w:rsidRPr="00557DDF">
        <w:rPr>
          <w:b/>
        </w:rPr>
        <w:br w:type="page"/>
      </w:r>
    </w:p>
    <w:p w14:paraId="11054A22" w14:textId="77777777" w:rsidR="00115843" w:rsidRPr="00C000B8" w:rsidRDefault="00115843" w:rsidP="00115843">
      <w:pPr>
        <w:pStyle w:val="Heading3-ITRDCA"/>
      </w:pPr>
      <w:bookmarkStart w:id="24" w:name="_Toc117242349"/>
      <w:r w:rsidRPr="00C000B8">
        <w:lastRenderedPageBreak/>
        <w:t>2.</w:t>
      </w:r>
      <w:r>
        <w:t>3</w:t>
      </w:r>
      <w:r w:rsidRPr="00C000B8">
        <w:t xml:space="preserve"> </w:t>
      </w:r>
      <w:r w:rsidRPr="00C000B8">
        <w:tab/>
        <w:t xml:space="preserve">Budgeted expenses and performance for Outcome </w:t>
      </w:r>
      <w:r>
        <w:t>3</w:t>
      </w:r>
      <w:bookmarkEnd w:id="24"/>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115843" w:rsidRPr="001A337A" w14:paraId="10FE5F23" w14:textId="77777777" w:rsidTr="00707BCF">
        <w:trPr>
          <w:trHeight w:val="902"/>
        </w:trPr>
        <w:tc>
          <w:tcPr>
            <w:tcW w:w="5000" w:type="pct"/>
            <w:shd w:val="clear" w:color="auto" w:fill="E6E6E6"/>
          </w:tcPr>
          <w:p w14:paraId="12F9B76C" w14:textId="10392609" w:rsidR="00115843" w:rsidRPr="00707BCF" w:rsidRDefault="00115843" w:rsidP="00FB0D02">
            <w:pPr>
              <w:spacing w:before="60" w:after="60" w:line="240" w:lineRule="auto"/>
              <w:ind w:right="180"/>
              <w:rPr>
                <w:rFonts w:ascii="Arial" w:hAnsi="Arial" w:cs="Arial"/>
                <w:b/>
              </w:rPr>
            </w:pPr>
            <w:r w:rsidRPr="00707BCF">
              <w:rPr>
                <w:rFonts w:ascii="Arial" w:hAnsi="Arial" w:cs="Arial"/>
                <w:b/>
              </w:rPr>
              <w:t>Outcome 3: Strengthening the sustainability, capacity and diversity of Australia’s cities and regions</w:t>
            </w:r>
            <w:r w:rsidR="000918EB" w:rsidRPr="00707BCF">
              <w:rPr>
                <w:rFonts w:ascii="Arial" w:hAnsi="Arial" w:cs="Arial"/>
                <w:b/>
              </w:rPr>
              <w:t>, including northern Australia</w:t>
            </w:r>
            <w:r w:rsidRPr="00707BCF">
              <w:rPr>
                <w:rFonts w:ascii="Arial" w:hAnsi="Arial" w:cs="Arial"/>
                <w:b/>
              </w:rPr>
              <w:t xml:space="preserve"> including through facilitating local partnerships between all levels of government and local communities; through investment in infrastructure and measures that stimulate economic growth; and providing grants and financial assistance</w:t>
            </w:r>
          </w:p>
        </w:tc>
      </w:tr>
    </w:tbl>
    <w:p w14:paraId="09947E56" w14:textId="77777777" w:rsidR="00115843" w:rsidRDefault="00115843" w:rsidP="00115843">
      <w:pPr>
        <w:spacing w:after="0" w:line="240" w:lineRule="auto"/>
        <w:rPr>
          <w:rFonts w:ascii="Arial" w:hAnsi="Arial" w:cs="Arial"/>
          <w:sz w:val="16"/>
        </w:rPr>
      </w:pPr>
    </w:p>
    <w:p w14:paraId="20BF5AB2" w14:textId="77777777" w:rsidR="00115843" w:rsidRPr="003024F4" w:rsidRDefault="00115843" w:rsidP="00115843">
      <w:pPr>
        <w:keepNext/>
        <w:tabs>
          <w:tab w:val="left" w:pos="709"/>
        </w:tabs>
        <w:spacing w:after="120" w:line="240" w:lineRule="auto"/>
        <w:outlineLvl w:val="3"/>
        <w:rPr>
          <w:bCs/>
          <w:i/>
          <w:iCs/>
          <w:color w:val="000000" w:themeColor="text1"/>
          <w:lang w:val="x-none" w:eastAsia="x-none"/>
        </w:rPr>
      </w:pPr>
      <w:r w:rsidRPr="003024F4">
        <w:rPr>
          <w:rFonts w:ascii="Arial Bold" w:hAnsi="Arial Bold"/>
          <w:b/>
        </w:rPr>
        <w:t xml:space="preserve">Linked programs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115843" w:rsidRPr="003024F4" w14:paraId="1886BBF0" w14:textId="77777777" w:rsidTr="00FB0D02">
        <w:trPr>
          <w:trHeight w:val="2156"/>
        </w:trPr>
        <w:tc>
          <w:tcPr>
            <w:tcW w:w="5000" w:type="pct"/>
            <w:tcBorders>
              <w:bottom w:val="single" w:sz="4" w:space="0" w:color="auto"/>
            </w:tcBorders>
            <w:shd w:val="clear" w:color="auto" w:fill="auto"/>
          </w:tcPr>
          <w:p w14:paraId="68073401" w14:textId="77777777" w:rsidR="00115843" w:rsidRPr="002B334F" w:rsidRDefault="00115843" w:rsidP="00FB0D02">
            <w:pPr>
              <w:spacing w:before="60" w:after="60" w:line="240" w:lineRule="auto"/>
              <w:rPr>
                <w:b/>
              </w:rPr>
            </w:pPr>
            <w:r w:rsidRPr="003024F4">
              <w:rPr>
                <w:b/>
              </w:rPr>
              <w:t>Department of Agriculture</w:t>
            </w:r>
            <w:r w:rsidRPr="002B334F">
              <w:rPr>
                <w:b/>
              </w:rPr>
              <w:t>, Fisheries and Forestry</w:t>
            </w:r>
          </w:p>
          <w:p w14:paraId="7763064B" w14:textId="77777777" w:rsidR="00115843" w:rsidRPr="002B334F" w:rsidRDefault="00115843" w:rsidP="00FB0D02">
            <w:pPr>
              <w:spacing w:before="60" w:after="60" w:line="240" w:lineRule="auto"/>
              <w:rPr>
                <w:b/>
              </w:rPr>
            </w:pPr>
            <w:r w:rsidRPr="002B334F">
              <w:rPr>
                <w:b/>
              </w:rPr>
              <w:t>Programs</w:t>
            </w:r>
          </w:p>
          <w:p w14:paraId="3ABCB115" w14:textId="77777777" w:rsidR="00047A4C" w:rsidRDefault="00047A4C" w:rsidP="00977C28">
            <w:pPr>
              <w:numPr>
                <w:ilvl w:val="0"/>
                <w:numId w:val="53"/>
              </w:numPr>
              <w:spacing w:before="60" w:after="60" w:line="240" w:lineRule="auto"/>
              <w:ind w:left="714" w:hanging="357"/>
              <w:rPr>
                <w:i/>
              </w:rPr>
            </w:pPr>
            <w:r>
              <w:rPr>
                <w:lang w:val="en-US"/>
              </w:rPr>
              <w:t>Program 1.11: Drought programs</w:t>
            </w:r>
          </w:p>
          <w:p w14:paraId="73E23AEF" w14:textId="77777777" w:rsidR="00047A4C" w:rsidRDefault="00047A4C" w:rsidP="00047A4C">
            <w:pPr>
              <w:spacing w:before="60" w:after="60" w:line="240" w:lineRule="auto"/>
              <w:rPr>
                <w:b/>
                <w:i/>
              </w:rPr>
            </w:pPr>
            <w:r>
              <w:rPr>
                <w:b/>
                <w:lang w:val="en-US"/>
              </w:rPr>
              <w:t>Contribution to Outcome 3 made by linked programs</w:t>
            </w:r>
          </w:p>
          <w:p w14:paraId="50E5BCBF" w14:textId="48FBC787" w:rsidR="00115843" w:rsidRPr="003024F4" w:rsidRDefault="00047A4C" w:rsidP="00047A4C">
            <w:pPr>
              <w:spacing w:before="60" w:after="60" w:line="240" w:lineRule="auto"/>
            </w:pPr>
            <w:r>
              <w:t>The above linkage relates to work undertaken by the Regional Investment Corporation to support state and territory investment in water infrastructure that will provide secure and affordable water to support the growth of regional economies.</w:t>
            </w:r>
          </w:p>
        </w:tc>
      </w:tr>
      <w:tr w:rsidR="00115843" w:rsidRPr="003024F4" w14:paraId="7F437EB2" w14:textId="77777777" w:rsidTr="00FB0D02">
        <w:trPr>
          <w:trHeight w:val="2156"/>
        </w:trPr>
        <w:tc>
          <w:tcPr>
            <w:tcW w:w="5000" w:type="pct"/>
            <w:tcBorders>
              <w:bottom w:val="single" w:sz="4" w:space="0" w:color="auto"/>
            </w:tcBorders>
            <w:shd w:val="clear" w:color="auto" w:fill="auto"/>
          </w:tcPr>
          <w:p w14:paraId="03E4A3C8" w14:textId="77777777" w:rsidR="00115843" w:rsidRPr="003024F4" w:rsidRDefault="00115843" w:rsidP="00FB0D02">
            <w:pPr>
              <w:spacing w:before="60" w:after="60" w:line="240" w:lineRule="auto"/>
              <w:rPr>
                <w:b/>
              </w:rPr>
            </w:pPr>
            <w:r w:rsidRPr="003024F4">
              <w:rPr>
                <w:b/>
              </w:rPr>
              <w:t>Department of Climate Change, Energy, the Environment and Water</w:t>
            </w:r>
          </w:p>
          <w:p w14:paraId="756BEEF8" w14:textId="77777777" w:rsidR="00115843" w:rsidRPr="00E14F0C" w:rsidRDefault="00115843" w:rsidP="00FB0D02">
            <w:pPr>
              <w:spacing w:before="60" w:after="60" w:line="240" w:lineRule="auto"/>
              <w:rPr>
                <w:b/>
              </w:rPr>
            </w:pPr>
            <w:r w:rsidRPr="00E14F0C">
              <w:rPr>
                <w:b/>
              </w:rPr>
              <w:t>Programs</w:t>
            </w:r>
          </w:p>
          <w:p w14:paraId="644297D6" w14:textId="77777777" w:rsidR="00047A4C" w:rsidRDefault="00047A4C" w:rsidP="00977C28">
            <w:pPr>
              <w:pStyle w:val="ListParagraph"/>
              <w:numPr>
                <w:ilvl w:val="0"/>
                <w:numId w:val="121"/>
              </w:numPr>
              <w:spacing w:before="60" w:after="60" w:line="240" w:lineRule="auto"/>
              <w:rPr>
                <w:rFonts w:ascii="Book Antiqua" w:hAnsi="Book Antiqua"/>
                <w:sz w:val="20"/>
                <w:szCs w:val="20"/>
              </w:rPr>
            </w:pPr>
            <w:r>
              <w:rPr>
                <w:rFonts w:ascii="Book Antiqua" w:hAnsi="Book Antiqua"/>
                <w:sz w:val="20"/>
                <w:szCs w:val="20"/>
              </w:rPr>
              <w:t>Program 1.1: Reducing Australia’s greenhouse gas emissions</w:t>
            </w:r>
          </w:p>
          <w:p w14:paraId="69C7CBE6" w14:textId="77777777" w:rsidR="00047A4C" w:rsidRDefault="00047A4C" w:rsidP="00977C28">
            <w:pPr>
              <w:pStyle w:val="ListParagraph"/>
              <w:numPr>
                <w:ilvl w:val="0"/>
                <w:numId w:val="121"/>
              </w:numPr>
              <w:spacing w:before="60" w:after="60" w:line="240" w:lineRule="auto"/>
              <w:rPr>
                <w:rFonts w:ascii="Book Antiqua" w:hAnsi="Book Antiqua"/>
                <w:sz w:val="20"/>
                <w:szCs w:val="20"/>
                <w:lang w:val="en-AU"/>
              </w:rPr>
            </w:pPr>
            <w:r>
              <w:rPr>
                <w:rFonts w:ascii="Book Antiqua" w:hAnsi="Book Antiqua"/>
                <w:sz w:val="20"/>
                <w:szCs w:val="20"/>
              </w:rPr>
              <w:t>Program 2.6: Management of Hazardous Wastes, Substances and Pollutants</w:t>
            </w:r>
          </w:p>
          <w:p w14:paraId="30E62A9F" w14:textId="77777777" w:rsidR="00047A4C" w:rsidRDefault="00047A4C" w:rsidP="00047A4C">
            <w:pPr>
              <w:spacing w:before="60" w:after="60" w:line="240" w:lineRule="auto"/>
              <w:rPr>
                <w:b/>
                <w:i/>
              </w:rPr>
            </w:pPr>
            <w:r>
              <w:rPr>
                <w:b/>
                <w:lang w:val="en-US"/>
              </w:rPr>
              <w:t>Contribution to Outcome 3 made by linked programs</w:t>
            </w:r>
          </w:p>
          <w:p w14:paraId="225057C2" w14:textId="6B852703" w:rsidR="00115843" w:rsidRPr="003024F4" w:rsidRDefault="00047A4C" w:rsidP="00047A4C">
            <w:pPr>
              <w:spacing w:before="60" w:after="60" w:line="240" w:lineRule="auto"/>
              <w:rPr>
                <w:b/>
              </w:rPr>
            </w:pPr>
            <w:r>
              <w:t xml:space="preserve">The Department supports environmental, climate change and recyclables market initiatives through the delivery of commitments under </w:t>
            </w:r>
            <w:r w:rsidR="00E606DC">
              <w:t>City</w:t>
            </w:r>
            <w:r>
              <w:t xml:space="preserve"> and Regional Deals.</w:t>
            </w:r>
          </w:p>
        </w:tc>
      </w:tr>
      <w:tr w:rsidR="00115843" w:rsidRPr="003024F4" w14:paraId="0CC374A3" w14:textId="77777777" w:rsidTr="00FB0D02">
        <w:trPr>
          <w:trHeight w:val="1457"/>
        </w:trPr>
        <w:tc>
          <w:tcPr>
            <w:tcW w:w="5000" w:type="pct"/>
            <w:tcBorders>
              <w:bottom w:val="single" w:sz="4" w:space="0" w:color="auto"/>
            </w:tcBorders>
            <w:shd w:val="clear" w:color="auto" w:fill="auto"/>
          </w:tcPr>
          <w:p w14:paraId="5B606EF8" w14:textId="77777777" w:rsidR="00115843" w:rsidRPr="002B334F" w:rsidRDefault="00115843" w:rsidP="00FB0D02">
            <w:pPr>
              <w:spacing w:before="60" w:after="60" w:line="240" w:lineRule="auto"/>
              <w:rPr>
                <w:b/>
              </w:rPr>
            </w:pPr>
            <w:r w:rsidRPr="002B334F">
              <w:rPr>
                <w:b/>
              </w:rPr>
              <w:t>Department of Education</w:t>
            </w:r>
          </w:p>
          <w:p w14:paraId="1D8E071F" w14:textId="77777777" w:rsidR="00115843" w:rsidRPr="003024F4" w:rsidRDefault="00115843" w:rsidP="00FB0D02">
            <w:pPr>
              <w:spacing w:before="60" w:after="60" w:line="240" w:lineRule="auto"/>
              <w:rPr>
                <w:b/>
              </w:rPr>
            </w:pPr>
            <w:r w:rsidRPr="002B334F">
              <w:rPr>
                <w:b/>
              </w:rPr>
              <w:t>Programs</w:t>
            </w:r>
          </w:p>
          <w:p w14:paraId="6CB400BB" w14:textId="77777777" w:rsidR="00115843" w:rsidRPr="003024F4" w:rsidRDefault="00115843" w:rsidP="00977C28">
            <w:pPr>
              <w:numPr>
                <w:ilvl w:val="0"/>
                <w:numId w:val="53"/>
              </w:numPr>
              <w:spacing w:before="60" w:after="60" w:line="240" w:lineRule="auto"/>
            </w:pPr>
            <w:r w:rsidRPr="003024F4">
              <w:rPr>
                <w:lang w:val="en-US"/>
              </w:rPr>
              <w:t>Program 2.3: Higher Education Support</w:t>
            </w:r>
          </w:p>
          <w:p w14:paraId="508D0948" w14:textId="77777777" w:rsidR="00115843" w:rsidRPr="003024F4" w:rsidRDefault="00115843" w:rsidP="00FB0D02">
            <w:pPr>
              <w:spacing w:before="60" w:after="60" w:line="240" w:lineRule="auto"/>
              <w:rPr>
                <w:b/>
              </w:rPr>
            </w:pPr>
            <w:r w:rsidRPr="003024F4">
              <w:rPr>
                <w:b/>
                <w:lang w:val="en-US"/>
              </w:rPr>
              <w:t>Contribution to Outcome 3 made by linked programs</w:t>
            </w:r>
          </w:p>
          <w:p w14:paraId="4DA9F908" w14:textId="2BD8E8B4" w:rsidR="00115843" w:rsidRPr="003024F4" w:rsidRDefault="00115843" w:rsidP="00FB0D02">
            <w:pPr>
              <w:spacing w:before="60" w:after="60" w:line="240" w:lineRule="auto"/>
            </w:pPr>
            <w:r w:rsidRPr="003024F4">
              <w:t>The Department of Education is funding the construction of a new university campus in Launceston, the centrepiece of the Launceston City Deal.</w:t>
            </w:r>
          </w:p>
        </w:tc>
      </w:tr>
      <w:tr w:rsidR="00115843" w:rsidRPr="003024F4" w14:paraId="3D6188DE" w14:textId="77777777" w:rsidTr="00FB0D02">
        <w:trPr>
          <w:trHeight w:val="2030"/>
        </w:trPr>
        <w:tc>
          <w:tcPr>
            <w:tcW w:w="5000" w:type="pct"/>
            <w:tcBorders>
              <w:bottom w:val="single" w:sz="4" w:space="0" w:color="auto"/>
            </w:tcBorders>
          </w:tcPr>
          <w:p w14:paraId="415E44B1" w14:textId="77777777" w:rsidR="00115843" w:rsidRPr="003024F4" w:rsidRDefault="00115843" w:rsidP="00FB0D02">
            <w:pPr>
              <w:spacing w:before="60" w:after="60" w:line="240" w:lineRule="auto"/>
              <w:rPr>
                <w:b/>
              </w:rPr>
            </w:pPr>
            <w:r w:rsidRPr="003024F4">
              <w:rPr>
                <w:b/>
              </w:rPr>
              <w:t>The Treasury</w:t>
            </w:r>
          </w:p>
          <w:p w14:paraId="587E0BF9" w14:textId="77777777" w:rsidR="00115843" w:rsidRPr="003024F4" w:rsidRDefault="00115843" w:rsidP="00FB0D02">
            <w:pPr>
              <w:spacing w:before="60" w:after="60" w:line="240" w:lineRule="auto"/>
              <w:rPr>
                <w:b/>
              </w:rPr>
            </w:pPr>
            <w:r w:rsidRPr="003024F4">
              <w:rPr>
                <w:b/>
              </w:rPr>
              <w:t>Programs</w:t>
            </w:r>
          </w:p>
          <w:p w14:paraId="6634C577" w14:textId="77777777" w:rsidR="00047A4C" w:rsidRDefault="00047A4C" w:rsidP="00977C28">
            <w:pPr>
              <w:numPr>
                <w:ilvl w:val="0"/>
                <w:numId w:val="53"/>
              </w:numPr>
              <w:spacing w:before="60" w:after="60" w:line="240" w:lineRule="auto"/>
              <w:ind w:left="714" w:hanging="357"/>
              <w:rPr>
                <w:lang w:val="en-US"/>
              </w:rPr>
            </w:pPr>
            <w:r>
              <w:rPr>
                <w:lang w:val="en-US"/>
              </w:rPr>
              <w:t>Program 1.9: National Partnership Payments to the states</w:t>
            </w:r>
          </w:p>
          <w:p w14:paraId="118850DB" w14:textId="77777777" w:rsidR="00047A4C" w:rsidRDefault="00047A4C" w:rsidP="00047A4C">
            <w:pPr>
              <w:spacing w:before="60" w:after="60" w:line="240" w:lineRule="auto"/>
              <w:rPr>
                <w:b/>
              </w:rPr>
            </w:pPr>
            <w:r>
              <w:rPr>
                <w:b/>
              </w:rPr>
              <w:t>Contribution to Outcome 3 made by linked programs</w:t>
            </w:r>
          </w:p>
          <w:p w14:paraId="728D9A33" w14:textId="3592A73E" w:rsidR="00115843" w:rsidRPr="003024F4" w:rsidRDefault="00047A4C" w:rsidP="00047A4C">
            <w:pPr>
              <w:spacing w:before="60" w:after="60" w:line="240" w:lineRule="auto"/>
            </w:pPr>
            <w:r>
              <w:t>The above linkage relates to National Partnership Payments which are paid through the Department of the Treasury as part of the Federation Funding Agreements Framework.</w:t>
            </w:r>
          </w:p>
        </w:tc>
      </w:tr>
    </w:tbl>
    <w:p w14:paraId="61CC8DAE" w14:textId="77777777" w:rsidR="00115843" w:rsidRDefault="00115843" w:rsidP="00115843">
      <w:pPr>
        <w:spacing w:after="0" w:line="240" w:lineRule="auto"/>
        <w:rPr>
          <w:rFonts w:ascii="Arial" w:hAnsi="Arial" w:cs="Arial"/>
          <w:sz w:val="16"/>
        </w:rPr>
      </w:pPr>
    </w:p>
    <w:p w14:paraId="7F642EAA" w14:textId="77777777" w:rsidR="00115843" w:rsidRDefault="00115843" w:rsidP="00115843">
      <w:pPr>
        <w:spacing w:after="0" w:line="240" w:lineRule="auto"/>
        <w:rPr>
          <w:rFonts w:ascii="Arial" w:hAnsi="Arial" w:cs="Arial"/>
          <w:sz w:val="16"/>
        </w:rPr>
      </w:pPr>
      <w:r>
        <w:rPr>
          <w:rFonts w:ascii="Arial" w:hAnsi="Arial" w:cs="Arial"/>
          <w:sz w:val="16"/>
        </w:rPr>
        <w:br w:type="page"/>
      </w:r>
    </w:p>
    <w:p w14:paraId="4D0DB246" w14:textId="77777777" w:rsidR="00730ABF" w:rsidRDefault="00730ABF" w:rsidP="00730ABF">
      <w:pPr>
        <w:spacing w:after="0"/>
      </w:pPr>
    </w:p>
    <w:p w14:paraId="415F2386" w14:textId="4AC39A92" w:rsidR="00115843" w:rsidRDefault="00115843" w:rsidP="00115843">
      <w:pPr>
        <w:pStyle w:val="Heading4"/>
      </w:pPr>
      <w:r w:rsidRPr="00446612">
        <w:t xml:space="preserve">Budgeted expenses for Outcome </w:t>
      </w:r>
      <w:r>
        <w:t>3</w:t>
      </w:r>
    </w:p>
    <w:p w14:paraId="79E29794" w14:textId="77777777" w:rsidR="00115843" w:rsidRDefault="00115843" w:rsidP="001013DF">
      <w:pPr>
        <w:spacing w:before="240"/>
      </w:pPr>
      <w:r w:rsidRPr="00541FB4">
        <w:t xml:space="preserve">This table shows how much the </w:t>
      </w:r>
      <w:r>
        <w:t>Department</w:t>
      </w:r>
      <w:r w:rsidRPr="00541FB4">
        <w:t xml:space="preserve"> intends to spend (on an accrual basis) on achieving the outcome, broken down by program, as well as by </w:t>
      </w:r>
      <w:r>
        <w:t>a</w:t>
      </w:r>
      <w:r w:rsidRPr="00541FB4">
        <w:t xml:space="preserve">dministered and </w:t>
      </w:r>
      <w:r>
        <w:t>d</w:t>
      </w:r>
      <w:r w:rsidRPr="00541FB4">
        <w:t>epartmental funding sources.</w:t>
      </w:r>
    </w:p>
    <w:p w14:paraId="55FE427A" w14:textId="10143E59" w:rsidR="00115843" w:rsidRPr="008E7B3D" w:rsidRDefault="00115843" w:rsidP="008E7B3D">
      <w:pPr>
        <w:pStyle w:val="TableHeading"/>
      </w:pPr>
      <w:r w:rsidRPr="003B3EC2">
        <w:t>Table 2.</w:t>
      </w:r>
      <w:r>
        <w:t>3.</w:t>
      </w:r>
      <w:r w:rsidRPr="003B3EC2">
        <w:t>1: Budgeted expenses for Outcome 3</w:t>
      </w:r>
    </w:p>
    <w:tbl>
      <w:tblPr>
        <w:tblW w:w="5011" w:type="pct"/>
        <w:tblLook w:val="04A0" w:firstRow="1" w:lastRow="0" w:firstColumn="1" w:lastColumn="0" w:noHBand="0" w:noVBand="1"/>
      </w:tblPr>
      <w:tblGrid>
        <w:gridCol w:w="3027"/>
        <w:gridCol w:w="30"/>
        <w:gridCol w:w="22"/>
        <w:gridCol w:w="879"/>
        <w:gridCol w:w="28"/>
        <w:gridCol w:w="37"/>
        <w:gridCol w:w="8"/>
        <w:gridCol w:w="863"/>
        <w:gridCol w:w="25"/>
        <w:gridCol w:w="24"/>
        <w:gridCol w:w="11"/>
        <w:gridCol w:w="855"/>
        <w:gridCol w:w="17"/>
        <w:gridCol w:w="24"/>
        <w:gridCol w:w="897"/>
        <w:gridCol w:w="15"/>
        <w:gridCol w:w="19"/>
        <w:gridCol w:w="899"/>
        <w:gridCol w:w="29"/>
        <w:gridCol w:w="18"/>
      </w:tblGrid>
      <w:tr w:rsidR="00396F0C" w:rsidRPr="00A86423" w14:paraId="41287820" w14:textId="77777777" w:rsidTr="00A86423">
        <w:trPr>
          <w:gridAfter w:val="2"/>
          <w:wAfter w:w="33" w:type="pct"/>
          <w:trHeight w:val="204"/>
        </w:trPr>
        <w:tc>
          <w:tcPr>
            <w:tcW w:w="1960" w:type="pct"/>
            <w:tcBorders>
              <w:top w:val="single" w:sz="4" w:space="0" w:color="auto"/>
              <w:left w:val="nil"/>
              <w:bottom w:val="nil"/>
              <w:right w:val="nil"/>
            </w:tcBorders>
            <w:shd w:val="clear" w:color="auto" w:fill="auto"/>
            <w:noWrap/>
            <w:vAlign w:val="bottom"/>
            <w:hideMark/>
          </w:tcPr>
          <w:p w14:paraId="481543A6" w14:textId="77777777" w:rsidR="00794270" w:rsidRPr="00A86423" w:rsidRDefault="00794270" w:rsidP="00794270">
            <w:pPr>
              <w:spacing w:after="0" w:line="240" w:lineRule="auto"/>
              <w:rPr>
                <w:rFonts w:ascii="Arial" w:hAnsi="Arial" w:cs="Arial"/>
                <w:sz w:val="16"/>
                <w:szCs w:val="16"/>
              </w:rPr>
            </w:pPr>
            <w:r w:rsidRPr="00A86423">
              <w:rPr>
                <w:rFonts w:ascii="Arial" w:hAnsi="Arial" w:cs="Arial"/>
                <w:sz w:val="16"/>
                <w:szCs w:val="16"/>
              </w:rPr>
              <w:t> </w:t>
            </w:r>
          </w:p>
        </w:tc>
        <w:tc>
          <w:tcPr>
            <w:tcW w:w="602" w:type="pct"/>
            <w:gridSpan w:val="3"/>
            <w:tcBorders>
              <w:top w:val="single" w:sz="4" w:space="0" w:color="auto"/>
              <w:left w:val="nil"/>
              <w:bottom w:val="nil"/>
              <w:right w:val="nil"/>
            </w:tcBorders>
            <w:shd w:val="clear" w:color="auto" w:fill="auto"/>
            <w:vAlign w:val="bottom"/>
            <w:hideMark/>
          </w:tcPr>
          <w:p w14:paraId="72D1048E" w14:textId="77777777" w:rsidR="00794270" w:rsidRPr="00A86423" w:rsidRDefault="00794270" w:rsidP="00794270">
            <w:pPr>
              <w:spacing w:after="0" w:line="240" w:lineRule="auto"/>
              <w:jc w:val="right"/>
              <w:rPr>
                <w:rFonts w:ascii="Arial" w:hAnsi="Arial" w:cs="Arial"/>
                <w:sz w:val="16"/>
                <w:szCs w:val="16"/>
              </w:rPr>
            </w:pPr>
            <w:r w:rsidRPr="00A86423">
              <w:rPr>
                <w:rFonts w:ascii="Arial" w:hAnsi="Arial" w:cs="Arial"/>
                <w:sz w:val="16"/>
                <w:szCs w:val="16"/>
              </w:rPr>
              <w:t>2022-23</w:t>
            </w:r>
            <w:r w:rsidRPr="00A86423">
              <w:rPr>
                <w:rFonts w:ascii="Arial" w:hAnsi="Arial" w:cs="Arial"/>
                <w:sz w:val="16"/>
                <w:szCs w:val="16"/>
              </w:rPr>
              <w:br/>
              <w:t>Estimated  actual</w:t>
            </w:r>
            <w:r w:rsidRPr="00A86423">
              <w:rPr>
                <w:rFonts w:ascii="Arial" w:hAnsi="Arial" w:cs="Arial"/>
                <w:sz w:val="16"/>
                <w:szCs w:val="16"/>
              </w:rPr>
              <w:br/>
              <w:t>$'000</w:t>
            </w:r>
          </w:p>
        </w:tc>
        <w:tc>
          <w:tcPr>
            <w:tcW w:w="606" w:type="pct"/>
            <w:gridSpan w:val="4"/>
            <w:tcBorders>
              <w:top w:val="single" w:sz="4" w:space="0" w:color="auto"/>
              <w:left w:val="nil"/>
              <w:bottom w:val="nil"/>
              <w:right w:val="nil"/>
            </w:tcBorders>
            <w:shd w:val="clear" w:color="000000" w:fill="E6E6E6"/>
            <w:vAlign w:val="bottom"/>
            <w:hideMark/>
          </w:tcPr>
          <w:p w14:paraId="57A89FD7" w14:textId="77777777" w:rsidR="00794270" w:rsidRPr="00A86423" w:rsidRDefault="00794270" w:rsidP="00794270">
            <w:pPr>
              <w:spacing w:after="0" w:line="240" w:lineRule="auto"/>
              <w:jc w:val="right"/>
              <w:rPr>
                <w:rFonts w:ascii="Arial" w:hAnsi="Arial" w:cs="Arial"/>
                <w:sz w:val="16"/>
                <w:szCs w:val="16"/>
              </w:rPr>
            </w:pPr>
            <w:r w:rsidRPr="00A86423">
              <w:rPr>
                <w:rFonts w:ascii="Arial" w:hAnsi="Arial" w:cs="Arial"/>
                <w:sz w:val="16"/>
                <w:szCs w:val="16"/>
              </w:rPr>
              <w:t>2023-24</w:t>
            </w:r>
            <w:r w:rsidRPr="00A86423">
              <w:rPr>
                <w:rFonts w:ascii="Arial" w:hAnsi="Arial" w:cs="Arial"/>
                <w:sz w:val="16"/>
                <w:szCs w:val="16"/>
              </w:rPr>
              <w:br/>
              <w:t xml:space="preserve"> Budget</w:t>
            </w:r>
            <w:r w:rsidRPr="00A86423">
              <w:rPr>
                <w:rFonts w:ascii="Arial" w:hAnsi="Arial" w:cs="Arial"/>
                <w:sz w:val="16"/>
                <w:szCs w:val="16"/>
              </w:rPr>
              <w:br/>
              <w:t xml:space="preserve">                                      $'000</w:t>
            </w:r>
          </w:p>
        </w:tc>
        <w:tc>
          <w:tcPr>
            <w:tcW w:w="602" w:type="pct"/>
            <w:gridSpan w:val="5"/>
            <w:tcBorders>
              <w:top w:val="single" w:sz="4" w:space="0" w:color="auto"/>
              <w:left w:val="nil"/>
              <w:bottom w:val="nil"/>
              <w:right w:val="nil"/>
            </w:tcBorders>
            <w:shd w:val="clear" w:color="auto" w:fill="auto"/>
            <w:vAlign w:val="bottom"/>
            <w:hideMark/>
          </w:tcPr>
          <w:p w14:paraId="7B08D671" w14:textId="77777777" w:rsidR="00794270" w:rsidRPr="00A86423" w:rsidRDefault="00794270" w:rsidP="00794270">
            <w:pPr>
              <w:spacing w:after="0" w:line="240" w:lineRule="auto"/>
              <w:jc w:val="right"/>
              <w:rPr>
                <w:rFonts w:ascii="Arial" w:hAnsi="Arial" w:cs="Arial"/>
                <w:sz w:val="16"/>
                <w:szCs w:val="16"/>
              </w:rPr>
            </w:pPr>
            <w:r w:rsidRPr="00A86423">
              <w:rPr>
                <w:rFonts w:ascii="Arial" w:hAnsi="Arial" w:cs="Arial"/>
                <w:sz w:val="16"/>
                <w:szCs w:val="16"/>
              </w:rPr>
              <w:t>2024-25</w:t>
            </w:r>
            <w:r w:rsidRPr="00A86423">
              <w:rPr>
                <w:rFonts w:ascii="Arial" w:hAnsi="Arial" w:cs="Arial"/>
                <w:sz w:val="16"/>
                <w:szCs w:val="16"/>
              </w:rPr>
              <w:br/>
              <w:t>Forward estimate</w:t>
            </w:r>
            <w:r w:rsidRPr="00A86423">
              <w:rPr>
                <w:rFonts w:ascii="Arial" w:hAnsi="Arial" w:cs="Arial"/>
                <w:sz w:val="16"/>
                <w:szCs w:val="16"/>
              </w:rPr>
              <w:br/>
              <w:t>$'000</w:t>
            </w:r>
          </w:p>
        </w:tc>
        <w:tc>
          <w:tcPr>
            <w:tcW w:w="602" w:type="pct"/>
            <w:gridSpan w:val="3"/>
            <w:tcBorders>
              <w:top w:val="single" w:sz="4" w:space="0" w:color="auto"/>
              <w:left w:val="nil"/>
              <w:bottom w:val="nil"/>
              <w:right w:val="nil"/>
            </w:tcBorders>
            <w:shd w:val="clear" w:color="auto" w:fill="auto"/>
            <w:vAlign w:val="bottom"/>
            <w:hideMark/>
          </w:tcPr>
          <w:p w14:paraId="1D179700" w14:textId="77777777" w:rsidR="00794270" w:rsidRPr="00A86423" w:rsidRDefault="00794270" w:rsidP="00794270">
            <w:pPr>
              <w:spacing w:after="0" w:line="240" w:lineRule="auto"/>
              <w:jc w:val="right"/>
              <w:rPr>
                <w:rFonts w:ascii="Arial" w:hAnsi="Arial" w:cs="Arial"/>
                <w:sz w:val="16"/>
                <w:szCs w:val="16"/>
              </w:rPr>
            </w:pPr>
            <w:r w:rsidRPr="00A86423">
              <w:rPr>
                <w:rFonts w:ascii="Arial" w:hAnsi="Arial" w:cs="Arial"/>
                <w:sz w:val="16"/>
                <w:szCs w:val="16"/>
              </w:rPr>
              <w:t>2025-26</w:t>
            </w:r>
            <w:r w:rsidRPr="00A86423">
              <w:rPr>
                <w:rFonts w:ascii="Arial" w:hAnsi="Arial" w:cs="Arial"/>
                <w:sz w:val="16"/>
                <w:szCs w:val="16"/>
              </w:rPr>
              <w:br/>
              <w:t>Forward estimate</w:t>
            </w:r>
            <w:r w:rsidRPr="00A86423">
              <w:rPr>
                <w:rFonts w:ascii="Arial" w:hAnsi="Arial" w:cs="Arial"/>
                <w:sz w:val="16"/>
                <w:szCs w:val="16"/>
              </w:rPr>
              <w:br/>
              <w:t>$'000</w:t>
            </w:r>
          </w:p>
        </w:tc>
        <w:tc>
          <w:tcPr>
            <w:tcW w:w="594" w:type="pct"/>
            <w:gridSpan w:val="2"/>
            <w:tcBorders>
              <w:top w:val="single" w:sz="4" w:space="0" w:color="auto"/>
              <w:left w:val="nil"/>
              <w:bottom w:val="nil"/>
              <w:right w:val="nil"/>
            </w:tcBorders>
            <w:shd w:val="clear" w:color="auto" w:fill="auto"/>
            <w:vAlign w:val="bottom"/>
            <w:hideMark/>
          </w:tcPr>
          <w:p w14:paraId="2D08AED9" w14:textId="77777777" w:rsidR="00794270" w:rsidRPr="00A86423" w:rsidRDefault="00794270" w:rsidP="00794270">
            <w:pPr>
              <w:spacing w:after="0" w:line="240" w:lineRule="auto"/>
              <w:jc w:val="right"/>
              <w:rPr>
                <w:rFonts w:ascii="Arial" w:hAnsi="Arial" w:cs="Arial"/>
                <w:sz w:val="16"/>
                <w:szCs w:val="16"/>
              </w:rPr>
            </w:pPr>
            <w:r w:rsidRPr="00A86423">
              <w:rPr>
                <w:rFonts w:ascii="Arial" w:hAnsi="Arial" w:cs="Arial"/>
                <w:sz w:val="16"/>
                <w:szCs w:val="16"/>
              </w:rPr>
              <w:t>2026-27</w:t>
            </w:r>
            <w:r w:rsidRPr="00A86423">
              <w:rPr>
                <w:rFonts w:ascii="Arial" w:hAnsi="Arial" w:cs="Arial"/>
                <w:sz w:val="16"/>
                <w:szCs w:val="16"/>
              </w:rPr>
              <w:br/>
              <w:t>Forward estimate</w:t>
            </w:r>
            <w:r w:rsidRPr="00A86423">
              <w:rPr>
                <w:rFonts w:ascii="Arial" w:hAnsi="Arial" w:cs="Arial"/>
                <w:sz w:val="16"/>
                <w:szCs w:val="16"/>
              </w:rPr>
              <w:br/>
              <w:t>$'000</w:t>
            </w:r>
          </w:p>
        </w:tc>
      </w:tr>
      <w:tr w:rsidR="00396F0C" w:rsidRPr="00A86423" w14:paraId="6588E419" w14:textId="77777777" w:rsidTr="00A86423">
        <w:trPr>
          <w:gridAfter w:val="2"/>
          <w:wAfter w:w="33" w:type="pct"/>
          <w:trHeight w:val="204"/>
        </w:trPr>
        <w:tc>
          <w:tcPr>
            <w:tcW w:w="1960" w:type="pct"/>
            <w:tcBorders>
              <w:top w:val="single" w:sz="4" w:space="0" w:color="auto"/>
              <w:left w:val="nil"/>
              <w:bottom w:val="single" w:sz="4" w:space="0" w:color="auto"/>
              <w:right w:val="nil"/>
            </w:tcBorders>
            <w:shd w:val="clear" w:color="000000" w:fill="E6E6E6"/>
            <w:noWrap/>
            <w:vAlign w:val="bottom"/>
            <w:hideMark/>
          </w:tcPr>
          <w:p w14:paraId="48952D6E" w14:textId="77777777" w:rsidR="00794270" w:rsidRPr="00A86423" w:rsidRDefault="00794270" w:rsidP="00794270">
            <w:pPr>
              <w:spacing w:after="0" w:line="240" w:lineRule="auto"/>
              <w:rPr>
                <w:rFonts w:ascii="Arial" w:hAnsi="Arial" w:cs="Arial"/>
                <w:b/>
                <w:bCs/>
                <w:sz w:val="16"/>
                <w:szCs w:val="16"/>
              </w:rPr>
            </w:pPr>
            <w:r w:rsidRPr="00A86423">
              <w:rPr>
                <w:rFonts w:ascii="Arial" w:hAnsi="Arial" w:cs="Arial"/>
                <w:b/>
                <w:bCs/>
                <w:sz w:val="16"/>
                <w:szCs w:val="16"/>
              </w:rPr>
              <w:t>Program 3.1: Regional development</w:t>
            </w:r>
          </w:p>
        </w:tc>
        <w:tc>
          <w:tcPr>
            <w:tcW w:w="602" w:type="pct"/>
            <w:gridSpan w:val="3"/>
            <w:tcBorders>
              <w:top w:val="single" w:sz="4" w:space="0" w:color="auto"/>
              <w:left w:val="nil"/>
              <w:bottom w:val="single" w:sz="4" w:space="0" w:color="auto"/>
              <w:right w:val="nil"/>
            </w:tcBorders>
            <w:shd w:val="clear" w:color="000000" w:fill="E6E6E6"/>
            <w:noWrap/>
            <w:vAlign w:val="bottom"/>
            <w:hideMark/>
          </w:tcPr>
          <w:p w14:paraId="1DFCAB95" w14:textId="77777777" w:rsidR="00794270" w:rsidRPr="00A86423" w:rsidRDefault="00794270" w:rsidP="00396F0C">
            <w:pPr>
              <w:spacing w:after="0" w:line="240" w:lineRule="auto"/>
              <w:jc w:val="right"/>
              <w:rPr>
                <w:rFonts w:ascii="Arial" w:hAnsi="Arial" w:cs="Arial"/>
                <w:sz w:val="16"/>
                <w:szCs w:val="16"/>
              </w:rPr>
            </w:pPr>
            <w:r w:rsidRPr="00A86423">
              <w:rPr>
                <w:rFonts w:ascii="Arial" w:hAnsi="Arial" w:cs="Arial"/>
                <w:sz w:val="16"/>
                <w:szCs w:val="16"/>
              </w:rPr>
              <w:t> </w:t>
            </w:r>
          </w:p>
        </w:tc>
        <w:tc>
          <w:tcPr>
            <w:tcW w:w="606" w:type="pct"/>
            <w:gridSpan w:val="4"/>
            <w:tcBorders>
              <w:top w:val="single" w:sz="4" w:space="0" w:color="auto"/>
              <w:left w:val="nil"/>
              <w:bottom w:val="single" w:sz="4" w:space="0" w:color="auto"/>
              <w:right w:val="nil"/>
            </w:tcBorders>
            <w:shd w:val="clear" w:color="000000" w:fill="E6E6E6"/>
            <w:noWrap/>
            <w:vAlign w:val="bottom"/>
            <w:hideMark/>
          </w:tcPr>
          <w:p w14:paraId="014F25B6" w14:textId="77777777" w:rsidR="00794270" w:rsidRPr="00A86423" w:rsidRDefault="00794270" w:rsidP="00396F0C">
            <w:pPr>
              <w:spacing w:after="0" w:line="240" w:lineRule="auto"/>
              <w:jc w:val="right"/>
              <w:rPr>
                <w:rFonts w:ascii="Arial" w:hAnsi="Arial" w:cs="Arial"/>
                <w:sz w:val="16"/>
                <w:szCs w:val="16"/>
              </w:rPr>
            </w:pPr>
            <w:r w:rsidRPr="00A86423">
              <w:rPr>
                <w:rFonts w:ascii="Arial" w:hAnsi="Arial" w:cs="Arial"/>
                <w:sz w:val="16"/>
                <w:szCs w:val="16"/>
              </w:rPr>
              <w:t> </w:t>
            </w:r>
          </w:p>
        </w:tc>
        <w:tc>
          <w:tcPr>
            <w:tcW w:w="602" w:type="pct"/>
            <w:gridSpan w:val="5"/>
            <w:tcBorders>
              <w:top w:val="single" w:sz="4" w:space="0" w:color="auto"/>
              <w:left w:val="nil"/>
              <w:bottom w:val="single" w:sz="4" w:space="0" w:color="auto"/>
              <w:right w:val="nil"/>
            </w:tcBorders>
            <w:shd w:val="clear" w:color="000000" w:fill="E6E6E6"/>
            <w:noWrap/>
            <w:vAlign w:val="bottom"/>
            <w:hideMark/>
          </w:tcPr>
          <w:p w14:paraId="54665B88" w14:textId="77777777" w:rsidR="00794270" w:rsidRPr="00A86423" w:rsidRDefault="00794270" w:rsidP="00396F0C">
            <w:pPr>
              <w:spacing w:after="0" w:line="240" w:lineRule="auto"/>
              <w:jc w:val="right"/>
              <w:rPr>
                <w:rFonts w:ascii="Arial" w:hAnsi="Arial" w:cs="Arial"/>
                <w:sz w:val="16"/>
                <w:szCs w:val="16"/>
              </w:rPr>
            </w:pPr>
            <w:r w:rsidRPr="00A86423">
              <w:rPr>
                <w:rFonts w:ascii="Arial" w:hAnsi="Arial" w:cs="Arial"/>
                <w:sz w:val="16"/>
                <w:szCs w:val="16"/>
              </w:rPr>
              <w:t> </w:t>
            </w:r>
          </w:p>
        </w:tc>
        <w:tc>
          <w:tcPr>
            <w:tcW w:w="602" w:type="pct"/>
            <w:gridSpan w:val="3"/>
            <w:tcBorders>
              <w:top w:val="single" w:sz="4" w:space="0" w:color="auto"/>
              <w:left w:val="nil"/>
              <w:bottom w:val="single" w:sz="4" w:space="0" w:color="auto"/>
              <w:right w:val="nil"/>
            </w:tcBorders>
            <w:shd w:val="clear" w:color="000000" w:fill="E6E6E6"/>
            <w:noWrap/>
            <w:vAlign w:val="bottom"/>
            <w:hideMark/>
          </w:tcPr>
          <w:p w14:paraId="75D254E2" w14:textId="77777777" w:rsidR="00794270" w:rsidRPr="00A86423" w:rsidRDefault="00794270" w:rsidP="00396F0C">
            <w:pPr>
              <w:spacing w:after="0" w:line="240" w:lineRule="auto"/>
              <w:jc w:val="right"/>
              <w:rPr>
                <w:rFonts w:ascii="Arial" w:hAnsi="Arial" w:cs="Arial"/>
                <w:sz w:val="16"/>
                <w:szCs w:val="16"/>
              </w:rPr>
            </w:pPr>
            <w:r w:rsidRPr="00A86423">
              <w:rPr>
                <w:rFonts w:ascii="Arial" w:hAnsi="Arial" w:cs="Arial"/>
                <w:sz w:val="16"/>
                <w:szCs w:val="16"/>
              </w:rPr>
              <w:t> </w:t>
            </w:r>
          </w:p>
        </w:tc>
        <w:tc>
          <w:tcPr>
            <w:tcW w:w="594" w:type="pct"/>
            <w:gridSpan w:val="2"/>
            <w:tcBorders>
              <w:top w:val="single" w:sz="4" w:space="0" w:color="auto"/>
              <w:left w:val="nil"/>
              <w:bottom w:val="single" w:sz="4" w:space="0" w:color="auto"/>
              <w:right w:val="nil"/>
            </w:tcBorders>
            <w:shd w:val="clear" w:color="000000" w:fill="E6E6E6"/>
            <w:noWrap/>
            <w:vAlign w:val="bottom"/>
            <w:hideMark/>
          </w:tcPr>
          <w:p w14:paraId="210F5DA9" w14:textId="77777777" w:rsidR="00794270" w:rsidRPr="00A86423" w:rsidRDefault="00794270" w:rsidP="00396F0C">
            <w:pPr>
              <w:spacing w:after="0" w:line="240" w:lineRule="auto"/>
              <w:jc w:val="right"/>
              <w:rPr>
                <w:rFonts w:ascii="Arial" w:hAnsi="Arial" w:cs="Arial"/>
                <w:sz w:val="16"/>
                <w:szCs w:val="16"/>
              </w:rPr>
            </w:pPr>
            <w:r w:rsidRPr="00A86423">
              <w:rPr>
                <w:rFonts w:ascii="Arial" w:hAnsi="Arial" w:cs="Arial"/>
                <w:sz w:val="16"/>
                <w:szCs w:val="16"/>
              </w:rPr>
              <w:t> </w:t>
            </w:r>
          </w:p>
        </w:tc>
      </w:tr>
      <w:tr w:rsidR="00396F0C" w:rsidRPr="00A86423" w14:paraId="259DD6D4" w14:textId="77777777" w:rsidTr="00A86423">
        <w:trPr>
          <w:gridAfter w:val="2"/>
          <w:wAfter w:w="33" w:type="pct"/>
          <w:trHeight w:val="204"/>
        </w:trPr>
        <w:tc>
          <w:tcPr>
            <w:tcW w:w="1960" w:type="pct"/>
            <w:tcBorders>
              <w:top w:val="nil"/>
              <w:left w:val="nil"/>
              <w:bottom w:val="nil"/>
              <w:right w:val="nil"/>
            </w:tcBorders>
            <w:shd w:val="clear" w:color="auto" w:fill="auto"/>
            <w:noWrap/>
            <w:vAlign w:val="bottom"/>
            <w:hideMark/>
          </w:tcPr>
          <w:p w14:paraId="4FA38CC4" w14:textId="77777777" w:rsidR="00794270" w:rsidRPr="00A86423" w:rsidRDefault="00794270" w:rsidP="00794270">
            <w:pPr>
              <w:spacing w:after="0" w:line="240" w:lineRule="auto"/>
              <w:rPr>
                <w:rFonts w:ascii="Arial" w:hAnsi="Arial" w:cs="Arial"/>
                <w:sz w:val="16"/>
                <w:szCs w:val="16"/>
              </w:rPr>
            </w:pPr>
            <w:r w:rsidRPr="00A86423">
              <w:rPr>
                <w:rFonts w:ascii="Arial" w:hAnsi="Arial" w:cs="Arial"/>
                <w:sz w:val="16"/>
                <w:szCs w:val="16"/>
              </w:rPr>
              <w:t>Administered expenses</w:t>
            </w:r>
          </w:p>
        </w:tc>
        <w:tc>
          <w:tcPr>
            <w:tcW w:w="602" w:type="pct"/>
            <w:gridSpan w:val="3"/>
            <w:tcBorders>
              <w:top w:val="nil"/>
              <w:left w:val="nil"/>
              <w:bottom w:val="nil"/>
              <w:right w:val="nil"/>
            </w:tcBorders>
            <w:shd w:val="clear" w:color="auto" w:fill="auto"/>
            <w:noWrap/>
            <w:vAlign w:val="bottom"/>
            <w:hideMark/>
          </w:tcPr>
          <w:p w14:paraId="505C1471" w14:textId="77777777" w:rsidR="00794270" w:rsidRPr="00A86423" w:rsidRDefault="00794270" w:rsidP="00396F0C">
            <w:pPr>
              <w:spacing w:after="0" w:line="240" w:lineRule="auto"/>
              <w:jc w:val="right"/>
              <w:rPr>
                <w:rFonts w:ascii="Arial" w:hAnsi="Arial" w:cs="Arial"/>
                <w:sz w:val="16"/>
                <w:szCs w:val="16"/>
              </w:rPr>
            </w:pPr>
          </w:p>
        </w:tc>
        <w:tc>
          <w:tcPr>
            <w:tcW w:w="606" w:type="pct"/>
            <w:gridSpan w:val="4"/>
            <w:tcBorders>
              <w:top w:val="nil"/>
              <w:left w:val="nil"/>
              <w:bottom w:val="nil"/>
              <w:right w:val="nil"/>
            </w:tcBorders>
            <w:shd w:val="clear" w:color="000000" w:fill="E6E6E6"/>
            <w:noWrap/>
            <w:vAlign w:val="bottom"/>
            <w:hideMark/>
          </w:tcPr>
          <w:p w14:paraId="778919B3" w14:textId="4E3C1DA1" w:rsidR="00794270" w:rsidRPr="00A86423" w:rsidRDefault="00794270" w:rsidP="00396F0C">
            <w:pPr>
              <w:spacing w:after="0" w:line="240" w:lineRule="auto"/>
              <w:jc w:val="right"/>
              <w:rPr>
                <w:rFonts w:ascii="Arial" w:hAnsi="Arial" w:cs="Arial"/>
                <w:sz w:val="16"/>
                <w:szCs w:val="16"/>
              </w:rPr>
            </w:pPr>
          </w:p>
        </w:tc>
        <w:tc>
          <w:tcPr>
            <w:tcW w:w="602" w:type="pct"/>
            <w:gridSpan w:val="5"/>
            <w:tcBorders>
              <w:top w:val="nil"/>
              <w:left w:val="nil"/>
              <w:bottom w:val="nil"/>
              <w:right w:val="nil"/>
            </w:tcBorders>
            <w:shd w:val="clear" w:color="auto" w:fill="auto"/>
            <w:noWrap/>
            <w:vAlign w:val="bottom"/>
            <w:hideMark/>
          </w:tcPr>
          <w:p w14:paraId="61ABE262" w14:textId="77777777" w:rsidR="00794270" w:rsidRPr="00A86423" w:rsidRDefault="00794270" w:rsidP="00396F0C">
            <w:pPr>
              <w:spacing w:after="0" w:line="240" w:lineRule="auto"/>
              <w:jc w:val="right"/>
              <w:rPr>
                <w:rFonts w:ascii="Arial" w:hAnsi="Arial" w:cs="Arial"/>
                <w:sz w:val="16"/>
                <w:szCs w:val="16"/>
              </w:rPr>
            </w:pPr>
          </w:p>
        </w:tc>
        <w:tc>
          <w:tcPr>
            <w:tcW w:w="602" w:type="pct"/>
            <w:gridSpan w:val="3"/>
            <w:tcBorders>
              <w:top w:val="nil"/>
              <w:left w:val="nil"/>
              <w:bottom w:val="nil"/>
              <w:right w:val="nil"/>
            </w:tcBorders>
            <w:shd w:val="clear" w:color="auto" w:fill="auto"/>
            <w:noWrap/>
            <w:vAlign w:val="bottom"/>
            <w:hideMark/>
          </w:tcPr>
          <w:p w14:paraId="1A18BB45" w14:textId="77777777" w:rsidR="00794270" w:rsidRPr="00A86423" w:rsidRDefault="00794270" w:rsidP="00396F0C">
            <w:pPr>
              <w:spacing w:after="0" w:line="240" w:lineRule="auto"/>
              <w:jc w:val="right"/>
              <w:rPr>
                <w:rFonts w:ascii="Arial" w:hAnsi="Arial" w:cs="Arial"/>
                <w:sz w:val="16"/>
                <w:szCs w:val="16"/>
              </w:rPr>
            </w:pPr>
          </w:p>
        </w:tc>
        <w:tc>
          <w:tcPr>
            <w:tcW w:w="594" w:type="pct"/>
            <w:gridSpan w:val="2"/>
            <w:tcBorders>
              <w:top w:val="nil"/>
              <w:left w:val="nil"/>
              <w:bottom w:val="nil"/>
              <w:right w:val="nil"/>
            </w:tcBorders>
            <w:shd w:val="clear" w:color="auto" w:fill="auto"/>
            <w:noWrap/>
            <w:vAlign w:val="bottom"/>
            <w:hideMark/>
          </w:tcPr>
          <w:p w14:paraId="41D50E99" w14:textId="77777777" w:rsidR="00794270" w:rsidRPr="00A86423" w:rsidRDefault="00794270" w:rsidP="00396F0C">
            <w:pPr>
              <w:spacing w:after="0" w:line="240" w:lineRule="auto"/>
              <w:jc w:val="right"/>
              <w:rPr>
                <w:rFonts w:ascii="Arial" w:hAnsi="Arial" w:cs="Arial"/>
                <w:sz w:val="16"/>
                <w:szCs w:val="16"/>
              </w:rPr>
            </w:pPr>
          </w:p>
        </w:tc>
      </w:tr>
      <w:tr w:rsidR="00396F0C" w:rsidRPr="00A86423" w14:paraId="5BD43A08" w14:textId="77777777" w:rsidTr="00A86423">
        <w:trPr>
          <w:gridAfter w:val="2"/>
          <w:wAfter w:w="33" w:type="pct"/>
          <w:trHeight w:val="204"/>
        </w:trPr>
        <w:tc>
          <w:tcPr>
            <w:tcW w:w="1960" w:type="pct"/>
            <w:tcBorders>
              <w:top w:val="nil"/>
              <w:left w:val="nil"/>
              <w:bottom w:val="nil"/>
              <w:right w:val="nil"/>
            </w:tcBorders>
            <w:shd w:val="clear" w:color="auto" w:fill="auto"/>
            <w:vAlign w:val="bottom"/>
            <w:hideMark/>
          </w:tcPr>
          <w:p w14:paraId="3347554A" w14:textId="5B4D14AD" w:rsidR="00794270" w:rsidRPr="00A86423" w:rsidRDefault="00794270" w:rsidP="00595948">
            <w:pPr>
              <w:spacing w:after="0" w:line="240" w:lineRule="auto"/>
              <w:ind w:left="113"/>
              <w:rPr>
                <w:rFonts w:ascii="Arial" w:hAnsi="Arial" w:cs="Arial"/>
                <w:sz w:val="16"/>
                <w:szCs w:val="16"/>
              </w:rPr>
            </w:pPr>
            <w:r w:rsidRPr="00A86423">
              <w:rPr>
                <w:rFonts w:ascii="Arial" w:hAnsi="Arial" w:cs="Arial"/>
                <w:sz w:val="16"/>
                <w:szCs w:val="16"/>
              </w:rPr>
              <w:t>Ordinary annual services (Appropriation Bill No. 1)</w:t>
            </w:r>
          </w:p>
        </w:tc>
        <w:tc>
          <w:tcPr>
            <w:tcW w:w="602" w:type="pct"/>
            <w:gridSpan w:val="3"/>
            <w:tcBorders>
              <w:top w:val="nil"/>
              <w:left w:val="nil"/>
              <w:bottom w:val="nil"/>
              <w:right w:val="nil"/>
            </w:tcBorders>
            <w:shd w:val="clear" w:color="auto" w:fill="auto"/>
            <w:noWrap/>
            <w:vAlign w:val="bottom"/>
            <w:hideMark/>
          </w:tcPr>
          <w:p w14:paraId="529FBC4B" w14:textId="73497B02" w:rsidR="00794270" w:rsidRPr="00A86423" w:rsidRDefault="00794270" w:rsidP="00396F0C">
            <w:pPr>
              <w:spacing w:after="0" w:line="240" w:lineRule="auto"/>
              <w:jc w:val="right"/>
              <w:rPr>
                <w:rFonts w:ascii="Arial" w:hAnsi="Arial" w:cs="Arial"/>
                <w:sz w:val="16"/>
                <w:szCs w:val="16"/>
              </w:rPr>
            </w:pPr>
            <w:r w:rsidRPr="00A86423">
              <w:rPr>
                <w:rFonts w:ascii="Arial" w:hAnsi="Arial" w:cs="Arial"/>
                <w:sz w:val="16"/>
                <w:szCs w:val="16"/>
              </w:rPr>
              <w:t>740,693</w:t>
            </w:r>
          </w:p>
        </w:tc>
        <w:tc>
          <w:tcPr>
            <w:tcW w:w="606" w:type="pct"/>
            <w:gridSpan w:val="4"/>
            <w:tcBorders>
              <w:top w:val="nil"/>
              <w:left w:val="nil"/>
              <w:bottom w:val="nil"/>
              <w:right w:val="nil"/>
            </w:tcBorders>
            <w:shd w:val="clear" w:color="000000" w:fill="E6E6E6"/>
            <w:noWrap/>
            <w:vAlign w:val="bottom"/>
            <w:hideMark/>
          </w:tcPr>
          <w:p w14:paraId="55075CDD" w14:textId="6500ED8A" w:rsidR="00794270" w:rsidRPr="00A86423" w:rsidRDefault="00794270" w:rsidP="00396F0C">
            <w:pPr>
              <w:spacing w:after="0" w:line="240" w:lineRule="auto"/>
              <w:jc w:val="right"/>
              <w:rPr>
                <w:rFonts w:ascii="Arial" w:hAnsi="Arial" w:cs="Arial"/>
                <w:sz w:val="16"/>
                <w:szCs w:val="16"/>
              </w:rPr>
            </w:pPr>
            <w:r w:rsidRPr="00A86423">
              <w:rPr>
                <w:rFonts w:ascii="Arial" w:hAnsi="Arial" w:cs="Arial"/>
                <w:sz w:val="16"/>
                <w:szCs w:val="16"/>
              </w:rPr>
              <w:t>885,260</w:t>
            </w:r>
          </w:p>
        </w:tc>
        <w:tc>
          <w:tcPr>
            <w:tcW w:w="602" w:type="pct"/>
            <w:gridSpan w:val="5"/>
            <w:tcBorders>
              <w:top w:val="nil"/>
              <w:left w:val="nil"/>
              <w:bottom w:val="nil"/>
              <w:right w:val="nil"/>
            </w:tcBorders>
            <w:shd w:val="clear" w:color="auto" w:fill="auto"/>
            <w:noWrap/>
            <w:vAlign w:val="bottom"/>
            <w:hideMark/>
          </w:tcPr>
          <w:p w14:paraId="16827F67" w14:textId="6FA5C409" w:rsidR="00794270" w:rsidRPr="00A86423" w:rsidRDefault="00794270" w:rsidP="00396F0C">
            <w:pPr>
              <w:spacing w:after="0" w:line="240" w:lineRule="auto"/>
              <w:jc w:val="right"/>
              <w:rPr>
                <w:rFonts w:ascii="Arial" w:hAnsi="Arial" w:cs="Arial"/>
                <w:sz w:val="16"/>
                <w:szCs w:val="16"/>
              </w:rPr>
            </w:pPr>
            <w:r w:rsidRPr="00A86423">
              <w:rPr>
                <w:rFonts w:ascii="Arial" w:hAnsi="Arial" w:cs="Arial"/>
                <w:sz w:val="16"/>
                <w:szCs w:val="16"/>
              </w:rPr>
              <w:t>1,030,773</w:t>
            </w:r>
          </w:p>
        </w:tc>
        <w:tc>
          <w:tcPr>
            <w:tcW w:w="602" w:type="pct"/>
            <w:gridSpan w:val="3"/>
            <w:tcBorders>
              <w:top w:val="nil"/>
              <w:left w:val="nil"/>
              <w:bottom w:val="nil"/>
              <w:right w:val="nil"/>
            </w:tcBorders>
            <w:shd w:val="clear" w:color="auto" w:fill="auto"/>
            <w:noWrap/>
            <w:vAlign w:val="bottom"/>
            <w:hideMark/>
          </w:tcPr>
          <w:p w14:paraId="275E4239" w14:textId="455E859B" w:rsidR="00794270" w:rsidRPr="00A86423" w:rsidRDefault="00794270" w:rsidP="00396F0C">
            <w:pPr>
              <w:spacing w:after="0" w:line="240" w:lineRule="auto"/>
              <w:jc w:val="right"/>
              <w:rPr>
                <w:rFonts w:ascii="Arial" w:hAnsi="Arial" w:cs="Arial"/>
                <w:sz w:val="16"/>
                <w:szCs w:val="16"/>
              </w:rPr>
            </w:pPr>
            <w:r w:rsidRPr="00A86423">
              <w:rPr>
                <w:rFonts w:ascii="Arial" w:hAnsi="Arial" w:cs="Arial"/>
                <w:sz w:val="16"/>
                <w:szCs w:val="16"/>
              </w:rPr>
              <w:t>1,068,091</w:t>
            </w:r>
          </w:p>
        </w:tc>
        <w:tc>
          <w:tcPr>
            <w:tcW w:w="594" w:type="pct"/>
            <w:gridSpan w:val="2"/>
            <w:tcBorders>
              <w:top w:val="nil"/>
              <w:left w:val="nil"/>
              <w:bottom w:val="nil"/>
              <w:right w:val="nil"/>
            </w:tcBorders>
            <w:shd w:val="clear" w:color="auto" w:fill="auto"/>
            <w:noWrap/>
            <w:vAlign w:val="bottom"/>
            <w:hideMark/>
          </w:tcPr>
          <w:p w14:paraId="661F5A33" w14:textId="56385A5B" w:rsidR="00794270" w:rsidRPr="00A86423" w:rsidRDefault="00794270" w:rsidP="00396F0C">
            <w:pPr>
              <w:spacing w:after="0" w:line="240" w:lineRule="auto"/>
              <w:jc w:val="right"/>
              <w:rPr>
                <w:rFonts w:ascii="Arial" w:hAnsi="Arial" w:cs="Arial"/>
                <w:sz w:val="16"/>
                <w:szCs w:val="16"/>
              </w:rPr>
            </w:pPr>
            <w:r w:rsidRPr="00A86423">
              <w:rPr>
                <w:rFonts w:ascii="Arial" w:hAnsi="Arial" w:cs="Arial"/>
                <w:sz w:val="16"/>
                <w:szCs w:val="16"/>
              </w:rPr>
              <w:t>211,217</w:t>
            </w:r>
          </w:p>
        </w:tc>
      </w:tr>
      <w:tr w:rsidR="00396F0C" w:rsidRPr="00A86423" w14:paraId="7A6CF8EF" w14:textId="77777777" w:rsidTr="00A86423">
        <w:trPr>
          <w:gridAfter w:val="2"/>
          <w:wAfter w:w="33" w:type="pct"/>
          <w:trHeight w:val="204"/>
        </w:trPr>
        <w:tc>
          <w:tcPr>
            <w:tcW w:w="1960" w:type="pct"/>
            <w:tcBorders>
              <w:top w:val="nil"/>
              <w:left w:val="nil"/>
              <w:bottom w:val="nil"/>
              <w:right w:val="nil"/>
            </w:tcBorders>
            <w:shd w:val="clear" w:color="auto" w:fill="auto"/>
            <w:vAlign w:val="bottom"/>
            <w:hideMark/>
          </w:tcPr>
          <w:p w14:paraId="77C32722" w14:textId="72660C9F" w:rsidR="00794270" w:rsidRPr="00A86423" w:rsidRDefault="00794270" w:rsidP="00595948">
            <w:pPr>
              <w:spacing w:after="0" w:line="240" w:lineRule="auto"/>
              <w:ind w:left="113"/>
              <w:rPr>
                <w:rFonts w:ascii="Arial" w:hAnsi="Arial" w:cs="Arial"/>
                <w:sz w:val="16"/>
                <w:szCs w:val="16"/>
              </w:rPr>
            </w:pPr>
            <w:r w:rsidRPr="00A86423">
              <w:rPr>
                <w:rFonts w:ascii="Arial" w:hAnsi="Arial" w:cs="Arial"/>
                <w:sz w:val="16"/>
                <w:szCs w:val="16"/>
              </w:rPr>
              <w:t>Expenses not requiring appropriation in the Budget year</w:t>
            </w:r>
            <w:r w:rsidRPr="00A86423">
              <w:rPr>
                <w:rFonts w:ascii="Arial" w:hAnsi="Arial" w:cs="Arial"/>
                <w:sz w:val="16"/>
                <w:szCs w:val="16"/>
                <w:vertAlign w:val="superscript"/>
              </w:rPr>
              <w:t>(a)</w:t>
            </w:r>
          </w:p>
        </w:tc>
        <w:tc>
          <w:tcPr>
            <w:tcW w:w="602" w:type="pct"/>
            <w:gridSpan w:val="3"/>
            <w:tcBorders>
              <w:top w:val="nil"/>
              <w:left w:val="nil"/>
              <w:bottom w:val="nil"/>
              <w:right w:val="nil"/>
            </w:tcBorders>
            <w:shd w:val="clear" w:color="auto" w:fill="auto"/>
            <w:noWrap/>
            <w:vAlign w:val="bottom"/>
            <w:hideMark/>
          </w:tcPr>
          <w:p w14:paraId="14C14894" w14:textId="4AEF4719" w:rsidR="00794270" w:rsidRPr="00A86423" w:rsidRDefault="00794270" w:rsidP="00396F0C">
            <w:pPr>
              <w:spacing w:after="0" w:line="240" w:lineRule="auto"/>
              <w:jc w:val="right"/>
              <w:rPr>
                <w:rFonts w:ascii="Arial" w:hAnsi="Arial" w:cs="Arial"/>
                <w:sz w:val="16"/>
                <w:szCs w:val="16"/>
              </w:rPr>
            </w:pPr>
            <w:r w:rsidRPr="00A86423">
              <w:rPr>
                <w:rFonts w:ascii="Arial" w:hAnsi="Arial" w:cs="Arial"/>
                <w:sz w:val="16"/>
                <w:szCs w:val="16"/>
              </w:rPr>
              <w:t>238,673</w:t>
            </w:r>
          </w:p>
        </w:tc>
        <w:tc>
          <w:tcPr>
            <w:tcW w:w="606" w:type="pct"/>
            <w:gridSpan w:val="4"/>
            <w:tcBorders>
              <w:top w:val="nil"/>
              <w:left w:val="nil"/>
              <w:bottom w:val="nil"/>
              <w:right w:val="nil"/>
            </w:tcBorders>
            <w:shd w:val="clear" w:color="000000" w:fill="E6E6E6"/>
            <w:noWrap/>
            <w:vAlign w:val="bottom"/>
            <w:hideMark/>
          </w:tcPr>
          <w:p w14:paraId="560A07BE" w14:textId="58877574" w:rsidR="00794270" w:rsidRPr="00A86423" w:rsidRDefault="00794270" w:rsidP="00396F0C">
            <w:pPr>
              <w:spacing w:after="0" w:line="240" w:lineRule="auto"/>
              <w:jc w:val="right"/>
              <w:rPr>
                <w:rFonts w:ascii="Arial" w:hAnsi="Arial" w:cs="Arial"/>
                <w:sz w:val="16"/>
                <w:szCs w:val="16"/>
              </w:rPr>
            </w:pPr>
            <w:r w:rsidRPr="00A86423">
              <w:rPr>
                <w:rFonts w:ascii="Arial" w:hAnsi="Arial" w:cs="Arial"/>
                <w:sz w:val="16"/>
                <w:szCs w:val="16"/>
              </w:rPr>
              <w:t>36,109</w:t>
            </w:r>
          </w:p>
        </w:tc>
        <w:tc>
          <w:tcPr>
            <w:tcW w:w="602" w:type="pct"/>
            <w:gridSpan w:val="5"/>
            <w:tcBorders>
              <w:top w:val="nil"/>
              <w:left w:val="nil"/>
              <w:bottom w:val="nil"/>
              <w:right w:val="nil"/>
            </w:tcBorders>
            <w:shd w:val="clear" w:color="auto" w:fill="auto"/>
            <w:noWrap/>
            <w:vAlign w:val="bottom"/>
            <w:hideMark/>
          </w:tcPr>
          <w:p w14:paraId="59D7E3C8" w14:textId="5FB1C824" w:rsidR="00794270" w:rsidRPr="00A86423" w:rsidRDefault="00794270" w:rsidP="00396F0C">
            <w:pPr>
              <w:spacing w:after="0" w:line="240" w:lineRule="auto"/>
              <w:jc w:val="right"/>
              <w:rPr>
                <w:rFonts w:ascii="Arial" w:hAnsi="Arial" w:cs="Arial"/>
                <w:sz w:val="16"/>
                <w:szCs w:val="16"/>
              </w:rPr>
            </w:pPr>
            <w:r w:rsidRPr="00A86423">
              <w:rPr>
                <w:rFonts w:ascii="Arial" w:hAnsi="Arial" w:cs="Arial"/>
                <w:sz w:val="16"/>
                <w:szCs w:val="16"/>
              </w:rPr>
              <w:t>10,150</w:t>
            </w:r>
          </w:p>
        </w:tc>
        <w:tc>
          <w:tcPr>
            <w:tcW w:w="602" w:type="pct"/>
            <w:gridSpan w:val="3"/>
            <w:tcBorders>
              <w:top w:val="nil"/>
              <w:left w:val="nil"/>
              <w:bottom w:val="nil"/>
              <w:right w:val="nil"/>
            </w:tcBorders>
            <w:shd w:val="clear" w:color="auto" w:fill="auto"/>
            <w:noWrap/>
            <w:vAlign w:val="bottom"/>
            <w:hideMark/>
          </w:tcPr>
          <w:p w14:paraId="4A4A4EBD" w14:textId="42580796" w:rsidR="00794270" w:rsidRPr="00A86423" w:rsidRDefault="00794270" w:rsidP="00396F0C">
            <w:pPr>
              <w:spacing w:after="0" w:line="240" w:lineRule="auto"/>
              <w:jc w:val="right"/>
              <w:rPr>
                <w:rFonts w:ascii="Arial" w:hAnsi="Arial" w:cs="Arial"/>
                <w:sz w:val="16"/>
                <w:szCs w:val="16"/>
              </w:rPr>
            </w:pPr>
            <w:r w:rsidRPr="00A86423">
              <w:rPr>
                <w:rFonts w:ascii="Arial" w:hAnsi="Arial" w:cs="Arial"/>
                <w:sz w:val="16"/>
                <w:szCs w:val="16"/>
              </w:rPr>
              <w:t>-</w:t>
            </w:r>
          </w:p>
        </w:tc>
        <w:tc>
          <w:tcPr>
            <w:tcW w:w="594" w:type="pct"/>
            <w:gridSpan w:val="2"/>
            <w:tcBorders>
              <w:top w:val="nil"/>
              <w:left w:val="nil"/>
              <w:bottom w:val="nil"/>
              <w:right w:val="nil"/>
            </w:tcBorders>
            <w:shd w:val="clear" w:color="auto" w:fill="auto"/>
            <w:noWrap/>
            <w:vAlign w:val="bottom"/>
            <w:hideMark/>
          </w:tcPr>
          <w:p w14:paraId="1FBB95C2" w14:textId="4627DEA8" w:rsidR="00794270" w:rsidRPr="00A86423" w:rsidRDefault="00794270" w:rsidP="00396F0C">
            <w:pPr>
              <w:spacing w:after="0" w:line="240" w:lineRule="auto"/>
              <w:jc w:val="right"/>
              <w:rPr>
                <w:rFonts w:ascii="Arial" w:hAnsi="Arial" w:cs="Arial"/>
                <w:sz w:val="16"/>
                <w:szCs w:val="16"/>
              </w:rPr>
            </w:pPr>
            <w:r w:rsidRPr="00A86423">
              <w:rPr>
                <w:rFonts w:ascii="Arial" w:hAnsi="Arial" w:cs="Arial"/>
                <w:sz w:val="16"/>
                <w:szCs w:val="16"/>
              </w:rPr>
              <w:t>-</w:t>
            </w:r>
          </w:p>
        </w:tc>
      </w:tr>
      <w:tr w:rsidR="00396F0C" w:rsidRPr="00A86423" w14:paraId="7DA30EC7" w14:textId="77777777" w:rsidTr="00A86423">
        <w:trPr>
          <w:gridAfter w:val="2"/>
          <w:wAfter w:w="33" w:type="pct"/>
          <w:trHeight w:val="204"/>
        </w:trPr>
        <w:tc>
          <w:tcPr>
            <w:tcW w:w="1960" w:type="pct"/>
            <w:tcBorders>
              <w:top w:val="nil"/>
              <w:left w:val="nil"/>
              <w:bottom w:val="single" w:sz="4" w:space="0" w:color="auto"/>
              <w:right w:val="nil"/>
            </w:tcBorders>
            <w:shd w:val="clear" w:color="auto" w:fill="auto"/>
            <w:noWrap/>
            <w:vAlign w:val="bottom"/>
            <w:hideMark/>
          </w:tcPr>
          <w:p w14:paraId="4196D146" w14:textId="77777777" w:rsidR="00794270" w:rsidRPr="00A86423" w:rsidRDefault="00794270" w:rsidP="00794270">
            <w:pPr>
              <w:spacing w:after="0" w:line="240" w:lineRule="auto"/>
              <w:rPr>
                <w:rFonts w:ascii="Arial" w:hAnsi="Arial" w:cs="Arial"/>
                <w:b/>
                <w:bCs/>
                <w:sz w:val="16"/>
                <w:szCs w:val="16"/>
              </w:rPr>
            </w:pPr>
            <w:r w:rsidRPr="00A86423">
              <w:rPr>
                <w:rFonts w:ascii="Arial" w:hAnsi="Arial" w:cs="Arial"/>
                <w:b/>
                <w:bCs/>
                <w:sz w:val="16"/>
                <w:szCs w:val="16"/>
              </w:rPr>
              <w:t>Total expenses for Program 3.1</w:t>
            </w:r>
          </w:p>
        </w:tc>
        <w:tc>
          <w:tcPr>
            <w:tcW w:w="602" w:type="pct"/>
            <w:gridSpan w:val="3"/>
            <w:tcBorders>
              <w:top w:val="single" w:sz="4" w:space="0" w:color="auto"/>
              <w:left w:val="nil"/>
              <w:bottom w:val="single" w:sz="4" w:space="0" w:color="auto"/>
              <w:right w:val="nil"/>
            </w:tcBorders>
            <w:shd w:val="clear" w:color="auto" w:fill="auto"/>
            <w:noWrap/>
            <w:vAlign w:val="bottom"/>
            <w:hideMark/>
          </w:tcPr>
          <w:p w14:paraId="51E74C5C" w14:textId="0295B2B8" w:rsidR="00794270" w:rsidRPr="00A86423" w:rsidRDefault="00794270" w:rsidP="00396F0C">
            <w:pPr>
              <w:spacing w:after="0" w:line="240" w:lineRule="auto"/>
              <w:jc w:val="right"/>
              <w:rPr>
                <w:rFonts w:ascii="Arial" w:hAnsi="Arial" w:cs="Arial"/>
                <w:b/>
                <w:bCs/>
                <w:sz w:val="16"/>
                <w:szCs w:val="16"/>
              </w:rPr>
            </w:pPr>
            <w:r w:rsidRPr="00A86423">
              <w:rPr>
                <w:rFonts w:ascii="Arial" w:hAnsi="Arial" w:cs="Arial"/>
                <w:b/>
                <w:bCs/>
                <w:sz w:val="16"/>
                <w:szCs w:val="16"/>
              </w:rPr>
              <w:t>979,366</w:t>
            </w:r>
          </w:p>
        </w:tc>
        <w:tc>
          <w:tcPr>
            <w:tcW w:w="606" w:type="pct"/>
            <w:gridSpan w:val="4"/>
            <w:tcBorders>
              <w:top w:val="single" w:sz="4" w:space="0" w:color="auto"/>
              <w:left w:val="nil"/>
              <w:bottom w:val="single" w:sz="4" w:space="0" w:color="auto"/>
              <w:right w:val="nil"/>
            </w:tcBorders>
            <w:shd w:val="clear" w:color="000000" w:fill="E6E6E6"/>
            <w:noWrap/>
            <w:vAlign w:val="bottom"/>
            <w:hideMark/>
          </w:tcPr>
          <w:p w14:paraId="31694EC6" w14:textId="43F5EE99" w:rsidR="00794270" w:rsidRPr="00A86423" w:rsidRDefault="00794270" w:rsidP="00396F0C">
            <w:pPr>
              <w:spacing w:after="0" w:line="240" w:lineRule="auto"/>
              <w:jc w:val="right"/>
              <w:rPr>
                <w:rFonts w:ascii="Arial" w:hAnsi="Arial" w:cs="Arial"/>
                <w:b/>
                <w:bCs/>
                <w:sz w:val="16"/>
                <w:szCs w:val="16"/>
              </w:rPr>
            </w:pPr>
            <w:r w:rsidRPr="00A86423">
              <w:rPr>
                <w:rFonts w:ascii="Arial" w:hAnsi="Arial" w:cs="Arial"/>
                <w:b/>
                <w:bCs/>
                <w:sz w:val="16"/>
                <w:szCs w:val="16"/>
              </w:rPr>
              <w:t>921,369</w:t>
            </w:r>
          </w:p>
        </w:tc>
        <w:tc>
          <w:tcPr>
            <w:tcW w:w="602" w:type="pct"/>
            <w:gridSpan w:val="5"/>
            <w:tcBorders>
              <w:top w:val="single" w:sz="4" w:space="0" w:color="auto"/>
              <w:left w:val="nil"/>
              <w:bottom w:val="single" w:sz="4" w:space="0" w:color="auto"/>
              <w:right w:val="nil"/>
            </w:tcBorders>
            <w:shd w:val="clear" w:color="auto" w:fill="auto"/>
            <w:noWrap/>
            <w:vAlign w:val="bottom"/>
            <w:hideMark/>
          </w:tcPr>
          <w:p w14:paraId="2FFFC43E" w14:textId="4CCF2E70" w:rsidR="00794270" w:rsidRPr="00A86423" w:rsidRDefault="00794270" w:rsidP="00396F0C">
            <w:pPr>
              <w:spacing w:after="0" w:line="240" w:lineRule="auto"/>
              <w:jc w:val="right"/>
              <w:rPr>
                <w:rFonts w:ascii="Arial" w:hAnsi="Arial" w:cs="Arial"/>
                <w:b/>
                <w:bCs/>
                <w:sz w:val="16"/>
                <w:szCs w:val="16"/>
              </w:rPr>
            </w:pPr>
            <w:r w:rsidRPr="00A86423">
              <w:rPr>
                <w:rFonts w:ascii="Arial" w:hAnsi="Arial" w:cs="Arial"/>
                <w:b/>
                <w:bCs/>
                <w:sz w:val="16"/>
                <w:szCs w:val="16"/>
              </w:rPr>
              <w:t>1,040,923</w:t>
            </w:r>
          </w:p>
        </w:tc>
        <w:tc>
          <w:tcPr>
            <w:tcW w:w="602" w:type="pct"/>
            <w:gridSpan w:val="3"/>
            <w:tcBorders>
              <w:top w:val="single" w:sz="4" w:space="0" w:color="auto"/>
              <w:left w:val="nil"/>
              <w:bottom w:val="single" w:sz="4" w:space="0" w:color="auto"/>
              <w:right w:val="nil"/>
            </w:tcBorders>
            <w:shd w:val="clear" w:color="auto" w:fill="auto"/>
            <w:noWrap/>
            <w:vAlign w:val="bottom"/>
            <w:hideMark/>
          </w:tcPr>
          <w:p w14:paraId="02184EDA" w14:textId="43355AC6" w:rsidR="00794270" w:rsidRPr="00A86423" w:rsidRDefault="00794270" w:rsidP="00396F0C">
            <w:pPr>
              <w:spacing w:after="0" w:line="240" w:lineRule="auto"/>
              <w:jc w:val="right"/>
              <w:rPr>
                <w:rFonts w:ascii="Arial" w:hAnsi="Arial" w:cs="Arial"/>
                <w:b/>
                <w:bCs/>
                <w:sz w:val="16"/>
                <w:szCs w:val="16"/>
              </w:rPr>
            </w:pPr>
            <w:r w:rsidRPr="00A86423">
              <w:rPr>
                <w:rFonts w:ascii="Arial" w:hAnsi="Arial" w:cs="Arial"/>
                <w:b/>
                <w:bCs/>
                <w:sz w:val="16"/>
                <w:szCs w:val="16"/>
              </w:rPr>
              <w:t>1,068,091</w:t>
            </w:r>
          </w:p>
        </w:tc>
        <w:tc>
          <w:tcPr>
            <w:tcW w:w="594" w:type="pct"/>
            <w:gridSpan w:val="2"/>
            <w:tcBorders>
              <w:top w:val="single" w:sz="4" w:space="0" w:color="auto"/>
              <w:left w:val="nil"/>
              <w:bottom w:val="single" w:sz="4" w:space="0" w:color="auto"/>
              <w:right w:val="nil"/>
            </w:tcBorders>
            <w:shd w:val="clear" w:color="auto" w:fill="auto"/>
            <w:noWrap/>
            <w:vAlign w:val="bottom"/>
            <w:hideMark/>
          </w:tcPr>
          <w:p w14:paraId="7995A9E1" w14:textId="70E840D5" w:rsidR="00794270" w:rsidRPr="00A86423" w:rsidRDefault="00794270" w:rsidP="00396F0C">
            <w:pPr>
              <w:spacing w:after="0" w:line="240" w:lineRule="auto"/>
              <w:jc w:val="right"/>
              <w:rPr>
                <w:rFonts w:ascii="Arial" w:hAnsi="Arial" w:cs="Arial"/>
                <w:b/>
                <w:bCs/>
                <w:sz w:val="16"/>
                <w:szCs w:val="16"/>
              </w:rPr>
            </w:pPr>
            <w:r w:rsidRPr="00A86423">
              <w:rPr>
                <w:rFonts w:ascii="Arial" w:hAnsi="Arial" w:cs="Arial"/>
                <w:b/>
                <w:bCs/>
                <w:sz w:val="16"/>
                <w:szCs w:val="16"/>
              </w:rPr>
              <w:t>211,217</w:t>
            </w:r>
          </w:p>
        </w:tc>
      </w:tr>
      <w:tr w:rsidR="00396F0C" w:rsidRPr="00A86423" w14:paraId="7A52A3C7" w14:textId="77777777" w:rsidTr="00A86423">
        <w:trPr>
          <w:gridAfter w:val="1"/>
          <w:wAfter w:w="11" w:type="pct"/>
          <w:trHeight w:val="204"/>
        </w:trPr>
        <w:tc>
          <w:tcPr>
            <w:tcW w:w="1979" w:type="pct"/>
            <w:gridSpan w:val="2"/>
            <w:tcBorders>
              <w:top w:val="single" w:sz="4" w:space="0" w:color="auto"/>
              <w:left w:val="nil"/>
              <w:bottom w:val="single" w:sz="4" w:space="0" w:color="auto"/>
              <w:right w:val="nil"/>
            </w:tcBorders>
            <w:shd w:val="clear" w:color="000000" w:fill="E6E6E6"/>
            <w:noWrap/>
            <w:vAlign w:val="bottom"/>
            <w:hideMark/>
          </w:tcPr>
          <w:p w14:paraId="55D8D73A" w14:textId="77777777" w:rsidR="00794270" w:rsidRPr="00A86423" w:rsidRDefault="00794270" w:rsidP="00794270">
            <w:pPr>
              <w:spacing w:after="0" w:line="240" w:lineRule="auto"/>
              <w:rPr>
                <w:rFonts w:ascii="Arial" w:hAnsi="Arial" w:cs="Arial"/>
                <w:b/>
                <w:bCs/>
                <w:sz w:val="16"/>
                <w:szCs w:val="16"/>
              </w:rPr>
            </w:pPr>
            <w:r w:rsidRPr="00A86423">
              <w:rPr>
                <w:rFonts w:ascii="Arial" w:hAnsi="Arial" w:cs="Arial"/>
                <w:b/>
                <w:bCs/>
                <w:sz w:val="16"/>
                <w:szCs w:val="16"/>
              </w:rPr>
              <w:t>Program 3.2: Local government</w:t>
            </w:r>
          </w:p>
        </w:tc>
        <w:tc>
          <w:tcPr>
            <w:tcW w:w="601" w:type="pct"/>
            <w:gridSpan w:val="3"/>
            <w:tcBorders>
              <w:top w:val="single" w:sz="4" w:space="0" w:color="auto"/>
              <w:left w:val="nil"/>
              <w:bottom w:val="single" w:sz="4" w:space="0" w:color="auto"/>
              <w:right w:val="nil"/>
            </w:tcBorders>
            <w:shd w:val="clear" w:color="000000" w:fill="E6E6E6"/>
            <w:noWrap/>
            <w:vAlign w:val="bottom"/>
            <w:hideMark/>
          </w:tcPr>
          <w:p w14:paraId="7AC5A90E" w14:textId="77777777" w:rsidR="00794270" w:rsidRPr="00A86423" w:rsidRDefault="00794270" w:rsidP="00396F0C">
            <w:pPr>
              <w:spacing w:after="0" w:line="240" w:lineRule="auto"/>
              <w:jc w:val="right"/>
              <w:rPr>
                <w:rFonts w:ascii="Arial" w:hAnsi="Arial" w:cs="Arial"/>
                <w:sz w:val="16"/>
                <w:szCs w:val="16"/>
              </w:rPr>
            </w:pPr>
            <w:r w:rsidRPr="00A86423">
              <w:rPr>
                <w:rFonts w:ascii="Arial" w:hAnsi="Arial" w:cs="Arial"/>
                <w:sz w:val="16"/>
                <w:szCs w:val="16"/>
              </w:rPr>
              <w:t> </w:t>
            </w:r>
          </w:p>
        </w:tc>
        <w:tc>
          <w:tcPr>
            <w:tcW w:w="603" w:type="pct"/>
            <w:gridSpan w:val="4"/>
            <w:tcBorders>
              <w:top w:val="single" w:sz="4" w:space="0" w:color="auto"/>
              <w:left w:val="nil"/>
              <w:bottom w:val="single" w:sz="4" w:space="0" w:color="auto"/>
              <w:right w:val="nil"/>
            </w:tcBorders>
            <w:shd w:val="clear" w:color="000000" w:fill="E6E6E6"/>
            <w:noWrap/>
            <w:vAlign w:val="bottom"/>
            <w:hideMark/>
          </w:tcPr>
          <w:p w14:paraId="0BF367E3" w14:textId="77777777" w:rsidR="00794270" w:rsidRPr="00A86423" w:rsidRDefault="00794270" w:rsidP="00396F0C">
            <w:pPr>
              <w:spacing w:after="0" w:line="240" w:lineRule="auto"/>
              <w:jc w:val="right"/>
              <w:rPr>
                <w:rFonts w:ascii="Arial" w:hAnsi="Arial" w:cs="Arial"/>
                <w:sz w:val="16"/>
                <w:szCs w:val="16"/>
              </w:rPr>
            </w:pPr>
            <w:r w:rsidRPr="00A86423">
              <w:rPr>
                <w:rFonts w:ascii="Arial" w:hAnsi="Arial" w:cs="Arial"/>
                <w:sz w:val="16"/>
                <w:szCs w:val="16"/>
              </w:rPr>
              <w:t> </w:t>
            </w:r>
          </w:p>
        </w:tc>
        <w:tc>
          <w:tcPr>
            <w:tcW w:w="602" w:type="pct"/>
            <w:gridSpan w:val="5"/>
            <w:tcBorders>
              <w:top w:val="single" w:sz="4" w:space="0" w:color="auto"/>
              <w:left w:val="nil"/>
              <w:bottom w:val="single" w:sz="4" w:space="0" w:color="auto"/>
              <w:right w:val="nil"/>
            </w:tcBorders>
            <w:shd w:val="clear" w:color="000000" w:fill="E6E6E6"/>
            <w:noWrap/>
            <w:vAlign w:val="bottom"/>
            <w:hideMark/>
          </w:tcPr>
          <w:p w14:paraId="13E5353A" w14:textId="77777777" w:rsidR="00794270" w:rsidRPr="00A86423" w:rsidRDefault="00794270" w:rsidP="00396F0C">
            <w:pPr>
              <w:spacing w:after="0" w:line="240" w:lineRule="auto"/>
              <w:jc w:val="right"/>
              <w:rPr>
                <w:rFonts w:ascii="Arial" w:hAnsi="Arial" w:cs="Arial"/>
                <w:sz w:val="16"/>
                <w:szCs w:val="16"/>
              </w:rPr>
            </w:pPr>
            <w:r w:rsidRPr="00A86423">
              <w:rPr>
                <w:rFonts w:ascii="Arial" w:hAnsi="Arial" w:cs="Arial"/>
                <w:sz w:val="16"/>
                <w:szCs w:val="16"/>
              </w:rPr>
              <w:t> </w:t>
            </w:r>
          </w:p>
        </w:tc>
        <w:tc>
          <w:tcPr>
            <w:tcW w:w="602" w:type="pct"/>
            <w:gridSpan w:val="3"/>
            <w:tcBorders>
              <w:top w:val="single" w:sz="4" w:space="0" w:color="auto"/>
              <w:left w:val="nil"/>
              <w:bottom w:val="single" w:sz="4" w:space="0" w:color="auto"/>
              <w:right w:val="nil"/>
            </w:tcBorders>
            <w:shd w:val="clear" w:color="000000" w:fill="E6E6E6"/>
            <w:noWrap/>
            <w:vAlign w:val="bottom"/>
            <w:hideMark/>
          </w:tcPr>
          <w:p w14:paraId="5B37A9AA" w14:textId="77777777" w:rsidR="00794270" w:rsidRPr="00A86423" w:rsidRDefault="00794270" w:rsidP="00396F0C">
            <w:pPr>
              <w:spacing w:after="0" w:line="240" w:lineRule="auto"/>
              <w:jc w:val="right"/>
              <w:rPr>
                <w:rFonts w:ascii="Arial" w:hAnsi="Arial" w:cs="Arial"/>
                <w:sz w:val="16"/>
                <w:szCs w:val="16"/>
              </w:rPr>
            </w:pPr>
            <w:r w:rsidRPr="00A86423">
              <w:rPr>
                <w:rFonts w:ascii="Arial" w:hAnsi="Arial" w:cs="Arial"/>
                <w:sz w:val="16"/>
                <w:szCs w:val="16"/>
              </w:rPr>
              <w:t> </w:t>
            </w:r>
          </w:p>
        </w:tc>
        <w:tc>
          <w:tcPr>
            <w:tcW w:w="600" w:type="pct"/>
            <w:gridSpan w:val="2"/>
            <w:tcBorders>
              <w:top w:val="single" w:sz="4" w:space="0" w:color="auto"/>
              <w:left w:val="nil"/>
              <w:bottom w:val="single" w:sz="4" w:space="0" w:color="auto"/>
              <w:right w:val="nil"/>
            </w:tcBorders>
            <w:shd w:val="clear" w:color="000000" w:fill="E6E6E6"/>
            <w:noWrap/>
            <w:vAlign w:val="bottom"/>
            <w:hideMark/>
          </w:tcPr>
          <w:p w14:paraId="0174D66C" w14:textId="77777777" w:rsidR="00794270" w:rsidRPr="00A86423" w:rsidRDefault="00794270" w:rsidP="00396F0C">
            <w:pPr>
              <w:spacing w:after="0" w:line="240" w:lineRule="auto"/>
              <w:jc w:val="right"/>
              <w:rPr>
                <w:rFonts w:ascii="Arial" w:hAnsi="Arial" w:cs="Arial"/>
                <w:sz w:val="16"/>
                <w:szCs w:val="16"/>
              </w:rPr>
            </w:pPr>
            <w:r w:rsidRPr="00A86423">
              <w:rPr>
                <w:rFonts w:ascii="Arial" w:hAnsi="Arial" w:cs="Arial"/>
                <w:sz w:val="16"/>
                <w:szCs w:val="16"/>
              </w:rPr>
              <w:t> </w:t>
            </w:r>
          </w:p>
        </w:tc>
      </w:tr>
      <w:tr w:rsidR="00396F0C" w:rsidRPr="00A86423" w14:paraId="26D203F4" w14:textId="77777777" w:rsidTr="00A86423">
        <w:trPr>
          <w:gridAfter w:val="1"/>
          <w:wAfter w:w="11" w:type="pct"/>
          <w:trHeight w:val="204"/>
        </w:trPr>
        <w:tc>
          <w:tcPr>
            <w:tcW w:w="1979" w:type="pct"/>
            <w:gridSpan w:val="2"/>
            <w:tcBorders>
              <w:top w:val="nil"/>
              <w:left w:val="nil"/>
              <w:bottom w:val="nil"/>
              <w:right w:val="nil"/>
            </w:tcBorders>
            <w:shd w:val="clear" w:color="auto" w:fill="auto"/>
            <w:noWrap/>
            <w:vAlign w:val="bottom"/>
            <w:hideMark/>
          </w:tcPr>
          <w:p w14:paraId="4F62127D" w14:textId="77777777" w:rsidR="00794270" w:rsidRPr="00A86423" w:rsidRDefault="00794270" w:rsidP="00794270">
            <w:pPr>
              <w:spacing w:after="0" w:line="240" w:lineRule="auto"/>
              <w:rPr>
                <w:rFonts w:ascii="Arial" w:hAnsi="Arial" w:cs="Arial"/>
                <w:sz w:val="16"/>
                <w:szCs w:val="16"/>
              </w:rPr>
            </w:pPr>
            <w:r w:rsidRPr="00A86423">
              <w:rPr>
                <w:rFonts w:ascii="Arial" w:hAnsi="Arial" w:cs="Arial"/>
                <w:sz w:val="16"/>
                <w:szCs w:val="16"/>
              </w:rPr>
              <w:t>Administered expenses</w:t>
            </w:r>
          </w:p>
        </w:tc>
        <w:tc>
          <w:tcPr>
            <w:tcW w:w="601" w:type="pct"/>
            <w:gridSpan w:val="3"/>
            <w:tcBorders>
              <w:top w:val="nil"/>
              <w:left w:val="nil"/>
              <w:bottom w:val="nil"/>
              <w:right w:val="nil"/>
            </w:tcBorders>
            <w:shd w:val="clear" w:color="auto" w:fill="auto"/>
            <w:noWrap/>
            <w:vAlign w:val="bottom"/>
            <w:hideMark/>
          </w:tcPr>
          <w:p w14:paraId="006C1AE8" w14:textId="77777777" w:rsidR="00794270" w:rsidRPr="00A86423" w:rsidRDefault="00794270" w:rsidP="00396F0C">
            <w:pPr>
              <w:spacing w:after="0" w:line="240" w:lineRule="auto"/>
              <w:jc w:val="right"/>
              <w:rPr>
                <w:rFonts w:ascii="Arial" w:hAnsi="Arial" w:cs="Arial"/>
                <w:sz w:val="16"/>
                <w:szCs w:val="16"/>
              </w:rPr>
            </w:pPr>
          </w:p>
        </w:tc>
        <w:tc>
          <w:tcPr>
            <w:tcW w:w="603" w:type="pct"/>
            <w:gridSpan w:val="4"/>
            <w:tcBorders>
              <w:top w:val="nil"/>
              <w:left w:val="nil"/>
              <w:bottom w:val="nil"/>
              <w:right w:val="nil"/>
            </w:tcBorders>
            <w:shd w:val="clear" w:color="000000" w:fill="E6E6E6"/>
            <w:noWrap/>
            <w:vAlign w:val="bottom"/>
            <w:hideMark/>
          </w:tcPr>
          <w:p w14:paraId="4E50F36C" w14:textId="5D279B70" w:rsidR="00794270" w:rsidRPr="00A86423" w:rsidRDefault="00794270" w:rsidP="00396F0C">
            <w:pPr>
              <w:spacing w:after="0" w:line="240" w:lineRule="auto"/>
              <w:jc w:val="right"/>
              <w:rPr>
                <w:rFonts w:ascii="Arial" w:hAnsi="Arial" w:cs="Arial"/>
                <w:sz w:val="16"/>
                <w:szCs w:val="16"/>
              </w:rPr>
            </w:pPr>
          </w:p>
        </w:tc>
        <w:tc>
          <w:tcPr>
            <w:tcW w:w="602" w:type="pct"/>
            <w:gridSpan w:val="5"/>
            <w:tcBorders>
              <w:top w:val="nil"/>
              <w:left w:val="nil"/>
              <w:bottom w:val="nil"/>
              <w:right w:val="nil"/>
            </w:tcBorders>
            <w:shd w:val="clear" w:color="auto" w:fill="auto"/>
            <w:noWrap/>
            <w:vAlign w:val="bottom"/>
            <w:hideMark/>
          </w:tcPr>
          <w:p w14:paraId="12975878" w14:textId="77777777" w:rsidR="00794270" w:rsidRPr="00A86423" w:rsidRDefault="00794270" w:rsidP="00396F0C">
            <w:pPr>
              <w:spacing w:after="0" w:line="240" w:lineRule="auto"/>
              <w:jc w:val="right"/>
              <w:rPr>
                <w:rFonts w:ascii="Arial" w:hAnsi="Arial" w:cs="Arial"/>
                <w:sz w:val="16"/>
                <w:szCs w:val="16"/>
              </w:rPr>
            </w:pPr>
          </w:p>
        </w:tc>
        <w:tc>
          <w:tcPr>
            <w:tcW w:w="602" w:type="pct"/>
            <w:gridSpan w:val="3"/>
            <w:tcBorders>
              <w:top w:val="nil"/>
              <w:left w:val="nil"/>
              <w:bottom w:val="nil"/>
              <w:right w:val="nil"/>
            </w:tcBorders>
            <w:shd w:val="clear" w:color="auto" w:fill="auto"/>
            <w:noWrap/>
            <w:vAlign w:val="bottom"/>
            <w:hideMark/>
          </w:tcPr>
          <w:p w14:paraId="5329B78E" w14:textId="77777777" w:rsidR="00794270" w:rsidRPr="00A86423" w:rsidRDefault="00794270" w:rsidP="00396F0C">
            <w:pPr>
              <w:spacing w:after="0" w:line="240" w:lineRule="auto"/>
              <w:jc w:val="right"/>
              <w:rPr>
                <w:rFonts w:ascii="Arial" w:hAnsi="Arial" w:cs="Arial"/>
                <w:sz w:val="16"/>
                <w:szCs w:val="16"/>
              </w:rPr>
            </w:pPr>
          </w:p>
        </w:tc>
        <w:tc>
          <w:tcPr>
            <w:tcW w:w="600" w:type="pct"/>
            <w:gridSpan w:val="2"/>
            <w:tcBorders>
              <w:top w:val="nil"/>
              <w:left w:val="nil"/>
              <w:bottom w:val="nil"/>
              <w:right w:val="nil"/>
            </w:tcBorders>
            <w:shd w:val="clear" w:color="auto" w:fill="auto"/>
            <w:noWrap/>
            <w:vAlign w:val="bottom"/>
            <w:hideMark/>
          </w:tcPr>
          <w:p w14:paraId="027392C3" w14:textId="77777777" w:rsidR="00794270" w:rsidRPr="00A86423" w:rsidRDefault="00794270" w:rsidP="00396F0C">
            <w:pPr>
              <w:spacing w:after="0" w:line="240" w:lineRule="auto"/>
              <w:jc w:val="right"/>
              <w:rPr>
                <w:rFonts w:ascii="Arial" w:hAnsi="Arial" w:cs="Arial"/>
                <w:sz w:val="16"/>
                <w:szCs w:val="16"/>
              </w:rPr>
            </w:pPr>
          </w:p>
        </w:tc>
      </w:tr>
      <w:tr w:rsidR="00396F0C" w:rsidRPr="00A86423" w14:paraId="25738D56" w14:textId="77777777" w:rsidTr="00A86423">
        <w:trPr>
          <w:gridAfter w:val="1"/>
          <w:wAfter w:w="11" w:type="pct"/>
          <w:trHeight w:val="204"/>
        </w:trPr>
        <w:tc>
          <w:tcPr>
            <w:tcW w:w="1979" w:type="pct"/>
            <w:gridSpan w:val="2"/>
            <w:tcBorders>
              <w:top w:val="nil"/>
              <w:left w:val="nil"/>
              <w:bottom w:val="nil"/>
              <w:right w:val="nil"/>
            </w:tcBorders>
            <w:shd w:val="clear" w:color="auto" w:fill="auto"/>
            <w:vAlign w:val="bottom"/>
            <w:hideMark/>
          </w:tcPr>
          <w:p w14:paraId="61EE7B90" w14:textId="7968040A" w:rsidR="00794270" w:rsidRPr="00A86423" w:rsidRDefault="00794270" w:rsidP="00595948">
            <w:pPr>
              <w:spacing w:after="0" w:line="240" w:lineRule="auto"/>
              <w:ind w:left="113"/>
              <w:rPr>
                <w:rFonts w:ascii="Arial" w:hAnsi="Arial" w:cs="Arial"/>
                <w:sz w:val="16"/>
                <w:szCs w:val="16"/>
              </w:rPr>
            </w:pPr>
            <w:r w:rsidRPr="00A86423">
              <w:rPr>
                <w:rFonts w:ascii="Arial" w:hAnsi="Arial" w:cs="Arial"/>
                <w:sz w:val="16"/>
                <w:szCs w:val="16"/>
              </w:rPr>
              <w:t>Ordinary annual services (Appropriation Bill No. 1)</w:t>
            </w:r>
          </w:p>
        </w:tc>
        <w:tc>
          <w:tcPr>
            <w:tcW w:w="601" w:type="pct"/>
            <w:gridSpan w:val="3"/>
            <w:tcBorders>
              <w:top w:val="nil"/>
              <w:left w:val="nil"/>
              <w:bottom w:val="nil"/>
              <w:right w:val="nil"/>
            </w:tcBorders>
            <w:shd w:val="clear" w:color="auto" w:fill="auto"/>
            <w:noWrap/>
            <w:vAlign w:val="bottom"/>
            <w:hideMark/>
          </w:tcPr>
          <w:p w14:paraId="15071E94" w14:textId="53830B73" w:rsidR="00794270" w:rsidRPr="00A86423" w:rsidRDefault="00794270" w:rsidP="00396F0C">
            <w:pPr>
              <w:spacing w:after="0" w:line="240" w:lineRule="auto"/>
              <w:jc w:val="right"/>
              <w:rPr>
                <w:rFonts w:ascii="Arial" w:hAnsi="Arial" w:cs="Arial"/>
                <w:sz w:val="16"/>
                <w:szCs w:val="16"/>
              </w:rPr>
            </w:pPr>
            <w:r w:rsidRPr="00A86423">
              <w:rPr>
                <w:rFonts w:ascii="Arial" w:hAnsi="Arial" w:cs="Arial"/>
                <w:sz w:val="16"/>
                <w:szCs w:val="16"/>
              </w:rPr>
              <w:t>670</w:t>
            </w:r>
          </w:p>
        </w:tc>
        <w:tc>
          <w:tcPr>
            <w:tcW w:w="603" w:type="pct"/>
            <w:gridSpan w:val="4"/>
            <w:tcBorders>
              <w:top w:val="nil"/>
              <w:left w:val="nil"/>
              <w:bottom w:val="nil"/>
              <w:right w:val="nil"/>
            </w:tcBorders>
            <w:shd w:val="clear" w:color="000000" w:fill="E6E6E6"/>
            <w:noWrap/>
            <w:vAlign w:val="bottom"/>
            <w:hideMark/>
          </w:tcPr>
          <w:p w14:paraId="4D2CD062" w14:textId="655B2CF7" w:rsidR="00794270" w:rsidRPr="00A86423" w:rsidRDefault="00794270" w:rsidP="00396F0C">
            <w:pPr>
              <w:spacing w:after="0" w:line="240" w:lineRule="auto"/>
              <w:jc w:val="right"/>
              <w:rPr>
                <w:rFonts w:ascii="Arial" w:hAnsi="Arial" w:cs="Arial"/>
                <w:sz w:val="16"/>
                <w:szCs w:val="16"/>
              </w:rPr>
            </w:pPr>
            <w:r w:rsidRPr="00A86423">
              <w:rPr>
                <w:rFonts w:ascii="Arial" w:hAnsi="Arial" w:cs="Arial"/>
                <w:sz w:val="16"/>
                <w:szCs w:val="16"/>
              </w:rPr>
              <w:t>20,390</w:t>
            </w:r>
          </w:p>
        </w:tc>
        <w:tc>
          <w:tcPr>
            <w:tcW w:w="602" w:type="pct"/>
            <w:gridSpan w:val="5"/>
            <w:tcBorders>
              <w:top w:val="nil"/>
              <w:left w:val="nil"/>
              <w:bottom w:val="nil"/>
              <w:right w:val="nil"/>
            </w:tcBorders>
            <w:shd w:val="clear" w:color="auto" w:fill="auto"/>
            <w:noWrap/>
            <w:vAlign w:val="bottom"/>
            <w:hideMark/>
          </w:tcPr>
          <w:p w14:paraId="4B43176B" w14:textId="75D8F909" w:rsidR="00794270" w:rsidRPr="00A86423" w:rsidRDefault="00794270" w:rsidP="00396F0C">
            <w:pPr>
              <w:spacing w:after="0" w:line="240" w:lineRule="auto"/>
              <w:jc w:val="right"/>
              <w:rPr>
                <w:rFonts w:ascii="Arial" w:hAnsi="Arial" w:cs="Arial"/>
                <w:sz w:val="16"/>
                <w:szCs w:val="16"/>
              </w:rPr>
            </w:pPr>
            <w:r w:rsidRPr="00A86423">
              <w:rPr>
                <w:rFonts w:ascii="Arial" w:hAnsi="Arial" w:cs="Arial"/>
                <w:sz w:val="16"/>
                <w:szCs w:val="16"/>
              </w:rPr>
              <w:t>20,279</w:t>
            </w:r>
          </w:p>
        </w:tc>
        <w:tc>
          <w:tcPr>
            <w:tcW w:w="602" w:type="pct"/>
            <w:gridSpan w:val="3"/>
            <w:tcBorders>
              <w:top w:val="nil"/>
              <w:left w:val="nil"/>
              <w:bottom w:val="nil"/>
              <w:right w:val="nil"/>
            </w:tcBorders>
            <w:shd w:val="clear" w:color="auto" w:fill="auto"/>
            <w:noWrap/>
            <w:vAlign w:val="bottom"/>
            <w:hideMark/>
          </w:tcPr>
          <w:p w14:paraId="67E63936" w14:textId="1FD6D165" w:rsidR="00794270" w:rsidRPr="00A86423" w:rsidRDefault="00794270" w:rsidP="00396F0C">
            <w:pPr>
              <w:spacing w:after="0" w:line="240" w:lineRule="auto"/>
              <w:jc w:val="right"/>
              <w:rPr>
                <w:rFonts w:ascii="Arial" w:hAnsi="Arial" w:cs="Arial"/>
                <w:sz w:val="16"/>
                <w:szCs w:val="16"/>
              </w:rPr>
            </w:pPr>
            <w:r w:rsidRPr="00A86423">
              <w:rPr>
                <w:rFonts w:ascii="Arial" w:hAnsi="Arial" w:cs="Arial"/>
                <w:sz w:val="16"/>
                <w:szCs w:val="16"/>
              </w:rPr>
              <w:t>270,000</w:t>
            </w:r>
          </w:p>
        </w:tc>
        <w:tc>
          <w:tcPr>
            <w:tcW w:w="600" w:type="pct"/>
            <w:gridSpan w:val="2"/>
            <w:tcBorders>
              <w:top w:val="nil"/>
              <w:left w:val="nil"/>
              <w:bottom w:val="nil"/>
              <w:right w:val="nil"/>
            </w:tcBorders>
            <w:shd w:val="clear" w:color="auto" w:fill="auto"/>
            <w:noWrap/>
            <w:vAlign w:val="bottom"/>
            <w:hideMark/>
          </w:tcPr>
          <w:p w14:paraId="062DC88D" w14:textId="0F2BE4BD" w:rsidR="00794270" w:rsidRPr="00A86423" w:rsidRDefault="00794270" w:rsidP="00396F0C">
            <w:pPr>
              <w:spacing w:after="0" w:line="240" w:lineRule="auto"/>
              <w:jc w:val="right"/>
              <w:rPr>
                <w:rFonts w:ascii="Arial" w:hAnsi="Arial" w:cs="Arial"/>
                <w:sz w:val="16"/>
                <w:szCs w:val="16"/>
              </w:rPr>
            </w:pPr>
            <w:r w:rsidRPr="00A86423">
              <w:rPr>
                <w:rFonts w:ascii="Arial" w:hAnsi="Arial" w:cs="Arial"/>
                <w:sz w:val="16"/>
                <w:szCs w:val="16"/>
              </w:rPr>
              <w:t>-</w:t>
            </w:r>
          </w:p>
        </w:tc>
      </w:tr>
      <w:tr w:rsidR="00396F0C" w:rsidRPr="00A86423" w14:paraId="2BFC9A05" w14:textId="77777777" w:rsidTr="00A86423">
        <w:trPr>
          <w:gridAfter w:val="1"/>
          <w:wAfter w:w="11" w:type="pct"/>
          <w:trHeight w:val="204"/>
        </w:trPr>
        <w:tc>
          <w:tcPr>
            <w:tcW w:w="1979" w:type="pct"/>
            <w:gridSpan w:val="2"/>
            <w:tcBorders>
              <w:top w:val="nil"/>
              <w:left w:val="nil"/>
              <w:bottom w:val="nil"/>
              <w:right w:val="nil"/>
            </w:tcBorders>
            <w:shd w:val="clear" w:color="000000" w:fill="FFFFFF"/>
            <w:vAlign w:val="bottom"/>
            <w:hideMark/>
          </w:tcPr>
          <w:p w14:paraId="5D01D3FD" w14:textId="1A203CF7" w:rsidR="00794270" w:rsidRPr="00A86423" w:rsidRDefault="00794270" w:rsidP="00595948">
            <w:pPr>
              <w:spacing w:after="0" w:line="240" w:lineRule="auto"/>
              <w:ind w:left="113"/>
              <w:rPr>
                <w:rFonts w:ascii="Arial" w:hAnsi="Arial" w:cs="Arial"/>
                <w:sz w:val="16"/>
                <w:szCs w:val="16"/>
              </w:rPr>
            </w:pPr>
            <w:r w:rsidRPr="00A86423">
              <w:rPr>
                <w:rFonts w:ascii="Arial" w:hAnsi="Arial" w:cs="Arial"/>
                <w:sz w:val="16"/>
                <w:szCs w:val="16"/>
              </w:rPr>
              <w:t>Other services (Appropriation Bill No.</w:t>
            </w:r>
            <w:r w:rsidR="00396F0C" w:rsidRPr="00A86423">
              <w:rPr>
                <w:rFonts w:ascii="Arial" w:hAnsi="Arial" w:cs="Arial"/>
                <w:sz w:val="16"/>
                <w:szCs w:val="16"/>
              </w:rPr>
              <w:t> </w:t>
            </w:r>
            <w:r w:rsidRPr="00A86423">
              <w:rPr>
                <w:rFonts w:ascii="Arial" w:hAnsi="Arial" w:cs="Arial"/>
                <w:sz w:val="16"/>
                <w:szCs w:val="16"/>
              </w:rPr>
              <w:t>2)</w:t>
            </w:r>
          </w:p>
        </w:tc>
        <w:tc>
          <w:tcPr>
            <w:tcW w:w="601" w:type="pct"/>
            <w:gridSpan w:val="3"/>
            <w:tcBorders>
              <w:top w:val="nil"/>
              <w:left w:val="nil"/>
              <w:bottom w:val="nil"/>
              <w:right w:val="nil"/>
            </w:tcBorders>
            <w:shd w:val="clear" w:color="auto" w:fill="auto"/>
            <w:noWrap/>
            <w:vAlign w:val="bottom"/>
            <w:hideMark/>
          </w:tcPr>
          <w:p w14:paraId="2A2E7025" w14:textId="21F2E05B" w:rsidR="00794270" w:rsidRPr="00A86423" w:rsidRDefault="00794270" w:rsidP="00396F0C">
            <w:pPr>
              <w:spacing w:after="0" w:line="240" w:lineRule="auto"/>
              <w:jc w:val="right"/>
              <w:rPr>
                <w:rFonts w:ascii="Arial" w:hAnsi="Arial" w:cs="Arial"/>
                <w:sz w:val="16"/>
                <w:szCs w:val="16"/>
              </w:rPr>
            </w:pPr>
            <w:r w:rsidRPr="00A86423">
              <w:rPr>
                <w:rFonts w:ascii="Arial" w:hAnsi="Arial" w:cs="Arial"/>
                <w:sz w:val="16"/>
                <w:szCs w:val="16"/>
              </w:rPr>
              <w:t>669,330</w:t>
            </w:r>
          </w:p>
        </w:tc>
        <w:tc>
          <w:tcPr>
            <w:tcW w:w="603" w:type="pct"/>
            <w:gridSpan w:val="4"/>
            <w:tcBorders>
              <w:top w:val="nil"/>
              <w:left w:val="nil"/>
              <w:bottom w:val="nil"/>
              <w:right w:val="nil"/>
            </w:tcBorders>
            <w:shd w:val="clear" w:color="000000" w:fill="E6E6E6"/>
            <w:noWrap/>
            <w:vAlign w:val="bottom"/>
            <w:hideMark/>
          </w:tcPr>
          <w:p w14:paraId="5291101C" w14:textId="7D95D7A6" w:rsidR="00794270" w:rsidRPr="00A86423" w:rsidRDefault="00794270" w:rsidP="00396F0C">
            <w:pPr>
              <w:spacing w:after="0" w:line="240" w:lineRule="auto"/>
              <w:jc w:val="right"/>
              <w:rPr>
                <w:rFonts w:ascii="Arial" w:hAnsi="Arial" w:cs="Arial"/>
                <w:sz w:val="16"/>
                <w:szCs w:val="16"/>
              </w:rPr>
            </w:pPr>
            <w:r w:rsidRPr="00A86423">
              <w:rPr>
                <w:rFonts w:ascii="Arial" w:hAnsi="Arial" w:cs="Arial"/>
                <w:sz w:val="16"/>
                <w:szCs w:val="16"/>
              </w:rPr>
              <w:t>349,610</w:t>
            </w:r>
          </w:p>
        </w:tc>
        <w:tc>
          <w:tcPr>
            <w:tcW w:w="602" w:type="pct"/>
            <w:gridSpan w:val="5"/>
            <w:tcBorders>
              <w:top w:val="nil"/>
              <w:left w:val="nil"/>
              <w:bottom w:val="nil"/>
              <w:right w:val="nil"/>
            </w:tcBorders>
            <w:shd w:val="clear" w:color="auto" w:fill="auto"/>
            <w:noWrap/>
            <w:vAlign w:val="bottom"/>
            <w:hideMark/>
          </w:tcPr>
          <w:p w14:paraId="2223E5C1" w14:textId="787EFE47" w:rsidR="00794270" w:rsidRPr="00A86423" w:rsidRDefault="00794270" w:rsidP="00396F0C">
            <w:pPr>
              <w:spacing w:after="0" w:line="240" w:lineRule="auto"/>
              <w:jc w:val="right"/>
              <w:rPr>
                <w:rFonts w:ascii="Arial" w:hAnsi="Arial" w:cs="Arial"/>
                <w:sz w:val="16"/>
                <w:szCs w:val="16"/>
              </w:rPr>
            </w:pPr>
            <w:r w:rsidRPr="00A86423">
              <w:rPr>
                <w:rFonts w:ascii="Arial" w:hAnsi="Arial" w:cs="Arial"/>
                <w:sz w:val="16"/>
                <w:szCs w:val="16"/>
              </w:rPr>
              <w:t>249,721</w:t>
            </w:r>
          </w:p>
        </w:tc>
        <w:tc>
          <w:tcPr>
            <w:tcW w:w="602" w:type="pct"/>
            <w:gridSpan w:val="3"/>
            <w:tcBorders>
              <w:top w:val="nil"/>
              <w:left w:val="nil"/>
              <w:bottom w:val="nil"/>
              <w:right w:val="nil"/>
            </w:tcBorders>
            <w:shd w:val="clear" w:color="auto" w:fill="auto"/>
            <w:noWrap/>
            <w:vAlign w:val="bottom"/>
            <w:hideMark/>
          </w:tcPr>
          <w:p w14:paraId="5631DFF3" w14:textId="3AEDD71D" w:rsidR="00794270" w:rsidRPr="00A86423" w:rsidRDefault="00794270" w:rsidP="00396F0C">
            <w:pPr>
              <w:spacing w:after="0" w:line="240" w:lineRule="auto"/>
              <w:jc w:val="right"/>
              <w:rPr>
                <w:rFonts w:ascii="Arial" w:hAnsi="Arial" w:cs="Arial"/>
                <w:sz w:val="16"/>
                <w:szCs w:val="16"/>
              </w:rPr>
            </w:pPr>
            <w:r w:rsidRPr="00A86423">
              <w:rPr>
                <w:rFonts w:ascii="Arial" w:hAnsi="Arial" w:cs="Arial"/>
                <w:sz w:val="16"/>
                <w:szCs w:val="16"/>
              </w:rPr>
              <w:t>-</w:t>
            </w:r>
          </w:p>
        </w:tc>
        <w:tc>
          <w:tcPr>
            <w:tcW w:w="600" w:type="pct"/>
            <w:gridSpan w:val="2"/>
            <w:tcBorders>
              <w:top w:val="nil"/>
              <w:left w:val="nil"/>
              <w:bottom w:val="nil"/>
              <w:right w:val="nil"/>
            </w:tcBorders>
            <w:shd w:val="clear" w:color="auto" w:fill="auto"/>
            <w:noWrap/>
            <w:vAlign w:val="bottom"/>
            <w:hideMark/>
          </w:tcPr>
          <w:p w14:paraId="52694804" w14:textId="51624DF9" w:rsidR="00794270" w:rsidRPr="00A86423" w:rsidRDefault="00794270" w:rsidP="00396F0C">
            <w:pPr>
              <w:spacing w:after="0" w:line="240" w:lineRule="auto"/>
              <w:jc w:val="right"/>
              <w:rPr>
                <w:rFonts w:ascii="Arial" w:hAnsi="Arial" w:cs="Arial"/>
                <w:sz w:val="16"/>
                <w:szCs w:val="16"/>
              </w:rPr>
            </w:pPr>
            <w:r w:rsidRPr="00A86423">
              <w:rPr>
                <w:rFonts w:ascii="Arial" w:hAnsi="Arial" w:cs="Arial"/>
                <w:sz w:val="16"/>
                <w:szCs w:val="16"/>
              </w:rPr>
              <w:t>-</w:t>
            </w:r>
          </w:p>
        </w:tc>
      </w:tr>
      <w:tr w:rsidR="00396F0C" w:rsidRPr="00A86423" w14:paraId="160A93DE" w14:textId="77777777" w:rsidTr="00A86423">
        <w:trPr>
          <w:gridAfter w:val="1"/>
          <w:wAfter w:w="11" w:type="pct"/>
          <w:trHeight w:val="204"/>
        </w:trPr>
        <w:tc>
          <w:tcPr>
            <w:tcW w:w="1979" w:type="pct"/>
            <w:gridSpan w:val="2"/>
            <w:tcBorders>
              <w:top w:val="nil"/>
              <w:left w:val="nil"/>
              <w:bottom w:val="nil"/>
              <w:right w:val="nil"/>
            </w:tcBorders>
            <w:shd w:val="clear" w:color="auto" w:fill="auto"/>
            <w:vAlign w:val="bottom"/>
            <w:hideMark/>
          </w:tcPr>
          <w:p w14:paraId="14AD801F" w14:textId="77777777" w:rsidR="00794270" w:rsidRPr="00A86423" w:rsidRDefault="00794270" w:rsidP="00595948">
            <w:pPr>
              <w:spacing w:after="0" w:line="240" w:lineRule="auto"/>
              <w:ind w:left="113"/>
              <w:rPr>
                <w:rFonts w:ascii="Arial" w:hAnsi="Arial" w:cs="Arial"/>
                <w:sz w:val="16"/>
                <w:szCs w:val="16"/>
              </w:rPr>
            </w:pPr>
            <w:r w:rsidRPr="00A86423">
              <w:rPr>
                <w:rFonts w:ascii="Arial" w:hAnsi="Arial" w:cs="Arial"/>
                <w:sz w:val="16"/>
                <w:szCs w:val="16"/>
              </w:rPr>
              <w:t>Special Appropriations</w:t>
            </w:r>
          </w:p>
        </w:tc>
        <w:tc>
          <w:tcPr>
            <w:tcW w:w="601" w:type="pct"/>
            <w:gridSpan w:val="3"/>
            <w:tcBorders>
              <w:top w:val="nil"/>
              <w:left w:val="nil"/>
              <w:bottom w:val="nil"/>
              <w:right w:val="nil"/>
            </w:tcBorders>
            <w:shd w:val="clear" w:color="auto" w:fill="auto"/>
            <w:noWrap/>
            <w:vAlign w:val="bottom"/>
            <w:hideMark/>
          </w:tcPr>
          <w:p w14:paraId="5F18D19E" w14:textId="77777777" w:rsidR="00794270" w:rsidRPr="00A86423" w:rsidRDefault="00794270" w:rsidP="00396F0C">
            <w:pPr>
              <w:spacing w:after="0" w:line="240" w:lineRule="auto"/>
              <w:ind w:firstLineChars="100" w:firstLine="160"/>
              <w:jc w:val="right"/>
              <w:rPr>
                <w:rFonts w:ascii="Arial" w:hAnsi="Arial" w:cs="Arial"/>
                <w:sz w:val="16"/>
                <w:szCs w:val="16"/>
              </w:rPr>
            </w:pPr>
          </w:p>
        </w:tc>
        <w:tc>
          <w:tcPr>
            <w:tcW w:w="603" w:type="pct"/>
            <w:gridSpan w:val="4"/>
            <w:tcBorders>
              <w:top w:val="nil"/>
              <w:left w:val="nil"/>
              <w:bottom w:val="nil"/>
              <w:right w:val="nil"/>
            </w:tcBorders>
            <w:shd w:val="clear" w:color="000000" w:fill="E6E6E6"/>
            <w:noWrap/>
            <w:vAlign w:val="bottom"/>
            <w:hideMark/>
          </w:tcPr>
          <w:p w14:paraId="562E889E" w14:textId="43562C83" w:rsidR="00794270" w:rsidRPr="00A86423" w:rsidRDefault="00794270" w:rsidP="00396F0C">
            <w:pPr>
              <w:spacing w:after="0" w:line="240" w:lineRule="auto"/>
              <w:jc w:val="right"/>
              <w:rPr>
                <w:rFonts w:ascii="Arial" w:hAnsi="Arial" w:cs="Arial"/>
                <w:sz w:val="16"/>
                <w:szCs w:val="16"/>
              </w:rPr>
            </w:pPr>
          </w:p>
        </w:tc>
        <w:tc>
          <w:tcPr>
            <w:tcW w:w="602" w:type="pct"/>
            <w:gridSpan w:val="5"/>
            <w:tcBorders>
              <w:top w:val="nil"/>
              <w:left w:val="nil"/>
              <w:bottom w:val="nil"/>
              <w:right w:val="nil"/>
            </w:tcBorders>
            <w:shd w:val="clear" w:color="auto" w:fill="auto"/>
            <w:noWrap/>
            <w:vAlign w:val="bottom"/>
            <w:hideMark/>
          </w:tcPr>
          <w:p w14:paraId="523BF6A8" w14:textId="77777777" w:rsidR="00794270" w:rsidRPr="00A86423" w:rsidRDefault="00794270" w:rsidP="00396F0C">
            <w:pPr>
              <w:spacing w:after="0" w:line="240" w:lineRule="auto"/>
              <w:jc w:val="right"/>
              <w:rPr>
                <w:rFonts w:ascii="Arial" w:hAnsi="Arial" w:cs="Arial"/>
                <w:sz w:val="16"/>
                <w:szCs w:val="16"/>
              </w:rPr>
            </w:pPr>
          </w:p>
        </w:tc>
        <w:tc>
          <w:tcPr>
            <w:tcW w:w="602" w:type="pct"/>
            <w:gridSpan w:val="3"/>
            <w:tcBorders>
              <w:top w:val="nil"/>
              <w:left w:val="nil"/>
              <w:bottom w:val="nil"/>
              <w:right w:val="nil"/>
            </w:tcBorders>
            <w:shd w:val="clear" w:color="auto" w:fill="auto"/>
            <w:noWrap/>
            <w:vAlign w:val="bottom"/>
            <w:hideMark/>
          </w:tcPr>
          <w:p w14:paraId="61725C07" w14:textId="77777777" w:rsidR="00794270" w:rsidRPr="00A86423" w:rsidRDefault="00794270" w:rsidP="00396F0C">
            <w:pPr>
              <w:spacing w:after="0" w:line="240" w:lineRule="auto"/>
              <w:jc w:val="right"/>
              <w:rPr>
                <w:rFonts w:ascii="Arial" w:hAnsi="Arial" w:cs="Arial"/>
                <w:sz w:val="16"/>
                <w:szCs w:val="16"/>
              </w:rPr>
            </w:pPr>
          </w:p>
        </w:tc>
        <w:tc>
          <w:tcPr>
            <w:tcW w:w="600" w:type="pct"/>
            <w:gridSpan w:val="2"/>
            <w:tcBorders>
              <w:top w:val="nil"/>
              <w:left w:val="nil"/>
              <w:bottom w:val="nil"/>
              <w:right w:val="nil"/>
            </w:tcBorders>
            <w:shd w:val="clear" w:color="auto" w:fill="auto"/>
            <w:noWrap/>
            <w:vAlign w:val="bottom"/>
            <w:hideMark/>
          </w:tcPr>
          <w:p w14:paraId="7B415FF1" w14:textId="77777777" w:rsidR="00794270" w:rsidRPr="00A86423" w:rsidRDefault="00794270" w:rsidP="00396F0C">
            <w:pPr>
              <w:spacing w:after="0" w:line="240" w:lineRule="auto"/>
              <w:jc w:val="right"/>
              <w:rPr>
                <w:rFonts w:ascii="Arial" w:hAnsi="Arial" w:cs="Arial"/>
                <w:sz w:val="16"/>
                <w:szCs w:val="16"/>
              </w:rPr>
            </w:pPr>
          </w:p>
        </w:tc>
      </w:tr>
      <w:tr w:rsidR="00396F0C" w:rsidRPr="00A86423" w14:paraId="46777D9E" w14:textId="77777777" w:rsidTr="00A86423">
        <w:trPr>
          <w:gridAfter w:val="1"/>
          <w:wAfter w:w="11" w:type="pct"/>
          <w:trHeight w:val="204"/>
        </w:trPr>
        <w:tc>
          <w:tcPr>
            <w:tcW w:w="1979" w:type="pct"/>
            <w:gridSpan w:val="2"/>
            <w:tcBorders>
              <w:top w:val="nil"/>
              <w:left w:val="nil"/>
              <w:bottom w:val="nil"/>
              <w:right w:val="nil"/>
            </w:tcBorders>
            <w:shd w:val="clear" w:color="auto" w:fill="auto"/>
            <w:vAlign w:val="bottom"/>
            <w:hideMark/>
          </w:tcPr>
          <w:p w14:paraId="2ED7741B" w14:textId="77777777" w:rsidR="00794270" w:rsidRPr="00A86423" w:rsidRDefault="00794270" w:rsidP="00595948">
            <w:pPr>
              <w:spacing w:after="0" w:line="240" w:lineRule="auto"/>
              <w:ind w:left="227"/>
              <w:rPr>
                <w:rFonts w:ascii="Arial" w:hAnsi="Arial" w:cs="Arial"/>
                <w:i/>
                <w:iCs/>
                <w:sz w:val="16"/>
                <w:szCs w:val="16"/>
              </w:rPr>
            </w:pPr>
            <w:r w:rsidRPr="00A86423">
              <w:rPr>
                <w:rFonts w:ascii="Arial" w:hAnsi="Arial" w:cs="Arial"/>
                <w:i/>
                <w:iCs/>
                <w:sz w:val="16"/>
                <w:szCs w:val="16"/>
              </w:rPr>
              <w:t>Local Government (Financial Assistance) Act 1995</w:t>
            </w:r>
          </w:p>
        </w:tc>
        <w:tc>
          <w:tcPr>
            <w:tcW w:w="601" w:type="pct"/>
            <w:gridSpan w:val="3"/>
            <w:tcBorders>
              <w:top w:val="nil"/>
              <w:left w:val="nil"/>
              <w:bottom w:val="nil"/>
              <w:right w:val="nil"/>
            </w:tcBorders>
            <w:shd w:val="clear" w:color="auto" w:fill="auto"/>
            <w:noWrap/>
            <w:vAlign w:val="bottom"/>
            <w:hideMark/>
          </w:tcPr>
          <w:p w14:paraId="1A8DFC17" w14:textId="5BF67C5F" w:rsidR="00794270" w:rsidRPr="00A86423" w:rsidRDefault="00794270" w:rsidP="00396F0C">
            <w:pPr>
              <w:spacing w:after="0" w:line="240" w:lineRule="auto"/>
              <w:jc w:val="right"/>
              <w:rPr>
                <w:rFonts w:ascii="Arial" w:hAnsi="Arial" w:cs="Arial"/>
                <w:sz w:val="16"/>
                <w:szCs w:val="16"/>
              </w:rPr>
            </w:pPr>
            <w:r w:rsidRPr="00A86423">
              <w:rPr>
                <w:rFonts w:ascii="Arial" w:hAnsi="Arial" w:cs="Arial"/>
                <w:sz w:val="16"/>
                <w:szCs w:val="16"/>
              </w:rPr>
              <w:t>833,499</w:t>
            </w:r>
          </w:p>
        </w:tc>
        <w:tc>
          <w:tcPr>
            <w:tcW w:w="603" w:type="pct"/>
            <w:gridSpan w:val="4"/>
            <w:tcBorders>
              <w:top w:val="nil"/>
              <w:left w:val="nil"/>
              <w:bottom w:val="nil"/>
              <w:right w:val="nil"/>
            </w:tcBorders>
            <w:shd w:val="clear" w:color="000000" w:fill="E6E6E6"/>
            <w:noWrap/>
            <w:vAlign w:val="bottom"/>
            <w:hideMark/>
          </w:tcPr>
          <w:p w14:paraId="540CAE62" w14:textId="1A0E401A" w:rsidR="00794270" w:rsidRPr="00A86423" w:rsidRDefault="00794270" w:rsidP="00396F0C">
            <w:pPr>
              <w:spacing w:after="0" w:line="240" w:lineRule="auto"/>
              <w:jc w:val="right"/>
              <w:rPr>
                <w:rFonts w:ascii="Arial" w:hAnsi="Arial" w:cs="Arial"/>
                <w:sz w:val="16"/>
                <w:szCs w:val="16"/>
              </w:rPr>
            </w:pPr>
            <w:r w:rsidRPr="00A86423">
              <w:rPr>
                <w:rFonts w:ascii="Arial" w:hAnsi="Arial" w:cs="Arial"/>
                <w:sz w:val="16"/>
                <w:szCs w:val="16"/>
              </w:rPr>
              <w:t>3,106,446</w:t>
            </w:r>
          </w:p>
        </w:tc>
        <w:tc>
          <w:tcPr>
            <w:tcW w:w="602" w:type="pct"/>
            <w:gridSpan w:val="5"/>
            <w:tcBorders>
              <w:top w:val="nil"/>
              <w:left w:val="nil"/>
              <w:bottom w:val="nil"/>
              <w:right w:val="nil"/>
            </w:tcBorders>
            <w:shd w:val="clear" w:color="auto" w:fill="auto"/>
            <w:noWrap/>
            <w:vAlign w:val="bottom"/>
            <w:hideMark/>
          </w:tcPr>
          <w:p w14:paraId="058AD001" w14:textId="2FBDD507" w:rsidR="00794270" w:rsidRPr="00A86423" w:rsidRDefault="00794270" w:rsidP="00396F0C">
            <w:pPr>
              <w:spacing w:after="0" w:line="240" w:lineRule="auto"/>
              <w:jc w:val="right"/>
              <w:rPr>
                <w:rFonts w:ascii="Arial" w:hAnsi="Arial" w:cs="Arial"/>
                <w:sz w:val="16"/>
                <w:szCs w:val="16"/>
              </w:rPr>
            </w:pPr>
            <w:r w:rsidRPr="00A86423">
              <w:rPr>
                <w:rFonts w:ascii="Arial" w:hAnsi="Arial" w:cs="Arial"/>
                <w:sz w:val="16"/>
                <w:szCs w:val="16"/>
              </w:rPr>
              <w:t>3,256,799</w:t>
            </w:r>
          </w:p>
        </w:tc>
        <w:tc>
          <w:tcPr>
            <w:tcW w:w="602" w:type="pct"/>
            <w:gridSpan w:val="3"/>
            <w:tcBorders>
              <w:top w:val="nil"/>
              <w:left w:val="nil"/>
              <w:bottom w:val="nil"/>
              <w:right w:val="nil"/>
            </w:tcBorders>
            <w:shd w:val="clear" w:color="auto" w:fill="auto"/>
            <w:noWrap/>
            <w:vAlign w:val="bottom"/>
            <w:hideMark/>
          </w:tcPr>
          <w:p w14:paraId="395A6724" w14:textId="20A22E22" w:rsidR="00794270" w:rsidRPr="00A86423" w:rsidRDefault="00794270" w:rsidP="00396F0C">
            <w:pPr>
              <w:spacing w:after="0" w:line="240" w:lineRule="auto"/>
              <w:jc w:val="right"/>
              <w:rPr>
                <w:rFonts w:ascii="Arial" w:hAnsi="Arial" w:cs="Arial"/>
                <w:sz w:val="16"/>
                <w:szCs w:val="16"/>
              </w:rPr>
            </w:pPr>
            <w:r w:rsidRPr="00A86423">
              <w:rPr>
                <w:rFonts w:ascii="Arial" w:hAnsi="Arial" w:cs="Arial"/>
                <w:sz w:val="16"/>
                <w:szCs w:val="16"/>
              </w:rPr>
              <w:t>3,390,977</w:t>
            </w:r>
          </w:p>
        </w:tc>
        <w:tc>
          <w:tcPr>
            <w:tcW w:w="600" w:type="pct"/>
            <w:gridSpan w:val="2"/>
            <w:tcBorders>
              <w:top w:val="nil"/>
              <w:left w:val="nil"/>
              <w:bottom w:val="nil"/>
              <w:right w:val="nil"/>
            </w:tcBorders>
            <w:shd w:val="clear" w:color="auto" w:fill="auto"/>
            <w:noWrap/>
            <w:vAlign w:val="bottom"/>
            <w:hideMark/>
          </w:tcPr>
          <w:p w14:paraId="5C33B36F" w14:textId="08D097DC" w:rsidR="00794270" w:rsidRPr="00A86423" w:rsidRDefault="00794270" w:rsidP="00396F0C">
            <w:pPr>
              <w:spacing w:after="0" w:line="240" w:lineRule="auto"/>
              <w:jc w:val="right"/>
              <w:rPr>
                <w:rFonts w:ascii="Arial" w:hAnsi="Arial" w:cs="Arial"/>
                <w:sz w:val="16"/>
                <w:szCs w:val="16"/>
              </w:rPr>
            </w:pPr>
            <w:r w:rsidRPr="00A86423">
              <w:rPr>
                <w:rFonts w:ascii="Arial" w:hAnsi="Arial" w:cs="Arial"/>
                <w:sz w:val="16"/>
                <w:szCs w:val="16"/>
              </w:rPr>
              <w:t>3,528,990</w:t>
            </w:r>
          </w:p>
        </w:tc>
      </w:tr>
      <w:tr w:rsidR="00396F0C" w:rsidRPr="00A86423" w14:paraId="2650C0EA" w14:textId="77777777" w:rsidTr="00A86423">
        <w:trPr>
          <w:gridAfter w:val="1"/>
          <w:wAfter w:w="11" w:type="pct"/>
          <w:trHeight w:val="204"/>
        </w:trPr>
        <w:tc>
          <w:tcPr>
            <w:tcW w:w="1979" w:type="pct"/>
            <w:gridSpan w:val="2"/>
            <w:tcBorders>
              <w:top w:val="nil"/>
              <w:left w:val="nil"/>
              <w:bottom w:val="nil"/>
              <w:right w:val="nil"/>
            </w:tcBorders>
            <w:shd w:val="clear" w:color="auto" w:fill="auto"/>
            <w:vAlign w:val="bottom"/>
            <w:hideMark/>
          </w:tcPr>
          <w:p w14:paraId="711AFD7F" w14:textId="32D53FAD" w:rsidR="00794270" w:rsidRPr="00A86423" w:rsidRDefault="00794270" w:rsidP="00595948">
            <w:pPr>
              <w:spacing w:after="0" w:line="240" w:lineRule="auto"/>
              <w:ind w:left="113"/>
              <w:rPr>
                <w:rFonts w:ascii="Arial" w:hAnsi="Arial" w:cs="Arial"/>
                <w:sz w:val="16"/>
                <w:szCs w:val="16"/>
              </w:rPr>
            </w:pPr>
            <w:r w:rsidRPr="00A86423">
              <w:rPr>
                <w:rFonts w:ascii="Arial" w:hAnsi="Arial" w:cs="Arial"/>
                <w:sz w:val="16"/>
                <w:szCs w:val="16"/>
              </w:rPr>
              <w:t>Expenses not requiring appropriation in the Budget year</w:t>
            </w:r>
            <w:r w:rsidRPr="00A86423">
              <w:rPr>
                <w:rFonts w:ascii="Arial" w:hAnsi="Arial" w:cs="Arial"/>
                <w:sz w:val="16"/>
                <w:szCs w:val="16"/>
                <w:vertAlign w:val="superscript"/>
              </w:rPr>
              <w:t>(a)</w:t>
            </w:r>
          </w:p>
        </w:tc>
        <w:tc>
          <w:tcPr>
            <w:tcW w:w="601" w:type="pct"/>
            <w:gridSpan w:val="3"/>
            <w:tcBorders>
              <w:top w:val="nil"/>
              <w:left w:val="nil"/>
              <w:bottom w:val="nil"/>
              <w:right w:val="nil"/>
            </w:tcBorders>
            <w:shd w:val="clear" w:color="auto" w:fill="auto"/>
            <w:noWrap/>
            <w:vAlign w:val="bottom"/>
            <w:hideMark/>
          </w:tcPr>
          <w:p w14:paraId="337BEEF1" w14:textId="455E8DAA" w:rsidR="00794270" w:rsidRPr="00A86423" w:rsidRDefault="00794270" w:rsidP="00396F0C">
            <w:pPr>
              <w:spacing w:after="0" w:line="240" w:lineRule="auto"/>
              <w:jc w:val="right"/>
              <w:rPr>
                <w:rFonts w:ascii="Arial" w:hAnsi="Arial" w:cs="Arial"/>
                <w:sz w:val="16"/>
                <w:szCs w:val="16"/>
              </w:rPr>
            </w:pPr>
            <w:r w:rsidRPr="00A86423">
              <w:rPr>
                <w:rFonts w:ascii="Arial" w:hAnsi="Arial" w:cs="Arial"/>
                <w:sz w:val="16"/>
                <w:szCs w:val="16"/>
              </w:rPr>
              <w:t>316,303</w:t>
            </w:r>
          </w:p>
        </w:tc>
        <w:tc>
          <w:tcPr>
            <w:tcW w:w="603" w:type="pct"/>
            <w:gridSpan w:val="4"/>
            <w:tcBorders>
              <w:top w:val="nil"/>
              <w:left w:val="nil"/>
              <w:bottom w:val="nil"/>
              <w:right w:val="nil"/>
            </w:tcBorders>
            <w:shd w:val="clear" w:color="000000" w:fill="E6E6E6"/>
            <w:noWrap/>
            <w:vAlign w:val="bottom"/>
            <w:hideMark/>
          </w:tcPr>
          <w:p w14:paraId="348A6C7E" w14:textId="576D9C2E" w:rsidR="00794270" w:rsidRPr="00A86423" w:rsidRDefault="00794270" w:rsidP="00396F0C">
            <w:pPr>
              <w:spacing w:after="0" w:line="240" w:lineRule="auto"/>
              <w:jc w:val="right"/>
              <w:rPr>
                <w:rFonts w:ascii="Arial" w:hAnsi="Arial" w:cs="Arial"/>
                <w:sz w:val="16"/>
                <w:szCs w:val="16"/>
              </w:rPr>
            </w:pPr>
            <w:r w:rsidRPr="00A86423">
              <w:rPr>
                <w:rFonts w:ascii="Arial" w:hAnsi="Arial" w:cs="Arial"/>
                <w:sz w:val="16"/>
                <w:szCs w:val="16"/>
              </w:rPr>
              <w:t>-</w:t>
            </w:r>
          </w:p>
        </w:tc>
        <w:tc>
          <w:tcPr>
            <w:tcW w:w="602" w:type="pct"/>
            <w:gridSpan w:val="5"/>
            <w:tcBorders>
              <w:top w:val="nil"/>
              <w:left w:val="nil"/>
              <w:bottom w:val="nil"/>
              <w:right w:val="nil"/>
            </w:tcBorders>
            <w:shd w:val="clear" w:color="auto" w:fill="auto"/>
            <w:noWrap/>
            <w:vAlign w:val="bottom"/>
            <w:hideMark/>
          </w:tcPr>
          <w:p w14:paraId="3D70E88D" w14:textId="230D805B" w:rsidR="00794270" w:rsidRPr="00A86423" w:rsidRDefault="00794270" w:rsidP="00396F0C">
            <w:pPr>
              <w:spacing w:after="0" w:line="240" w:lineRule="auto"/>
              <w:jc w:val="right"/>
              <w:rPr>
                <w:rFonts w:ascii="Arial" w:hAnsi="Arial" w:cs="Arial"/>
                <w:sz w:val="16"/>
                <w:szCs w:val="16"/>
              </w:rPr>
            </w:pPr>
            <w:r w:rsidRPr="00A86423">
              <w:rPr>
                <w:rFonts w:ascii="Arial" w:hAnsi="Arial" w:cs="Arial"/>
                <w:sz w:val="16"/>
                <w:szCs w:val="16"/>
              </w:rPr>
              <w:t>-</w:t>
            </w:r>
          </w:p>
        </w:tc>
        <w:tc>
          <w:tcPr>
            <w:tcW w:w="602" w:type="pct"/>
            <w:gridSpan w:val="3"/>
            <w:tcBorders>
              <w:top w:val="nil"/>
              <w:left w:val="nil"/>
              <w:bottom w:val="nil"/>
              <w:right w:val="nil"/>
            </w:tcBorders>
            <w:shd w:val="clear" w:color="auto" w:fill="auto"/>
            <w:noWrap/>
            <w:vAlign w:val="bottom"/>
            <w:hideMark/>
          </w:tcPr>
          <w:p w14:paraId="2F964DB4" w14:textId="5801EF42" w:rsidR="00794270" w:rsidRPr="00A86423" w:rsidRDefault="00794270" w:rsidP="00396F0C">
            <w:pPr>
              <w:spacing w:after="0" w:line="240" w:lineRule="auto"/>
              <w:jc w:val="right"/>
              <w:rPr>
                <w:rFonts w:ascii="Arial" w:hAnsi="Arial" w:cs="Arial"/>
                <w:sz w:val="16"/>
                <w:szCs w:val="16"/>
              </w:rPr>
            </w:pPr>
            <w:r w:rsidRPr="00A86423">
              <w:rPr>
                <w:rFonts w:ascii="Arial" w:hAnsi="Arial" w:cs="Arial"/>
                <w:sz w:val="16"/>
                <w:szCs w:val="16"/>
              </w:rPr>
              <w:t>-</w:t>
            </w:r>
          </w:p>
        </w:tc>
        <w:tc>
          <w:tcPr>
            <w:tcW w:w="600" w:type="pct"/>
            <w:gridSpan w:val="2"/>
            <w:tcBorders>
              <w:top w:val="nil"/>
              <w:left w:val="nil"/>
              <w:bottom w:val="nil"/>
              <w:right w:val="nil"/>
            </w:tcBorders>
            <w:shd w:val="clear" w:color="auto" w:fill="auto"/>
            <w:noWrap/>
            <w:vAlign w:val="bottom"/>
            <w:hideMark/>
          </w:tcPr>
          <w:p w14:paraId="342FBC1F" w14:textId="5D44ACC3" w:rsidR="00794270" w:rsidRPr="00A86423" w:rsidRDefault="00794270" w:rsidP="00396F0C">
            <w:pPr>
              <w:spacing w:after="0" w:line="240" w:lineRule="auto"/>
              <w:jc w:val="right"/>
              <w:rPr>
                <w:rFonts w:ascii="Arial" w:hAnsi="Arial" w:cs="Arial"/>
                <w:sz w:val="16"/>
                <w:szCs w:val="16"/>
              </w:rPr>
            </w:pPr>
            <w:r w:rsidRPr="00A86423">
              <w:rPr>
                <w:rFonts w:ascii="Arial" w:hAnsi="Arial" w:cs="Arial"/>
                <w:sz w:val="16"/>
                <w:szCs w:val="16"/>
              </w:rPr>
              <w:t>-</w:t>
            </w:r>
          </w:p>
        </w:tc>
      </w:tr>
      <w:tr w:rsidR="00396F0C" w:rsidRPr="00A86423" w14:paraId="75CC0085" w14:textId="77777777" w:rsidTr="00A86423">
        <w:trPr>
          <w:gridAfter w:val="1"/>
          <w:wAfter w:w="11" w:type="pct"/>
          <w:trHeight w:val="204"/>
        </w:trPr>
        <w:tc>
          <w:tcPr>
            <w:tcW w:w="1979" w:type="pct"/>
            <w:gridSpan w:val="2"/>
            <w:tcBorders>
              <w:top w:val="nil"/>
              <w:left w:val="nil"/>
              <w:bottom w:val="single" w:sz="4" w:space="0" w:color="auto"/>
              <w:right w:val="nil"/>
            </w:tcBorders>
            <w:shd w:val="clear" w:color="auto" w:fill="auto"/>
            <w:noWrap/>
            <w:vAlign w:val="bottom"/>
            <w:hideMark/>
          </w:tcPr>
          <w:p w14:paraId="030587B6" w14:textId="77777777" w:rsidR="00794270" w:rsidRPr="00A86423" w:rsidRDefault="00794270" w:rsidP="00794270">
            <w:pPr>
              <w:spacing w:after="0" w:line="240" w:lineRule="auto"/>
              <w:rPr>
                <w:rFonts w:ascii="Arial" w:hAnsi="Arial" w:cs="Arial"/>
                <w:b/>
                <w:bCs/>
                <w:sz w:val="16"/>
                <w:szCs w:val="16"/>
              </w:rPr>
            </w:pPr>
            <w:r w:rsidRPr="00A86423">
              <w:rPr>
                <w:rFonts w:ascii="Arial" w:hAnsi="Arial" w:cs="Arial"/>
                <w:b/>
                <w:bCs/>
                <w:sz w:val="16"/>
                <w:szCs w:val="16"/>
              </w:rPr>
              <w:t>Total expenses for Program 3.2</w:t>
            </w:r>
          </w:p>
        </w:tc>
        <w:tc>
          <w:tcPr>
            <w:tcW w:w="601" w:type="pct"/>
            <w:gridSpan w:val="3"/>
            <w:tcBorders>
              <w:top w:val="single" w:sz="4" w:space="0" w:color="auto"/>
              <w:left w:val="nil"/>
              <w:bottom w:val="single" w:sz="4" w:space="0" w:color="auto"/>
              <w:right w:val="nil"/>
            </w:tcBorders>
            <w:shd w:val="clear" w:color="auto" w:fill="auto"/>
            <w:noWrap/>
            <w:vAlign w:val="bottom"/>
            <w:hideMark/>
          </w:tcPr>
          <w:p w14:paraId="0633F529" w14:textId="2EA4A35C" w:rsidR="00794270" w:rsidRPr="00A86423" w:rsidRDefault="00794270" w:rsidP="00396F0C">
            <w:pPr>
              <w:spacing w:after="0" w:line="240" w:lineRule="auto"/>
              <w:jc w:val="right"/>
              <w:rPr>
                <w:rFonts w:ascii="Arial" w:hAnsi="Arial" w:cs="Arial"/>
                <w:b/>
                <w:bCs/>
                <w:sz w:val="16"/>
                <w:szCs w:val="16"/>
              </w:rPr>
            </w:pPr>
            <w:r w:rsidRPr="00A86423">
              <w:rPr>
                <w:rFonts w:ascii="Arial" w:hAnsi="Arial" w:cs="Arial"/>
                <w:b/>
                <w:bCs/>
                <w:sz w:val="16"/>
                <w:szCs w:val="16"/>
              </w:rPr>
              <w:t>1,819,802</w:t>
            </w:r>
          </w:p>
        </w:tc>
        <w:tc>
          <w:tcPr>
            <w:tcW w:w="603" w:type="pct"/>
            <w:gridSpan w:val="4"/>
            <w:tcBorders>
              <w:top w:val="single" w:sz="4" w:space="0" w:color="auto"/>
              <w:left w:val="nil"/>
              <w:bottom w:val="single" w:sz="4" w:space="0" w:color="auto"/>
              <w:right w:val="nil"/>
            </w:tcBorders>
            <w:shd w:val="clear" w:color="000000" w:fill="E6E6E6"/>
            <w:noWrap/>
            <w:vAlign w:val="bottom"/>
            <w:hideMark/>
          </w:tcPr>
          <w:p w14:paraId="1250E78A" w14:textId="7D1BD72F" w:rsidR="00794270" w:rsidRPr="00A86423" w:rsidRDefault="00794270" w:rsidP="00396F0C">
            <w:pPr>
              <w:spacing w:after="0" w:line="240" w:lineRule="auto"/>
              <w:jc w:val="right"/>
              <w:rPr>
                <w:rFonts w:ascii="Arial" w:hAnsi="Arial" w:cs="Arial"/>
                <w:b/>
                <w:bCs/>
                <w:sz w:val="16"/>
                <w:szCs w:val="16"/>
              </w:rPr>
            </w:pPr>
            <w:r w:rsidRPr="00A86423">
              <w:rPr>
                <w:rFonts w:ascii="Arial" w:hAnsi="Arial" w:cs="Arial"/>
                <w:b/>
                <w:bCs/>
                <w:sz w:val="16"/>
                <w:szCs w:val="16"/>
              </w:rPr>
              <w:t>3,476,446</w:t>
            </w:r>
          </w:p>
        </w:tc>
        <w:tc>
          <w:tcPr>
            <w:tcW w:w="602" w:type="pct"/>
            <w:gridSpan w:val="5"/>
            <w:tcBorders>
              <w:top w:val="single" w:sz="4" w:space="0" w:color="auto"/>
              <w:left w:val="nil"/>
              <w:bottom w:val="single" w:sz="4" w:space="0" w:color="auto"/>
              <w:right w:val="nil"/>
            </w:tcBorders>
            <w:shd w:val="clear" w:color="auto" w:fill="auto"/>
            <w:noWrap/>
            <w:vAlign w:val="bottom"/>
            <w:hideMark/>
          </w:tcPr>
          <w:p w14:paraId="44CF41BC" w14:textId="301B3351" w:rsidR="00794270" w:rsidRPr="00A86423" w:rsidRDefault="00794270" w:rsidP="00396F0C">
            <w:pPr>
              <w:spacing w:after="0" w:line="240" w:lineRule="auto"/>
              <w:jc w:val="right"/>
              <w:rPr>
                <w:rFonts w:ascii="Arial" w:hAnsi="Arial" w:cs="Arial"/>
                <w:b/>
                <w:bCs/>
                <w:sz w:val="16"/>
                <w:szCs w:val="16"/>
              </w:rPr>
            </w:pPr>
            <w:r w:rsidRPr="00A86423">
              <w:rPr>
                <w:rFonts w:ascii="Arial" w:hAnsi="Arial" w:cs="Arial"/>
                <w:b/>
                <w:bCs/>
                <w:sz w:val="16"/>
                <w:szCs w:val="16"/>
              </w:rPr>
              <w:t>3,526,799</w:t>
            </w:r>
          </w:p>
        </w:tc>
        <w:tc>
          <w:tcPr>
            <w:tcW w:w="602" w:type="pct"/>
            <w:gridSpan w:val="3"/>
            <w:tcBorders>
              <w:top w:val="single" w:sz="4" w:space="0" w:color="auto"/>
              <w:left w:val="nil"/>
              <w:bottom w:val="single" w:sz="4" w:space="0" w:color="auto"/>
              <w:right w:val="nil"/>
            </w:tcBorders>
            <w:shd w:val="clear" w:color="auto" w:fill="auto"/>
            <w:noWrap/>
            <w:vAlign w:val="bottom"/>
            <w:hideMark/>
          </w:tcPr>
          <w:p w14:paraId="5E19A51F" w14:textId="1E8C6D0A" w:rsidR="00794270" w:rsidRPr="00A86423" w:rsidRDefault="00794270" w:rsidP="00396F0C">
            <w:pPr>
              <w:spacing w:after="0" w:line="240" w:lineRule="auto"/>
              <w:jc w:val="right"/>
              <w:rPr>
                <w:rFonts w:ascii="Arial" w:hAnsi="Arial" w:cs="Arial"/>
                <w:b/>
                <w:bCs/>
                <w:sz w:val="16"/>
                <w:szCs w:val="16"/>
              </w:rPr>
            </w:pPr>
            <w:r w:rsidRPr="00A86423">
              <w:rPr>
                <w:rFonts w:ascii="Arial" w:hAnsi="Arial" w:cs="Arial"/>
                <w:b/>
                <w:bCs/>
                <w:sz w:val="16"/>
                <w:szCs w:val="16"/>
              </w:rPr>
              <w:t>3,660,977</w:t>
            </w:r>
          </w:p>
        </w:tc>
        <w:tc>
          <w:tcPr>
            <w:tcW w:w="600" w:type="pct"/>
            <w:gridSpan w:val="2"/>
            <w:tcBorders>
              <w:top w:val="single" w:sz="4" w:space="0" w:color="auto"/>
              <w:left w:val="nil"/>
              <w:bottom w:val="single" w:sz="4" w:space="0" w:color="auto"/>
              <w:right w:val="nil"/>
            </w:tcBorders>
            <w:shd w:val="clear" w:color="auto" w:fill="auto"/>
            <w:noWrap/>
            <w:vAlign w:val="bottom"/>
            <w:hideMark/>
          </w:tcPr>
          <w:p w14:paraId="18E073ED" w14:textId="0C3FDE78" w:rsidR="00794270" w:rsidRPr="00A86423" w:rsidRDefault="00794270" w:rsidP="00396F0C">
            <w:pPr>
              <w:spacing w:after="0" w:line="240" w:lineRule="auto"/>
              <w:jc w:val="right"/>
              <w:rPr>
                <w:rFonts w:ascii="Arial" w:hAnsi="Arial" w:cs="Arial"/>
                <w:b/>
                <w:bCs/>
                <w:sz w:val="16"/>
                <w:szCs w:val="16"/>
              </w:rPr>
            </w:pPr>
            <w:r w:rsidRPr="00A86423">
              <w:rPr>
                <w:rFonts w:ascii="Arial" w:hAnsi="Arial" w:cs="Arial"/>
                <w:b/>
                <w:bCs/>
                <w:sz w:val="16"/>
                <w:szCs w:val="16"/>
              </w:rPr>
              <w:t>3,528,990</w:t>
            </w:r>
          </w:p>
        </w:tc>
      </w:tr>
      <w:tr w:rsidR="00396F0C" w:rsidRPr="00A86423" w14:paraId="6D3C0075" w14:textId="77777777" w:rsidTr="00A86423">
        <w:trPr>
          <w:gridAfter w:val="1"/>
          <w:wAfter w:w="11" w:type="pct"/>
          <w:trHeight w:val="204"/>
        </w:trPr>
        <w:tc>
          <w:tcPr>
            <w:tcW w:w="1979" w:type="pct"/>
            <w:gridSpan w:val="2"/>
            <w:tcBorders>
              <w:top w:val="single" w:sz="4" w:space="0" w:color="auto"/>
              <w:left w:val="nil"/>
              <w:bottom w:val="single" w:sz="4" w:space="0" w:color="auto"/>
              <w:right w:val="nil"/>
            </w:tcBorders>
            <w:shd w:val="clear" w:color="000000" w:fill="E6E6E6"/>
            <w:noWrap/>
            <w:vAlign w:val="bottom"/>
            <w:hideMark/>
          </w:tcPr>
          <w:p w14:paraId="36CA0F82" w14:textId="77777777" w:rsidR="00794270" w:rsidRPr="00A86423" w:rsidRDefault="00794270" w:rsidP="00794270">
            <w:pPr>
              <w:spacing w:after="0" w:line="240" w:lineRule="auto"/>
              <w:rPr>
                <w:rFonts w:ascii="Arial" w:hAnsi="Arial" w:cs="Arial"/>
                <w:b/>
                <w:bCs/>
                <w:sz w:val="16"/>
                <w:szCs w:val="16"/>
              </w:rPr>
            </w:pPr>
            <w:r w:rsidRPr="00A86423">
              <w:rPr>
                <w:rFonts w:ascii="Arial" w:hAnsi="Arial" w:cs="Arial"/>
                <w:b/>
                <w:bCs/>
                <w:sz w:val="16"/>
                <w:szCs w:val="16"/>
              </w:rPr>
              <w:t>Program 3.3: Cities</w:t>
            </w:r>
          </w:p>
        </w:tc>
        <w:tc>
          <w:tcPr>
            <w:tcW w:w="625" w:type="pct"/>
            <w:gridSpan w:val="4"/>
            <w:tcBorders>
              <w:top w:val="single" w:sz="4" w:space="0" w:color="auto"/>
              <w:left w:val="nil"/>
              <w:bottom w:val="single" w:sz="4" w:space="0" w:color="auto"/>
              <w:right w:val="nil"/>
            </w:tcBorders>
            <w:shd w:val="clear" w:color="000000" w:fill="E6E6E6"/>
            <w:noWrap/>
            <w:vAlign w:val="bottom"/>
            <w:hideMark/>
          </w:tcPr>
          <w:p w14:paraId="00C1B064" w14:textId="0946602A" w:rsidR="00794270" w:rsidRPr="00A86423" w:rsidRDefault="00794270" w:rsidP="00396F0C">
            <w:pPr>
              <w:spacing w:after="0" w:line="240" w:lineRule="auto"/>
              <w:jc w:val="right"/>
              <w:rPr>
                <w:rFonts w:ascii="Arial" w:hAnsi="Arial" w:cs="Arial"/>
                <w:sz w:val="16"/>
                <w:szCs w:val="16"/>
              </w:rPr>
            </w:pPr>
          </w:p>
        </w:tc>
        <w:tc>
          <w:tcPr>
            <w:tcW w:w="601" w:type="pct"/>
            <w:gridSpan w:val="5"/>
            <w:tcBorders>
              <w:top w:val="single" w:sz="4" w:space="0" w:color="auto"/>
              <w:left w:val="nil"/>
              <w:bottom w:val="single" w:sz="4" w:space="0" w:color="auto"/>
              <w:right w:val="nil"/>
            </w:tcBorders>
            <w:shd w:val="clear" w:color="000000" w:fill="E6E6E6"/>
            <w:noWrap/>
            <w:vAlign w:val="bottom"/>
            <w:hideMark/>
          </w:tcPr>
          <w:p w14:paraId="2198AEB7" w14:textId="6BE3D211" w:rsidR="00794270" w:rsidRPr="00A86423" w:rsidRDefault="00794270" w:rsidP="00396F0C">
            <w:pPr>
              <w:spacing w:after="0" w:line="240" w:lineRule="auto"/>
              <w:jc w:val="right"/>
              <w:rPr>
                <w:rFonts w:ascii="Arial" w:hAnsi="Arial" w:cs="Arial"/>
                <w:sz w:val="16"/>
                <w:szCs w:val="16"/>
              </w:rPr>
            </w:pPr>
          </w:p>
        </w:tc>
        <w:tc>
          <w:tcPr>
            <w:tcW w:w="580" w:type="pct"/>
            <w:gridSpan w:val="3"/>
            <w:tcBorders>
              <w:top w:val="single" w:sz="4" w:space="0" w:color="auto"/>
              <w:left w:val="nil"/>
              <w:bottom w:val="single" w:sz="4" w:space="0" w:color="auto"/>
              <w:right w:val="nil"/>
            </w:tcBorders>
            <w:shd w:val="clear" w:color="000000" w:fill="E6E6E6"/>
            <w:noWrap/>
            <w:vAlign w:val="bottom"/>
            <w:hideMark/>
          </w:tcPr>
          <w:p w14:paraId="797379C5" w14:textId="1DFED9D4" w:rsidR="00794270" w:rsidRPr="00A86423" w:rsidRDefault="00794270" w:rsidP="00396F0C">
            <w:pPr>
              <w:spacing w:after="0" w:line="240" w:lineRule="auto"/>
              <w:jc w:val="right"/>
              <w:rPr>
                <w:rFonts w:ascii="Arial" w:hAnsi="Arial" w:cs="Arial"/>
                <w:sz w:val="16"/>
                <w:szCs w:val="16"/>
              </w:rPr>
            </w:pPr>
          </w:p>
        </w:tc>
        <w:tc>
          <w:tcPr>
            <w:tcW w:w="581" w:type="pct"/>
            <w:tcBorders>
              <w:top w:val="single" w:sz="4" w:space="0" w:color="auto"/>
              <w:left w:val="nil"/>
              <w:bottom w:val="single" w:sz="4" w:space="0" w:color="auto"/>
              <w:right w:val="nil"/>
            </w:tcBorders>
            <w:shd w:val="clear" w:color="000000" w:fill="E6E6E6"/>
            <w:noWrap/>
            <w:vAlign w:val="bottom"/>
            <w:hideMark/>
          </w:tcPr>
          <w:p w14:paraId="5E13775C" w14:textId="54F75309" w:rsidR="00794270" w:rsidRPr="00A86423" w:rsidRDefault="00794270" w:rsidP="00396F0C">
            <w:pPr>
              <w:spacing w:after="0" w:line="240" w:lineRule="auto"/>
              <w:jc w:val="right"/>
              <w:rPr>
                <w:rFonts w:ascii="Arial" w:hAnsi="Arial" w:cs="Arial"/>
                <w:sz w:val="16"/>
                <w:szCs w:val="16"/>
              </w:rPr>
            </w:pPr>
          </w:p>
        </w:tc>
        <w:tc>
          <w:tcPr>
            <w:tcW w:w="622" w:type="pct"/>
            <w:gridSpan w:val="4"/>
            <w:tcBorders>
              <w:top w:val="single" w:sz="4" w:space="0" w:color="auto"/>
              <w:left w:val="nil"/>
              <w:bottom w:val="single" w:sz="4" w:space="0" w:color="auto"/>
              <w:right w:val="nil"/>
            </w:tcBorders>
            <w:shd w:val="clear" w:color="000000" w:fill="E6E6E6"/>
            <w:noWrap/>
            <w:vAlign w:val="bottom"/>
            <w:hideMark/>
          </w:tcPr>
          <w:p w14:paraId="2BD6DF29" w14:textId="2F3962E0" w:rsidR="00794270" w:rsidRPr="00A86423" w:rsidRDefault="00794270" w:rsidP="00396F0C">
            <w:pPr>
              <w:spacing w:after="0" w:line="240" w:lineRule="auto"/>
              <w:jc w:val="right"/>
              <w:rPr>
                <w:rFonts w:ascii="Arial" w:hAnsi="Arial" w:cs="Arial"/>
                <w:sz w:val="16"/>
                <w:szCs w:val="16"/>
              </w:rPr>
            </w:pPr>
          </w:p>
        </w:tc>
      </w:tr>
      <w:tr w:rsidR="001C1271" w:rsidRPr="00A86423" w14:paraId="1AC11D0B" w14:textId="77777777" w:rsidTr="00A86423">
        <w:trPr>
          <w:gridAfter w:val="1"/>
          <w:wAfter w:w="11" w:type="pct"/>
          <w:trHeight w:val="204"/>
        </w:trPr>
        <w:tc>
          <w:tcPr>
            <w:tcW w:w="1979" w:type="pct"/>
            <w:gridSpan w:val="2"/>
            <w:tcBorders>
              <w:top w:val="nil"/>
              <w:left w:val="nil"/>
              <w:bottom w:val="nil"/>
              <w:right w:val="nil"/>
            </w:tcBorders>
            <w:shd w:val="clear" w:color="auto" w:fill="auto"/>
            <w:noWrap/>
            <w:vAlign w:val="bottom"/>
            <w:hideMark/>
          </w:tcPr>
          <w:p w14:paraId="31EA7D2B" w14:textId="77777777" w:rsidR="00794270" w:rsidRPr="00A86423" w:rsidRDefault="00794270" w:rsidP="00794270">
            <w:pPr>
              <w:spacing w:after="0" w:line="240" w:lineRule="auto"/>
              <w:rPr>
                <w:rFonts w:ascii="Arial" w:hAnsi="Arial" w:cs="Arial"/>
                <w:sz w:val="16"/>
                <w:szCs w:val="16"/>
              </w:rPr>
            </w:pPr>
            <w:r w:rsidRPr="00A86423">
              <w:rPr>
                <w:rFonts w:ascii="Arial" w:hAnsi="Arial" w:cs="Arial"/>
                <w:sz w:val="16"/>
                <w:szCs w:val="16"/>
              </w:rPr>
              <w:t>Administered expenses</w:t>
            </w:r>
          </w:p>
        </w:tc>
        <w:tc>
          <w:tcPr>
            <w:tcW w:w="625" w:type="pct"/>
            <w:gridSpan w:val="4"/>
            <w:tcBorders>
              <w:top w:val="nil"/>
              <w:left w:val="nil"/>
              <w:bottom w:val="nil"/>
              <w:right w:val="nil"/>
            </w:tcBorders>
            <w:shd w:val="clear" w:color="auto" w:fill="auto"/>
            <w:noWrap/>
            <w:vAlign w:val="bottom"/>
            <w:hideMark/>
          </w:tcPr>
          <w:p w14:paraId="0BD0AD6C" w14:textId="77777777" w:rsidR="00794270" w:rsidRPr="00A86423" w:rsidRDefault="00794270" w:rsidP="00396F0C">
            <w:pPr>
              <w:spacing w:after="0" w:line="240" w:lineRule="auto"/>
              <w:jc w:val="right"/>
              <w:rPr>
                <w:rFonts w:ascii="Arial" w:hAnsi="Arial" w:cs="Arial"/>
                <w:sz w:val="16"/>
                <w:szCs w:val="16"/>
              </w:rPr>
            </w:pPr>
          </w:p>
        </w:tc>
        <w:tc>
          <w:tcPr>
            <w:tcW w:w="601" w:type="pct"/>
            <w:gridSpan w:val="5"/>
            <w:tcBorders>
              <w:top w:val="nil"/>
              <w:left w:val="nil"/>
              <w:bottom w:val="nil"/>
              <w:right w:val="nil"/>
            </w:tcBorders>
            <w:shd w:val="clear" w:color="000000" w:fill="E6E6E6"/>
            <w:noWrap/>
            <w:vAlign w:val="bottom"/>
            <w:hideMark/>
          </w:tcPr>
          <w:p w14:paraId="5F99B0B2" w14:textId="479306B6" w:rsidR="00794270" w:rsidRPr="00A86423" w:rsidRDefault="00794270" w:rsidP="00396F0C">
            <w:pPr>
              <w:spacing w:after="0" w:line="240" w:lineRule="auto"/>
              <w:jc w:val="right"/>
              <w:rPr>
                <w:rFonts w:ascii="Arial" w:hAnsi="Arial" w:cs="Arial"/>
                <w:sz w:val="16"/>
                <w:szCs w:val="16"/>
              </w:rPr>
            </w:pPr>
          </w:p>
        </w:tc>
        <w:tc>
          <w:tcPr>
            <w:tcW w:w="580" w:type="pct"/>
            <w:gridSpan w:val="3"/>
            <w:tcBorders>
              <w:top w:val="nil"/>
              <w:left w:val="nil"/>
              <w:bottom w:val="nil"/>
              <w:right w:val="nil"/>
            </w:tcBorders>
            <w:shd w:val="clear" w:color="auto" w:fill="auto"/>
            <w:noWrap/>
            <w:vAlign w:val="bottom"/>
            <w:hideMark/>
          </w:tcPr>
          <w:p w14:paraId="261C79CD" w14:textId="77777777" w:rsidR="00794270" w:rsidRPr="00A86423" w:rsidRDefault="00794270" w:rsidP="00396F0C">
            <w:pPr>
              <w:spacing w:after="0" w:line="240" w:lineRule="auto"/>
              <w:jc w:val="right"/>
              <w:rPr>
                <w:rFonts w:ascii="Arial" w:hAnsi="Arial" w:cs="Arial"/>
                <w:sz w:val="16"/>
                <w:szCs w:val="16"/>
              </w:rPr>
            </w:pPr>
          </w:p>
        </w:tc>
        <w:tc>
          <w:tcPr>
            <w:tcW w:w="581" w:type="pct"/>
            <w:tcBorders>
              <w:top w:val="nil"/>
              <w:left w:val="nil"/>
              <w:bottom w:val="nil"/>
              <w:right w:val="nil"/>
            </w:tcBorders>
            <w:shd w:val="clear" w:color="auto" w:fill="auto"/>
            <w:noWrap/>
            <w:vAlign w:val="bottom"/>
            <w:hideMark/>
          </w:tcPr>
          <w:p w14:paraId="2D797ED9" w14:textId="77777777" w:rsidR="00794270" w:rsidRPr="00A86423" w:rsidRDefault="00794270" w:rsidP="00396F0C">
            <w:pPr>
              <w:spacing w:after="0" w:line="240" w:lineRule="auto"/>
              <w:jc w:val="right"/>
              <w:rPr>
                <w:rFonts w:ascii="Arial" w:hAnsi="Arial" w:cs="Arial"/>
                <w:sz w:val="16"/>
                <w:szCs w:val="16"/>
              </w:rPr>
            </w:pPr>
          </w:p>
        </w:tc>
        <w:tc>
          <w:tcPr>
            <w:tcW w:w="622" w:type="pct"/>
            <w:gridSpan w:val="4"/>
            <w:tcBorders>
              <w:top w:val="nil"/>
              <w:left w:val="nil"/>
              <w:bottom w:val="nil"/>
              <w:right w:val="nil"/>
            </w:tcBorders>
            <w:shd w:val="clear" w:color="auto" w:fill="auto"/>
            <w:noWrap/>
            <w:vAlign w:val="bottom"/>
            <w:hideMark/>
          </w:tcPr>
          <w:p w14:paraId="2904085A" w14:textId="77777777" w:rsidR="00794270" w:rsidRPr="00A86423" w:rsidRDefault="00794270" w:rsidP="00396F0C">
            <w:pPr>
              <w:spacing w:after="0" w:line="240" w:lineRule="auto"/>
              <w:jc w:val="right"/>
              <w:rPr>
                <w:rFonts w:ascii="Arial" w:hAnsi="Arial" w:cs="Arial"/>
                <w:sz w:val="16"/>
                <w:szCs w:val="16"/>
              </w:rPr>
            </w:pPr>
          </w:p>
        </w:tc>
      </w:tr>
      <w:tr w:rsidR="001C1271" w:rsidRPr="00A86423" w14:paraId="607953C1" w14:textId="77777777" w:rsidTr="00A86423">
        <w:trPr>
          <w:gridAfter w:val="1"/>
          <w:wAfter w:w="11" w:type="pct"/>
          <w:trHeight w:val="204"/>
        </w:trPr>
        <w:tc>
          <w:tcPr>
            <w:tcW w:w="1979" w:type="pct"/>
            <w:gridSpan w:val="2"/>
            <w:tcBorders>
              <w:top w:val="nil"/>
              <w:left w:val="nil"/>
              <w:bottom w:val="nil"/>
              <w:right w:val="nil"/>
            </w:tcBorders>
            <w:shd w:val="clear" w:color="auto" w:fill="auto"/>
            <w:vAlign w:val="bottom"/>
            <w:hideMark/>
          </w:tcPr>
          <w:p w14:paraId="7D83F93F" w14:textId="7E6769DD" w:rsidR="00794270" w:rsidRPr="00A86423" w:rsidRDefault="00794270" w:rsidP="00595948">
            <w:pPr>
              <w:spacing w:after="0" w:line="240" w:lineRule="auto"/>
              <w:ind w:left="113"/>
              <w:rPr>
                <w:rFonts w:ascii="Arial" w:hAnsi="Arial" w:cs="Arial"/>
                <w:sz w:val="16"/>
                <w:szCs w:val="16"/>
              </w:rPr>
            </w:pPr>
            <w:r w:rsidRPr="00A86423">
              <w:rPr>
                <w:rFonts w:ascii="Arial" w:hAnsi="Arial" w:cs="Arial"/>
                <w:sz w:val="16"/>
                <w:szCs w:val="16"/>
              </w:rPr>
              <w:t>Ordinary annual services (Appropriation Bill No. 1)</w:t>
            </w:r>
          </w:p>
        </w:tc>
        <w:tc>
          <w:tcPr>
            <w:tcW w:w="625" w:type="pct"/>
            <w:gridSpan w:val="4"/>
            <w:tcBorders>
              <w:top w:val="nil"/>
              <w:left w:val="nil"/>
              <w:bottom w:val="nil"/>
              <w:right w:val="nil"/>
            </w:tcBorders>
            <w:shd w:val="clear" w:color="auto" w:fill="auto"/>
            <w:noWrap/>
            <w:vAlign w:val="bottom"/>
            <w:hideMark/>
          </w:tcPr>
          <w:p w14:paraId="4AFDE650" w14:textId="6E755E10" w:rsidR="00794270" w:rsidRPr="00A86423" w:rsidRDefault="00794270" w:rsidP="00396F0C">
            <w:pPr>
              <w:spacing w:after="0" w:line="240" w:lineRule="auto"/>
              <w:jc w:val="right"/>
              <w:rPr>
                <w:rFonts w:ascii="Arial" w:hAnsi="Arial" w:cs="Arial"/>
                <w:sz w:val="16"/>
                <w:szCs w:val="16"/>
              </w:rPr>
            </w:pPr>
            <w:r w:rsidRPr="00A86423">
              <w:rPr>
                <w:rFonts w:ascii="Arial" w:hAnsi="Arial" w:cs="Arial"/>
                <w:sz w:val="16"/>
                <w:szCs w:val="16"/>
              </w:rPr>
              <w:t>2,633</w:t>
            </w:r>
          </w:p>
        </w:tc>
        <w:tc>
          <w:tcPr>
            <w:tcW w:w="601" w:type="pct"/>
            <w:gridSpan w:val="5"/>
            <w:tcBorders>
              <w:top w:val="nil"/>
              <w:left w:val="nil"/>
              <w:bottom w:val="nil"/>
              <w:right w:val="nil"/>
            </w:tcBorders>
            <w:shd w:val="clear" w:color="000000" w:fill="E6E6E6"/>
            <w:noWrap/>
            <w:vAlign w:val="bottom"/>
            <w:hideMark/>
          </w:tcPr>
          <w:p w14:paraId="097971CB" w14:textId="27A685DF" w:rsidR="00794270" w:rsidRPr="00A86423" w:rsidRDefault="00794270" w:rsidP="00396F0C">
            <w:pPr>
              <w:spacing w:after="0" w:line="240" w:lineRule="auto"/>
              <w:jc w:val="right"/>
              <w:rPr>
                <w:rFonts w:ascii="Arial" w:hAnsi="Arial" w:cs="Arial"/>
                <w:sz w:val="16"/>
                <w:szCs w:val="16"/>
              </w:rPr>
            </w:pPr>
            <w:r w:rsidRPr="00A86423">
              <w:rPr>
                <w:rFonts w:ascii="Arial" w:hAnsi="Arial" w:cs="Arial"/>
                <w:sz w:val="16"/>
                <w:szCs w:val="16"/>
              </w:rPr>
              <w:t>100</w:t>
            </w:r>
          </w:p>
        </w:tc>
        <w:tc>
          <w:tcPr>
            <w:tcW w:w="580" w:type="pct"/>
            <w:gridSpan w:val="3"/>
            <w:tcBorders>
              <w:top w:val="nil"/>
              <w:left w:val="nil"/>
              <w:bottom w:val="nil"/>
              <w:right w:val="nil"/>
            </w:tcBorders>
            <w:shd w:val="clear" w:color="auto" w:fill="auto"/>
            <w:noWrap/>
            <w:vAlign w:val="bottom"/>
            <w:hideMark/>
          </w:tcPr>
          <w:p w14:paraId="130F2D59" w14:textId="3A6A91CE" w:rsidR="00794270" w:rsidRPr="00A86423" w:rsidRDefault="00794270" w:rsidP="00396F0C">
            <w:pPr>
              <w:spacing w:after="0" w:line="240" w:lineRule="auto"/>
              <w:jc w:val="right"/>
              <w:rPr>
                <w:rFonts w:ascii="Arial" w:hAnsi="Arial" w:cs="Arial"/>
                <w:sz w:val="16"/>
                <w:szCs w:val="16"/>
              </w:rPr>
            </w:pPr>
            <w:r w:rsidRPr="00A86423">
              <w:rPr>
                <w:rFonts w:ascii="Arial" w:hAnsi="Arial" w:cs="Arial"/>
                <w:sz w:val="16"/>
                <w:szCs w:val="16"/>
              </w:rPr>
              <w:t>130,000</w:t>
            </w:r>
          </w:p>
        </w:tc>
        <w:tc>
          <w:tcPr>
            <w:tcW w:w="581" w:type="pct"/>
            <w:tcBorders>
              <w:top w:val="nil"/>
              <w:left w:val="nil"/>
              <w:bottom w:val="nil"/>
              <w:right w:val="nil"/>
            </w:tcBorders>
            <w:shd w:val="clear" w:color="auto" w:fill="auto"/>
            <w:noWrap/>
            <w:vAlign w:val="bottom"/>
            <w:hideMark/>
          </w:tcPr>
          <w:p w14:paraId="484B7670" w14:textId="256864DA" w:rsidR="00794270" w:rsidRPr="00A86423" w:rsidRDefault="00794270" w:rsidP="00396F0C">
            <w:pPr>
              <w:spacing w:after="0" w:line="240" w:lineRule="auto"/>
              <w:jc w:val="right"/>
              <w:rPr>
                <w:rFonts w:ascii="Arial" w:hAnsi="Arial" w:cs="Arial"/>
                <w:sz w:val="16"/>
                <w:szCs w:val="16"/>
              </w:rPr>
            </w:pPr>
            <w:r w:rsidRPr="00A86423">
              <w:rPr>
                <w:rFonts w:ascii="Arial" w:hAnsi="Arial" w:cs="Arial"/>
                <w:sz w:val="16"/>
                <w:szCs w:val="16"/>
              </w:rPr>
              <w:t>170,000</w:t>
            </w:r>
          </w:p>
        </w:tc>
        <w:tc>
          <w:tcPr>
            <w:tcW w:w="622" w:type="pct"/>
            <w:gridSpan w:val="4"/>
            <w:tcBorders>
              <w:top w:val="nil"/>
              <w:left w:val="nil"/>
              <w:bottom w:val="nil"/>
              <w:right w:val="nil"/>
            </w:tcBorders>
            <w:shd w:val="clear" w:color="auto" w:fill="auto"/>
            <w:noWrap/>
            <w:vAlign w:val="bottom"/>
            <w:hideMark/>
          </w:tcPr>
          <w:p w14:paraId="120B8EFE" w14:textId="30F1D0F1" w:rsidR="00794270" w:rsidRPr="00A86423" w:rsidRDefault="00794270" w:rsidP="00396F0C">
            <w:pPr>
              <w:spacing w:after="0" w:line="240" w:lineRule="auto"/>
              <w:jc w:val="right"/>
              <w:rPr>
                <w:rFonts w:ascii="Arial" w:hAnsi="Arial" w:cs="Arial"/>
                <w:sz w:val="16"/>
                <w:szCs w:val="16"/>
              </w:rPr>
            </w:pPr>
            <w:r w:rsidRPr="00A86423">
              <w:rPr>
                <w:rFonts w:ascii="Arial" w:hAnsi="Arial" w:cs="Arial"/>
                <w:sz w:val="16"/>
                <w:szCs w:val="16"/>
              </w:rPr>
              <w:t>50,000</w:t>
            </w:r>
          </w:p>
        </w:tc>
      </w:tr>
      <w:tr w:rsidR="001C1271" w:rsidRPr="00A86423" w14:paraId="4FF72A59" w14:textId="77777777" w:rsidTr="00A86423">
        <w:trPr>
          <w:gridAfter w:val="1"/>
          <w:wAfter w:w="11" w:type="pct"/>
          <w:trHeight w:val="204"/>
        </w:trPr>
        <w:tc>
          <w:tcPr>
            <w:tcW w:w="1979" w:type="pct"/>
            <w:gridSpan w:val="2"/>
            <w:tcBorders>
              <w:top w:val="nil"/>
              <w:left w:val="nil"/>
              <w:bottom w:val="nil"/>
              <w:right w:val="nil"/>
            </w:tcBorders>
            <w:shd w:val="clear" w:color="auto" w:fill="auto"/>
            <w:vAlign w:val="bottom"/>
            <w:hideMark/>
          </w:tcPr>
          <w:p w14:paraId="298EF6C5" w14:textId="0D14515C" w:rsidR="00794270" w:rsidRPr="00A86423" w:rsidRDefault="00794270" w:rsidP="00595948">
            <w:pPr>
              <w:spacing w:after="0" w:line="240" w:lineRule="auto"/>
              <w:ind w:left="113"/>
              <w:rPr>
                <w:rFonts w:ascii="Arial" w:hAnsi="Arial" w:cs="Arial"/>
                <w:sz w:val="16"/>
                <w:szCs w:val="16"/>
              </w:rPr>
            </w:pPr>
            <w:r w:rsidRPr="00A86423">
              <w:rPr>
                <w:rFonts w:ascii="Arial" w:hAnsi="Arial" w:cs="Arial"/>
                <w:sz w:val="16"/>
                <w:szCs w:val="16"/>
              </w:rPr>
              <w:t>Expenses not requiring appropriation in the Budget year</w:t>
            </w:r>
            <w:r w:rsidRPr="00A86423">
              <w:rPr>
                <w:rFonts w:ascii="Arial" w:hAnsi="Arial" w:cs="Arial"/>
                <w:sz w:val="16"/>
                <w:szCs w:val="16"/>
                <w:vertAlign w:val="superscript"/>
              </w:rPr>
              <w:t>(a)</w:t>
            </w:r>
          </w:p>
        </w:tc>
        <w:tc>
          <w:tcPr>
            <w:tcW w:w="625" w:type="pct"/>
            <w:gridSpan w:val="4"/>
            <w:tcBorders>
              <w:top w:val="nil"/>
              <w:left w:val="nil"/>
              <w:bottom w:val="nil"/>
              <w:right w:val="nil"/>
            </w:tcBorders>
            <w:shd w:val="clear" w:color="auto" w:fill="auto"/>
            <w:noWrap/>
            <w:vAlign w:val="bottom"/>
            <w:hideMark/>
          </w:tcPr>
          <w:p w14:paraId="6C9DAD5E" w14:textId="77777777" w:rsidR="00794270" w:rsidRPr="00A86423" w:rsidRDefault="00794270" w:rsidP="00396F0C">
            <w:pPr>
              <w:spacing w:after="0" w:line="240" w:lineRule="auto"/>
              <w:jc w:val="right"/>
              <w:rPr>
                <w:rFonts w:ascii="Arial" w:hAnsi="Arial" w:cs="Arial"/>
                <w:sz w:val="16"/>
                <w:szCs w:val="16"/>
              </w:rPr>
            </w:pPr>
            <w:r w:rsidRPr="00A86423">
              <w:rPr>
                <w:rFonts w:ascii="Arial" w:hAnsi="Arial" w:cs="Arial"/>
                <w:sz w:val="16"/>
                <w:szCs w:val="16"/>
              </w:rPr>
              <w:t>(1,398)</w:t>
            </w:r>
          </w:p>
        </w:tc>
        <w:tc>
          <w:tcPr>
            <w:tcW w:w="601" w:type="pct"/>
            <w:gridSpan w:val="5"/>
            <w:tcBorders>
              <w:top w:val="nil"/>
              <w:left w:val="nil"/>
              <w:bottom w:val="nil"/>
              <w:right w:val="nil"/>
            </w:tcBorders>
            <w:shd w:val="clear" w:color="000000" w:fill="E6E6E6"/>
            <w:noWrap/>
            <w:vAlign w:val="bottom"/>
            <w:hideMark/>
          </w:tcPr>
          <w:p w14:paraId="7810EC20" w14:textId="47E98DE9" w:rsidR="00794270" w:rsidRPr="00A86423" w:rsidRDefault="00794270" w:rsidP="00396F0C">
            <w:pPr>
              <w:spacing w:after="0" w:line="240" w:lineRule="auto"/>
              <w:jc w:val="right"/>
              <w:rPr>
                <w:rFonts w:ascii="Arial" w:hAnsi="Arial" w:cs="Arial"/>
                <w:sz w:val="16"/>
                <w:szCs w:val="16"/>
              </w:rPr>
            </w:pPr>
            <w:r w:rsidRPr="00A86423">
              <w:rPr>
                <w:rFonts w:ascii="Arial" w:hAnsi="Arial" w:cs="Arial"/>
                <w:sz w:val="16"/>
                <w:szCs w:val="16"/>
              </w:rPr>
              <w:t>3,690</w:t>
            </w:r>
          </w:p>
        </w:tc>
        <w:tc>
          <w:tcPr>
            <w:tcW w:w="580" w:type="pct"/>
            <w:gridSpan w:val="3"/>
            <w:tcBorders>
              <w:top w:val="nil"/>
              <w:left w:val="nil"/>
              <w:bottom w:val="nil"/>
              <w:right w:val="nil"/>
            </w:tcBorders>
            <w:shd w:val="clear" w:color="auto" w:fill="auto"/>
            <w:noWrap/>
            <w:vAlign w:val="bottom"/>
            <w:hideMark/>
          </w:tcPr>
          <w:p w14:paraId="3C3F86EE" w14:textId="65F5EDBF" w:rsidR="00794270" w:rsidRPr="00A86423" w:rsidRDefault="00794270" w:rsidP="00396F0C">
            <w:pPr>
              <w:spacing w:after="0" w:line="240" w:lineRule="auto"/>
              <w:jc w:val="right"/>
              <w:rPr>
                <w:rFonts w:ascii="Arial" w:hAnsi="Arial" w:cs="Arial"/>
                <w:sz w:val="16"/>
                <w:szCs w:val="16"/>
              </w:rPr>
            </w:pPr>
            <w:r w:rsidRPr="00A86423">
              <w:rPr>
                <w:rFonts w:ascii="Arial" w:hAnsi="Arial" w:cs="Arial"/>
                <w:sz w:val="16"/>
                <w:szCs w:val="16"/>
              </w:rPr>
              <w:t>-</w:t>
            </w:r>
          </w:p>
        </w:tc>
        <w:tc>
          <w:tcPr>
            <w:tcW w:w="581" w:type="pct"/>
            <w:tcBorders>
              <w:top w:val="nil"/>
              <w:left w:val="nil"/>
              <w:bottom w:val="nil"/>
              <w:right w:val="nil"/>
            </w:tcBorders>
            <w:shd w:val="clear" w:color="auto" w:fill="auto"/>
            <w:noWrap/>
            <w:vAlign w:val="bottom"/>
            <w:hideMark/>
          </w:tcPr>
          <w:p w14:paraId="6C282350" w14:textId="26AEAAE1" w:rsidR="00794270" w:rsidRPr="00A86423" w:rsidRDefault="00794270" w:rsidP="00396F0C">
            <w:pPr>
              <w:spacing w:after="0" w:line="240" w:lineRule="auto"/>
              <w:jc w:val="right"/>
              <w:rPr>
                <w:rFonts w:ascii="Arial" w:hAnsi="Arial" w:cs="Arial"/>
                <w:sz w:val="16"/>
                <w:szCs w:val="16"/>
              </w:rPr>
            </w:pPr>
            <w:r w:rsidRPr="00A86423">
              <w:rPr>
                <w:rFonts w:ascii="Arial" w:hAnsi="Arial" w:cs="Arial"/>
                <w:sz w:val="16"/>
                <w:szCs w:val="16"/>
              </w:rPr>
              <w:t>-</w:t>
            </w:r>
          </w:p>
        </w:tc>
        <w:tc>
          <w:tcPr>
            <w:tcW w:w="622" w:type="pct"/>
            <w:gridSpan w:val="4"/>
            <w:tcBorders>
              <w:top w:val="nil"/>
              <w:left w:val="nil"/>
              <w:bottom w:val="nil"/>
              <w:right w:val="nil"/>
            </w:tcBorders>
            <w:shd w:val="clear" w:color="auto" w:fill="auto"/>
            <w:noWrap/>
            <w:vAlign w:val="bottom"/>
            <w:hideMark/>
          </w:tcPr>
          <w:p w14:paraId="5ADF9F82" w14:textId="15DE4232" w:rsidR="00794270" w:rsidRPr="00A86423" w:rsidRDefault="00794270" w:rsidP="00396F0C">
            <w:pPr>
              <w:spacing w:after="0" w:line="240" w:lineRule="auto"/>
              <w:jc w:val="right"/>
              <w:rPr>
                <w:rFonts w:ascii="Arial" w:hAnsi="Arial" w:cs="Arial"/>
                <w:sz w:val="16"/>
                <w:szCs w:val="16"/>
              </w:rPr>
            </w:pPr>
            <w:r w:rsidRPr="00A86423">
              <w:rPr>
                <w:rFonts w:ascii="Arial" w:hAnsi="Arial" w:cs="Arial"/>
                <w:sz w:val="16"/>
                <w:szCs w:val="16"/>
              </w:rPr>
              <w:t>-</w:t>
            </w:r>
          </w:p>
        </w:tc>
      </w:tr>
      <w:tr w:rsidR="001C1271" w:rsidRPr="00A86423" w14:paraId="76133709" w14:textId="77777777" w:rsidTr="00A86423">
        <w:trPr>
          <w:gridAfter w:val="1"/>
          <w:wAfter w:w="11" w:type="pct"/>
          <w:trHeight w:val="204"/>
        </w:trPr>
        <w:tc>
          <w:tcPr>
            <w:tcW w:w="1979" w:type="pct"/>
            <w:gridSpan w:val="2"/>
            <w:tcBorders>
              <w:top w:val="nil"/>
              <w:left w:val="nil"/>
              <w:bottom w:val="single" w:sz="4" w:space="0" w:color="auto"/>
              <w:right w:val="nil"/>
            </w:tcBorders>
            <w:shd w:val="clear" w:color="auto" w:fill="auto"/>
            <w:noWrap/>
            <w:vAlign w:val="bottom"/>
            <w:hideMark/>
          </w:tcPr>
          <w:p w14:paraId="5820764A" w14:textId="77777777" w:rsidR="00794270" w:rsidRPr="00A86423" w:rsidRDefault="00794270" w:rsidP="00794270">
            <w:pPr>
              <w:spacing w:after="0" w:line="240" w:lineRule="auto"/>
              <w:rPr>
                <w:rFonts w:ascii="Arial" w:hAnsi="Arial" w:cs="Arial"/>
                <w:b/>
                <w:bCs/>
                <w:sz w:val="16"/>
                <w:szCs w:val="16"/>
              </w:rPr>
            </w:pPr>
            <w:r w:rsidRPr="00A86423">
              <w:rPr>
                <w:rFonts w:ascii="Arial" w:hAnsi="Arial" w:cs="Arial"/>
                <w:b/>
                <w:bCs/>
                <w:sz w:val="16"/>
                <w:szCs w:val="16"/>
              </w:rPr>
              <w:t>Total expenses for Program 3.3</w:t>
            </w:r>
          </w:p>
        </w:tc>
        <w:tc>
          <w:tcPr>
            <w:tcW w:w="625" w:type="pct"/>
            <w:gridSpan w:val="4"/>
            <w:tcBorders>
              <w:top w:val="single" w:sz="4" w:space="0" w:color="auto"/>
              <w:left w:val="nil"/>
              <w:bottom w:val="single" w:sz="4" w:space="0" w:color="auto"/>
              <w:right w:val="nil"/>
            </w:tcBorders>
            <w:shd w:val="clear" w:color="auto" w:fill="auto"/>
            <w:noWrap/>
            <w:vAlign w:val="bottom"/>
            <w:hideMark/>
          </w:tcPr>
          <w:p w14:paraId="7066EC8A" w14:textId="0A9E4472" w:rsidR="00794270" w:rsidRPr="00A86423" w:rsidRDefault="00794270" w:rsidP="00396F0C">
            <w:pPr>
              <w:spacing w:after="0" w:line="240" w:lineRule="auto"/>
              <w:jc w:val="right"/>
              <w:rPr>
                <w:rFonts w:ascii="Arial" w:hAnsi="Arial" w:cs="Arial"/>
                <w:b/>
                <w:bCs/>
                <w:sz w:val="16"/>
                <w:szCs w:val="16"/>
              </w:rPr>
            </w:pPr>
            <w:r w:rsidRPr="00A86423">
              <w:rPr>
                <w:rFonts w:ascii="Arial" w:hAnsi="Arial" w:cs="Arial"/>
                <w:b/>
                <w:bCs/>
                <w:sz w:val="16"/>
                <w:szCs w:val="16"/>
              </w:rPr>
              <w:t>1,235</w:t>
            </w:r>
          </w:p>
        </w:tc>
        <w:tc>
          <w:tcPr>
            <w:tcW w:w="601" w:type="pct"/>
            <w:gridSpan w:val="5"/>
            <w:tcBorders>
              <w:top w:val="single" w:sz="4" w:space="0" w:color="auto"/>
              <w:left w:val="nil"/>
              <w:bottom w:val="single" w:sz="4" w:space="0" w:color="auto"/>
              <w:right w:val="nil"/>
            </w:tcBorders>
            <w:shd w:val="clear" w:color="000000" w:fill="E6E6E6"/>
            <w:noWrap/>
            <w:vAlign w:val="bottom"/>
            <w:hideMark/>
          </w:tcPr>
          <w:p w14:paraId="378D6D68" w14:textId="74B47971" w:rsidR="00794270" w:rsidRPr="00A86423" w:rsidRDefault="00794270" w:rsidP="00396F0C">
            <w:pPr>
              <w:spacing w:after="0" w:line="240" w:lineRule="auto"/>
              <w:jc w:val="right"/>
              <w:rPr>
                <w:rFonts w:ascii="Arial" w:hAnsi="Arial" w:cs="Arial"/>
                <w:b/>
                <w:bCs/>
                <w:sz w:val="16"/>
                <w:szCs w:val="16"/>
              </w:rPr>
            </w:pPr>
            <w:r w:rsidRPr="00A86423">
              <w:rPr>
                <w:rFonts w:ascii="Arial" w:hAnsi="Arial" w:cs="Arial"/>
                <w:b/>
                <w:bCs/>
                <w:sz w:val="16"/>
                <w:szCs w:val="16"/>
              </w:rPr>
              <w:t>3,790</w:t>
            </w:r>
          </w:p>
        </w:tc>
        <w:tc>
          <w:tcPr>
            <w:tcW w:w="580" w:type="pct"/>
            <w:gridSpan w:val="3"/>
            <w:tcBorders>
              <w:top w:val="single" w:sz="4" w:space="0" w:color="auto"/>
              <w:left w:val="nil"/>
              <w:bottom w:val="single" w:sz="4" w:space="0" w:color="auto"/>
              <w:right w:val="nil"/>
            </w:tcBorders>
            <w:shd w:val="clear" w:color="auto" w:fill="auto"/>
            <w:noWrap/>
            <w:vAlign w:val="bottom"/>
            <w:hideMark/>
          </w:tcPr>
          <w:p w14:paraId="47AB119D" w14:textId="4AA3CE73" w:rsidR="00794270" w:rsidRPr="00A86423" w:rsidRDefault="00794270" w:rsidP="00396F0C">
            <w:pPr>
              <w:spacing w:after="0" w:line="240" w:lineRule="auto"/>
              <w:jc w:val="right"/>
              <w:rPr>
                <w:rFonts w:ascii="Arial" w:hAnsi="Arial" w:cs="Arial"/>
                <w:b/>
                <w:bCs/>
                <w:sz w:val="16"/>
                <w:szCs w:val="16"/>
              </w:rPr>
            </w:pPr>
            <w:r w:rsidRPr="00A86423">
              <w:rPr>
                <w:rFonts w:ascii="Arial" w:hAnsi="Arial" w:cs="Arial"/>
                <w:b/>
                <w:bCs/>
                <w:sz w:val="16"/>
                <w:szCs w:val="16"/>
              </w:rPr>
              <w:t>130,000</w:t>
            </w:r>
          </w:p>
        </w:tc>
        <w:tc>
          <w:tcPr>
            <w:tcW w:w="581" w:type="pct"/>
            <w:tcBorders>
              <w:top w:val="single" w:sz="4" w:space="0" w:color="auto"/>
              <w:left w:val="nil"/>
              <w:bottom w:val="single" w:sz="4" w:space="0" w:color="auto"/>
              <w:right w:val="nil"/>
            </w:tcBorders>
            <w:shd w:val="clear" w:color="auto" w:fill="auto"/>
            <w:noWrap/>
            <w:vAlign w:val="bottom"/>
            <w:hideMark/>
          </w:tcPr>
          <w:p w14:paraId="08CF7DEB" w14:textId="0933E8EC" w:rsidR="00794270" w:rsidRPr="00A86423" w:rsidRDefault="00794270" w:rsidP="00396F0C">
            <w:pPr>
              <w:spacing w:after="0" w:line="240" w:lineRule="auto"/>
              <w:jc w:val="right"/>
              <w:rPr>
                <w:rFonts w:ascii="Arial" w:hAnsi="Arial" w:cs="Arial"/>
                <w:b/>
                <w:bCs/>
                <w:sz w:val="16"/>
                <w:szCs w:val="16"/>
              </w:rPr>
            </w:pPr>
            <w:r w:rsidRPr="00A86423">
              <w:rPr>
                <w:rFonts w:ascii="Arial" w:hAnsi="Arial" w:cs="Arial"/>
                <w:b/>
                <w:bCs/>
                <w:sz w:val="16"/>
                <w:szCs w:val="16"/>
              </w:rPr>
              <w:t>170,000</w:t>
            </w:r>
          </w:p>
        </w:tc>
        <w:tc>
          <w:tcPr>
            <w:tcW w:w="622" w:type="pct"/>
            <w:gridSpan w:val="4"/>
            <w:tcBorders>
              <w:top w:val="single" w:sz="4" w:space="0" w:color="auto"/>
              <w:left w:val="nil"/>
              <w:bottom w:val="single" w:sz="4" w:space="0" w:color="auto"/>
              <w:right w:val="nil"/>
            </w:tcBorders>
            <w:shd w:val="clear" w:color="auto" w:fill="auto"/>
            <w:noWrap/>
            <w:vAlign w:val="bottom"/>
            <w:hideMark/>
          </w:tcPr>
          <w:p w14:paraId="1B1E5799" w14:textId="277B62BA" w:rsidR="00794270" w:rsidRPr="00A86423" w:rsidRDefault="00794270" w:rsidP="00396F0C">
            <w:pPr>
              <w:spacing w:after="0" w:line="240" w:lineRule="auto"/>
              <w:jc w:val="right"/>
              <w:rPr>
                <w:rFonts w:ascii="Arial" w:hAnsi="Arial" w:cs="Arial"/>
                <w:b/>
                <w:bCs/>
                <w:sz w:val="16"/>
                <w:szCs w:val="16"/>
              </w:rPr>
            </w:pPr>
            <w:r w:rsidRPr="00A86423">
              <w:rPr>
                <w:rFonts w:ascii="Arial" w:hAnsi="Arial" w:cs="Arial"/>
                <w:b/>
                <w:bCs/>
                <w:sz w:val="16"/>
                <w:szCs w:val="16"/>
              </w:rPr>
              <w:t>50,000</w:t>
            </w:r>
          </w:p>
        </w:tc>
      </w:tr>
      <w:tr w:rsidR="001C1271" w:rsidRPr="00A86423" w14:paraId="6560E9E9" w14:textId="77777777" w:rsidTr="00A86423">
        <w:trPr>
          <w:trHeight w:val="204"/>
        </w:trPr>
        <w:tc>
          <w:tcPr>
            <w:tcW w:w="3759" w:type="pct"/>
            <w:gridSpan w:val="12"/>
            <w:tcBorders>
              <w:top w:val="single" w:sz="4" w:space="0" w:color="auto"/>
              <w:left w:val="nil"/>
              <w:bottom w:val="single" w:sz="4" w:space="0" w:color="auto"/>
              <w:right w:val="nil"/>
            </w:tcBorders>
            <w:shd w:val="clear" w:color="000000" w:fill="E6E6E6"/>
            <w:noWrap/>
            <w:vAlign w:val="bottom"/>
            <w:hideMark/>
          </w:tcPr>
          <w:p w14:paraId="57407580" w14:textId="77777777" w:rsidR="001C1271" w:rsidRPr="00A86423" w:rsidRDefault="001C1271" w:rsidP="001C1271">
            <w:pPr>
              <w:spacing w:after="0" w:line="240" w:lineRule="auto"/>
              <w:rPr>
                <w:rFonts w:ascii="Arial" w:hAnsi="Arial" w:cs="Arial"/>
                <w:b/>
                <w:bCs/>
                <w:sz w:val="16"/>
                <w:szCs w:val="16"/>
              </w:rPr>
            </w:pPr>
            <w:r w:rsidRPr="00A86423">
              <w:rPr>
                <w:rFonts w:ascii="Arial" w:hAnsi="Arial" w:cs="Arial"/>
                <w:b/>
                <w:bCs/>
                <w:sz w:val="16"/>
                <w:szCs w:val="16"/>
              </w:rPr>
              <w:t>Program 3.4: Growing a Stronger Northern Australian Economy</w:t>
            </w:r>
          </w:p>
        </w:tc>
        <w:tc>
          <w:tcPr>
            <w:tcW w:w="616" w:type="pct"/>
            <w:gridSpan w:val="4"/>
            <w:tcBorders>
              <w:top w:val="single" w:sz="4" w:space="0" w:color="auto"/>
              <w:left w:val="nil"/>
              <w:bottom w:val="single" w:sz="4" w:space="0" w:color="auto"/>
              <w:right w:val="nil"/>
            </w:tcBorders>
            <w:shd w:val="clear" w:color="000000" w:fill="E6E6E6"/>
            <w:noWrap/>
            <w:vAlign w:val="bottom"/>
            <w:hideMark/>
          </w:tcPr>
          <w:p w14:paraId="5EE89EC4" w14:textId="77777777" w:rsidR="001C1271" w:rsidRPr="00A86423" w:rsidRDefault="001C1271" w:rsidP="001C1271">
            <w:pPr>
              <w:spacing w:after="0" w:line="240" w:lineRule="auto"/>
              <w:jc w:val="right"/>
              <w:rPr>
                <w:rFonts w:ascii="Arial" w:hAnsi="Arial" w:cs="Arial"/>
                <w:sz w:val="16"/>
                <w:szCs w:val="16"/>
              </w:rPr>
            </w:pPr>
            <w:r w:rsidRPr="00A86423">
              <w:rPr>
                <w:rFonts w:ascii="Arial" w:hAnsi="Arial" w:cs="Arial"/>
                <w:sz w:val="16"/>
                <w:szCs w:val="16"/>
              </w:rPr>
              <w:t> </w:t>
            </w:r>
          </w:p>
        </w:tc>
        <w:tc>
          <w:tcPr>
            <w:tcW w:w="625" w:type="pct"/>
            <w:gridSpan w:val="4"/>
            <w:tcBorders>
              <w:top w:val="single" w:sz="4" w:space="0" w:color="auto"/>
              <w:left w:val="nil"/>
              <w:bottom w:val="single" w:sz="4" w:space="0" w:color="auto"/>
              <w:right w:val="nil"/>
            </w:tcBorders>
            <w:shd w:val="clear" w:color="000000" w:fill="E6E6E6"/>
            <w:noWrap/>
            <w:vAlign w:val="bottom"/>
            <w:hideMark/>
          </w:tcPr>
          <w:p w14:paraId="1D1FBB4B" w14:textId="77777777" w:rsidR="001C1271" w:rsidRPr="00A86423" w:rsidRDefault="001C1271" w:rsidP="001C1271">
            <w:pPr>
              <w:spacing w:after="0" w:line="240" w:lineRule="auto"/>
              <w:jc w:val="right"/>
              <w:rPr>
                <w:rFonts w:ascii="Arial" w:hAnsi="Arial" w:cs="Arial"/>
                <w:sz w:val="16"/>
                <w:szCs w:val="16"/>
              </w:rPr>
            </w:pPr>
            <w:r w:rsidRPr="00A86423">
              <w:rPr>
                <w:rFonts w:ascii="Arial" w:hAnsi="Arial" w:cs="Arial"/>
                <w:sz w:val="16"/>
                <w:szCs w:val="16"/>
              </w:rPr>
              <w:t> </w:t>
            </w:r>
          </w:p>
        </w:tc>
      </w:tr>
      <w:tr w:rsidR="001C1271" w:rsidRPr="00A86423" w14:paraId="6DC07C1F" w14:textId="77777777" w:rsidTr="00A86423">
        <w:trPr>
          <w:trHeight w:val="204"/>
        </w:trPr>
        <w:tc>
          <w:tcPr>
            <w:tcW w:w="1993" w:type="pct"/>
            <w:gridSpan w:val="3"/>
            <w:tcBorders>
              <w:top w:val="nil"/>
              <w:left w:val="nil"/>
              <w:bottom w:val="nil"/>
              <w:right w:val="nil"/>
            </w:tcBorders>
            <w:shd w:val="clear" w:color="auto" w:fill="auto"/>
            <w:noWrap/>
            <w:vAlign w:val="bottom"/>
            <w:hideMark/>
          </w:tcPr>
          <w:p w14:paraId="51FA7C4A" w14:textId="77777777" w:rsidR="001C1271" w:rsidRPr="00A86423" w:rsidRDefault="001C1271" w:rsidP="001C1271">
            <w:pPr>
              <w:spacing w:after="0" w:line="240" w:lineRule="auto"/>
              <w:rPr>
                <w:rFonts w:ascii="Arial" w:hAnsi="Arial" w:cs="Arial"/>
                <w:sz w:val="16"/>
                <w:szCs w:val="16"/>
              </w:rPr>
            </w:pPr>
            <w:r w:rsidRPr="00A86423">
              <w:rPr>
                <w:rFonts w:ascii="Arial" w:hAnsi="Arial" w:cs="Arial"/>
                <w:sz w:val="16"/>
                <w:szCs w:val="16"/>
              </w:rPr>
              <w:t>Administered expenses</w:t>
            </w:r>
          </w:p>
        </w:tc>
        <w:tc>
          <w:tcPr>
            <w:tcW w:w="616" w:type="pct"/>
            <w:gridSpan w:val="4"/>
            <w:tcBorders>
              <w:top w:val="nil"/>
              <w:left w:val="nil"/>
              <w:bottom w:val="nil"/>
              <w:right w:val="nil"/>
            </w:tcBorders>
            <w:shd w:val="clear" w:color="auto" w:fill="auto"/>
            <w:noWrap/>
            <w:vAlign w:val="bottom"/>
            <w:hideMark/>
          </w:tcPr>
          <w:p w14:paraId="117F0B43" w14:textId="77777777" w:rsidR="001C1271" w:rsidRPr="00A86423" w:rsidRDefault="001C1271" w:rsidP="001C1271">
            <w:pPr>
              <w:spacing w:after="0" w:line="240" w:lineRule="auto"/>
              <w:jc w:val="right"/>
              <w:rPr>
                <w:rFonts w:ascii="Arial" w:hAnsi="Arial" w:cs="Arial"/>
                <w:sz w:val="16"/>
                <w:szCs w:val="16"/>
              </w:rPr>
            </w:pPr>
          </w:p>
        </w:tc>
        <w:tc>
          <w:tcPr>
            <w:tcW w:w="589" w:type="pct"/>
            <w:gridSpan w:val="3"/>
            <w:tcBorders>
              <w:top w:val="nil"/>
              <w:left w:val="nil"/>
              <w:bottom w:val="nil"/>
              <w:right w:val="nil"/>
            </w:tcBorders>
            <w:shd w:val="clear" w:color="000000" w:fill="E6E6E6"/>
            <w:noWrap/>
            <w:vAlign w:val="bottom"/>
            <w:hideMark/>
          </w:tcPr>
          <w:p w14:paraId="51DFBDCA" w14:textId="2E03D2BD" w:rsidR="001C1271" w:rsidRPr="00A86423" w:rsidRDefault="001C1271" w:rsidP="001C1271">
            <w:pPr>
              <w:spacing w:after="0" w:line="240" w:lineRule="auto"/>
              <w:jc w:val="right"/>
              <w:rPr>
                <w:rFonts w:ascii="Arial" w:hAnsi="Arial" w:cs="Arial"/>
                <w:sz w:val="16"/>
                <w:szCs w:val="16"/>
              </w:rPr>
            </w:pPr>
          </w:p>
        </w:tc>
        <w:tc>
          <w:tcPr>
            <w:tcW w:w="561" w:type="pct"/>
            <w:gridSpan w:val="2"/>
            <w:tcBorders>
              <w:top w:val="nil"/>
              <w:left w:val="nil"/>
              <w:bottom w:val="nil"/>
              <w:right w:val="nil"/>
            </w:tcBorders>
            <w:shd w:val="clear" w:color="auto" w:fill="auto"/>
            <w:noWrap/>
            <w:vAlign w:val="bottom"/>
            <w:hideMark/>
          </w:tcPr>
          <w:p w14:paraId="0F80CDEB" w14:textId="77777777" w:rsidR="001C1271" w:rsidRPr="00A86423" w:rsidRDefault="001C1271" w:rsidP="001C1271">
            <w:pPr>
              <w:spacing w:after="0" w:line="240" w:lineRule="auto"/>
              <w:jc w:val="right"/>
              <w:rPr>
                <w:rFonts w:ascii="Arial" w:hAnsi="Arial" w:cs="Arial"/>
                <w:sz w:val="16"/>
                <w:szCs w:val="16"/>
              </w:rPr>
            </w:pPr>
          </w:p>
        </w:tc>
        <w:tc>
          <w:tcPr>
            <w:tcW w:w="616" w:type="pct"/>
            <w:gridSpan w:val="4"/>
            <w:tcBorders>
              <w:top w:val="nil"/>
              <w:left w:val="nil"/>
              <w:bottom w:val="nil"/>
              <w:right w:val="nil"/>
            </w:tcBorders>
            <w:shd w:val="clear" w:color="auto" w:fill="auto"/>
            <w:noWrap/>
            <w:vAlign w:val="bottom"/>
            <w:hideMark/>
          </w:tcPr>
          <w:p w14:paraId="5B687A8C" w14:textId="77777777" w:rsidR="001C1271" w:rsidRPr="00A86423" w:rsidRDefault="001C1271" w:rsidP="001C1271">
            <w:pPr>
              <w:spacing w:after="0" w:line="240" w:lineRule="auto"/>
              <w:jc w:val="right"/>
              <w:rPr>
                <w:rFonts w:ascii="Arial" w:hAnsi="Arial" w:cs="Arial"/>
                <w:sz w:val="16"/>
                <w:szCs w:val="16"/>
              </w:rPr>
            </w:pPr>
          </w:p>
        </w:tc>
        <w:tc>
          <w:tcPr>
            <w:tcW w:w="625" w:type="pct"/>
            <w:gridSpan w:val="4"/>
            <w:tcBorders>
              <w:top w:val="nil"/>
              <w:left w:val="nil"/>
              <w:bottom w:val="nil"/>
              <w:right w:val="nil"/>
            </w:tcBorders>
            <w:shd w:val="clear" w:color="auto" w:fill="auto"/>
            <w:noWrap/>
            <w:vAlign w:val="bottom"/>
            <w:hideMark/>
          </w:tcPr>
          <w:p w14:paraId="52324651" w14:textId="77777777" w:rsidR="001C1271" w:rsidRPr="00A86423" w:rsidRDefault="001C1271" w:rsidP="001C1271">
            <w:pPr>
              <w:spacing w:after="0" w:line="240" w:lineRule="auto"/>
              <w:jc w:val="right"/>
              <w:rPr>
                <w:rFonts w:ascii="Arial" w:hAnsi="Arial" w:cs="Arial"/>
                <w:sz w:val="16"/>
                <w:szCs w:val="16"/>
              </w:rPr>
            </w:pPr>
          </w:p>
        </w:tc>
      </w:tr>
      <w:tr w:rsidR="001C1271" w:rsidRPr="00A86423" w14:paraId="03003498" w14:textId="77777777" w:rsidTr="00A86423">
        <w:trPr>
          <w:trHeight w:val="204"/>
        </w:trPr>
        <w:tc>
          <w:tcPr>
            <w:tcW w:w="1993" w:type="pct"/>
            <w:gridSpan w:val="3"/>
            <w:tcBorders>
              <w:top w:val="nil"/>
              <w:left w:val="nil"/>
              <w:bottom w:val="nil"/>
              <w:right w:val="nil"/>
            </w:tcBorders>
            <w:shd w:val="clear" w:color="auto" w:fill="auto"/>
            <w:vAlign w:val="bottom"/>
            <w:hideMark/>
          </w:tcPr>
          <w:p w14:paraId="0C66A448" w14:textId="048011A0" w:rsidR="001C1271" w:rsidRPr="00A86423" w:rsidRDefault="001C1271" w:rsidP="00595948">
            <w:pPr>
              <w:spacing w:after="0" w:line="240" w:lineRule="auto"/>
              <w:ind w:left="113"/>
              <w:rPr>
                <w:rFonts w:ascii="Arial" w:hAnsi="Arial" w:cs="Arial"/>
                <w:sz w:val="16"/>
                <w:szCs w:val="16"/>
              </w:rPr>
            </w:pPr>
            <w:r w:rsidRPr="00A86423">
              <w:rPr>
                <w:rFonts w:ascii="Arial" w:hAnsi="Arial" w:cs="Arial"/>
                <w:sz w:val="16"/>
                <w:szCs w:val="16"/>
              </w:rPr>
              <w:t>Ordinary annual services (Appropriation Bill No. 1)</w:t>
            </w:r>
          </w:p>
        </w:tc>
        <w:tc>
          <w:tcPr>
            <w:tcW w:w="616" w:type="pct"/>
            <w:gridSpan w:val="4"/>
            <w:tcBorders>
              <w:top w:val="nil"/>
              <w:left w:val="nil"/>
              <w:bottom w:val="nil"/>
              <w:right w:val="nil"/>
            </w:tcBorders>
            <w:shd w:val="clear" w:color="auto" w:fill="auto"/>
            <w:noWrap/>
            <w:vAlign w:val="bottom"/>
            <w:hideMark/>
          </w:tcPr>
          <w:p w14:paraId="58B90ABD" w14:textId="63B866EA" w:rsidR="001C1271" w:rsidRPr="00A86423" w:rsidRDefault="001C1271" w:rsidP="001C1271">
            <w:pPr>
              <w:spacing w:after="0" w:line="240" w:lineRule="auto"/>
              <w:jc w:val="right"/>
              <w:rPr>
                <w:rFonts w:ascii="Arial" w:hAnsi="Arial" w:cs="Arial"/>
                <w:sz w:val="16"/>
                <w:szCs w:val="16"/>
              </w:rPr>
            </w:pPr>
            <w:r w:rsidRPr="00A86423">
              <w:rPr>
                <w:rFonts w:ascii="Arial" w:hAnsi="Arial" w:cs="Arial"/>
                <w:sz w:val="16"/>
                <w:szCs w:val="16"/>
              </w:rPr>
              <w:t>38,410</w:t>
            </w:r>
          </w:p>
        </w:tc>
        <w:tc>
          <w:tcPr>
            <w:tcW w:w="589" w:type="pct"/>
            <w:gridSpan w:val="3"/>
            <w:tcBorders>
              <w:top w:val="nil"/>
              <w:left w:val="nil"/>
              <w:bottom w:val="nil"/>
              <w:right w:val="nil"/>
            </w:tcBorders>
            <w:shd w:val="clear" w:color="000000" w:fill="E6E6E6"/>
            <w:noWrap/>
            <w:vAlign w:val="bottom"/>
            <w:hideMark/>
          </w:tcPr>
          <w:p w14:paraId="4DDDD16C" w14:textId="3450F913" w:rsidR="001C1271" w:rsidRPr="00A86423" w:rsidRDefault="001C1271" w:rsidP="001C1271">
            <w:pPr>
              <w:spacing w:after="0" w:line="240" w:lineRule="auto"/>
              <w:jc w:val="right"/>
              <w:rPr>
                <w:rFonts w:ascii="Arial" w:hAnsi="Arial" w:cs="Arial"/>
                <w:sz w:val="16"/>
                <w:szCs w:val="16"/>
              </w:rPr>
            </w:pPr>
            <w:r w:rsidRPr="00A86423">
              <w:rPr>
                <w:rFonts w:ascii="Arial" w:hAnsi="Arial" w:cs="Arial"/>
                <w:sz w:val="16"/>
                <w:szCs w:val="16"/>
              </w:rPr>
              <w:t>40,306</w:t>
            </w:r>
          </w:p>
        </w:tc>
        <w:tc>
          <w:tcPr>
            <w:tcW w:w="561" w:type="pct"/>
            <w:gridSpan w:val="2"/>
            <w:tcBorders>
              <w:top w:val="nil"/>
              <w:left w:val="nil"/>
              <w:bottom w:val="nil"/>
              <w:right w:val="nil"/>
            </w:tcBorders>
            <w:shd w:val="clear" w:color="auto" w:fill="auto"/>
            <w:noWrap/>
            <w:vAlign w:val="bottom"/>
            <w:hideMark/>
          </w:tcPr>
          <w:p w14:paraId="51B7F121" w14:textId="21700E1E" w:rsidR="001C1271" w:rsidRPr="00A86423" w:rsidRDefault="001C1271" w:rsidP="001C1271">
            <w:pPr>
              <w:spacing w:after="0" w:line="240" w:lineRule="auto"/>
              <w:jc w:val="right"/>
              <w:rPr>
                <w:rFonts w:ascii="Arial" w:hAnsi="Arial" w:cs="Arial"/>
                <w:sz w:val="16"/>
                <w:szCs w:val="16"/>
              </w:rPr>
            </w:pPr>
            <w:r w:rsidRPr="00A86423">
              <w:rPr>
                <w:rFonts w:ascii="Arial" w:hAnsi="Arial" w:cs="Arial"/>
                <w:sz w:val="16"/>
                <w:szCs w:val="16"/>
              </w:rPr>
              <w:t>4,718</w:t>
            </w:r>
          </w:p>
        </w:tc>
        <w:tc>
          <w:tcPr>
            <w:tcW w:w="616" w:type="pct"/>
            <w:gridSpan w:val="4"/>
            <w:tcBorders>
              <w:top w:val="nil"/>
              <w:left w:val="nil"/>
              <w:bottom w:val="nil"/>
              <w:right w:val="nil"/>
            </w:tcBorders>
            <w:shd w:val="clear" w:color="auto" w:fill="auto"/>
            <w:noWrap/>
            <w:vAlign w:val="bottom"/>
            <w:hideMark/>
          </w:tcPr>
          <w:p w14:paraId="18AA511D" w14:textId="62DA61EC" w:rsidR="001C1271" w:rsidRPr="00A86423" w:rsidRDefault="001C1271" w:rsidP="001C1271">
            <w:pPr>
              <w:spacing w:after="0" w:line="240" w:lineRule="auto"/>
              <w:jc w:val="right"/>
              <w:rPr>
                <w:rFonts w:ascii="Arial" w:hAnsi="Arial" w:cs="Arial"/>
                <w:sz w:val="16"/>
                <w:szCs w:val="16"/>
              </w:rPr>
            </w:pPr>
            <w:r w:rsidRPr="00A86423">
              <w:rPr>
                <w:rFonts w:ascii="Arial" w:hAnsi="Arial" w:cs="Arial"/>
                <w:sz w:val="16"/>
                <w:szCs w:val="16"/>
              </w:rPr>
              <w:t>4,718</w:t>
            </w:r>
          </w:p>
        </w:tc>
        <w:tc>
          <w:tcPr>
            <w:tcW w:w="625" w:type="pct"/>
            <w:gridSpan w:val="4"/>
            <w:tcBorders>
              <w:top w:val="nil"/>
              <w:left w:val="nil"/>
              <w:bottom w:val="nil"/>
              <w:right w:val="nil"/>
            </w:tcBorders>
            <w:shd w:val="clear" w:color="auto" w:fill="auto"/>
            <w:noWrap/>
            <w:vAlign w:val="bottom"/>
            <w:hideMark/>
          </w:tcPr>
          <w:p w14:paraId="58F67C02" w14:textId="6EEB9072" w:rsidR="001C1271" w:rsidRPr="00A86423" w:rsidRDefault="001C1271" w:rsidP="001C1271">
            <w:pPr>
              <w:spacing w:after="0" w:line="240" w:lineRule="auto"/>
              <w:jc w:val="right"/>
              <w:rPr>
                <w:rFonts w:ascii="Arial" w:hAnsi="Arial" w:cs="Arial"/>
                <w:sz w:val="16"/>
                <w:szCs w:val="16"/>
              </w:rPr>
            </w:pPr>
            <w:r w:rsidRPr="00A86423">
              <w:rPr>
                <w:rFonts w:ascii="Arial" w:hAnsi="Arial" w:cs="Arial"/>
                <w:sz w:val="16"/>
                <w:szCs w:val="16"/>
              </w:rPr>
              <w:t>-</w:t>
            </w:r>
          </w:p>
        </w:tc>
      </w:tr>
      <w:tr w:rsidR="001C1271" w:rsidRPr="00A86423" w14:paraId="07989582" w14:textId="77777777" w:rsidTr="00A86423">
        <w:trPr>
          <w:trHeight w:val="204"/>
        </w:trPr>
        <w:tc>
          <w:tcPr>
            <w:tcW w:w="1993" w:type="pct"/>
            <w:gridSpan w:val="3"/>
            <w:tcBorders>
              <w:top w:val="nil"/>
              <w:left w:val="nil"/>
              <w:bottom w:val="nil"/>
              <w:right w:val="nil"/>
            </w:tcBorders>
            <w:shd w:val="clear" w:color="auto" w:fill="auto"/>
            <w:vAlign w:val="bottom"/>
            <w:hideMark/>
          </w:tcPr>
          <w:p w14:paraId="39EE52DB" w14:textId="39780DF4" w:rsidR="001C1271" w:rsidRPr="00A86423" w:rsidRDefault="001C1271" w:rsidP="00595948">
            <w:pPr>
              <w:spacing w:after="0" w:line="240" w:lineRule="auto"/>
              <w:ind w:left="113"/>
              <w:rPr>
                <w:rFonts w:ascii="Arial" w:hAnsi="Arial" w:cs="Arial"/>
                <w:sz w:val="16"/>
                <w:szCs w:val="16"/>
              </w:rPr>
            </w:pPr>
            <w:r w:rsidRPr="00A86423">
              <w:rPr>
                <w:rFonts w:ascii="Arial" w:hAnsi="Arial" w:cs="Arial"/>
                <w:sz w:val="16"/>
                <w:szCs w:val="16"/>
              </w:rPr>
              <w:t>Payments to corporate entities</w:t>
            </w:r>
            <w:r w:rsidRPr="00595948">
              <w:rPr>
                <w:rFonts w:ascii="Arial" w:hAnsi="Arial" w:cs="Arial"/>
                <w:sz w:val="16"/>
                <w:szCs w:val="16"/>
                <w:vertAlign w:val="superscript"/>
              </w:rPr>
              <w:t>(b)</w:t>
            </w:r>
          </w:p>
        </w:tc>
        <w:tc>
          <w:tcPr>
            <w:tcW w:w="616" w:type="pct"/>
            <w:gridSpan w:val="4"/>
            <w:tcBorders>
              <w:top w:val="nil"/>
              <w:left w:val="nil"/>
              <w:bottom w:val="nil"/>
              <w:right w:val="nil"/>
            </w:tcBorders>
            <w:shd w:val="clear" w:color="auto" w:fill="auto"/>
            <w:noWrap/>
            <w:vAlign w:val="bottom"/>
            <w:hideMark/>
          </w:tcPr>
          <w:p w14:paraId="06ED78C7" w14:textId="5E114CF7" w:rsidR="001C1271" w:rsidRPr="00A86423" w:rsidRDefault="001C1271" w:rsidP="001C1271">
            <w:pPr>
              <w:spacing w:after="0" w:line="240" w:lineRule="auto"/>
              <w:jc w:val="right"/>
              <w:rPr>
                <w:rFonts w:ascii="Arial" w:hAnsi="Arial" w:cs="Arial"/>
                <w:sz w:val="16"/>
                <w:szCs w:val="16"/>
              </w:rPr>
            </w:pPr>
            <w:r w:rsidRPr="00A86423">
              <w:rPr>
                <w:rFonts w:ascii="Arial" w:hAnsi="Arial" w:cs="Arial"/>
                <w:sz w:val="16"/>
                <w:szCs w:val="16"/>
              </w:rPr>
              <w:t>20,681</w:t>
            </w:r>
          </w:p>
        </w:tc>
        <w:tc>
          <w:tcPr>
            <w:tcW w:w="589" w:type="pct"/>
            <w:gridSpan w:val="3"/>
            <w:tcBorders>
              <w:top w:val="nil"/>
              <w:left w:val="nil"/>
              <w:bottom w:val="nil"/>
              <w:right w:val="nil"/>
            </w:tcBorders>
            <w:shd w:val="clear" w:color="000000" w:fill="E6E6E6"/>
            <w:noWrap/>
            <w:vAlign w:val="bottom"/>
            <w:hideMark/>
          </w:tcPr>
          <w:p w14:paraId="5F3F0CE9" w14:textId="58C27AC4" w:rsidR="001C1271" w:rsidRPr="00A86423" w:rsidRDefault="001C1271" w:rsidP="001C1271">
            <w:pPr>
              <w:spacing w:after="0" w:line="240" w:lineRule="auto"/>
              <w:jc w:val="right"/>
              <w:rPr>
                <w:rFonts w:ascii="Arial" w:hAnsi="Arial" w:cs="Arial"/>
                <w:sz w:val="16"/>
                <w:szCs w:val="16"/>
              </w:rPr>
            </w:pPr>
            <w:r w:rsidRPr="00A86423">
              <w:rPr>
                <w:rFonts w:ascii="Arial" w:hAnsi="Arial" w:cs="Arial"/>
                <w:sz w:val="16"/>
                <w:szCs w:val="16"/>
              </w:rPr>
              <w:t>21,295</w:t>
            </w:r>
          </w:p>
        </w:tc>
        <w:tc>
          <w:tcPr>
            <w:tcW w:w="561" w:type="pct"/>
            <w:gridSpan w:val="2"/>
            <w:tcBorders>
              <w:top w:val="nil"/>
              <w:left w:val="nil"/>
              <w:bottom w:val="nil"/>
              <w:right w:val="nil"/>
            </w:tcBorders>
            <w:shd w:val="clear" w:color="auto" w:fill="auto"/>
            <w:noWrap/>
            <w:vAlign w:val="bottom"/>
            <w:hideMark/>
          </w:tcPr>
          <w:p w14:paraId="10DF1D57" w14:textId="37ECA5A4" w:rsidR="001C1271" w:rsidRPr="00A86423" w:rsidRDefault="001C1271" w:rsidP="001C1271">
            <w:pPr>
              <w:spacing w:after="0" w:line="240" w:lineRule="auto"/>
              <w:jc w:val="right"/>
              <w:rPr>
                <w:rFonts w:ascii="Arial" w:hAnsi="Arial" w:cs="Arial"/>
                <w:sz w:val="16"/>
                <w:szCs w:val="16"/>
              </w:rPr>
            </w:pPr>
            <w:r w:rsidRPr="00A86423">
              <w:rPr>
                <w:rFonts w:ascii="Arial" w:hAnsi="Arial" w:cs="Arial"/>
                <w:sz w:val="16"/>
                <w:szCs w:val="16"/>
              </w:rPr>
              <w:t>21,814</w:t>
            </w:r>
          </w:p>
        </w:tc>
        <w:tc>
          <w:tcPr>
            <w:tcW w:w="616" w:type="pct"/>
            <w:gridSpan w:val="4"/>
            <w:tcBorders>
              <w:top w:val="nil"/>
              <w:left w:val="nil"/>
              <w:bottom w:val="nil"/>
              <w:right w:val="nil"/>
            </w:tcBorders>
            <w:shd w:val="clear" w:color="auto" w:fill="auto"/>
            <w:noWrap/>
            <w:vAlign w:val="bottom"/>
            <w:hideMark/>
          </w:tcPr>
          <w:p w14:paraId="5A754C26" w14:textId="0C9B68C3" w:rsidR="001C1271" w:rsidRPr="00A86423" w:rsidRDefault="001C1271" w:rsidP="001C1271">
            <w:pPr>
              <w:spacing w:after="0" w:line="240" w:lineRule="auto"/>
              <w:jc w:val="right"/>
              <w:rPr>
                <w:rFonts w:ascii="Arial" w:hAnsi="Arial" w:cs="Arial"/>
                <w:sz w:val="16"/>
                <w:szCs w:val="16"/>
              </w:rPr>
            </w:pPr>
            <w:r w:rsidRPr="00A86423">
              <w:rPr>
                <w:rFonts w:ascii="Arial" w:hAnsi="Arial" w:cs="Arial"/>
                <w:sz w:val="16"/>
                <w:szCs w:val="16"/>
              </w:rPr>
              <w:t>22,308</w:t>
            </w:r>
          </w:p>
        </w:tc>
        <w:tc>
          <w:tcPr>
            <w:tcW w:w="625" w:type="pct"/>
            <w:gridSpan w:val="4"/>
            <w:tcBorders>
              <w:top w:val="nil"/>
              <w:left w:val="nil"/>
              <w:bottom w:val="nil"/>
              <w:right w:val="nil"/>
            </w:tcBorders>
            <w:shd w:val="clear" w:color="auto" w:fill="auto"/>
            <w:noWrap/>
            <w:vAlign w:val="bottom"/>
            <w:hideMark/>
          </w:tcPr>
          <w:p w14:paraId="60F73AD3" w14:textId="410EAEB2" w:rsidR="001C1271" w:rsidRPr="00A86423" w:rsidRDefault="001C1271" w:rsidP="001C1271">
            <w:pPr>
              <w:spacing w:after="0" w:line="240" w:lineRule="auto"/>
              <w:jc w:val="right"/>
              <w:rPr>
                <w:rFonts w:ascii="Arial" w:hAnsi="Arial" w:cs="Arial"/>
                <w:sz w:val="16"/>
                <w:szCs w:val="16"/>
              </w:rPr>
            </w:pPr>
            <w:r w:rsidRPr="00A86423">
              <w:rPr>
                <w:rFonts w:ascii="Arial" w:hAnsi="Arial" w:cs="Arial"/>
                <w:sz w:val="16"/>
                <w:szCs w:val="16"/>
              </w:rPr>
              <w:t>22,841</w:t>
            </w:r>
          </w:p>
        </w:tc>
      </w:tr>
      <w:tr w:rsidR="001C1271" w:rsidRPr="00A86423" w14:paraId="1330B771" w14:textId="77777777" w:rsidTr="00A86423">
        <w:trPr>
          <w:trHeight w:val="204"/>
        </w:trPr>
        <w:tc>
          <w:tcPr>
            <w:tcW w:w="1993" w:type="pct"/>
            <w:gridSpan w:val="3"/>
            <w:tcBorders>
              <w:top w:val="nil"/>
              <w:left w:val="nil"/>
              <w:bottom w:val="nil"/>
              <w:right w:val="nil"/>
            </w:tcBorders>
            <w:shd w:val="clear" w:color="auto" w:fill="auto"/>
            <w:vAlign w:val="bottom"/>
            <w:hideMark/>
          </w:tcPr>
          <w:p w14:paraId="03AC6270" w14:textId="143F9650" w:rsidR="001C1271" w:rsidRPr="00A86423" w:rsidRDefault="001C1271" w:rsidP="00595948">
            <w:pPr>
              <w:spacing w:after="0" w:line="240" w:lineRule="auto"/>
              <w:ind w:left="113"/>
              <w:rPr>
                <w:rFonts w:ascii="Arial" w:hAnsi="Arial" w:cs="Arial"/>
                <w:sz w:val="16"/>
                <w:szCs w:val="16"/>
              </w:rPr>
            </w:pPr>
            <w:r w:rsidRPr="00A86423">
              <w:rPr>
                <w:rFonts w:ascii="Arial" w:hAnsi="Arial" w:cs="Arial"/>
                <w:sz w:val="16"/>
                <w:szCs w:val="16"/>
              </w:rPr>
              <w:t>Expenses not requiring appropriation in the Budget year</w:t>
            </w:r>
            <w:r w:rsidRPr="00595948">
              <w:rPr>
                <w:rFonts w:ascii="Arial" w:hAnsi="Arial" w:cs="Arial"/>
                <w:sz w:val="16"/>
                <w:szCs w:val="16"/>
                <w:vertAlign w:val="superscript"/>
              </w:rPr>
              <w:t>(a)</w:t>
            </w:r>
          </w:p>
        </w:tc>
        <w:tc>
          <w:tcPr>
            <w:tcW w:w="616" w:type="pct"/>
            <w:gridSpan w:val="4"/>
            <w:tcBorders>
              <w:top w:val="nil"/>
              <w:left w:val="nil"/>
              <w:bottom w:val="nil"/>
              <w:right w:val="nil"/>
            </w:tcBorders>
            <w:shd w:val="clear" w:color="auto" w:fill="auto"/>
            <w:noWrap/>
            <w:vAlign w:val="bottom"/>
            <w:hideMark/>
          </w:tcPr>
          <w:p w14:paraId="07491DBC" w14:textId="6B50C2CB" w:rsidR="001C1271" w:rsidRPr="00A86423" w:rsidRDefault="001C1271" w:rsidP="001C1271">
            <w:pPr>
              <w:spacing w:after="0" w:line="240" w:lineRule="auto"/>
              <w:jc w:val="right"/>
              <w:rPr>
                <w:rFonts w:ascii="Arial" w:hAnsi="Arial" w:cs="Arial"/>
                <w:sz w:val="16"/>
                <w:szCs w:val="16"/>
              </w:rPr>
            </w:pPr>
            <w:r w:rsidRPr="00A86423">
              <w:rPr>
                <w:rFonts w:ascii="Arial" w:hAnsi="Arial" w:cs="Arial"/>
                <w:sz w:val="16"/>
                <w:szCs w:val="16"/>
              </w:rPr>
              <w:t>164,794</w:t>
            </w:r>
          </w:p>
        </w:tc>
        <w:tc>
          <w:tcPr>
            <w:tcW w:w="589" w:type="pct"/>
            <w:gridSpan w:val="3"/>
            <w:tcBorders>
              <w:top w:val="nil"/>
              <w:left w:val="nil"/>
              <w:bottom w:val="nil"/>
              <w:right w:val="nil"/>
            </w:tcBorders>
            <w:shd w:val="clear" w:color="000000" w:fill="E6E6E6"/>
            <w:noWrap/>
            <w:vAlign w:val="bottom"/>
            <w:hideMark/>
          </w:tcPr>
          <w:p w14:paraId="1B066DDF" w14:textId="144DE7AD" w:rsidR="001C1271" w:rsidRPr="00A86423" w:rsidRDefault="001C1271" w:rsidP="001C1271">
            <w:pPr>
              <w:spacing w:after="0" w:line="240" w:lineRule="auto"/>
              <w:jc w:val="right"/>
              <w:rPr>
                <w:rFonts w:ascii="Arial" w:hAnsi="Arial" w:cs="Arial"/>
                <w:sz w:val="16"/>
                <w:szCs w:val="16"/>
              </w:rPr>
            </w:pPr>
            <w:r w:rsidRPr="00A86423">
              <w:rPr>
                <w:rFonts w:ascii="Arial" w:hAnsi="Arial" w:cs="Arial"/>
                <w:sz w:val="16"/>
                <w:szCs w:val="16"/>
              </w:rPr>
              <w:t>461,727</w:t>
            </w:r>
          </w:p>
        </w:tc>
        <w:tc>
          <w:tcPr>
            <w:tcW w:w="561" w:type="pct"/>
            <w:gridSpan w:val="2"/>
            <w:tcBorders>
              <w:top w:val="nil"/>
              <w:left w:val="nil"/>
              <w:bottom w:val="nil"/>
              <w:right w:val="nil"/>
            </w:tcBorders>
            <w:shd w:val="clear" w:color="auto" w:fill="auto"/>
            <w:noWrap/>
            <w:vAlign w:val="bottom"/>
            <w:hideMark/>
          </w:tcPr>
          <w:p w14:paraId="60B1BCCE" w14:textId="0BBD8A21" w:rsidR="001C1271" w:rsidRPr="00A86423" w:rsidRDefault="001C1271" w:rsidP="001C1271">
            <w:pPr>
              <w:spacing w:after="0" w:line="240" w:lineRule="auto"/>
              <w:jc w:val="right"/>
              <w:rPr>
                <w:rFonts w:ascii="Arial" w:hAnsi="Arial" w:cs="Arial"/>
                <w:sz w:val="16"/>
                <w:szCs w:val="16"/>
              </w:rPr>
            </w:pPr>
            <w:r w:rsidRPr="00A86423">
              <w:rPr>
                <w:rFonts w:ascii="Arial" w:hAnsi="Arial" w:cs="Arial"/>
                <w:sz w:val="16"/>
                <w:szCs w:val="16"/>
              </w:rPr>
              <w:t>278,717</w:t>
            </w:r>
          </w:p>
        </w:tc>
        <w:tc>
          <w:tcPr>
            <w:tcW w:w="616" w:type="pct"/>
            <w:gridSpan w:val="4"/>
            <w:tcBorders>
              <w:top w:val="nil"/>
              <w:left w:val="nil"/>
              <w:bottom w:val="nil"/>
              <w:right w:val="nil"/>
            </w:tcBorders>
            <w:shd w:val="clear" w:color="auto" w:fill="auto"/>
            <w:noWrap/>
            <w:vAlign w:val="bottom"/>
            <w:hideMark/>
          </w:tcPr>
          <w:p w14:paraId="1DA51EE7" w14:textId="0168C2E6" w:rsidR="001C1271" w:rsidRPr="00A86423" w:rsidRDefault="001C1271" w:rsidP="001C1271">
            <w:pPr>
              <w:spacing w:after="0" w:line="240" w:lineRule="auto"/>
              <w:jc w:val="right"/>
              <w:rPr>
                <w:rFonts w:ascii="Arial" w:hAnsi="Arial" w:cs="Arial"/>
                <w:sz w:val="16"/>
                <w:szCs w:val="16"/>
              </w:rPr>
            </w:pPr>
            <w:r w:rsidRPr="00A86423">
              <w:rPr>
                <w:rFonts w:ascii="Arial" w:hAnsi="Arial" w:cs="Arial"/>
                <w:sz w:val="16"/>
                <w:szCs w:val="16"/>
              </w:rPr>
              <w:t>212,350</w:t>
            </w:r>
          </w:p>
        </w:tc>
        <w:tc>
          <w:tcPr>
            <w:tcW w:w="625" w:type="pct"/>
            <w:gridSpan w:val="4"/>
            <w:tcBorders>
              <w:top w:val="nil"/>
              <w:left w:val="nil"/>
              <w:bottom w:val="nil"/>
              <w:right w:val="nil"/>
            </w:tcBorders>
            <w:shd w:val="clear" w:color="auto" w:fill="auto"/>
            <w:noWrap/>
            <w:vAlign w:val="bottom"/>
            <w:hideMark/>
          </w:tcPr>
          <w:p w14:paraId="629F4541" w14:textId="2B0999CB" w:rsidR="001C1271" w:rsidRPr="00A86423" w:rsidRDefault="001C1271" w:rsidP="001C1271">
            <w:pPr>
              <w:spacing w:after="0" w:line="240" w:lineRule="auto"/>
              <w:jc w:val="right"/>
              <w:rPr>
                <w:rFonts w:ascii="Arial" w:hAnsi="Arial" w:cs="Arial"/>
                <w:sz w:val="16"/>
                <w:szCs w:val="16"/>
              </w:rPr>
            </w:pPr>
            <w:r w:rsidRPr="00A86423">
              <w:rPr>
                <w:rFonts w:ascii="Arial" w:hAnsi="Arial" w:cs="Arial"/>
                <w:sz w:val="16"/>
                <w:szCs w:val="16"/>
              </w:rPr>
              <w:t>212,783</w:t>
            </w:r>
          </w:p>
        </w:tc>
      </w:tr>
      <w:tr w:rsidR="001C1271" w:rsidRPr="00A86423" w14:paraId="6328E38A" w14:textId="77777777" w:rsidTr="00A86423">
        <w:trPr>
          <w:trHeight w:val="204"/>
        </w:trPr>
        <w:tc>
          <w:tcPr>
            <w:tcW w:w="1993" w:type="pct"/>
            <w:gridSpan w:val="3"/>
            <w:tcBorders>
              <w:top w:val="nil"/>
              <w:left w:val="nil"/>
              <w:bottom w:val="single" w:sz="4" w:space="0" w:color="auto"/>
              <w:right w:val="nil"/>
            </w:tcBorders>
            <w:shd w:val="clear" w:color="auto" w:fill="auto"/>
            <w:noWrap/>
            <w:vAlign w:val="bottom"/>
            <w:hideMark/>
          </w:tcPr>
          <w:p w14:paraId="4EFA21F2" w14:textId="77777777" w:rsidR="001C1271" w:rsidRPr="00A86423" w:rsidRDefault="001C1271" w:rsidP="001C1271">
            <w:pPr>
              <w:spacing w:after="0" w:line="240" w:lineRule="auto"/>
              <w:rPr>
                <w:rFonts w:ascii="Arial" w:hAnsi="Arial" w:cs="Arial"/>
                <w:b/>
                <w:bCs/>
                <w:sz w:val="16"/>
                <w:szCs w:val="16"/>
              </w:rPr>
            </w:pPr>
            <w:r w:rsidRPr="00A86423">
              <w:rPr>
                <w:rFonts w:ascii="Arial" w:hAnsi="Arial" w:cs="Arial"/>
                <w:b/>
                <w:bCs/>
                <w:sz w:val="16"/>
                <w:szCs w:val="16"/>
              </w:rPr>
              <w:t>Total expenses for Program 3.4</w:t>
            </w:r>
          </w:p>
        </w:tc>
        <w:tc>
          <w:tcPr>
            <w:tcW w:w="616" w:type="pct"/>
            <w:gridSpan w:val="4"/>
            <w:tcBorders>
              <w:top w:val="single" w:sz="4" w:space="0" w:color="auto"/>
              <w:left w:val="nil"/>
              <w:bottom w:val="single" w:sz="4" w:space="0" w:color="auto"/>
              <w:right w:val="nil"/>
            </w:tcBorders>
            <w:shd w:val="clear" w:color="auto" w:fill="auto"/>
            <w:noWrap/>
            <w:vAlign w:val="bottom"/>
            <w:hideMark/>
          </w:tcPr>
          <w:p w14:paraId="6CF52E15" w14:textId="2A5DC8FB" w:rsidR="001C1271" w:rsidRPr="00A86423" w:rsidRDefault="001C1271" w:rsidP="001C1271">
            <w:pPr>
              <w:spacing w:after="0" w:line="240" w:lineRule="auto"/>
              <w:jc w:val="right"/>
              <w:rPr>
                <w:rFonts w:ascii="Arial" w:hAnsi="Arial" w:cs="Arial"/>
                <w:b/>
                <w:bCs/>
                <w:sz w:val="16"/>
                <w:szCs w:val="16"/>
              </w:rPr>
            </w:pPr>
            <w:r w:rsidRPr="00A86423">
              <w:rPr>
                <w:rFonts w:ascii="Arial" w:hAnsi="Arial" w:cs="Arial"/>
                <w:b/>
                <w:bCs/>
                <w:sz w:val="16"/>
                <w:szCs w:val="16"/>
              </w:rPr>
              <w:t>223,885</w:t>
            </w:r>
          </w:p>
        </w:tc>
        <w:tc>
          <w:tcPr>
            <w:tcW w:w="589" w:type="pct"/>
            <w:gridSpan w:val="3"/>
            <w:tcBorders>
              <w:top w:val="single" w:sz="4" w:space="0" w:color="auto"/>
              <w:left w:val="nil"/>
              <w:bottom w:val="single" w:sz="4" w:space="0" w:color="auto"/>
              <w:right w:val="nil"/>
            </w:tcBorders>
            <w:shd w:val="clear" w:color="000000" w:fill="E6E6E6"/>
            <w:noWrap/>
            <w:vAlign w:val="bottom"/>
            <w:hideMark/>
          </w:tcPr>
          <w:p w14:paraId="14F5CE6C" w14:textId="6AF4080E" w:rsidR="001C1271" w:rsidRPr="00A86423" w:rsidRDefault="001C1271" w:rsidP="001C1271">
            <w:pPr>
              <w:spacing w:after="0" w:line="240" w:lineRule="auto"/>
              <w:jc w:val="right"/>
              <w:rPr>
                <w:rFonts w:ascii="Arial" w:hAnsi="Arial" w:cs="Arial"/>
                <w:b/>
                <w:bCs/>
                <w:sz w:val="16"/>
                <w:szCs w:val="16"/>
              </w:rPr>
            </w:pPr>
            <w:r w:rsidRPr="00A86423">
              <w:rPr>
                <w:rFonts w:ascii="Arial" w:hAnsi="Arial" w:cs="Arial"/>
                <w:b/>
                <w:bCs/>
                <w:sz w:val="16"/>
                <w:szCs w:val="16"/>
              </w:rPr>
              <w:t>523,328</w:t>
            </w:r>
          </w:p>
        </w:tc>
        <w:tc>
          <w:tcPr>
            <w:tcW w:w="561" w:type="pct"/>
            <w:gridSpan w:val="2"/>
            <w:tcBorders>
              <w:top w:val="single" w:sz="4" w:space="0" w:color="auto"/>
              <w:left w:val="nil"/>
              <w:bottom w:val="single" w:sz="4" w:space="0" w:color="auto"/>
              <w:right w:val="nil"/>
            </w:tcBorders>
            <w:shd w:val="clear" w:color="auto" w:fill="auto"/>
            <w:noWrap/>
            <w:vAlign w:val="bottom"/>
            <w:hideMark/>
          </w:tcPr>
          <w:p w14:paraId="34FCC333" w14:textId="2EE5F27E" w:rsidR="001C1271" w:rsidRPr="00A86423" w:rsidRDefault="001C1271" w:rsidP="001C1271">
            <w:pPr>
              <w:spacing w:after="0" w:line="240" w:lineRule="auto"/>
              <w:jc w:val="right"/>
              <w:rPr>
                <w:rFonts w:ascii="Arial" w:hAnsi="Arial" w:cs="Arial"/>
                <w:b/>
                <w:bCs/>
                <w:sz w:val="16"/>
                <w:szCs w:val="16"/>
              </w:rPr>
            </w:pPr>
            <w:r w:rsidRPr="00A86423">
              <w:rPr>
                <w:rFonts w:ascii="Arial" w:hAnsi="Arial" w:cs="Arial"/>
                <w:b/>
                <w:bCs/>
                <w:sz w:val="16"/>
                <w:szCs w:val="16"/>
              </w:rPr>
              <w:t>305,249</w:t>
            </w:r>
          </w:p>
        </w:tc>
        <w:tc>
          <w:tcPr>
            <w:tcW w:w="616" w:type="pct"/>
            <w:gridSpan w:val="4"/>
            <w:tcBorders>
              <w:top w:val="single" w:sz="4" w:space="0" w:color="auto"/>
              <w:left w:val="nil"/>
              <w:bottom w:val="single" w:sz="4" w:space="0" w:color="auto"/>
              <w:right w:val="nil"/>
            </w:tcBorders>
            <w:shd w:val="clear" w:color="auto" w:fill="auto"/>
            <w:noWrap/>
            <w:vAlign w:val="bottom"/>
            <w:hideMark/>
          </w:tcPr>
          <w:p w14:paraId="5FD95DAF" w14:textId="46948F22" w:rsidR="001C1271" w:rsidRPr="00A86423" w:rsidRDefault="001C1271" w:rsidP="001C1271">
            <w:pPr>
              <w:spacing w:after="0" w:line="240" w:lineRule="auto"/>
              <w:jc w:val="right"/>
              <w:rPr>
                <w:rFonts w:ascii="Arial" w:hAnsi="Arial" w:cs="Arial"/>
                <w:b/>
                <w:bCs/>
                <w:sz w:val="16"/>
                <w:szCs w:val="16"/>
              </w:rPr>
            </w:pPr>
            <w:r w:rsidRPr="00A86423">
              <w:rPr>
                <w:rFonts w:ascii="Arial" w:hAnsi="Arial" w:cs="Arial"/>
                <w:b/>
                <w:bCs/>
                <w:sz w:val="16"/>
                <w:szCs w:val="16"/>
              </w:rPr>
              <w:t>239,376</w:t>
            </w:r>
          </w:p>
        </w:tc>
        <w:tc>
          <w:tcPr>
            <w:tcW w:w="625" w:type="pct"/>
            <w:gridSpan w:val="4"/>
            <w:tcBorders>
              <w:top w:val="single" w:sz="4" w:space="0" w:color="auto"/>
              <w:left w:val="nil"/>
              <w:bottom w:val="single" w:sz="4" w:space="0" w:color="auto"/>
              <w:right w:val="nil"/>
            </w:tcBorders>
            <w:shd w:val="clear" w:color="auto" w:fill="auto"/>
            <w:noWrap/>
            <w:vAlign w:val="bottom"/>
            <w:hideMark/>
          </w:tcPr>
          <w:p w14:paraId="30EBDA77" w14:textId="4C43F081" w:rsidR="001C1271" w:rsidRPr="00A86423" w:rsidRDefault="001C1271" w:rsidP="001C1271">
            <w:pPr>
              <w:spacing w:after="0" w:line="240" w:lineRule="auto"/>
              <w:jc w:val="right"/>
              <w:rPr>
                <w:rFonts w:ascii="Arial" w:hAnsi="Arial" w:cs="Arial"/>
                <w:b/>
                <w:bCs/>
                <w:sz w:val="16"/>
                <w:szCs w:val="16"/>
              </w:rPr>
            </w:pPr>
            <w:r w:rsidRPr="00A86423">
              <w:rPr>
                <w:rFonts w:ascii="Arial" w:hAnsi="Arial" w:cs="Arial"/>
                <w:b/>
                <w:bCs/>
                <w:sz w:val="16"/>
                <w:szCs w:val="16"/>
              </w:rPr>
              <w:t>235,624</w:t>
            </w:r>
          </w:p>
        </w:tc>
      </w:tr>
    </w:tbl>
    <w:p w14:paraId="485D1D82" w14:textId="25BA3E7B" w:rsidR="008E7B3D" w:rsidRDefault="008E7B3D">
      <w:pPr>
        <w:spacing w:after="0" w:line="240" w:lineRule="auto"/>
        <w:rPr>
          <w:rFonts w:ascii="Arial" w:hAnsi="Arial" w:cs="Arial"/>
          <w:sz w:val="16"/>
        </w:rPr>
      </w:pPr>
      <w:r>
        <w:rPr>
          <w:rFonts w:ascii="Arial" w:hAnsi="Arial" w:cs="Arial"/>
          <w:sz w:val="16"/>
        </w:rPr>
        <w:br w:type="page"/>
      </w:r>
    </w:p>
    <w:p w14:paraId="3B0A6185" w14:textId="509992FC" w:rsidR="008E7B3D" w:rsidRDefault="008E7B3D" w:rsidP="008E7B3D">
      <w:pPr>
        <w:pStyle w:val="TableHeading"/>
      </w:pPr>
      <w:r w:rsidRPr="003B3EC2">
        <w:lastRenderedPageBreak/>
        <w:t>Table 2.</w:t>
      </w:r>
      <w:r>
        <w:t>3.</w:t>
      </w:r>
      <w:r w:rsidRPr="003B3EC2">
        <w:t>1: Budgeted expenses for Outcome 3</w:t>
      </w:r>
      <w:r>
        <w:t xml:space="preserve"> (continued)</w:t>
      </w:r>
    </w:p>
    <w:tbl>
      <w:tblPr>
        <w:tblW w:w="5000" w:type="pct"/>
        <w:tblLook w:val="04A0" w:firstRow="1" w:lastRow="0" w:firstColumn="1" w:lastColumn="0" w:noHBand="0" w:noVBand="1"/>
      </w:tblPr>
      <w:tblGrid>
        <w:gridCol w:w="3036"/>
        <w:gridCol w:w="962"/>
        <w:gridCol w:w="928"/>
        <w:gridCol w:w="928"/>
        <w:gridCol w:w="928"/>
        <w:gridCol w:w="928"/>
      </w:tblGrid>
      <w:tr w:rsidR="001C1271" w:rsidRPr="001C1271" w14:paraId="5EE4C278" w14:textId="77777777" w:rsidTr="001C1271">
        <w:trPr>
          <w:trHeight w:val="204"/>
        </w:trPr>
        <w:tc>
          <w:tcPr>
            <w:tcW w:w="1969" w:type="pct"/>
            <w:tcBorders>
              <w:top w:val="single" w:sz="4" w:space="0" w:color="auto"/>
              <w:left w:val="nil"/>
              <w:bottom w:val="single" w:sz="4" w:space="0" w:color="auto"/>
              <w:right w:val="nil"/>
            </w:tcBorders>
            <w:shd w:val="clear" w:color="auto" w:fill="auto"/>
            <w:noWrap/>
            <w:vAlign w:val="bottom"/>
            <w:hideMark/>
          </w:tcPr>
          <w:p w14:paraId="75C276A4" w14:textId="77777777" w:rsidR="001C1271" w:rsidRPr="001C1271" w:rsidRDefault="001C1271" w:rsidP="001C1271">
            <w:pPr>
              <w:spacing w:after="0" w:line="240" w:lineRule="auto"/>
              <w:rPr>
                <w:rFonts w:ascii="Arial" w:hAnsi="Arial" w:cs="Arial"/>
                <w:sz w:val="16"/>
                <w:szCs w:val="16"/>
              </w:rPr>
            </w:pPr>
            <w:r w:rsidRPr="001C1271">
              <w:rPr>
                <w:rFonts w:ascii="Arial" w:hAnsi="Arial" w:cs="Arial"/>
                <w:sz w:val="16"/>
                <w:szCs w:val="16"/>
              </w:rPr>
              <w:t> </w:t>
            </w:r>
          </w:p>
        </w:tc>
        <w:tc>
          <w:tcPr>
            <w:tcW w:w="624" w:type="pct"/>
            <w:tcBorders>
              <w:top w:val="single" w:sz="4" w:space="0" w:color="auto"/>
              <w:left w:val="nil"/>
              <w:bottom w:val="single" w:sz="4" w:space="0" w:color="auto"/>
              <w:right w:val="nil"/>
            </w:tcBorders>
            <w:shd w:val="clear" w:color="auto" w:fill="auto"/>
            <w:vAlign w:val="bottom"/>
            <w:hideMark/>
          </w:tcPr>
          <w:p w14:paraId="404E736E" w14:textId="77777777"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2022-23</w:t>
            </w:r>
            <w:r w:rsidRPr="001C1271">
              <w:rPr>
                <w:rFonts w:ascii="Arial" w:hAnsi="Arial" w:cs="Arial"/>
                <w:sz w:val="16"/>
                <w:szCs w:val="16"/>
              </w:rPr>
              <w:br/>
              <w:t>Estimated  actual</w:t>
            </w:r>
            <w:r w:rsidRPr="001C1271">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000000" w:fill="E6E6E6"/>
            <w:vAlign w:val="bottom"/>
            <w:hideMark/>
          </w:tcPr>
          <w:p w14:paraId="1CAF148F" w14:textId="77777777"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2023-24</w:t>
            </w:r>
            <w:r w:rsidRPr="001C1271">
              <w:rPr>
                <w:rFonts w:ascii="Arial" w:hAnsi="Arial" w:cs="Arial"/>
                <w:sz w:val="16"/>
                <w:szCs w:val="16"/>
              </w:rPr>
              <w:br/>
              <w:t xml:space="preserve"> Budget</w:t>
            </w:r>
            <w:r w:rsidRPr="001C1271">
              <w:rPr>
                <w:rFonts w:ascii="Arial" w:hAnsi="Arial" w:cs="Arial"/>
                <w:sz w:val="16"/>
                <w:szCs w:val="16"/>
              </w:rPr>
              <w:br/>
              <w:t xml:space="preserve">                                      $'000</w:t>
            </w:r>
          </w:p>
        </w:tc>
        <w:tc>
          <w:tcPr>
            <w:tcW w:w="602" w:type="pct"/>
            <w:tcBorders>
              <w:top w:val="single" w:sz="4" w:space="0" w:color="auto"/>
              <w:left w:val="nil"/>
              <w:bottom w:val="single" w:sz="4" w:space="0" w:color="auto"/>
              <w:right w:val="nil"/>
            </w:tcBorders>
            <w:shd w:val="clear" w:color="auto" w:fill="auto"/>
            <w:vAlign w:val="bottom"/>
            <w:hideMark/>
          </w:tcPr>
          <w:p w14:paraId="03B48460" w14:textId="77777777"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2024-25</w:t>
            </w:r>
            <w:r w:rsidRPr="001C1271">
              <w:rPr>
                <w:rFonts w:ascii="Arial" w:hAnsi="Arial" w:cs="Arial"/>
                <w:sz w:val="16"/>
                <w:szCs w:val="16"/>
              </w:rPr>
              <w:br/>
              <w:t>Forward estimate</w:t>
            </w:r>
            <w:r w:rsidRPr="001C1271">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vAlign w:val="bottom"/>
            <w:hideMark/>
          </w:tcPr>
          <w:p w14:paraId="3F4702DC" w14:textId="77777777"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2025-26</w:t>
            </w:r>
            <w:r w:rsidRPr="001C1271">
              <w:rPr>
                <w:rFonts w:ascii="Arial" w:hAnsi="Arial" w:cs="Arial"/>
                <w:sz w:val="16"/>
                <w:szCs w:val="16"/>
              </w:rPr>
              <w:br/>
              <w:t>Forward estimate</w:t>
            </w:r>
            <w:r w:rsidRPr="001C1271">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vAlign w:val="bottom"/>
            <w:hideMark/>
          </w:tcPr>
          <w:p w14:paraId="22457D4D" w14:textId="77777777"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2026-27</w:t>
            </w:r>
            <w:r w:rsidRPr="001C1271">
              <w:rPr>
                <w:rFonts w:ascii="Arial" w:hAnsi="Arial" w:cs="Arial"/>
                <w:sz w:val="16"/>
                <w:szCs w:val="16"/>
              </w:rPr>
              <w:br/>
              <w:t>Forward estimate</w:t>
            </w:r>
            <w:r w:rsidRPr="001C1271">
              <w:rPr>
                <w:rFonts w:ascii="Arial" w:hAnsi="Arial" w:cs="Arial"/>
                <w:sz w:val="16"/>
                <w:szCs w:val="16"/>
              </w:rPr>
              <w:br/>
              <w:t>$'000</w:t>
            </w:r>
          </w:p>
        </w:tc>
      </w:tr>
      <w:tr w:rsidR="001C1271" w:rsidRPr="001C1271" w14:paraId="2574733F" w14:textId="77777777" w:rsidTr="001C1271">
        <w:trPr>
          <w:trHeight w:val="204"/>
        </w:trPr>
        <w:tc>
          <w:tcPr>
            <w:tcW w:w="2593" w:type="pct"/>
            <w:gridSpan w:val="2"/>
            <w:tcBorders>
              <w:top w:val="single" w:sz="4" w:space="0" w:color="auto"/>
              <w:left w:val="nil"/>
              <w:bottom w:val="single" w:sz="4" w:space="0" w:color="auto"/>
              <w:right w:val="nil"/>
            </w:tcBorders>
            <w:shd w:val="clear" w:color="000000" w:fill="E6E6E6"/>
            <w:noWrap/>
            <w:vAlign w:val="bottom"/>
            <w:hideMark/>
          </w:tcPr>
          <w:p w14:paraId="09056B16" w14:textId="77777777" w:rsidR="001C1271" w:rsidRPr="001C1271" w:rsidRDefault="001C1271" w:rsidP="001C1271">
            <w:pPr>
              <w:spacing w:after="0" w:line="240" w:lineRule="auto"/>
              <w:rPr>
                <w:rFonts w:ascii="Arial" w:hAnsi="Arial" w:cs="Arial"/>
                <w:b/>
                <w:bCs/>
                <w:sz w:val="16"/>
                <w:szCs w:val="16"/>
              </w:rPr>
            </w:pPr>
            <w:r w:rsidRPr="001C1271">
              <w:rPr>
                <w:rFonts w:ascii="Arial" w:hAnsi="Arial" w:cs="Arial"/>
                <w:b/>
                <w:bCs/>
                <w:sz w:val="16"/>
                <w:szCs w:val="16"/>
              </w:rPr>
              <w:t>Program 3.5 Program Support for Outcome 3</w:t>
            </w:r>
          </w:p>
        </w:tc>
        <w:tc>
          <w:tcPr>
            <w:tcW w:w="602" w:type="pct"/>
            <w:tcBorders>
              <w:top w:val="nil"/>
              <w:left w:val="nil"/>
              <w:bottom w:val="single" w:sz="4" w:space="0" w:color="auto"/>
              <w:right w:val="nil"/>
            </w:tcBorders>
            <w:shd w:val="clear" w:color="000000" w:fill="E6E6E6"/>
            <w:noWrap/>
            <w:vAlign w:val="bottom"/>
            <w:hideMark/>
          </w:tcPr>
          <w:p w14:paraId="2FE9D747" w14:textId="77777777"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 </w:t>
            </w:r>
          </w:p>
        </w:tc>
        <w:tc>
          <w:tcPr>
            <w:tcW w:w="602" w:type="pct"/>
            <w:tcBorders>
              <w:top w:val="nil"/>
              <w:left w:val="nil"/>
              <w:bottom w:val="single" w:sz="4" w:space="0" w:color="auto"/>
              <w:right w:val="nil"/>
            </w:tcBorders>
            <w:shd w:val="clear" w:color="000000" w:fill="E6E6E6"/>
            <w:noWrap/>
            <w:vAlign w:val="bottom"/>
            <w:hideMark/>
          </w:tcPr>
          <w:p w14:paraId="38F47FAE" w14:textId="77777777"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 </w:t>
            </w:r>
          </w:p>
        </w:tc>
        <w:tc>
          <w:tcPr>
            <w:tcW w:w="602" w:type="pct"/>
            <w:tcBorders>
              <w:top w:val="nil"/>
              <w:left w:val="nil"/>
              <w:bottom w:val="single" w:sz="4" w:space="0" w:color="auto"/>
              <w:right w:val="nil"/>
            </w:tcBorders>
            <w:shd w:val="clear" w:color="000000" w:fill="E6E6E6"/>
            <w:noWrap/>
            <w:vAlign w:val="bottom"/>
            <w:hideMark/>
          </w:tcPr>
          <w:p w14:paraId="16D31B97" w14:textId="77777777"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 </w:t>
            </w:r>
          </w:p>
        </w:tc>
        <w:tc>
          <w:tcPr>
            <w:tcW w:w="602" w:type="pct"/>
            <w:tcBorders>
              <w:top w:val="nil"/>
              <w:left w:val="nil"/>
              <w:bottom w:val="single" w:sz="4" w:space="0" w:color="auto"/>
              <w:right w:val="nil"/>
            </w:tcBorders>
            <w:shd w:val="clear" w:color="000000" w:fill="E6E6E6"/>
            <w:noWrap/>
            <w:vAlign w:val="bottom"/>
            <w:hideMark/>
          </w:tcPr>
          <w:p w14:paraId="3BD6407B" w14:textId="77777777"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 </w:t>
            </w:r>
          </w:p>
        </w:tc>
      </w:tr>
      <w:tr w:rsidR="001C1271" w:rsidRPr="001C1271" w14:paraId="602A0BCF" w14:textId="77777777" w:rsidTr="001C1271">
        <w:trPr>
          <w:trHeight w:val="204"/>
        </w:trPr>
        <w:tc>
          <w:tcPr>
            <w:tcW w:w="1969" w:type="pct"/>
            <w:tcBorders>
              <w:top w:val="nil"/>
              <w:left w:val="nil"/>
              <w:bottom w:val="nil"/>
              <w:right w:val="nil"/>
            </w:tcBorders>
            <w:shd w:val="clear" w:color="auto" w:fill="auto"/>
            <w:noWrap/>
            <w:vAlign w:val="bottom"/>
            <w:hideMark/>
          </w:tcPr>
          <w:p w14:paraId="7F75F314" w14:textId="77777777" w:rsidR="001C1271" w:rsidRPr="001C1271" w:rsidRDefault="001C1271" w:rsidP="001C1271">
            <w:pPr>
              <w:spacing w:after="0" w:line="240" w:lineRule="auto"/>
              <w:rPr>
                <w:rFonts w:ascii="Arial" w:hAnsi="Arial" w:cs="Arial"/>
                <w:sz w:val="16"/>
                <w:szCs w:val="16"/>
              </w:rPr>
            </w:pPr>
            <w:r w:rsidRPr="001C1271">
              <w:rPr>
                <w:rFonts w:ascii="Arial" w:hAnsi="Arial" w:cs="Arial"/>
                <w:sz w:val="16"/>
                <w:szCs w:val="16"/>
              </w:rPr>
              <w:t>Departmental expenses</w:t>
            </w:r>
          </w:p>
        </w:tc>
        <w:tc>
          <w:tcPr>
            <w:tcW w:w="624" w:type="pct"/>
            <w:tcBorders>
              <w:top w:val="nil"/>
              <w:left w:val="nil"/>
              <w:bottom w:val="nil"/>
              <w:right w:val="nil"/>
            </w:tcBorders>
            <w:shd w:val="clear" w:color="auto" w:fill="auto"/>
            <w:noWrap/>
            <w:vAlign w:val="bottom"/>
            <w:hideMark/>
          </w:tcPr>
          <w:p w14:paraId="6AFB3322" w14:textId="77777777" w:rsidR="001C1271" w:rsidRPr="001C1271" w:rsidRDefault="001C1271" w:rsidP="001C1271">
            <w:pPr>
              <w:spacing w:after="0" w:line="240" w:lineRule="auto"/>
              <w:jc w:val="right"/>
              <w:rPr>
                <w:rFonts w:ascii="Arial" w:hAnsi="Arial" w:cs="Arial"/>
                <w:sz w:val="16"/>
                <w:szCs w:val="16"/>
              </w:rPr>
            </w:pPr>
          </w:p>
        </w:tc>
        <w:tc>
          <w:tcPr>
            <w:tcW w:w="602" w:type="pct"/>
            <w:tcBorders>
              <w:top w:val="nil"/>
              <w:left w:val="nil"/>
              <w:bottom w:val="nil"/>
              <w:right w:val="nil"/>
            </w:tcBorders>
            <w:shd w:val="clear" w:color="000000" w:fill="E6E6E6"/>
            <w:noWrap/>
            <w:vAlign w:val="bottom"/>
            <w:hideMark/>
          </w:tcPr>
          <w:p w14:paraId="41E59CB5" w14:textId="64506B07" w:rsidR="001C1271" w:rsidRPr="001C1271" w:rsidRDefault="001C1271" w:rsidP="001C1271">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20B9A140" w14:textId="77777777" w:rsidR="001C1271" w:rsidRPr="001C1271" w:rsidRDefault="001C1271" w:rsidP="001C1271">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0C6BD165" w14:textId="77777777" w:rsidR="001C1271" w:rsidRPr="001C1271" w:rsidRDefault="001C1271" w:rsidP="001C1271">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1F4CCB90" w14:textId="77777777" w:rsidR="001C1271" w:rsidRPr="001C1271" w:rsidRDefault="001C1271" w:rsidP="001C1271">
            <w:pPr>
              <w:spacing w:after="0" w:line="240" w:lineRule="auto"/>
              <w:jc w:val="right"/>
              <w:rPr>
                <w:rFonts w:ascii="Times New Roman" w:hAnsi="Times New Roman"/>
              </w:rPr>
            </w:pPr>
          </w:p>
        </w:tc>
      </w:tr>
      <w:tr w:rsidR="001C1271" w:rsidRPr="001C1271" w14:paraId="76250779" w14:textId="77777777" w:rsidTr="001C1271">
        <w:trPr>
          <w:trHeight w:val="204"/>
        </w:trPr>
        <w:tc>
          <w:tcPr>
            <w:tcW w:w="1969" w:type="pct"/>
            <w:tcBorders>
              <w:top w:val="nil"/>
              <w:left w:val="nil"/>
              <w:bottom w:val="nil"/>
              <w:right w:val="nil"/>
            </w:tcBorders>
            <w:shd w:val="clear" w:color="auto" w:fill="auto"/>
            <w:vAlign w:val="bottom"/>
            <w:hideMark/>
          </w:tcPr>
          <w:p w14:paraId="4813DC64" w14:textId="77777777" w:rsidR="001C1271" w:rsidRPr="001C1271" w:rsidRDefault="001C1271" w:rsidP="00595948">
            <w:pPr>
              <w:spacing w:after="0" w:line="240" w:lineRule="auto"/>
              <w:ind w:left="113"/>
              <w:rPr>
                <w:rFonts w:ascii="Arial" w:hAnsi="Arial" w:cs="Arial"/>
                <w:sz w:val="16"/>
                <w:szCs w:val="16"/>
              </w:rPr>
            </w:pPr>
            <w:r w:rsidRPr="001C1271">
              <w:rPr>
                <w:rFonts w:ascii="Arial" w:hAnsi="Arial" w:cs="Arial"/>
                <w:sz w:val="16"/>
                <w:szCs w:val="16"/>
              </w:rPr>
              <w:t>Departmental appropriation</w:t>
            </w:r>
          </w:p>
        </w:tc>
        <w:tc>
          <w:tcPr>
            <w:tcW w:w="624" w:type="pct"/>
            <w:tcBorders>
              <w:top w:val="nil"/>
              <w:left w:val="nil"/>
              <w:bottom w:val="nil"/>
              <w:right w:val="nil"/>
            </w:tcBorders>
            <w:shd w:val="clear" w:color="auto" w:fill="auto"/>
            <w:noWrap/>
            <w:vAlign w:val="bottom"/>
            <w:hideMark/>
          </w:tcPr>
          <w:p w14:paraId="3CFABA26" w14:textId="7C26E0A7"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78,395</w:t>
            </w:r>
          </w:p>
        </w:tc>
        <w:tc>
          <w:tcPr>
            <w:tcW w:w="602" w:type="pct"/>
            <w:tcBorders>
              <w:top w:val="nil"/>
              <w:left w:val="nil"/>
              <w:bottom w:val="nil"/>
              <w:right w:val="nil"/>
            </w:tcBorders>
            <w:shd w:val="clear" w:color="000000" w:fill="E6E6E6"/>
            <w:noWrap/>
            <w:vAlign w:val="bottom"/>
            <w:hideMark/>
          </w:tcPr>
          <w:p w14:paraId="79C42B21" w14:textId="7A856332"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79,952</w:t>
            </w:r>
          </w:p>
        </w:tc>
        <w:tc>
          <w:tcPr>
            <w:tcW w:w="602" w:type="pct"/>
            <w:tcBorders>
              <w:top w:val="nil"/>
              <w:left w:val="nil"/>
              <w:bottom w:val="nil"/>
              <w:right w:val="nil"/>
            </w:tcBorders>
            <w:shd w:val="clear" w:color="auto" w:fill="auto"/>
            <w:noWrap/>
            <w:vAlign w:val="bottom"/>
            <w:hideMark/>
          </w:tcPr>
          <w:p w14:paraId="75B77D55" w14:textId="6A3B712B"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73,533</w:t>
            </w:r>
          </w:p>
        </w:tc>
        <w:tc>
          <w:tcPr>
            <w:tcW w:w="602" w:type="pct"/>
            <w:tcBorders>
              <w:top w:val="nil"/>
              <w:left w:val="nil"/>
              <w:bottom w:val="nil"/>
              <w:right w:val="nil"/>
            </w:tcBorders>
            <w:shd w:val="clear" w:color="auto" w:fill="auto"/>
            <w:noWrap/>
            <w:vAlign w:val="bottom"/>
            <w:hideMark/>
          </w:tcPr>
          <w:p w14:paraId="1B5018E5" w14:textId="05717024"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60,669</w:t>
            </w:r>
          </w:p>
        </w:tc>
        <w:tc>
          <w:tcPr>
            <w:tcW w:w="602" w:type="pct"/>
            <w:tcBorders>
              <w:top w:val="nil"/>
              <w:left w:val="nil"/>
              <w:bottom w:val="nil"/>
              <w:right w:val="nil"/>
            </w:tcBorders>
            <w:shd w:val="clear" w:color="auto" w:fill="auto"/>
            <w:noWrap/>
            <w:vAlign w:val="bottom"/>
            <w:hideMark/>
          </w:tcPr>
          <w:p w14:paraId="6AD7DC22" w14:textId="6BE7CFAB"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49,933</w:t>
            </w:r>
          </w:p>
        </w:tc>
      </w:tr>
      <w:tr w:rsidR="001C1271" w:rsidRPr="001C1271" w14:paraId="2DC4E774" w14:textId="77777777" w:rsidTr="001C1271">
        <w:trPr>
          <w:trHeight w:val="204"/>
        </w:trPr>
        <w:tc>
          <w:tcPr>
            <w:tcW w:w="1969" w:type="pct"/>
            <w:tcBorders>
              <w:top w:val="nil"/>
              <w:left w:val="nil"/>
              <w:bottom w:val="nil"/>
              <w:right w:val="nil"/>
            </w:tcBorders>
            <w:shd w:val="clear" w:color="auto" w:fill="auto"/>
            <w:vAlign w:val="bottom"/>
            <w:hideMark/>
          </w:tcPr>
          <w:p w14:paraId="05E38DD9" w14:textId="1D67E064" w:rsidR="001C1271" w:rsidRPr="001C1271" w:rsidRDefault="001C1271" w:rsidP="00595948">
            <w:pPr>
              <w:spacing w:after="0" w:line="240" w:lineRule="auto"/>
              <w:ind w:left="113"/>
              <w:rPr>
                <w:rFonts w:ascii="Arial" w:hAnsi="Arial" w:cs="Arial"/>
                <w:sz w:val="16"/>
                <w:szCs w:val="16"/>
              </w:rPr>
            </w:pPr>
            <w:r w:rsidRPr="001C1271">
              <w:rPr>
                <w:rFonts w:ascii="Arial" w:hAnsi="Arial" w:cs="Arial"/>
                <w:sz w:val="16"/>
                <w:szCs w:val="16"/>
              </w:rPr>
              <w:t>Expenses not requiring appropriation in the Budget year</w:t>
            </w:r>
            <w:r w:rsidRPr="001C1271">
              <w:rPr>
                <w:rFonts w:ascii="Arial" w:hAnsi="Arial" w:cs="Arial"/>
                <w:sz w:val="16"/>
                <w:szCs w:val="16"/>
                <w:vertAlign w:val="superscript"/>
              </w:rPr>
              <w:t>(c)</w:t>
            </w:r>
          </w:p>
        </w:tc>
        <w:tc>
          <w:tcPr>
            <w:tcW w:w="624" w:type="pct"/>
            <w:tcBorders>
              <w:top w:val="nil"/>
              <w:left w:val="nil"/>
              <w:bottom w:val="nil"/>
              <w:right w:val="nil"/>
            </w:tcBorders>
            <w:shd w:val="clear" w:color="auto" w:fill="auto"/>
            <w:noWrap/>
            <w:vAlign w:val="bottom"/>
            <w:hideMark/>
          </w:tcPr>
          <w:p w14:paraId="05C57D13" w14:textId="18F59C74"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2,983</w:t>
            </w:r>
          </w:p>
        </w:tc>
        <w:tc>
          <w:tcPr>
            <w:tcW w:w="602" w:type="pct"/>
            <w:tcBorders>
              <w:top w:val="nil"/>
              <w:left w:val="nil"/>
              <w:bottom w:val="nil"/>
              <w:right w:val="nil"/>
            </w:tcBorders>
            <w:shd w:val="clear" w:color="000000" w:fill="E6E6E6"/>
            <w:noWrap/>
            <w:vAlign w:val="bottom"/>
            <w:hideMark/>
          </w:tcPr>
          <w:p w14:paraId="045C0112" w14:textId="217FDE17"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58A1C7BC" w14:textId="4177EAED"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517859FA" w14:textId="307C6662"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1120AE21" w14:textId="2F7080BD"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w:t>
            </w:r>
          </w:p>
        </w:tc>
      </w:tr>
      <w:tr w:rsidR="001C1271" w:rsidRPr="001C1271" w14:paraId="15BCD23C" w14:textId="77777777" w:rsidTr="001C1271">
        <w:trPr>
          <w:trHeight w:val="204"/>
        </w:trPr>
        <w:tc>
          <w:tcPr>
            <w:tcW w:w="1969" w:type="pct"/>
            <w:tcBorders>
              <w:top w:val="nil"/>
              <w:left w:val="nil"/>
              <w:bottom w:val="single" w:sz="4" w:space="0" w:color="auto"/>
              <w:right w:val="nil"/>
            </w:tcBorders>
            <w:shd w:val="clear" w:color="auto" w:fill="auto"/>
            <w:noWrap/>
            <w:vAlign w:val="bottom"/>
            <w:hideMark/>
          </w:tcPr>
          <w:p w14:paraId="75F02135" w14:textId="77777777" w:rsidR="001C1271" w:rsidRPr="001C1271" w:rsidRDefault="001C1271" w:rsidP="001C1271">
            <w:pPr>
              <w:spacing w:after="0" w:line="240" w:lineRule="auto"/>
              <w:rPr>
                <w:rFonts w:ascii="Arial" w:hAnsi="Arial" w:cs="Arial"/>
                <w:b/>
                <w:bCs/>
                <w:sz w:val="16"/>
                <w:szCs w:val="16"/>
              </w:rPr>
            </w:pPr>
            <w:r w:rsidRPr="001C1271">
              <w:rPr>
                <w:rFonts w:ascii="Arial" w:hAnsi="Arial" w:cs="Arial"/>
                <w:b/>
                <w:bCs/>
                <w:sz w:val="16"/>
                <w:szCs w:val="16"/>
              </w:rPr>
              <w:t>Total expenses for Program 3.5</w:t>
            </w:r>
          </w:p>
        </w:tc>
        <w:tc>
          <w:tcPr>
            <w:tcW w:w="624" w:type="pct"/>
            <w:tcBorders>
              <w:top w:val="single" w:sz="4" w:space="0" w:color="auto"/>
              <w:left w:val="nil"/>
              <w:bottom w:val="single" w:sz="4" w:space="0" w:color="auto"/>
              <w:right w:val="nil"/>
            </w:tcBorders>
            <w:shd w:val="clear" w:color="auto" w:fill="auto"/>
            <w:noWrap/>
            <w:vAlign w:val="bottom"/>
            <w:hideMark/>
          </w:tcPr>
          <w:p w14:paraId="1836E6D1" w14:textId="0A07A2E9" w:rsidR="001C1271" w:rsidRPr="001C1271" w:rsidRDefault="001C1271" w:rsidP="001C1271">
            <w:pPr>
              <w:spacing w:after="0" w:line="240" w:lineRule="auto"/>
              <w:jc w:val="right"/>
              <w:rPr>
                <w:rFonts w:ascii="Arial" w:hAnsi="Arial" w:cs="Arial"/>
                <w:b/>
                <w:bCs/>
                <w:sz w:val="16"/>
                <w:szCs w:val="16"/>
              </w:rPr>
            </w:pPr>
            <w:r w:rsidRPr="001C1271">
              <w:rPr>
                <w:rFonts w:ascii="Arial" w:hAnsi="Arial" w:cs="Arial"/>
                <w:b/>
                <w:bCs/>
                <w:sz w:val="16"/>
                <w:szCs w:val="16"/>
              </w:rPr>
              <w:t>81,378</w:t>
            </w:r>
          </w:p>
        </w:tc>
        <w:tc>
          <w:tcPr>
            <w:tcW w:w="602" w:type="pct"/>
            <w:tcBorders>
              <w:top w:val="single" w:sz="4" w:space="0" w:color="auto"/>
              <w:left w:val="nil"/>
              <w:bottom w:val="single" w:sz="4" w:space="0" w:color="auto"/>
              <w:right w:val="nil"/>
            </w:tcBorders>
            <w:shd w:val="clear" w:color="000000" w:fill="E6E6E6"/>
            <w:noWrap/>
            <w:vAlign w:val="bottom"/>
            <w:hideMark/>
          </w:tcPr>
          <w:p w14:paraId="0D419D72" w14:textId="62018CB9" w:rsidR="001C1271" w:rsidRPr="001C1271" w:rsidRDefault="001C1271" w:rsidP="001C1271">
            <w:pPr>
              <w:spacing w:after="0" w:line="240" w:lineRule="auto"/>
              <w:jc w:val="right"/>
              <w:rPr>
                <w:rFonts w:ascii="Arial" w:hAnsi="Arial" w:cs="Arial"/>
                <w:b/>
                <w:bCs/>
                <w:sz w:val="16"/>
                <w:szCs w:val="16"/>
              </w:rPr>
            </w:pPr>
            <w:r w:rsidRPr="001C1271">
              <w:rPr>
                <w:rFonts w:ascii="Arial" w:hAnsi="Arial" w:cs="Arial"/>
                <w:b/>
                <w:bCs/>
                <w:sz w:val="16"/>
                <w:szCs w:val="16"/>
              </w:rPr>
              <w:t>79,952</w:t>
            </w:r>
          </w:p>
        </w:tc>
        <w:tc>
          <w:tcPr>
            <w:tcW w:w="602" w:type="pct"/>
            <w:tcBorders>
              <w:top w:val="single" w:sz="4" w:space="0" w:color="auto"/>
              <w:left w:val="nil"/>
              <w:bottom w:val="single" w:sz="4" w:space="0" w:color="auto"/>
              <w:right w:val="nil"/>
            </w:tcBorders>
            <w:shd w:val="clear" w:color="auto" w:fill="auto"/>
            <w:noWrap/>
            <w:vAlign w:val="bottom"/>
            <w:hideMark/>
          </w:tcPr>
          <w:p w14:paraId="2941D6C3" w14:textId="70808B5E" w:rsidR="001C1271" w:rsidRPr="001C1271" w:rsidRDefault="001C1271" w:rsidP="001C1271">
            <w:pPr>
              <w:spacing w:after="0" w:line="240" w:lineRule="auto"/>
              <w:jc w:val="right"/>
              <w:rPr>
                <w:rFonts w:ascii="Arial" w:hAnsi="Arial" w:cs="Arial"/>
                <w:b/>
                <w:bCs/>
                <w:sz w:val="16"/>
                <w:szCs w:val="16"/>
              </w:rPr>
            </w:pPr>
            <w:r w:rsidRPr="001C1271">
              <w:rPr>
                <w:rFonts w:ascii="Arial" w:hAnsi="Arial" w:cs="Arial"/>
                <w:b/>
                <w:bCs/>
                <w:sz w:val="16"/>
                <w:szCs w:val="16"/>
              </w:rPr>
              <w:t>73,533</w:t>
            </w:r>
          </w:p>
        </w:tc>
        <w:tc>
          <w:tcPr>
            <w:tcW w:w="602" w:type="pct"/>
            <w:tcBorders>
              <w:top w:val="single" w:sz="4" w:space="0" w:color="auto"/>
              <w:left w:val="nil"/>
              <w:bottom w:val="single" w:sz="4" w:space="0" w:color="auto"/>
              <w:right w:val="nil"/>
            </w:tcBorders>
            <w:shd w:val="clear" w:color="auto" w:fill="auto"/>
            <w:noWrap/>
            <w:vAlign w:val="bottom"/>
            <w:hideMark/>
          </w:tcPr>
          <w:p w14:paraId="5DD8C118" w14:textId="0E6F8026" w:rsidR="001C1271" w:rsidRPr="001C1271" w:rsidRDefault="001C1271" w:rsidP="001C1271">
            <w:pPr>
              <w:spacing w:after="0" w:line="240" w:lineRule="auto"/>
              <w:jc w:val="right"/>
              <w:rPr>
                <w:rFonts w:ascii="Arial" w:hAnsi="Arial" w:cs="Arial"/>
                <w:b/>
                <w:bCs/>
                <w:sz w:val="16"/>
                <w:szCs w:val="16"/>
              </w:rPr>
            </w:pPr>
            <w:r w:rsidRPr="001C1271">
              <w:rPr>
                <w:rFonts w:ascii="Arial" w:hAnsi="Arial" w:cs="Arial"/>
                <w:b/>
                <w:bCs/>
                <w:sz w:val="16"/>
                <w:szCs w:val="16"/>
              </w:rPr>
              <w:t>60,669</w:t>
            </w:r>
          </w:p>
        </w:tc>
        <w:tc>
          <w:tcPr>
            <w:tcW w:w="602" w:type="pct"/>
            <w:tcBorders>
              <w:top w:val="single" w:sz="4" w:space="0" w:color="auto"/>
              <w:left w:val="nil"/>
              <w:bottom w:val="single" w:sz="4" w:space="0" w:color="auto"/>
              <w:right w:val="nil"/>
            </w:tcBorders>
            <w:shd w:val="clear" w:color="auto" w:fill="auto"/>
            <w:noWrap/>
            <w:vAlign w:val="bottom"/>
            <w:hideMark/>
          </w:tcPr>
          <w:p w14:paraId="5F748FC8" w14:textId="6693F3F7" w:rsidR="001C1271" w:rsidRPr="001C1271" w:rsidRDefault="001C1271" w:rsidP="001C1271">
            <w:pPr>
              <w:spacing w:after="0" w:line="240" w:lineRule="auto"/>
              <w:jc w:val="right"/>
              <w:rPr>
                <w:rFonts w:ascii="Arial" w:hAnsi="Arial" w:cs="Arial"/>
                <w:b/>
                <w:bCs/>
                <w:sz w:val="16"/>
                <w:szCs w:val="16"/>
              </w:rPr>
            </w:pPr>
            <w:r w:rsidRPr="001C1271">
              <w:rPr>
                <w:rFonts w:ascii="Arial" w:hAnsi="Arial" w:cs="Arial"/>
                <w:b/>
                <w:bCs/>
                <w:sz w:val="16"/>
                <w:szCs w:val="16"/>
              </w:rPr>
              <w:t>49,933</w:t>
            </w:r>
          </w:p>
        </w:tc>
      </w:tr>
      <w:tr w:rsidR="001C1271" w:rsidRPr="001C1271" w14:paraId="44AD1338" w14:textId="77777777" w:rsidTr="001C1271">
        <w:trPr>
          <w:trHeight w:val="204"/>
        </w:trPr>
        <w:tc>
          <w:tcPr>
            <w:tcW w:w="2593" w:type="pct"/>
            <w:gridSpan w:val="2"/>
            <w:tcBorders>
              <w:top w:val="single" w:sz="4" w:space="0" w:color="auto"/>
              <w:left w:val="nil"/>
              <w:bottom w:val="single" w:sz="4" w:space="0" w:color="auto"/>
              <w:right w:val="nil"/>
            </w:tcBorders>
            <w:shd w:val="clear" w:color="000000" w:fill="E6E6E6"/>
            <w:noWrap/>
            <w:vAlign w:val="bottom"/>
            <w:hideMark/>
          </w:tcPr>
          <w:p w14:paraId="183DBAEE" w14:textId="77777777" w:rsidR="001C1271" w:rsidRPr="001C1271" w:rsidRDefault="001C1271" w:rsidP="001C1271">
            <w:pPr>
              <w:spacing w:after="0" w:line="240" w:lineRule="auto"/>
              <w:rPr>
                <w:rFonts w:ascii="Arial" w:hAnsi="Arial" w:cs="Arial"/>
                <w:b/>
                <w:bCs/>
                <w:sz w:val="16"/>
                <w:szCs w:val="16"/>
              </w:rPr>
            </w:pPr>
            <w:r w:rsidRPr="001C1271">
              <w:rPr>
                <w:rFonts w:ascii="Arial" w:hAnsi="Arial" w:cs="Arial"/>
                <w:b/>
                <w:bCs/>
                <w:sz w:val="16"/>
                <w:szCs w:val="16"/>
              </w:rPr>
              <w:t>Outcome 3 Totals by appropriation type</w:t>
            </w:r>
          </w:p>
        </w:tc>
        <w:tc>
          <w:tcPr>
            <w:tcW w:w="602" w:type="pct"/>
            <w:tcBorders>
              <w:top w:val="nil"/>
              <w:left w:val="nil"/>
              <w:bottom w:val="single" w:sz="4" w:space="0" w:color="auto"/>
              <w:right w:val="nil"/>
            </w:tcBorders>
            <w:shd w:val="clear" w:color="000000" w:fill="E6E6E6"/>
            <w:noWrap/>
            <w:vAlign w:val="bottom"/>
            <w:hideMark/>
          </w:tcPr>
          <w:p w14:paraId="1338F483" w14:textId="77777777"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 </w:t>
            </w:r>
          </w:p>
        </w:tc>
        <w:tc>
          <w:tcPr>
            <w:tcW w:w="602" w:type="pct"/>
            <w:tcBorders>
              <w:top w:val="nil"/>
              <w:left w:val="nil"/>
              <w:bottom w:val="single" w:sz="4" w:space="0" w:color="auto"/>
              <w:right w:val="nil"/>
            </w:tcBorders>
            <w:shd w:val="clear" w:color="000000" w:fill="E6E6E6"/>
            <w:noWrap/>
            <w:vAlign w:val="bottom"/>
            <w:hideMark/>
          </w:tcPr>
          <w:p w14:paraId="0B08F3F9" w14:textId="77777777"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 </w:t>
            </w:r>
          </w:p>
        </w:tc>
        <w:tc>
          <w:tcPr>
            <w:tcW w:w="602" w:type="pct"/>
            <w:tcBorders>
              <w:top w:val="nil"/>
              <w:left w:val="nil"/>
              <w:bottom w:val="single" w:sz="4" w:space="0" w:color="auto"/>
              <w:right w:val="nil"/>
            </w:tcBorders>
            <w:shd w:val="clear" w:color="000000" w:fill="E6E6E6"/>
            <w:noWrap/>
            <w:vAlign w:val="bottom"/>
            <w:hideMark/>
          </w:tcPr>
          <w:p w14:paraId="71845BA4" w14:textId="77777777"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 </w:t>
            </w:r>
          </w:p>
        </w:tc>
        <w:tc>
          <w:tcPr>
            <w:tcW w:w="602" w:type="pct"/>
            <w:tcBorders>
              <w:top w:val="nil"/>
              <w:left w:val="nil"/>
              <w:bottom w:val="single" w:sz="4" w:space="0" w:color="auto"/>
              <w:right w:val="nil"/>
            </w:tcBorders>
            <w:shd w:val="clear" w:color="000000" w:fill="E6E6E6"/>
            <w:noWrap/>
            <w:vAlign w:val="bottom"/>
            <w:hideMark/>
          </w:tcPr>
          <w:p w14:paraId="7DBC87A7" w14:textId="77777777"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 </w:t>
            </w:r>
          </w:p>
        </w:tc>
      </w:tr>
      <w:tr w:rsidR="001C1271" w:rsidRPr="001C1271" w14:paraId="50A1AEBF" w14:textId="77777777" w:rsidTr="001C1271">
        <w:trPr>
          <w:trHeight w:val="204"/>
        </w:trPr>
        <w:tc>
          <w:tcPr>
            <w:tcW w:w="1969" w:type="pct"/>
            <w:tcBorders>
              <w:top w:val="nil"/>
              <w:left w:val="nil"/>
              <w:bottom w:val="nil"/>
              <w:right w:val="nil"/>
            </w:tcBorders>
            <w:shd w:val="clear" w:color="auto" w:fill="auto"/>
            <w:noWrap/>
            <w:vAlign w:val="bottom"/>
            <w:hideMark/>
          </w:tcPr>
          <w:p w14:paraId="3EC7276E" w14:textId="77777777" w:rsidR="001C1271" w:rsidRPr="001C1271" w:rsidRDefault="001C1271" w:rsidP="001C1271">
            <w:pPr>
              <w:spacing w:after="0" w:line="240" w:lineRule="auto"/>
              <w:rPr>
                <w:rFonts w:ascii="Arial" w:hAnsi="Arial" w:cs="Arial"/>
                <w:sz w:val="16"/>
                <w:szCs w:val="16"/>
              </w:rPr>
            </w:pPr>
            <w:r w:rsidRPr="001C1271">
              <w:rPr>
                <w:rFonts w:ascii="Arial" w:hAnsi="Arial" w:cs="Arial"/>
                <w:sz w:val="16"/>
                <w:szCs w:val="16"/>
              </w:rPr>
              <w:t>Administered expenses</w:t>
            </w:r>
          </w:p>
        </w:tc>
        <w:tc>
          <w:tcPr>
            <w:tcW w:w="624" w:type="pct"/>
            <w:tcBorders>
              <w:top w:val="nil"/>
              <w:left w:val="nil"/>
              <w:bottom w:val="nil"/>
              <w:right w:val="nil"/>
            </w:tcBorders>
            <w:shd w:val="clear" w:color="auto" w:fill="auto"/>
            <w:noWrap/>
            <w:vAlign w:val="bottom"/>
            <w:hideMark/>
          </w:tcPr>
          <w:p w14:paraId="794089DD" w14:textId="77777777" w:rsidR="001C1271" w:rsidRPr="001C1271" w:rsidRDefault="001C1271" w:rsidP="001C1271">
            <w:pPr>
              <w:spacing w:after="0" w:line="240" w:lineRule="auto"/>
              <w:jc w:val="right"/>
              <w:rPr>
                <w:rFonts w:ascii="Arial" w:hAnsi="Arial" w:cs="Arial"/>
                <w:sz w:val="16"/>
                <w:szCs w:val="16"/>
              </w:rPr>
            </w:pPr>
          </w:p>
        </w:tc>
        <w:tc>
          <w:tcPr>
            <w:tcW w:w="602" w:type="pct"/>
            <w:tcBorders>
              <w:top w:val="nil"/>
              <w:left w:val="nil"/>
              <w:bottom w:val="nil"/>
              <w:right w:val="nil"/>
            </w:tcBorders>
            <w:shd w:val="clear" w:color="000000" w:fill="E6E6E6"/>
            <w:noWrap/>
            <w:vAlign w:val="bottom"/>
            <w:hideMark/>
          </w:tcPr>
          <w:p w14:paraId="3BF5DA7F" w14:textId="12C2424A" w:rsidR="001C1271" w:rsidRPr="001C1271" w:rsidRDefault="001C1271" w:rsidP="001C1271">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61CC13AD" w14:textId="77777777" w:rsidR="001C1271" w:rsidRPr="001C1271" w:rsidRDefault="001C1271" w:rsidP="001C1271">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6D1BB002" w14:textId="77777777" w:rsidR="001C1271" w:rsidRPr="001C1271" w:rsidRDefault="001C1271" w:rsidP="001C1271">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5A3C2699" w14:textId="77777777" w:rsidR="001C1271" w:rsidRPr="001C1271" w:rsidRDefault="001C1271" w:rsidP="001C1271">
            <w:pPr>
              <w:spacing w:after="0" w:line="240" w:lineRule="auto"/>
              <w:jc w:val="right"/>
              <w:rPr>
                <w:rFonts w:ascii="Times New Roman" w:hAnsi="Times New Roman"/>
              </w:rPr>
            </w:pPr>
          </w:p>
        </w:tc>
      </w:tr>
      <w:tr w:rsidR="001C1271" w:rsidRPr="001C1271" w14:paraId="71001345" w14:textId="77777777" w:rsidTr="001C1271">
        <w:trPr>
          <w:trHeight w:val="204"/>
        </w:trPr>
        <w:tc>
          <w:tcPr>
            <w:tcW w:w="1969" w:type="pct"/>
            <w:tcBorders>
              <w:top w:val="nil"/>
              <w:left w:val="nil"/>
              <w:bottom w:val="nil"/>
              <w:right w:val="nil"/>
            </w:tcBorders>
            <w:shd w:val="clear" w:color="auto" w:fill="auto"/>
            <w:vAlign w:val="bottom"/>
            <w:hideMark/>
          </w:tcPr>
          <w:p w14:paraId="65B9B631" w14:textId="42FBC070" w:rsidR="001C1271" w:rsidRPr="001C1271" w:rsidRDefault="001C1271" w:rsidP="001C1271">
            <w:pPr>
              <w:spacing w:after="0" w:line="240" w:lineRule="auto"/>
              <w:ind w:left="113"/>
              <w:rPr>
                <w:rFonts w:ascii="Arial" w:hAnsi="Arial" w:cs="Arial"/>
                <w:sz w:val="16"/>
                <w:szCs w:val="16"/>
              </w:rPr>
            </w:pPr>
            <w:r w:rsidRPr="001C1271">
              <w:rPr>
                <w:rFonts w:ascii="Arial" w:hAnsi="Arial" w:cs="Arial"/>
                <w:sz w:val="16"/>
                <w:szCs w:val="16"/>
              </w:rPr>
              <w:t>Ordinary annual services (Appropriation Bill No. 1)</w:t>
            </w:r>
          </w:p>
        </w:tc>
        <w:tc>
          <w:tcPr>
            <w:tcW w:w="624" w:type="pct"/>
            <w:tcBorders>
              <w:top w:val="nil"/>
              <w:left w:val="nil"/>
              <w:bottom w:val="nil"/>
              <w:right w:val="nil"/>
            </w:tcBorders>
            <w:shd w:val="clear" w:color="auto" w:fill="auto"/>
            <w:noWrap/>
            <w:vAlign w:val="bottom"/>
            <w:hideMark/>
          </w:tcPr>
          <w:p w14:paraId="208F69B8" w14:textId="4175DEF5"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782,406</w:t>
            </w:r>
          </w:p>
        </w:tc>
        <w:tc>
          <w:tcPr>
            <w:tcW w:w="602" w:type="pct"/>
            <w:tcBorders>
              <w:top w:val="nil"/>
              <w:left w:val="nil"/>
              <w:bottom w:val="nil"/>
              <w:right w:val="nil"/>
            </w:tcBorders>
            <w:shd w:val="clear" w:color="000000" w:fill="E6E6E6"/>
            <w:noWrap/>
            <w:vAlign w:val="bottom"/>
            <w:hideMark/>
          </w:tcPr>
          <w:p w14:paraId="38D76B3F" w14:textId="61F7412E"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946,056</w:t>
            </w:r>
          </w:p>
        </w:tc>
        <w:tc>
          <w:tcPr>
            <w:tcW w:w="602" w:type="pct"/>
            <w:tcBorders>
              <w:top w:val="nil"/>
              <w:left w:val="nil"/>
              <w:bottom w:val="nil"/>
              <w:right w:val="nil"/>
            </w:tcBorders>
            <w:shd w:val="clear" w:color="auto" w:fill="auto"/>
            <w:noWrap/>
            <w:vAlign w:val="bottom"/>
            <w:hideMark/>
          </w:tcPr>
          <w:p w14:paraId="3B3A1A97" w14:textId="658C7C4B"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1,185,770</w:t>
            </w:r>
          </w:p>
        </w:tc>
        <w:tc>
          <w:tcPr>
            <w:tcW w:w="602" w:type="pct"/>
            <w:tcBorders>
              <w:top w:val="nil"/>
              <w:left w:val="nil"/>
              <w:bottom w:val="nil"/>
              <w:right w:val="nil"/>
            </w:tcBorders>
            <w:shd w:val="clear" w:color="auto" w:fill="auto"/>
            <w:noWrap/>
            <w:vAlign w:val="bottom"/>
            <w:hideMark/>
          </w:tcPr>
          <w:p w14:paraId="3F1AF05E" w14:textId="59892961"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1,512,809</w:t>
            </w:r>
          </w:p>
        </w:tc>
        <w:tc>
          <w:tcPr>
            <w:tcW w:w="602" w:type="pct"/>
            <w:tcBorders>
              <w:top w:val="nil"/>
              <w:left w:val="nil"/>
              <w:bottom w:val="nil"/>
              <w:right w:val="nil"/>
            </w:tcBorders>
            <w:shd w:val="clear" w:color="auto" w:fill="auto"/>
            <w:noWrap/>
            <w:vAlign w:val="bottom"/>
            <w:hideMark/>
          </w:tcPr>
          <w:p w14:paraId="07841401" w14:textId="7E0549CC"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261,217</w:t>
            </w:r>
          </w:p>
        </w:tc>
      </w:tr>
      <w:tr w:rsidR="001C1271" w:rsidRPr="001C1271" w14:paraId="61B267AE" w14:textId="77777777" w:rsidTr="001C1271">
        <w:trPr>
          <w:trHeight w:val="204"/>
        </w:trPr>
        <w:tc>
          <w:tcPr>
            <w:tcW w:w="1969" w:type="pct"/>
            <w:tcBorders>
              <w:top w:val="nil"/>
              <w:left w:val="nil"/>
              <w:bottom w:val="nil"/>
              <w:right w:val="nil"/>
            </w:tcBorders>
            <w:shd w:val="clear" w:color="000000" w:fill="FFFFFF"/>
            <w:vAlign w:val="bottom"/>
            <w:hideMark/>
          </w:tcPr>
          <w:p w14:paraId="2AF04504" w14:textId="27AFE6A2" w:rsidR="001C1271" w:rsidRPr="001C1271" w:rsidRDefault="001C1271" w:rsidP="001C1271">
            <w:pPr>
              <w:spacing w:after="0" w:line="240" w:lineRule="auto"/>
              <w:ind w:left="113"/>
              <w:rPr>
                <w:rFonts w:ascii="Arial" w:hAnsi="Arial" w:cs="Arial"/>
                <w:sz w:val="16"/>
                <w:szCs w:val="16"/>
              </w:rPr>
            </w:pPr>
            <w:r w:rsidRPr="001C1271">
              <w:rPr>
                <w:rFonts w:ascii="Arial" w:hAnsi="Arial" w:cs="Arial"/>
                <w:sz w:val="16"/>
                <w:szCs w:val="16"/>
              </w:rPr>
              <w:t>Other services (Appropriation Bill No.</w:t>
            </w:r>
            <w:r>
              <w:rPr>
                <w:rFonts w:ascii="Arial" w:hAnsi="Arial" w:cs="Arial"/>
                <w:sz w:val="16"/>
                <w:szCs w:val="16"/>
              </w:rPr>
              <w:t> </w:t>
            </w:r>
            <w:r w:rsidRPr="001C1271">
              <w:rPr>
                <w:rFonts w:ascii="Arial" w:hAnsi="Arial" w:cs="Arial"/>
                <w:sz w:val="16"/>
                <w:szCs w:val="16"/>
              </w:rPr>
              <w:t>2)</w:t>
            </w:r>
          </w:p>
        </w:tc>
        <w:tc>
          <w:tcPr>
            <w:tcW w:w="624" w:type="pct"/>
            <w:tcBorders>
              <w:top w:val="nil"/>
              <w:left w:val="nil"/>
              <w:bottom w:val="nil"/>
              <w:right w:val="nil"/>
            </w:tcBorders>
            <w:shd w:val="clear" w:color="auto" w:fill="auto"/>
            <w:noWrap/>
            <w:vAlign w:val="bottom"/>
            <w:hideMark/>
          </w:tcPr>
          <w:p w14:paraId="5E94632C" w14:textId="2BED15F7"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669,330</w:t>
            </w:r>
          </w:p>
        </w:tc>
        <w:tc>
          <w:tcPr>
            <w:tcW w:w="602" w:type="pct"/>
            <w:tcBorders>
              <w:top w:val="nil"/>
              <w:left w:val="nil"/>
              <w:bottom w:val="nil"/>
              <w:right w:val="nil"/>
            </w:tcBorders>
            <w:shd w:val="clear" w:color="000000" w:fill="E6E6E6"/>
            <w:noWrap/>
            <w:vAlign w:val="bottom"/>
            <w:hideMark/>
          </w:tcPr>
          <w:p w14:paraId="7DAD7C14" w14:textId="41706C23"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349,610</w:t>
            </w:r>
          </w:p>
        </w:tc>
        <w:tc>
          <w:tcPr>
            <w:tcW w:w="602" w:type="pct"/>
            <w:tcBorders>
              <w:top w:val="nil"/>
              <w:left w:val="nil"/>
              <w:bottom w:val="nil"/>
              <w:right w:val="nil"/>
            </w:tcBorders>
            <w:shd w:val="clear" w:color="auto" w:fill="auto"/>
            <w:noWrap/>
            <w:vAlign w:val="bottom"/>
            <w:hideMark/>
          </w:tcPr>
          <w:p w14:paraId="037DF717" w14:textId="10F15887"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249,721</w:t>
            </w:r>
          </w:p>
        </w:tc>
        <w:tc>
          <w:tcPr>
            <w:tcW w:w="602" w:type="pct"/>
            <w:tcBorders>
              <w:top w:val="nil"/>
              <w:left w:val="nil"/>
              <w:bottom w:val="nil"/>
              <w:right w:val="nil"/>
            </w:tcBorders>
            <w:shd w:val="clear" w:color="auto" w:fill="auto"/>
            <w:noWrap/>
            <w:vAlign w:val="bottom"/>
            <w:hideMark/>
          </w:tcPr>
          <w:p w14:paraId="127CEF85" w14:textId="15DDF668"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5DFD83B4" w14:textId="7F42B291"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w:t>
            </w:r>
          </w:p>
        </w:tc>
      </w:tr>
      <w:tr w:rsidR="001C1271" w:rsidRPr="001C1271" w14:paraId="04C621DD" w14:textId="77777777" w:rsidTr="001C1271">
        <w:trPr>
          <w:trHeight w:val="204"/>
        </w:trPr>
        <w:tc>
          <w:tcPr>
            <w:tcW w:w="1969" w:type="pct"/>
            <w:tcBorders>
              <w:top w:val="nil"/>
              <w:left w:val="nil"/>
              <w:bottom w:val="nil"/>
              <w:right w:val="nil"/>
            </w:tcBorders>
            <w:shd w:val="clear" w:color="auto" w:fill="auto"/>
            <w:vAlign w:val="bottom"/>
            <w:hideMark/>
          </w:tcPr>
          <w:p w14:paraId="14406F81" w14:textId="77777777" w:rsidR="001C1271" w:rsidRPr="001C1271" w:rsidRDefault="001C1271" w:rsidP="001C1271">
            <w:pPr>
              <w:spacing w:after="0" w:line="240" w:lineRule="auto"/>
              <w:ind w:left="113"/>
              <w:rPr>
                <w:rFonts w:ascii="Arial" w:hAnsi="Arial" w:cs="Arial"/>
                <w:sz w:val="16"/>
                <w:szCs w:val="16"/>
              </w:rPr>
            </w:pPr>
            <w:r w:rsidRPr="001C1271">
              <w:rPr>
                <w:rFonts w:ascii="Arial" w:hAnsi="Arial" w:cs="Arial"/>
                <w:sz w:val="16"/>
                <w:szCs w:val="16"/>
              </w:rPr>
              <w:t>Special Appropriations</w:t>
            </w:r>
          </w:p>
        </w:tc>
        <w:tc>
          <w:tcPr>
            <w:tcW w:w="624" w:type="pct"/>
            <w:tcBorders>
              <w:top w:val="nil"/>
              <w:left w:val="nil"/>
              <w:bottom w:val="nil"/>
              <w:right w:val="nil"/>
            </w:tcBorders>
            <w:shd w:val="clear" w:color="auto" w:fill="auto"/>
            <w:noWrap/>
            <w:vAlign w:val="bottom"/>
            <w:hideMark/>
          </w:tcPr>
          <w:p w14:paraId="070273EB" w14:textId="3CC96D1F"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833,499</w:t>
            </w:r>
          </w:p>
        </w:tc>
        <w:tc>
          <w:tcPr>
            <w:tcW w:w="602" w:type="pct"/>
            <w:tcBorders>
              <w:top w:val="nil"/>
              <w:left w:val="nil"/>
              <w:bottom w:val="nil"/>
              <w:right w:val="nil"/>
            </w:tcBorders>
            <w:shd w:val="clear" w:color="000000" w:fill="E6E6E6"/>
            <w:noWrap/>
            <w:vAlign w:val="bottom"/>
            <w:hideMark/>
          </w:tcPr>
          <w:p w14:paraId="0425BFDD" w14:textId="166C0F43"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3,106,446</w:t>
            </w:r>
          </w:p>
        </w:tc>
        <w:tc>
          <w:tcPr>
            <w:tcW w:w="602" w:type="pct"/>
            <w:tcBorders>
              <w:top w:val="nil"/>
              <w:left w:val="nil"/>
              <w:bottom w:val="nil"/>
              <w:right w:val="nil"/>
            </w:tcBorders>
            <w:shd w:val="clear" w:color="auto" w:fill="auto"/>
            <w:noWrap/>
            <w:vAlign w:val="bottom"/>
            <w:hideMark/>
          </w:tcPr>
          <w:p w14:paraId="373E2B52" w14:textId="4A923E61"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3,256,799</w:t>
            </w:r>
          </w:p>
        </w:tc>
        <w:tc>
          <w:tcPr>
            <w:tcW w:w="602" w:type="pct"/>
            <w:tcBorders>
              <w:top w:val="nil"/>
              <w:left w:val="nil"/>
              <w:bottom w:val="nil"/>
              <w:right w:val="nil"/>
            </w:tcBorders>
            <w:shd w:val="clear" w:color="auto" w:fill="auto"/>
            <w:noWrap/>
            <w:vAlign w:val="bottom"/>
            <w:hideMark/>
          </w:tcPr>
          <w:p w14:paraId="6710BECE" w14:textId="676FDC30"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3,390,977</w:t>
            </w:r>
          </w:p>
        </w:tc>
        <w:tc>
          <w:tcPr>
            <w:tcW w:w="602" w:type="pct"/>
            <w:tcBorders>
              <w:top w:val="nil"/>
              <w:left w:val="nil"/>
              <w:bottom w:val="nil"/>
              <w:right w:val="nil"/>
            </w:tcBorders>
            <w:shd w:val="clear" w:color="auto" w:fill="auto"/>
            <w:noWrap/>
            <w:vAlign w:val="bottom"/>
            <w:hideMark/>
          </w:tcPr>
          <w:p w14:paraId="0874D2C2" w14:textId="495F0C2E"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3,528,990</w:t>
            </w:r>
          </w:p>
        </w:tc>
      </w:tr>
      <w:tr w:rsidR="001C1271" w:rsidRPr="001C1271" w14:paraId="020A8940" w14:textId="77777777" w:rsidTr="001C1271">
        <w:trPr>
          <w:trHeight w:val="204"/>
        </w:trPr>
        <w:tc>
          <w:tcPr>
            <w:tcW w:w="1969" w:type="pct"/>
            <w:tcBorders>
              <w:top w:val="nil"/>
              <w:left w:val="nil"/>
              <w:bottom w:val="nil"/>
              <w:right w:val="nil"/>
            </w:tcBorders>
            <w:shd w:val="clear" w:color="auto" w:fill="auto"/>
            <w:vAlign w:val="bottom"/>
            <w:hideMark/>
          </w:tcPr>
          <w:p w14:paraId="400DD667" w14:textId="18EB7235" w:rsidR="001C1271" w:rsidRPr="001C1271" w:rsidRDefault="001C1271" w:rsidP="001C1271">
            <w:pPr>
              <w:spacing w:after="0" w:line="240" w:lineRule="auto"/>
              <w:ind w:left="113"/>
              <w:rPr>
                <w:rFonts w:ascii="Arial" w:hAnsi="Arial" w:cs="Arial"/>
                <w:sz w:val="16"/>
                <w:szCs w:val="16"/>
              </w:rPr>
            </w:pPr>
            <w:r w:rsidRPr="001C1271">
              <w:rPr>
                <w:rFonts w:ascii="Arial" w:hAnsi="Arial" w:cs="Arial"/>
                <w:sz w:val="16"/>
                <w:szCs w:val="16"/>
              </w:rPr>
              <w:t>Payments to corporate entities</w:t>
            </w:r>
            <w:r w:rsidRPr="001C1271">
              <w:rPr>
                <w:rFonts w:ascii="Arial" w:hAnsi="Arial" w:cs="Arial"/>
                <w:sz w:val="16"/>
                <w:szCs w:val="16"/>
                <w:vertAlign w:val="superscript"/>
              </w:rPr>
              <w:t>(b)</w:t>
            </w:r>
            <w:r w:rsidRPr="001C1271">
              <w:rPr>
                <w:rFonts w:ascii="Arial" w:hAnsi="Arial" w:cs="Arial"/>
                <w:sz w:val="16"/>
                <w:szCs w:val="16"/>
              </w:rPr>
              <w:t xml:space="preserve"> </w:t>
            </w:r>
          </w:p>
        </w:tc>
        <w:tc>
          <w:tcPr>
            <w:tcW w:w="624" w:type="pct"/>
            <w:tcBorders>
              <w:top w:val="nil"/>
              <w:left w:val="nil"/>
              <w:bottom w:val="nil"/>
              <w:right w:val="nil"/>
            </w:tcBorders>
            <w:shd w:val="clear" w:color="auto" w:fill="auto"/>
            <w:noWrap/>
            <w:vAlign w:val="bottom"/>
            <w:hideMark/>
          </w:tcPr>
          <w:p w14:paraId="6DE71351" w14:textId="5E632C62"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20,681</w:t>
            </w:r>
          </w:p>
        </w:tc>
        <w:tc>
          <w:tcPr>
            <w:tcW w:w="602" w:type="pct"/>
            <w:tcBorders>
              <w:top w:val="nil"/>
              <w:left w:val="nil"/>
              <w:bottom w:val="nil"/>
              <w:right w:val="nil"/>
            </w:tcBorders>
            <w:shd w:val="clear" w:color="000000" w:fill="E6E6E6"/>
            <w:noWrap/>
            <w:vAlign w:val="bottom"/>
            <w:hideMark/>
          </w:tcPr>
          <w:p w14:paraId="54DD0BD3" w14:textId="1DAA861E"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21,295</w:t>
            </w:r>
          </w:p>
        </w:tc>
        <w:tc>
          <w:tcPr>
            <w:tcW w:w="602" w:type="pct"/>
            <w:tcBorders>
              <w:top w:val="nil"/>
              <w:left w:val="nil"/>
              <w:bottom w:val="nil"/>
              <w:right w:val="nil"/>
            </w:tcBorders>
            <w:shd w:val="clear" w:color="auto" w:fill="auto"/>
            <w:noWrap/>
            <w:vAlign w:val="bottom"/>
            <w:hideMark/>
          </w:tcPr>
          <w:p w14:paraId="3F1B922B" w14:textId="31E7F08F"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21,814</w:t>
            </w:r>
          </w:p>
        </w:tc>
        <w:tc>
          <w:tcPr>
            <w:tcW w:w="602" w:type="pct"/>
            <w:tcBorders>
              <w:top w:val="nil"/>
              <w:left w:val="nil"/>
              <w:bottom w:val="nil"/>
              <w:right w:val="nil"/>
            </w:tcBorders>
            <w:shd w:val="clear" w:color="auto" w:fill="auto"/>
            <w:noWrap/>
            <w:vAlign w:val="bottom"/>
            <w:hideMark/>
          </w:tcPr>
          <w:p w14:paraId="1FC34068" w14:textId="2A04789D"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22,308</w:t>
            </w:r>
          </w:p>
        </w:tc>
        <w:tc>
          <w:tcPr>
            <w:tcW w:w="602" w:type="pct"/>
            <w:tcBorders>
              <w:top w:val="nil"/>
              <w:left w:val="nil"/>
              <w:bottom w:val="nil"/>
              <w:right w:val="nil"/>
            </w:tcBorders>
            <w:shd w:val="clear" w:color="auto" w:fill="auto"/>
            <w:noWrap/>
            <w:vAlign w:val="bottom"/>
            <w:hideMark/>
          </w:tcPr>
          <w:p w14:paraId="208AA5E2" w14:textId="0893F0A3"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22,841</w:t>
            </w:r>
          </w:p>
        </w:tc>
      </w:tr>
      <w:tr w:rsidR="001C1271" w:rsidRPr="001C1271" w14:paraId="4C6DF3FC" w14:textId="77777777" w:rsidTr="001C1271">
        <w:trPr>
          <w:trHeight w:val="204"/>
        </w:trPr>
        <w:tc>
          <w:tcPr>
            <w:tcW w:w="1969" w:type="pct"/>
            <w:tcBorders>
              <w:top w:val="nil"/>
              <w:left w:val="nil"/>
              <w:bottom w:val="nil"/>
              <w:right w:val="nil"/>
            </w:tcBorders>
            <w:shd w:val="clear" w:color="auto" w:fill="auto"/>
            <w:vAlign w:val="bottom"/>
            <w:hideMark/>
          </w:tcPr>
          <w:p w14:paraId="69400DED" w14:textId="1761395E" w:rsidR="001C1271" w:rsidRPr="001C1271" w:rsidRDefault="001C1271" w:rsidP="00595948">
            <w:pPr>
              <w:spacing w:after="0" w:line="240" w:lineRule="auto"/>
              <w:ind w:left="113"/>
              <w:rPr>
                <w:rFonts w:ascii="Arial" w:hAnsi="Arial" w:cs="Arial"/>
                <w:sz w:val="16"/>
                <w:szCs w:val="16"/>
              </w:rPr>
            </w:pPr>
            <w:r w:rsidRPr="001C1271">
              <w:rPr>
                <w:rFonts w:ascii="Arial" w:hAnsi="Arial" w:cs="Arial"/>
                <w:sz w:val="16"/>
                <w:szCs w:val="16"/>
              </w:rPr>
              <w:t>Expenses not requiring appropriation in the Budget year</w:t>
            </w:r>
            <w:r w:rsidRPr="001C1271">
              <w:rPr>
                <w:rFonts w:ascii="Arial" w:hAnsi="Arial" w:cs="Arial"/>
                <w:sz w:val="16"/>
                <w:szCs w:val="16"/>
                <w:vertAlign w:val="superscript"/>
              </w:rPr>
              <w:t>(a)</w:t>
            </w:r>
          </w:p>
        </w:tc>
        <w:tc>
          <w:tcPr>
            <w:tcW w:w="624" w:type="pct"/>
            <w:tcBorders>
              <w:top w:val="nil"/>
              <w:left w:val="nil"/>
              <w:bottom w:val="nil"/>
              <w:right w:val="nil"/>
            </w:tcBorders>
            <w:shd w:val="clear" w:color="auto" w:fill="auto"/>
            <w:noWrap/>
            <w:vAlign w:val="bottom"/>
            <w:hideMark/>
          </w:tcPr>
          <w:p w14:paraId="59632759" w14:textId="2E834946"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718,372</w:t>
            </w:r>
          </w:p>
        </w:tc>
        <w:tc>
          <w:tcPr>
            <w:tcW w:w="602" w:type="pct"/>
            <w:tcBorders>
              <w:top w:val="nil"/>
              <w:left w:val="nil"/>
              <w:bottom w:val="nil"/>
              <w:right w:val="nil"/>
            </w:tcBorders>
            <w:shd w:val="clear" w:color="000000" w:fill="E6E6E6"/>
            <w:noWrap/>
            <w:vAlign w:val="bottom"/>
            <w:hideMark/>
          </w:tcPr>
          <w:p w14:paraId="4BE9618A" w14:textId="7D9ED4C6"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501,526</w:t>
            </w:r>
          </w:p>
        </w:tc>
        <w:tc>
          <w:tcPr>
            <w:tcW w:w="602" w:type="pct"/>
            <w:tcBorders>
              <w:top w:val="nil"/>
              <w:left w:val="nil"/>
              <w:bottom w:val="nil"/>
              <w:right w:val="nil"/>
            </w:tcBorders>
            <w:shd w:val="clear" w:color="auto" w:fill="auto"/>
            <w:noWrap/>
            <w:vAlign w:val="bottom"/>
            <w:hideMark/>
          </w:tcPr>
          <w:p w14:paraId="534FCDAA" w14:textId="5155A1AC"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288,867</w:t>
            </w:r>
          </w:p>
        </w:tc>
        <w:tc>
          <w:tcPr>
            <w:tcW w:w="602" w:type="pct"/>
            <w:tcBorders>
              <w:top w:val="nil"/>
              <w:left w:val="nil"/>
              <w:bottom w:val="nil"/>
              <w:right w:val="nil"/>
            </w:tcBorders>
            <w:shd w:val="clear" w:color="auto" w:fill="auto"/>
            <w:noWrap/>
            <w:vAlign w:val="bottom"/>
            <w:hideMark/>
          </w:tcPr>
          <w:p w14:paraId="3791C721" w14:textId="5D281322"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212,350</w:t>
            </w:r>
          </w:p>
        </w:tc>
        <w:tc>
          <w:tcPr>
            <w:tcW w:w="602" w:type="pct"/>
            <w:tcBorders>
              <w:top w:val="nil"/>
              <w:left w:val="nil"/>
              <w:bottom w:val="nil"/>
              <w:right w:val="nil"/>
            </w:tcBorders>
            <w:shd w:val="clear" w:color="auto" w:fill="auto"/>
            <w:noWrap/>
            <w:vAlign w:val="bottom"/>
            <w:hideMark/>
          </w:tcPr>
          <w:p w14:paraId="6E9104B1" w14:textId="6572DC69"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212,783</w:t>
            </w:r>
          </w:p>
        </w:tc>
      </w:tr>
      <w:tr w:rsidR="001C1271" w:rsidRPr="001C1271" w14:paraId="79BC14E1" w14:textId="77777777" w:rsidTr="001C1271">
        <w:trPr>
          <w:trHeight w:val="204"/>
        </w:trPr>
        <w:tc>
          <w:tcPr>
            <w:tcW w:w="1969" w:type="pct"/>
            <w:tcBorders>
              <w:top w:val="nil"/>
              <w:left w:val="nil"/>
              <w:bottom w:val="nil"/>
              <w:right w:val="nil"/>
            </w:tcBorders>
            <w:shd w:val="clear" w:color="auto" w:fill="auto"/>
            <w:vAlign w:val="bottom"/>
            <w:hideMark/>
          </w:tcPr>
          <w:p w14:paraId="3135E3CA" w14:textId="31E5E59E" w:rsidR="001C1271" w:rsidRPr="001C1271" w:rsidRDefault="0000369A" w:rsidP="001C1271">
            <w:pPr>
              <w:spacing w:after="0" w:line="240" w:lineRule="auto"/>
              <w:jc w:val="right"/>
              <w:rPr>
                <w:rFonts w:ascii="Arial" w:hAnsi="Arial" w:cs="Arial"/>
                <w:b/>
                <w:bCs/>
                <w:sz w:val="16"/>
                <w:szCs w:val="16"/>
              </w:rPr>
            </w:pPr>
            <w:r>
              <w:rPr>
                <w:rFonts w:ascii="Arial" w:hAnsi="Arial" w:cs="Arial"/>
                <w:b/>
                <w:bCs/>
                <w:sz w:val="16"/>
                <w:szCs w:val="16"/>
              </w:rPr>
              <w:t>Total administered expenses</w:t>
            </w:r>
          </w:p>
        </w:tc>
        <w:tc>
          <w:tcPr>
            <w:tcW w:w="624" w:type="pct"/>
            <w:tcBorders>
              <w:top w:val="single" w:sz="4" w:space="0" w:color="auto"/>
              <w:left w:val="nil"/>
              <w:bottom w:val="single" w:sz="4" w:space="0" w:color="auto"/>
              <w:right w:val="nil"/>
            </w:tcBorders>
            <w:shd w:val="clear" w:color="auto" w:fill="auto"/>
            <w:noWrap/>
            <w:vAlign w:val="bottom"/>
            <w:hideMark/>
          </w:tcPr>
          <w:p w14:paraId="7B707CAB" w14:textId="027E98EA" w:rsidR="001C1271" w:rsidRPr="001C1271" w:rsidRDefault="001C1271" w:rsidP="001C1271">
            <w:pPr>
              <w:spacing w:after="0" w:line="240" w:lineRule="auto"/>
              <w:jc w:val="right"/>
              <w:rPr>
                <w:rFonts w:ascii="Arial" w:hAnsi="Arial" w:cs="Arial"/>
                <w:b/>
                <w:bCs/>
                <w:sz w:val="16"/>
                <w:szCs w:val="16"/>
              </w:rPr>
            </w:pPr>
            <w:r w:rsidRPr="001C1271">
              <w:rPr>
                <w:rFonts w:ascii="Arial" w:hAnsi="Arial" w:cs="Arial"/>
                <w:b/>
                <w:bCs/>
                <w:sz w:val="16"/>
                <w:szCs w:val="16"/>
              </w:rPr>
              <w:t>3,024,288</w:t>
            </w:r>
          </w:p>
        </w:tc>
        <w:tc>
          <w:tcPr>
            <w:tcW w:w="602" w:type="pct"/>
            <w:tcBorders>
              <w:top w:val="single" w:sz="4" w:space="0" w:color="auto"/>
              <w:left w:val="nil"/>
              <w:bottom w:val="single" w:sz="4" w:space="0" w:color="auto"/>
              <w:right w:val="nil"/>
            </w:tcBorders>
            <w:shd w:val="clear" w:color="000000" w:fill="E6E6E6"/>
            <w:noWrap/>
            <w:vAlign w:val="bottom"/>
            <w:hideMark/>
          </w:tcPr>
          <w:p w14:paraId="256BA67B" w14:textId="4DBD0AA5" w:rsidR="001C1271" w:rsidRPr="001C1271" w:rsidRDefault="001C1271" w:rsidP="001C1271">
            <w:pPr>
              <w:spacing w:after="0" w:line="240" w:lineRule="auto"/>
              <w:jc w:val="right"/>
              <w:rPr>
                <w:rFonts w:ascii="Arial" w:hAnsi="Arial" w:cs="Arial"/>
                <w:b/>
                <w:bCs/>
                <w:sz w:val="16"/>
                <w:szCs w:val="16"/>
              </w:rPr>
            </w:pPr>
            <w:r w:rsidRPr="001C1271">
              <w:rPr>
                <w:rFonts w:ascii="Arial" w:hAnsi="Arial" w:cs="Arial"/>
                <w:b/>
                <w:bCs/>
                <w:sz w:val="16"/>
                <w:szCs w:val="16"/>
              </w:rPr>
              <w:t>4,924,933</w:t>
            </w:r>
          </w:p>
        </w:tc>
        <w:tc>
          <w:tcPr>
            <w:tcW w:w="602" w:type="pct"/>
            <w:tcBorders>
              <w:top w:val="single" w:sz="4" w:space="0" w:color="auto"/>
              <w:left w:val="nil"/>
              <w:bottom w:val="single" w:sz="4" w:space="0" w:color="auto"/>
              <w:right w:val="nil"/>
            </w:tcBorders>
            <w:shd w:val="clear" w:color="auto" w:fill="auto"/>
            <w:noWrap/>
            <w:vAlign w:val="bottom"/>
            <w:hideMark/>
          </w:tcPr>
          <w:p w14:paraId="2DDE87FD" w14:textId="684E3A47" w:rsidR="001C1271" w:rsidRPr="001C1271" w:rsidRDefault="001C1271" w:rsidP="001C1271">
            <w:pPr>
              <w:spacing w:after="0" w:line="240" w:lineRule="auto"/>
              <w:jc w:val="right"/>
              <w:rPr>
                <w:rFonts w:ascii="Arial" w:hAnsi="Arial" w:cs="Arial"/>
                <w:b/>
                <w:bCs/>
                <w:sz w:val="16"/>
                <w:szCs w:val="16"/>
              </w:rPr>
            </w:pPr>
            <w:r w:rsidRPr="001C1271">
              <w:rPr>
                <w:rFonts w:ascii="Arial" w:hAnsi="Arial" w:cs="Arial"/>
                <w:b/>
                <w:bCs/>
                <w:sz w:val="16"/>
                <w:szCs w:val="16"/>
              </w:rPr>
              <w:t>5,002,971</w:t>
            </w:r>
          </w:p>
        </w:tc>
        <w:tc>
          <w:tcPr>
            <w:tcW w:w="602" w:type="pct"/>
            <w:tcBorders>
              <w:top w:val="single" w:sz="4" w:space="0" w:color="auto"/>
              <w:left w:val="nil"/>
              <w:bottom w:val="single" w:sz="4" w:space="0" w:color="auto"/>
              <w:right w:val="nil"/>
            </w:tcBorders>
            <w:shd w:val="clear" w:color="auto" w:fill="auto"/>
            <w:noWrap/>
            <w:vAlign w:val="bottom"/>
            <w:hideMark/>
          </w:tcPr>
          <w:p w14:paraId="4D13BD71" w14:textId="1C1E9A93" w:rsidR="001C1271" w:rsidRPr="001C1271" w:rsidRDefault="001C1271" w:rsidP="001C1271">
            <w:pPr>
              <w:spacing w:after="0" w:line="240" w:lineRule="auto"/>
              <w:jc w:val="right"/>
              <w:rPr>
                <w:rFonts w:ascii="Arial" w:hAnsi="Arial" w:cs="Arial"/>
                <w:b/>
                <w:bCs/>
                <w:sz w:val="16"/>
                <w:szCs w:val="16"/>
              </w:rPr>
            </w:pPr>
            <w:r w:rsidRPr="001C1271">
              <w:rPr>
                <w:rFonts w:ascii="Arial" w:hAnsi="Arial" w:cs="Arial"/>
                <w:b/>
                <w:bCs/>
                <w:sz w:val="16"/>
                <w:szCs w:val="16"/>
              </w:rPr>
              <w:t>5,138,444</w:t>
            </w:r>
          </w:p>
        </w:tc>
        <w:tc>
          <w:tcPr>
            <w:tcW w:w="602" w:type="pct"/>
            <w:tcBorders>
              <w:top w:val="single" w:sz="4" w:space="0" w:color="auto"/>
              <w:left w:val="nil"/>
              <w:bottom w:val="single" w:sz="4" w:space="0" w:color="auto"/>
              <w:right w:val="nil"/>
            </w:tcBorders>
            <w:shd w:val="clear" w:color="auto" w:fill="auto"/>
            <w:noWrap/>
            <w:vAlign w:val="bottom"/>
            <w:hideMark/>
          </w:tcPr>
          <w:p w14:paraId="09576B4D" w14:textId="5D1CB8A4" w:rsidR="001C1271" w:rsidRPr="001C1271" w:rsidRDefault="001C1271" w:rsidP="001C1271">
            <w:pPr>
              <w:spacing w:after="0" w:line="240" w:lineRule="auto"/>
              <w:jc w:val="right"/>
              <w:rPr>
                <w:rFonts w:ascii="Arial" w:hAnsi="Arial" w:cs="Arial"/>
                <w:b/>
                <w:bCs/>
                <w:sz w:val="16"/>
                <w:szCs w:val="16"/>
              </w:rPr>
            </w:pPr>
            <w:r w:rsidRPr="001C1271">
              <w:rPr>
                <w:rFonts w:ascii="Arial" w:hAnsi="Arial" w:cs="Arial"/>
                <w:b/>
                <w:bCs/>
                <w:sz w:val="16"/>
                <w:szCs w:val="16"/>
              </w:rPr>
              <w:t>4,025,831</w:t>
            </w:r>
          </w:p>
        </w:tc>
      </w:tr>
      <w:tr w:rsidR="001C1271" w:rsidRPr="001C1271" w14:paraId="32DD0983" w14:textId="77777777" w:rsidTr="001C1271">
        <w:trPr>
          <w:trHeight w:val="204"/>
        </w:trPr>
        <w:tc>
          <w:tcPr>
            <w:tcW w:w="1969" w:type="pct"/>
            <w:tcBorders>
              <w:top w:val="nil"/>
              <w:left w:val="nil"/>
              <w:bottom w:val="nil"/>
              <w:right w:val="nil"/>
            </w:tcBorders>
            <w:shd w:val="clear" w:color="auto" w:fill="auto"/>
            <w:noWrap/>
            <w:vAlign w:val="bottom"/>
            <w:hideMark/>
          </w:tcPr>
          <w:p w14:paraId="3F79E683" w14:textId="77777777" w:rsidR="001C1271" w:rsidRPr="001C1271" w:rsidRDefault="001C1271" w:rsidP="001C1271">
            <w:pPr>
              <w:spacing w:after="0" w:line="240" w:lineRule="auto"/>
              <w:rPr>
                <w:rFonts w:ascii="Arial" w:hAnsi="Arial" w:cs="Arial"/>
                <w:sz w:val="16"/>
                <w:szCs w:val="16"/>
              </w:rPr>
            </w:pPr>
            <w:r w:rsidRPr="001C1271">
              <w:rPr>
                <w:rFonts w:ascii="Arial" w:hAnsi="Arial" w:cs="Arial"/>
                <w:sz w:val="16"/>
                <w:szCs w:val="16"/>
              </w:rPr>
              <w:t>Departmental expenses</w:t>
            </w:r>
          </w:p>
        </w:tc>
        <w:tc>
          <w:tcPr>
            <w:tcW w:w="624" w:type="pct"/>
            <w:tcBorders>
              <w:top w:val="nil"/>
              <w:left w:val="nil"/>
              <w:bottom w:val="nil"/>
              <w:right w:val="nil"/>
            </w:tcBorders>
            <w:shd w:val="clear" w:color="auto" w:fill="auto"/>
            <w:noWrap/>
            <w:vAlign w:val="bottom"/>
            <w:hideMark/>
          </w:tcPr>
          <w:p w14:paraId="428D0349" w14:textId="77777777" w:rsidR="001C1271" w:rsidRPr="001C1271" w:rsidRDefault="001C1271" w:rsidP="001C1271">
            <w:pPr>
              <w:spacing w:after="0" w:line="240" w:lineRule="auto"/>
              <w:jc w:val="right"/>
              <w:rPr>
                <w:rFonts w:ascii="Arial" w:hAnsi="Arial" w:cs="Arial"/>
                <w:sz w:val="16"/>
                <w:szCs w:val="16"/>
              </w:rPr>
            </w:pPr>
          </w:p>
        </w:tc>
        <w:tc>
          <w:tcPr>
            <w:tcW w:w="602" w:type="pct"/>
            <w:tcBorders>
              <w:top w:val="nil"/>
              <w:left w:val="nil"/>
              <w:bottom w:val="nil"/>
              <w:right w:val="nil"/>
            </w:tcBorders>
            <w:shd w:val="clear" w:color="000000" w:fill="E6E6E6"/>
            <w:noWrap/>
            <w:vAlign w:val="bottom"/>
            <w:hideMark/>
          </w:tcPr>
          <w:p w14:paraId="36C3DD3D" w14:textId="31E4511B" w:rsidR="001C1271" w:rsidRPr="001C1271" w:rsidRDefault="001C1271" w:rsidP="001C1271">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130B3F36" w14:textId="77777777" w:rsidR="001C1271" w:rsidRPr="001C1271" w:rsidRDefault="001C1271" w:rsidP="001C1271">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3184AA1F" w14:textId="77777777" w:rsidR="001C1271" w:rsidRPr="001C1271" w:rsidRDefault="001C1271" w:rsidP="001C1271">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497F473F" w14:textId="77777777" w:rsidR="001C1271" w:rsidRPr="001C1271" w:rsidRDefault="001C1271" w:rsidP="001C1271">
            <w:pPr>
              <w:spacing w:after="0" w:line="240" w:lineRule="auto"/>
              <w:jc w:val="right"/>
              <w:rPr>
                <w:rFonts w:ascii="Times New Roman" w:hAnsi="Times New Roman"/>
              </w:rPr>
            </w:pPr>
          </w:p>
        </w:tc>
      </w:tr>
      <w:tr w:rsidR="001C1271" w:rsidRPr="001C1271" w14:paraId="1BCC4133" w14:textId="77777777" w:rsidTr="001C1271">
        <w:trPr>
          <w:trHeight w:val="204"/>
        </w:trPr>
        <w:tc>
          <w:tcPr>
            <w:tcW w:w="1969" w:type="pct"/>
            <w:tcBorders>
              <w:top w:val="nil"/>
              <w:left w:val="nil"/>
              <w:bottom w:val="nil"/>
              <w:right w:val="nil"/>
            </w:tcBorders>
            <w:shd w:val="clear" w:color="auto" w:fill="auto"/>
            <w:vAlign w:val="bottom"/>
            <w:hideMark/>
          </w:tcPr>
          <w:p w14:paraId="64C2C752" w14:textId="77777777" w:rsidR="001C1271" w:rsidRPr="001C1271" w:rsidRDefault="001C1271" w:rsidP="001C1271">
            <w:pPr>
              <w:spacing w:after="0" w:line="240" w:lineRule="auto"/>
              <w:ind w:left="113"/>
              <w:rPr>
                <w:rFonts w:ascii="Arial" w:hAnsi="Arial" w:cs="Arial"/>
                <w:sz w:val="16"/>
                <w:szCs w:val="16"/>
              </w:rPr>
            </w:pPr>
            <w:r w:rsidRPr="001C1271">
              <w:rPr>
                <w:rFonts w:ascii="Arial" w:hAnsi="Arial" w:cs="Arial"/>
                <w:sz w:val="16"/>
                <w:szCs w:val="16"/>
              </w:rPr>
              <w:t>Departmental appropriation</w:t>
            </w:r>
          </w:p>
        </w:tc>
        <w:tc>
          <w:tcPr>
            <w:tcW w:w="624" w:type="pct"/>
            <w:tcBorders>
              <w:top w:val="nil"/>
              <w:left w:val="nil"/>
              <w:bottom w:val="nil"/>
              <w:right w:val="nil"/>
            </w:tcBorders>
            <w:shd w:val="clear" w:color="auto" w:fill="auto"/>
            <w:noWrap/>
            <w:vAlign w:val="bottom"/>
            <w:hideMark/>
          </w:tcPr>
          <w:p w14:paraId="1F6581BD" w14:textId="1F08575F"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78,395</w:t>
            </w:r>
          </w:p>
        </w:tc>
        <w:tc>
          <w:tcPr>
            <w:tcW w:w="602" w:type="pct"/>
            <w:tcBorders>
              <w:top w:val="nil"/>
              <w:left w:val="nil"/>
              <w:bottom w:val="nil"/>
              <w:right w:val="nil"/>
            </w:tcBorders>
            <w:shd w:val="clear" w:color="000000" w:fill="E6E6E6"/>
            <w:noWrap/>
            <w:vAlign w:val="bottom"/>
            <w:hideMark/>
          </w:tcPr>
          <w:p w14:paraId="142EE72F" w14:textId="1E0C93D5"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79,952</w:t>
            </w:r>
          </w:p>
        </w:tc>
        <w:tc>
          <w:tcPr>
            <w:tcW w:w="602" w:type="pct"/>
            <w:tcBorders>
              <w:top w:val="nil"/>
              <w:left w:val="nil"/>
              <w:bottom w:val="nil"/>
              <w:right w:val="nil"/>
            </w:tcBorders>
            <w:shd w:val="clear" w:color="auto" w:fill="auto"/>
            <w:noWrap/>
            <w:vAlign w:val="bottom"/>
            <w:hideMark/>
          </w:tcPr>
          <w:p w14:paraId="6667C067" w14:textId="63900E52"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73,533</w:t>
            </w:r>
          </w:p>
        </w:tc>
        <w:tc>
          <w:tcPr>
            <w:tcW w:w="602" w:type="pct"/>
            <w:tcBorders>
              <w:top w:val="nil"/>
              <w:left w:val="nil"/>
              <w:bottom w:val="nil"/>
              <w:right w:val="nil"/>
            </w:tcBorders>
            <w:shd w:val="clear" w:color="auto" w:fill="auto"/>
            <w:noWrap/>
            <w:vAlign w:val="bottom"/>
            <w:hideMark/>
          </w:tcPr>
          <w:p w14:paraId="354D1073" w14:textId="2882459E"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60,669</w:t>
            </w:r>
          </w:p>
        </w:tc>
        <w:tc>
          <w:tcPr>
            <w:tcW w:w="602" w:type="pct"/>
            <w:tcBorders>
              <w:top w:val="nil"/>
              <w:left w:val="nil"/>
              <w:bottom w:val="nil"/>
              <w:right w:val="nil"/>
            </w:tcBorders>
            <w:shd w:val="clear" w:color="auto" w:fill="auto"/>
            <w:noWrap/>
            <w:vAlign w:val="bottom"/>
            <w:hideMark/>
          </w:tcPr>
          <w:p w14:paraId="687CEE3B" w14:textId="28B59278"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49,933</w:t>
            </w:r>
          </w:p>
        </w:tc>
      </w:tr>
      <w:tr w:rsidR="001C1271" w:rsidRPr="001C1271" w14:paraId="48C725B7" w14:textId="77777777" w:rsidTr="001C1271">
        <w:trPr>
          <w:trHeight w:val="204"/>
        </w:trPr>
        <w:tc>
          <w:tcPr>
            <w:tcW w:w="1969" w:type="pct"/>
            <w:tcBorders>
              <w:top w:val="nil"/>
              <w:left w:val="nil"/>
              <w:bottom w:val="nil"/>
              <w:right w:val="nil"/>
            </w:tcBorders>
            <w:shd w:val="clear" w:color="auto" w:fill="auto"/>
            <w:vAlign w:val="bottom"/>
            <w:hideMark/>
          </w:tcPr>
          <w:p w14:paraId="3CC36DB3" w14:textId="75796D6D" w:rsidR="001C1271" w:rsidRPr="001C1271" w:rsidRDefault="001C1271" w:rsidP="00595948">
            <w:pPr>
              <w:spacing w:after="0" w:line="240" w:lineRule="auto"/>
              <w:ind w:left="113"/>
              <w:rPr>
                <w:rFonts w:ascii="Arial" w:hAnsi="Arial" w:cs="Arial"/>
                <w:sz w:val="16"/>
                <w:szCs w:val="16"/>
              </w:rPr>
            </w:pPr>
            <w:r w:rsidRPr="001C1271">
              <w:rPr>
                <w:rFonts w:ascii="Arial" w:hAnsi="Arial" w:cs="Arial"/>
                <w:sz w:val="16"/>
                <w:szCs w:val="16"/>
              </w:rPr>
              <w:t>Expenses not requiring appropriation in the Budget year</w:t>
            </w:r>
            <w:r w:rsidRPr="001C1271">
              <w:rPr>
                <w:rFonts w:ascii="Arial" w:hAnsi="Arial" w:cs="Arial"/>
                <w:sz w:val="16"/>
                <w:szCs w:val="16"/>
                <w:vertAlign w:val="superscript"/>
              </w:rPr>
              <w:t>(c)</w:t>
            </w:r>
          </w:p>
        </w:tc>
        <w:tc>
          <w:tcPr>
            <w:tcW w:w="624" w:type="pct"/>
            <w:tcBorders>
              <w:top w:val="nil"/>
              <w:left w:val="nil"/>
              <w:bottom w:val="nil"/>
              <w:right w:val="nil"/>
            </w:tcBorders>
            <w:shd w:val="clear" w:color="auto" w:fill="auto"/>
            <w:noWrap/>
            <w:vAlign w:val="bottom"/>
            <w:hideMark/>
          </w:tcPr>
          <w:p w14:paraId="305445B8" w14:textId="4DFA1433"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2,983</w:t>
            </w:r>
          </w:p>
        </w:tc>
        <w:tc>
          <w:tcPr>
            <w:tcW w:w="602" w:type="pct"/>
            <w:tcBorders>
              <w:top w:val="nil"/>
              <w:left w:val="nil"/>
              <w:bottom w:val="nil"/>
              <w:right w:val="nil"/>
            </w:tcBorders>
            <w:shd w:val="clear" w:color="000000" w:fill="E6E6E6"/>
            <w:noWrap/>
            <w:vAlign w:val="bottom"/>
            <w:hideMark/>
          </w:tcPr>
          <w:p w14:paraId="2C036795" w14:textId="0DE5CA89"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19A97A66" w14:textId="4397B3B9"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15C96889" w14:textId="2DD6A4C3"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6ABBFC33" w14:textId="1E7B9D8A" w:rsidR="001C1271" w:rsidRPr="001C1271" w:rsidRDefault="001C1271" w:rsidP="001C1271">
            <w:pPr>
              <w:spacing w:after="0" w:line="240" w:lineRule="auto"/>
              <w:jc w:val="right"/>
              <w:rPr>
                <w:rFonts w:ascii="Arial" w:hAnsi="Arial" w:cs="Arial"/>
                <w:sz w:val="16"/>
                <w:szCs w:val="16"/>
              </w:rPr>
            </w:pPr>
            <w:r w:rsidRPr="001C1271">
              <w:rPr>
                <w:rFonts w:ascii="Arial" w:hAnsi="Arial" w:cs="Arial"/>
                <w:sz w:val="16"/>
                <w:szCs w:val="16"/>
              </w:rPr>
              <w:t>-</w:t>
            </w:r>
          </w:p>
        </w:tc>
      </w:tr>
      <w:tr w:rsidR="001C1271" w:rsidRPr="001C1271" w14:paraId="00D0960E" w14:textId="77777777" w:rsidTr="001C1271">
        <w:trPr>
          <w:trHeight w:val="204"/>
        </w:trPr>
        <w:tc>
          <w:tcPr>
            <w:tcW w:w="1969" w:type="pct"/>
            <w:tcBorders>
              <w:top w:val="nil"/>
              <w:left w:val="nil"/>
              <w:bottom w:val="nil"/>
              <w:right w:val="nil"/>
            </w:tcBorders>
            <w:shd w:val="clear" w:color="auto" w:fill="auto"/>
            <w:vAlign w:val="bottom"/>
            <w:hideMark/>
          </w:tcPr>
          <w:p w14:paraId="1AFEBA9E" w14:textId="6DDC2231" w:rsidR="001C1271" w:rsidRPr="001C1271" w:rsidRDefault="0000369A" w:rsidP="001C1271">
            <w:pPr>
              <w:spacing w:after="0" w:line="240" w:lineRule="auto"/>
              <w:jc w:val="right"/>
              <w:rPr>
                <w:rFonts w:ascii="Arial" w:hAnsi="Arial" w:cs="Arial"/>
                <w:b/>
                <w:bCs/>
                <w:sz w:val="16"/>
                <w:szCs w:val="16"/>
              </w:rPr>
            </w:pPr>
            <w:r>
              <w:rPr>
                <w:rFonts w:ascii="Arial" w:hAnsi="Arial" w:cs="Arial"/>
                <w:b/>
                <w:bCs/>
                <w:sz w:val="16"/>
                <w:szCs w:val="16"/>
              </w:rPr>
              <w:t>Total departmental expenses</w:t>
            </w:r>
          </w:p>
        </w:tc>
        <w:tc>
          <w:tcPr>
            <w:tcW w:w="624" w:type="pct"/>
            <w:tcBorders>
              <w:top w:val="single" w:sz="4" w:space="0" w:color="auto"/>
              <w:left w:val="nil"/>
              <w:bottom w:val="single" w:sz="4" w:space="0" w:color="auto"/>
              <w:right w:val="nil"/>
            </w:tcBorders>
            <w:shd w:val="clear" w:color="auto" w:fill="auto"/>
            <w:noWrap/>
            <w:vAlign w:val="bottom"/>
            <w:hideMark/>
          </w:tcPr>
          <w:p w14:paraId="394A10C5" w14:textId="075782AA" w:rsidR="001C1271" w:rsidRPr="001C1271" w:rsidRDefault="001C1271" w:rsidP="001C1271">
            <w:pPr>
              <w:spacing w:after="0" w:line="240" w:lineRule="auto"/>
              <w:jc w:val="right"/>
              <w:rPr>
                <w:rFonts w:ascii="Arial" w:hAnsi="Arial" w:cs="Arial"/>
                <w:b/>
                <w:bCs/>
                <w:sz w:val="16"/>
                <w:szCs w:val="16"/>
              </w:rPr>
            </w:pPr>
            <w:r w:rsidRPr="001C1271">
              <w:rPr>
                <w:rFonts w:ascii="Arial" w:hAnsi="Arial" w:cs="Arial"/>
                <w:b/>
                <w:bCs/>
                <w:sz w:val="16"/>
                <w:szCs w:val="16"/>
              </w:rPr>
              <w:t>81,378</w:t>
            </w:r>
          </w:p>
        </w:tc>
        <w:tc>
          <w:tcPr>
            <w:tcW w:w="602" w:type="pct"/>
            <w:tcBorders>
              <w:top w:val="single" w:sz="4" w:space="0" w:color="auto"/>
              <w:left w:val="nil"/>
              <w:bottom w:val="single" w:sz="4" w:space="0" w:color="auto"/>
              <w:right w:val="nil"/>
            </w:tcBorders>
            <w:shd w:val="clear" w:color="000000" w:fill="E6E6E6"/>
            <w:noWrap/>
            <w:vAlign w:val="bottom"/>
            <w:hideMark/>
          </w:tcPr>
          <w:p w14:paraId="69723972" w14:textId="433C6AD5" w:rsidR="001C1271" w:rsidRPr="001C1271" w:rsidRDefault="001C1271" w:rsidP="001C1271">
            <w:pPr>
              <w:spacing w:after="0" w:line="240" w:lineRule="auto"/>
              <w:jc w:val="right"/>
              <w:rPr>
                <w:rFonts w:ascii="Arial" w:hAnsi="Arial" w:cs="Arial"/>
                <w:b/>
                <w:bCs/>
                <w:sz w:val="16"/>
                <w:szCs w:val="16"/>
              </w:rPr>
            </w:pPr>
            <w:r w:rsidRPr="001C1271">
              <w:rPr>
                <w:rFonts w:ascii="Arial" w:hAnsi="Arial" w:cs="Arial"/>
                <w:b/>
                <w:bCs/>
                <w:sz w:val="16"/>
                <w:szCs w:val="16"/>
              </w:rPr>
              <w:t>79,952</w:t>
            </w:r>
          </w:p>
        </w:tc>
        <w:tc>
          <w:tcPr>
            <w:tcW w:w="602" w:type="pct"/>
            <w:tcBorders>
              <w:top w:val="single" w:sz="4" w:space="0" w:color="auto"/>
              <w:left w:val="nil"/>
              <w:bottom w:val="single" w:sz="4" w:space="0" w:color="auto"/>
              <w:right w:val="nil"/>
            </w:tcBorders>
            <w:shd w:val="clear" w:color="auto" w:fill="auto"/>
            <w:noWrap/>
            <w:vAlign w:val="bottom"/>
            <w:hideMark/>
          </w:tcPr>
          <w:p w14:paraId="5E12A91F" w14:textId="7FDB3442" w:rsidR="001C1271" w:rsidRPr="001C1271" w:rsidRDefault="001C1271" w:rsidP="001C1271">
            <w:pPr>
              <w:spacing w:after="0" w:line="240" w:lineRule="auto"/>
              <w:jc w:val="right"/>
              <w:rPr>
                <w:rFonts w:ascii="Arial" w:hAnsi="Arial" w:cs="Arial"/>
                <w:b/>
                <w:bCs/>
                <w:sz w:val="16"/>
                <w:szCs w:val="16"/>
              </w:rPr>
            </w:pPr>
            <w:r w:rsidRPr="001C1271">
              <w:rPr>
                <w:rFonts w:ascii="Arial" w:hAnsi="Arial" w:cs="Arial"/>
                <w:b/>
                <w:bCs/>
                <w:sz w:val="16"/>
                <w:szCs w:val="16"/>
              </w:rPr>
              <w:t>73,533</w:t>
            </w:r>
          </w:p>
        </w:tc>
        <w:tc>
          <w:tcPr>
            <w:tcW w:w="602" w:type="pct"/>
            <w:tcBorders>
              <w:top w:val="single" w:sz="4" w:space="0" w:color="auto"/>
              <w:left w:val="nil"/>
              <w:bottom w:val="single" w:sz="4" w:space="0" w:color="auto"/>
              <w:right w:val="nil"/>
            </w:tcBorders>
            <w:shd w:val="clear" w:color="auto" w:fill="auto"/>
            <w:noWrap/>
            <w:vAlign w:val="bottom"/>
            <w:hideMark/>
          </w:tcPr>
          <w:p w14:paraId="0CEEFAE2" w14:textId="1770C1BD" w:rsidR="001C1271" w:rsidRPr="001C1271" w:rsidRDefault="001C1271" w:rsidP="001C1271">
            <w:pPr>
              <w:spacing w:after="0" w:line="240" w:lineRule="auto"/>
              <w:jc w:val="right"/>
              <w:rPr>
                <w:rFonts w:ascii="Arial" w:hAnsi="Arial" w:cs="Arial"/>
                <w:b/>
                <w:bCs/>
                <w:sz w:val="16"/>
                <w:szCs w:val="16"/>
              </w:rPr>
            </w:pPr>
            <w:r w:rsidRPr="001C1271">
              <w:rPr>
                <w:rFonts w:ascii="Arial" w:hAnsi="Arial" w:cs="Arial"/>
                <w:b/>
                <w:bCs/>
                <w:sz w:val="16"/>
                <w:szCs w:val="16"/>
              </w:rPr>
              <w:t>60,669</w:t>
            </w:r>
          </w:p>
        </w:tc>
        <w:tc>
          <w:tcPr>
            <w:tcW w:w="602" w:type="pct"/>
            <w:tcBorders>
              <w:top w:val="single" w:sz="4" w:space="0" w:color="auto"/>
              <w:left w:val="nil"/>
              <w:bottom w:val="single" w:sz="4" w:space="0" w:color="auto"/>
              <w:right w:val="nil"/>
            </w:tcBorders>
            <w:shd w:val="clear" w:color="auto" w:fill="auto"/>
            <w:noWrap/>
            <w:vAlign w:val="bottom"/>
            <w:hideMark/>
          </w:tcPr>
          <w:p w14:paraId="471B63CD" w14:textId="5BC52994" w:rsidR="001C1271" w:rsidRPr="001C1271" w:rsidRDefault="001C1271" w:rsidP="001C1271">
            <w:pPr>
              <w:spacing w:after="0" w:line="240" w:lineRule="auto"/>
              <w:jc w:val="right"/>
              <w:rPr>
                <w:rFonts w:ascii="Arial" w:hAnsi="Arial" w:cs="Arial"/>
                <w:b/>
                <w:bCs/>
                <w:sz w:val="16"/>
                <w:szCs w:val="16"/>
              </w:rPr>
            </w:pPr>
            <w:r w:rsidRPr="001C1271">
              <w:rPr>
                <w:rFonts w:ascii="Arial" w:hAnsi="Arial" w:cs="Arial"/>
                <w:b/>
                <w:bCs/>
                <w:sz w:val="16"/>
                <w:szCs w:val="16"/>
              </w:rPr>
              <w:t>49,933</w:t>
            </w:r>
          </w:p>
        </w:tc>
      </w:tr>
      <w:tr w:rsidR="001C1271" w:rsidRPr="001C1271" w14:paraId="0BF78D3A" w14:textId="77777777" w:rsidTr="001C1271">
        <w:trPr>
          <w:trHeight w:val="204"/>
        </w:trPr>
        <w:tc>
          <w:tcPr>
            <w:tcW w:w="1969" w:type="pct"/>
            <w:tcBorders>
              <w:top w:val="nil"/>
              <w:left w:val="nil"/>
              <w:bottom w:val="single" w:sz="4" w:space="0" w:color="auto"/>
              <w:right w:val="nil"/>
            </w:tcBorders>
            <w:shd w:val="clear" w:color="auto" w:fill="auto"/>
            <w:noWrap/>
            <w:vAlign w:val="bottom"/>
            <w:hideMark/>
          </w:tcPr>
          <w:p w14:paraId="5D193DBF" w14:textId="77777777" w:rsidR="001C1271" w:rsidRPr="001C1271" w:rsidRDefault="001C1271" w:rsidP="001C1271">
            <w:pPr>
              <w:spacing w:after="0" w:line="240" w:lineRule="auto"/>
              <w:rPr>
                <w:rFonts w:ascii="Arial" w:hAnsi="Arial" w:cs="Arial"/>
                <w:b/>
                <w:bCs/>
                <w:sz w:val="16"/>
                <w:szCs w:val="16"/>
              </w:rPr>
            </w:pPr>
            <w:r w:rsidRPr="001C1271">
              <w:rPr>
                <w:rFonts w:ascii="Arial" w:hAnsi="Arial" w:cs="Arial"/>
                <w:b/>
                <w:bCs/>
                <w:sz w:val="16"/>
                <w:szCs w:val="16"/>
              </w:rPr>
              <w:t>Total expenses for Outcome 3</w:t>
            </w:r>
          </w:p>
        </w:tc>
        <w:tc>
          <w:tcPr>
            <w:tcW w:w="624" w:type="pct"/>
            <w:tcBorders>
              <w:top w:val="nil"/>
              <w:left w:val="nil"/>
              <w:bottom w:val="single" w:sz="4" w:space="0" w:color="auto"/>
              <w:right w:val="nil"/>
            </w:tcBorders>
            <w:shd w:val="clear" w:color="auto" w:fill="auto"/>
            <w:noWrap/>
            <w:vAlign w:val="bottom"/>
            <w:hideMark/>
          </w:tcPr>
          <w:p w14:paraId="2C62BE1A" w14:textId="35D8FC44" w:rsidR="001C1271" w:rsidRPr="001C1271" w:rsidRDefault="001C1271" w:rsidP="001C1271">
            <w:pPr>
              <w:spacing w:after="0" w:line="240" w:lineRule="auto"/>
              <w:jc w:val="right"/>
              <w:rPr>
                <w:rFonts w:ascii="Arial" w:hAnsi="Arial" w:cs="Arial"/>
                <w:b/>
                <w:bCs/>
                <w:sz w:val="16"/>
                <w:szCs w:val="16"/>
              </w:rPr>
            </w:pPr>
            <w:r w:rsidRPr="001C1271">
              <w:rPr>
                <w:rFonts w:ascii="Arial" w:hAnsi="Arial" w:cs="Arial"/>
                <w:b/>
                <w:bCs/>
                <w:sz w:val="16"/>
                <w:szCs w:val="16"/>
              </w:rPr>
              <w:t>3,105,666</w:t>
            </w:r>
          </w:p>
        </w:tc>
        <w:tc>
          <w:tcPr>
            <w:tcW w:w="602" w:type="pct"/>
            <w:tcBorders>
              <w:top w:val="nil"/>
              <w:left w:val="nil"/>
              <w:bottom w:val="single" w:sz="4" w:space="0" w:color="auto"/>
              <w:right w:val="nil"/>
            </w:tcBorders>
            <w:shd w:val="clear" w:color="000000" w:fill="E6E6E6"/>
            <w:noWrap/>
            <w:vAlign w:val="bottom"/>
            <w:hideMark/>
          </w:tcPr>
          <w:p w14:paraId="6323B818" w14:textId="60528CF3" w:rsidR="001C1271" w:rsidRPr="001C1271" w:rsidRDefault="001C1271" w:rsidP="001C1271">
            <w:pPr>
              <w:spacing w:after="0" w:line="240" w:lineRule="auto"/>
              <w:jc w:val="right"/>
              <w:rPr>
                <w:rFonts w:ascii="Arial" w:hAnsi="Arial" w:cs="Arial"/>
                <w:b/>
                <w:bCs/>
                <w:sz w:val="16"/>
                <w:szCs w:val="16"/>
              </w:rPr>
            </w:pPr>
            <w:r w:rsidRPr="001C1271">
              <w:rPr>
                <w:rFonts w:ascii="Arial" w:hAnsi="Arial" w:cs="Arial"/>
                <w:b/>
                <w:bCs/>
                <w:sz w:val="16"/>
                <w:szCs w:val="16"/>
              </w:rPr>
              <w:t>5,004,885</w:t>
            </w:r>
          </w:p>
        </w:tc>
        <w:tc>
          <w:tcPr>
            <w:tcW w:w="602" w:type="pct"/>
            <w:tcBorders>
              <w:top w:val="nil"/>
              <w:left w:val="nil"/>
              <w:bottom w:val="single" w:sz="4" w:space="0" w:color="auto"/>
              <w:right w:val="nil"/>
            </w:tcBorders>
            <w:shd w:val="clear" w:color="auto" w:fill="auto"/>
            <w:noWrap/>
            <w:vAlign w:val="bottom"/>
            <w:hideMark/>
          </w:tcPr>
          <w:p w14:paraId="6C5A69F3" w14:textId="59F634B8" w:rsidR="001C1271" w:rsidRPr="001C1271" w:rsidRDefault="001C1271" w:rsidP="001C1271">
            <w:pPr>
              <w:spacing w:after="0" w:line="240" w:lineRule="auto"/>
              <w:jc w:val="right"/>
              <w:rPr>
                <w:rFonts w:ascii="Arial" w:hAnsi="Arial" w:cs="Arial"/>
                <w:b/>
                <w:bCs/>
                <w:sz w:val="16"/>
                <w:szCs w:val="16"/>
              </w:rPr>
            </w:pPr>
            <w:r w:rsidRPr="001C1271">
              <w:rPr>
                <w:rFonts w:ascii="Arial" w:hAnsi="Arial" w:cs="Arial"/>
                <w:b/>
                <w:bCs/>
                <w:sz w:val="16"/>
                <w:szCs w:val="16"/>
              </w:rPr>
              <w:t>5,076,504</w:t>
            </w:r>
          </w:p>
        </w:tc>
        <w:tc>
          <w:tcPr>
            <w:tcW w:w="602" w:type="pct"/>
            <w:tcBorders>
              <w:top w:val="nil"/>
              <w:left w:val="nil"/>
              <w:bottom w:val="single" w:sz="4" w:space="0" w:color="auto"/>
              <w:right w:val="nil"/>
            </w:tcBorders>
            <w:shd w:val="clear" w:color="auto" w:fill="auto"/>
            <w:noWrap/>
            <w:vAlign w:val="bottom"/>
            <w:hideMark/>
          </w:tcPr>
          <w:p w14:paraId="639F8B6F" w14:textId="55516D01" w:rsidR="001C1271" w:rsidRPr="001C1271" w:rsidRDefault="001C1271" w:rsidP="001C1271">
            <w:pPr>
              <w:spacing w:after="0" w:line="240" w:lineRule="auto"/>
              <w:jc w:val="right"/>
              <w:rPr>
                <w:rFonts w:ascii="Arial" w:hAnsi="Arial" w:cs="Arial"/>
                <w:b/>
                <w:bCs/>
                <w:sz w:val="16"/>
                <w:szCs w:val="16"/>
              </w:rPr>
            </w:pPr>
            <w:r w:rsidRPr="001C1271">
              <w:rPr>
                <w:rFonts w:ascii="Arial" w:hAnsi="Arial" w:cs="Arial"/>
                <w:b/>
                <w:bCs/>
                <w:sz w:val="16"/>
                <w:szCs w:val="16"/>
              </w:rPr>
              <w:t>5,199,113</w:t>
            </w:r>
          </w:p>
        </w:tc>
        <w:tc>
          <w:tcPr>
            <w:tcW w:w="602" w:type="pct"/>
            <w:tcBorders>
              <w:top w:val="nil"/>
              <w:left w:val="nil"/>
              <w:bottom w:val="single" w:sz="4" w:space="0" w:color="auto"/>
              <w:right w:val="nil"/>
            </w:tcBorders>
            <w:shd w:val="clear" w:color="auto" w:fill="auto"/>
            <w:noWrap/>
            <w:vAlign w:val="bottom"/>
            <w:hideMark/>
          </w:tcPr>
          <w:p w14:paraId="7AB4FA69" w14:textId="2FCFAA5D" w:rsidR="001C1271" w:rsidRPr="001C1271" w:rsidRDefault="001C1271" w:rsidP="001C1271">
            <w:pPr>
              <w:spacing w:after="0" w:line="240" w:lineRule="auto"/>
              <w:jc w:val="right"/>
              <w:rPr>
                <w:rFonts w:ascii="Arial" w:hAnsi="Arial" w:cs="Arial"/>
                <w:b/>
                <w:bCs/>
                <w:sz w:val="16"/>
                <w:szCs w:val="16"/>
              </w:rPr>
            </w:pPr>
            <w:r w:rsidRPr="001C1271">
              <w:rPr>
                <w:rFonts w:ascii="Arial" w:hAnsi="Arial" w:cs="Arial"/>
                <w:b/>
                <w:bCs/>
                <w:sz w:val="16"/>
                <w:szCs w:val="16"/>
              </w:rPr>
              <w:t>4,075,764</w:t>
            </w:r>
          </w:p>
        </w:tc>
      </w:tr>
    </w:tbl>
    <w:p w14:paraId="0DFB08DB" w14:textId="77777777" w:rsidR="001C1271" w:rsidRPr="001C1271" w:rsidRDefault="001C1271">
      <w:pPr>
        <w:spacing w:after="0" w:line="240" w:lineRule="auto"/>
        <w:rPr>
          <w:rFonts w:ascii="Arial" w:hAnsi="Arial" w:cs="Arial"/>
          <w:sz w:val="16"/>
          <w:szCs w:val="16"/>
          <w:lang w:val="x-none" w:eastAsia="x-none"/>
        </w:rPr>
      </w:pPr>
    </w:p>
    <w:tbl>
      <w:tblPr>
        <w:tblW w:w="4993" w:type="pct"/>
        <w:tblLook w:val="04A0" w:firstRow="1" w:lastRow="0" w:firstColumn="1" w:lastColumn="0" w:noHBand="0" w:noVBand="1"/>
      </w:tblPr>
      <w:tblGrid>
        <w:gridCol w:w="3026"/>
        <w:gridCol w:w="1007"/>
        <w:gridCol w:w="875"/>
        <w:gridCol w:w="902"/>
        <w:gridCol w:w="899"/>
        <w:gridCol w:w="990"/>
      </w:tblGrid>
      <w:tr w:rsidR="00581F55" w:rsidRPr="00581F55" w14:paraId="752A0E2C" w14:textId="77777777" w:rsidTr="004D68AC">
        <w:trPr>
          <w:trHeight w:val="204"/>
        </w:trPr>
        <w:tc>
          <w:tcPr>
            <w:tcW w:w="1965" w:type="pct"/>
            <w:tcBorders>
              <w:top w:val="single" w:sz="4" w:space="0" w:color="auto"/>
              <w:left w:val="nil"/>
              <w:bottom w:val="nil"/>
              <w:right w:val="nil"/>
            </w:tcBorders>
            <w:shd w:val="clear" w:color="auto" w:fill="auto"/>
            <w:vAlign w:val="bottom"/>
            <w:hideMark/>
          </w:tcPr>
          <w:p w14:paraId="03BF182A" w14:textId="58BF51A1" w:rsidR="00581F55" w:rsidRPr="00581F55" w:rsidRDefault="00581F55" w:rsidP="00581F55">
            <w:pPr>
              <w:spacing w:after="0" w:line="240" w:lineRule="auto"/>
              <w:rPr>
                <w:rFonts w:ascii="Arial" w:hAnsi="Arial" w:cs="Arial"/>
                <w:b/>
                <w:bCs/>
                <w:color w:val="000000"/>
                <w:sz w:val="16"/>
                <w:szCs w:val="16"/>
              </w:rPr>
            </w:pPr>
            <w:r w:rsidRPr="00581F55">
              <w:rPr>
                <w:rFonts w:ascii="Arial" w:hAnsi="Arial" w:cs="Arial"/>
                <w:b/>
                <w:bCs/>
                <w:color w:val="000000"/>
                <w:sz w:val="16"/>
                <w:szCs w:val="16"/>
              </w:rPr>
              <w:t>Movement of administered funds between years</w:t>
            </w:r>
            <w:r w:rsidRPr="001C1271">
              <w:rPr>
                <w:rFonts w:ascii="Arial" w:hAnsi="Arial" w:cs="Arial"/>
                <w:bCs/>
                <w:color w:val="000000"/>
                <w:sz w:val="16"/>
                <w:szCs w:val="16"/>
                <w:vertAlign w:val="superscript"/>
              </w:rPr>
              <w:t>(</w:t>
            </w:r>
            <w:r w:rsidR="001C1271">
              <w:rPr>
                <w:rFonts w:ascii="Arial" w:hAnsi="Arial" w:cs="Arial"/>
                <w:bCs/>
                <w:color w:val="000000"/>
                <w:sz w:val="16"/>
                <w:szCs w:val="16"/>
                <w:vertAlign w:val="superscript"/>
              </w:rPr>
              <w:t>d</w:t>
            </w:r>
            <w:r w:rsidRPr="001C1271">
              <w:rPr>
                <w:rFonts w:ascii="Arial" w:hAnsi="Arial" w:cs="Arial"/>
                <w:bCs/>
                <w:color w:val="000000"/>
                <w:sz w:val="16"/>
                <w:szCs w:val="16"/>
                <w:vertAlign w:val="superscript"/>
              </w:rPr>
              <w:t>)</w:t>
            </w:r>
          </w:p>
        </w:tc>
        <w:tc>
          <w:tcPr>
            <w:tcW w:w="654" w:type="pct"/>
            <w:tcBorders>
              <w:top w:val="single" w:sz="4" w:space="0" w:color="auto"/>
              <w:left w:val="nil"/>
              <w:bottom w:val="single" w:sz="4" w:space="0" w:color="auto"/>
              <w:right w:val="nil"/>
            </w:tcBorders>
            <w:shd w:val="clear" w:color="auto" w:fill="auto"/>
            <w:vAlign w:val="bottom"/>
            <w:hideMark/>
          </w:tcPr>
          <w:p w14:paraId="550EB5D5" w14:textId="0D3DF222" w:rsidR="00581F55" w:rsidRPr="00581F55" w:rsidRDefault="00581F55" w:rsidP="00581F55">
            <w:pPr>
              <w:spacing w:after="0" w:line="240" w:lineRule="auto"/>
              <w:jc w:val="right"/>
              <w:rPr>
                <w:rFonts w:ascii="Arial" w:hAnsi="Arial" w:cs="Arial"/>
                <w:sz w:val="16"/>
                <w:szCs w:val="16"/>
              </w:rPr>
            </w:pPr>
            <w:r w:rsidRPr="00581F55">
              <w:rPr>
                <w:rFonts w:ascii="Arial" w:hAnsi="Arial" w:cs="Arial"/>
                <w:sz w:val="16"/>
                <w:szCs w:val="16"/>
              </w:rPr>
              <w:t>2022-23</w:t>
            </w:r>
            <w:r w:rsidRPr="00581F55">
              <w:rPr>
                <w:rFonts w:ascii="Arial" w:hAnsi="Arial" w:cs="Arial"/>
                <w:sz w:val="16"/>
                <w:szCs w:val="16"/>
              </w:rPr>
              <w:br/>
              <w:t>Estimated actual</w:t>
            </w:r>
            <w:r w:rsidRPr="00581F55">
              <w:rPr>
                <w:rFonts w:ascii="Arial" w:hAnsi="Arial" w:cs="Arial"/>
                <w:sz w:val="16"/>
                <w:szCs w:val="16"/>
              </w:rPr>
              <w:br/>
              <w:t>$'000</w:t>
            </w:r>
          </w:p>
        </w:tc>
        <w:tc>
          <w:tcPr>
            <w:tcW w:w="568" w:type="pct"/>
            <w:tcBorders>
              <w:top w:val="single" w:sz="4" w:space="0" w:color="auto"/>
              <w:left w:val="nil"/>
              <w:bottom w:val="single" w:sz="4" w:space="0" w:color="auto"/>
              <w:right w:val="nil"/>
            </w:tcBorders>
            <w:shd w:val="clear" w:color="000000" w:fill="E6E6E6"/>
            <w:vAlign w:val="bottom"/>
            <w:hideMark/>
          </w:tcPr>
          <w:p w14:paraId="30629D86" w14:textId="77777777" w:rsidR="00581F55" w:rsidRPr="00581F55" w:rsidRDefault="00581F55" w:rsidP="00581F55">
            <w:pPr>
              <w:spacing w:after="0" w:line="240" w:lineRule="auto"/>
              <w:jc w:val="right"/>
              <w:rPr>
                <w:rFonts w:ascii="Arial" w:hAnsi="Arial" w:cs="Arial"/>
                <w:sz w:val="16"/>
                <w:szCs w:val="16"/>
              </w:rPr>
            </w:pPr>
            <w:r w:rsidRPr="00581F55">
              <w:rPr>
                <w:rFonts w:ascii="Arial" w:hAnsi="Arial" w:cs="Arial"/>
                <w:sz w:val="16"/>
                <w:szCs w:val="16"/>
              </w:rPr>
              <w:t>2023-24</w:t>
            </w:r>
            <w:r w:rsidRPr="00581F55">
              <w:rPr>
                <w:rFonts w:ascii="Arial" w:hAnsi="Arial" w:cs="Arial"/>
                <w:sz w:val="16"/>
                <w:szCs w:val="16"/>
              </w:rPr>
              <w:br/>
              <w:t xml:space="preserve"> Budget</w:t>
            </w:r>
            <w:r w:rsidRPr="00581F55">
              <w:rPr>
                <w:rFonts w:ascii="Arial" w:hAnsi="Arial" w:cs="Arial"/>
                <w:sz w:val="16"/>
                <w:szCs w:val="16"/>
              </w:rPr>
              <w:br/>
              <w:t xml:space="preserve">                                      $'000</w:t>
            </w:r>
          </w:p>
        </w:tc>
        <w:tc>
          <w:tcPr>
            <w:tcW w:w="586" w:type="pct"/>
            <w:tcBorders>
              <w:top w:val="single" w:sz="4" w:space="0" w:color="auto"/>
              <w:left w:val="nil"/>
              <w:bottom w:val="single" w:sz="4" w:space="0" w:color="auto"/>
              <w:right w:val="nil"/>
            </w:tcBorders>
            <w:shd w:val="clear" w:color="auto" w:fill="auto"/>
            <w:vAlign w:val="bottom"/>
            <w:hideMark/>
          </w:tcPr>
          <w:p w14:paraId="5241DBCB" w14:textId="77777777" w:rsidR="00581F55" w:rsidRPr="00581F55" w:rsidRDefault="00581F55" w:rsidP="00581F55">
            <w:pPr>
              <w:spacing w:after="0" w:line="240" w:lineRule="auto"/>
              <w:jc w:val="right"/>
              <w:rPr>
                <w:rFonts w:ascii="Arial" w:hAnsi="Arial" w:cs="Arial"/>
                <w:sz w:val="16"/>
                <w:szCs w:val="16"/>
              </w:rPr>
            </w:pPr>
            <w:r w:rsidRPr="00581F55">
              <w:rPr>
                <w:rFonts w:ascii="Arial" w:hAnsi="Arial" w:cs="Arial"/>
                <w:sz w:val="16"/>
                <w:szCs w:val="16"/>
              </w:rPr>
              <w:t>2024-25</w:t>
            </w:r>
            <w:r w:rsidRPr="00581F55">
              <w:rPr>
                <w:rFonts w:ascii="Arial" w:hAnsi="Arial" w:cs="Arial"/>
                <w:sz w:val="16"/>
                <w:szCs w:val="16"/>
              </w:rPr>
              <w:br/>
              <w:t>Forward estimate</w:t>
            </w:r>
            <w:r w:rsidRPr="00581F55">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auto"/>
            <w:vAlign w:val="bottom"/>
            <w:hideMark/>
          </w:tcPr>
          <w:p w14:paraId="4399EAD7" w14:textId="77777777" w:rsidR="00581F55" w:rsidRPr="00581F55" w:rsidRDefault="00581F55" w:rsidP="00581F55">
            <w:pPr>
              <w:spacing w:after="0" w:line="240" w:lineRule="auto"/>
              <w:jc w:val="right"/>
              <w:rPr>
                <w:rFonts w:ascii="Arial" w:hAnsi="Arial" w:cs="Arial"/>
                <w:sz w:val="16"/>
                <w:szCs w:val="16"/>
              </w:rPr>
            </w:pPr>
            <w:r w:rsidRPr="00581F55">
              <w:rPr>
                <w:rFonts w:ascii="Arial" w:hAnsi="Arial" w:cs="Arial"/>
                <w:sz w:val="16"/>
                <w:szCs w:val="16"/>
              </w:rPr>
              <w:t>2025-26</w:t>
            </w:r>
            <w:r w:rsidRPr="00581F55">
              <w:rPr>
                <w:rFonts w:ascii="Arial" w:hAnsi="Arial" w:cs="Arial"/>
                <w:sz w:val="16"/>
                <w:szCs w:val="16"/>
              </w:rPr>
              <w:br/>
              <w:t>Forward estimate</w:t>
            </w:r>
            <w:r w:rsidRPr="00581F55">
              <w:rPr>
                <w:rFonts w:ascii="Arial" w:hAnsi="Arial" w:cs="Arial"/>
                <w:sz w:val="16"/>
                <w:szCs w:val="16"/>
              </w:rPr>
              <w:br/>
              <w:t>$'000</w:t>
            </w:r>
          </w:p>
        </w:tc>
        <w:tc>
          <w:tcPr>
            <w:tcW w:w="643" w:type="pct"/>
            <w:tcBorders>
              <w:top w:val="single" w:sz="4" w:space="0" w:color="auto"/>
              <w:left w:val="nil"/>
              <w:bottom w:val="single" w:sz="4" w:space="0" w:color="auto"/>
              <w:right w:val="nil"/>
            </w:tcBorders>
            <w:shd w:val="clear" w:color="auto" w:fill="auto"/>
            <w:vAlign w:val="bottom"/>
            <w:hideMark/>
          </w:tcPr>
          <w:p w14:paraId="02D309C2" w14:textId="77777777" w:rsidR="00581F55" w:rsidRPr="00581F55" w:rsidRDefault="00581F55" w:rsidP="00581F55">
            <w:pPr>
              <w:spacing w:after="0" w:line="240" w:lineRule="auto"/>
              <w:jc w:val="right"/>
              <w:rPr>
                <w:rFonts w:ascii="Arial" w:hAnsi="Arial" w:cs="Arial"/>
                <w:sz w:val="16"/>
                <w:szCs w:val="16"/>
              </w:rPr>
            </w:pPr>
            <w:r w:rsidRPr="00581F55">
              <w:rPr>
                <w:rFonts w:ascii="Arial" w:hAnsi="Arial" w:cs="Arial"/>
                <w:sz w:val="16"/>
                <w:szCs w:val="16"/>
              </w:rPr>
              <w:t>2026-27</w:t>
            </w:r>
            <w:r w:rsidRPr="00581F55">
              <w:rPr>
                <w:rFonts w:ascii="Arial" w:hAnsi="Arial" w:cs="Arial"/>
                <w:sz w:val="16"/>
                <w:szCs w:val="16"/>
              </w:rPr>
              <w:br/>
              <w:t>Forward estimate</w:t>
            </w:r>
            <w:r w:rsidRPr="00581F55">
              <w:rPr>
                <w:rFonts w:ascii="Arial" w:hAnsi="Arial" w:cs="Arial"/>
                <w:sz w:val="16"/>
                <w:szCs w:val="16"/>
              </w:rPr>
              <w:br/>
              <w:t>$'000</w:t>
            </w:r>
          </w:p>
        </w:tc>
      </w:tr>
      <w:tr w:rsidR="00733364" w:rsidRPr="00581F55" w14:paraId="236AFEA7" w14:textId="77777777" w:rsidTr="004D68AC">
        <w:trPr>
          <w:trHeight w:val="204"/>
        </w:trPr>
        <w:tc>
          <w:tcPr>
            <w:tcW w:w="1965" w:type="pct"/>
            <w:tcBorders>
              <w:top w:val="nil"/>
              <w:left w:val="nil"/>
              <w:bottom w:val="nil"/>
              <w:right w:val="nil"/>
            </w:tcBorders>
            <w:shd w:val="clear" w:color="auto" w:fill="auto"/>
            <w:noWrap/>
            <w:vAlign w:val="bottom"/>
          </w:tcPr>
          <w:p w14:paraId="2E480259" w14:textId="6C07C6CE" w:rsidR="00733364" w:rsidRPr="00581F55" w:rsidRDefault="00733364" w:rsidP="00733364">
            <w:pPr>
              <w:spacing w:after="0" w:line="240" w:lineRule="auto"/>
              <w:rPr>
                <w:rFonts w:ascii="Arial" w:hAnsi="Arial" w:cs="Arial"/>
                <w:sz w:val="16"/>
                <w:szCs w:val="16"/>
              </w:rPr>
            </w:pPr>
            <w:r>
              <w:rPr>
                <w:rFonts w:ascii="Arial" w:hAnsi="Arial" w:cs="Arial"/>
                <w:sz w:val="16"/>
                <w:szCs w:val="16"/>
              </w:rPr>
              <w:t>Outcome 3:</w:t>
            </w:r>
          </w:p>
        </w:tc>
        <w:tc>
          <w:tcPr>
            <w:tcW w:w="654" w:type="pct"/>
            <w:tcBorders>
              <w:top w:val="nil"/>
              <w:left w:val="nil"/>
              <w:bottom w:val="nil"/>
              <w:right w:val="nil"/>
            </w:tcBorders>
            <w:shd w:val="clear" w:color="auto" w:fill="auto"/>
            <w:noWrap/>
            <w:vAlign w:val="bottom"/>
          </w:tcPr>
          <w:p w14:paraId="1B8EDFD5" w14:textId="77777777" w:rsidR="00733364" w:rsidRDefault="00733364" w:rsidP="001C1271">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tcPr>
          <w:p w14:paraId="532DBD81" w14:textId="77777777" w:rsidR="00733364" w:rsidRDefault="00733364" w:rsidP="001C1271">
            <w:pPr>
              <w:spacing w:after="0" w:line="240" w:lineRule="auto"/>
              <w:jc w:val="right"/>
              <w:rPr>
                <w:rFonts w:ascii="Arial" w:hAnsi="Arial" w:cs="Arial"/>
                <w:sz w:val="16"/>
                <w:szCs w:val="16"/>
              </w:rPr>
            </w:pPr>
          </w:p>
        </w:tc>
        <w:tc>
          <w:tcPr>
            <w:tcW w:w="586" w:type="pct"/>
            <w:tcBorders>
              <w:top w:val="nil"/>
              <w:left w:val="nil"/>
              <w:bottom w:val="nil"/>
              <w:right w:val="nil"/>
            </w:tcBorders>
            <w:shd w:val="clear" w:color="auto" w:fill="auto"/>
            <w:noWrap/>
            <w:vAlign w:val="bottom"/>
          </w:tcPr>
          <w:p w14:paraId="1CCBD083" w14:textId="77777777" w:rsidR="00733364" w:rsidRDefault="00733364" w:rsidP="001C1271">
            <w:pPr>
              <w:spacing w:after="0" w:line="240" w:lineRule="auto"/>
              <w:jc w:val="right"/>
              <w:rPr>
                <w:rFonts w:ascii="Arial" w:hAnsi="Arial" w:cs="Arial"/>
                <w:sz w:val="16"/>
                <w:szCs w:val="16"/>
              </w:rPr>
            </w:pPr>
          </w:p>
        </w:tc>
        <w:tc>
          <w:tcPr>
            <w:tcW w:w="584" w:type="pct"/>
            <w:tcBorders>
              <w:top w:val="nil"/>
              <w:left w:val="nil"/>
              <w:bottom w:val="nil"/>
              <w:right w:val="nil"/>
            </w:tcBorders>
            <w:shd w:val="clear" w:color="auto" w:fill="auto"/>
            <w:noWrap/>
            <w:vAlign w:val="bottom"/>
          </w:tcPr>
          <w:p w14:paraId="520AF27A" w14:textId="77777777" w:rsidR="00733364" w:rsidRDefault="00733364" w:rsidP="001C1271">
            <w:pPr>
              <w:spacing w:after="0" w:line="240" w:lineRule="auto"/>
              <w:jc w:val="right"/>
              <w:rPr>
                <w:rFonts w:ascii="Arial" w:hAnsi="Arial" w:cs="Arial"/>
                <w:sz w:val="16"/>
                <w:szCs w:val="16"/>
              </w:rPr>
            </w:pPr>
          </w:p>
        </w:tc>
        <w:tc>
          <w:tcPr>
            <w:tcW w:w="643" w:type="pct"/>
            <w:tcBorders>
              <w:top w:val="nil"/>
              <w:left w:val="nil"/>
              <w:bottom w:val="nil"/>
              <w:right w:val="nil"/>
            </w:tcBorders>
            <w:shd w:val="clear" w:color="auto" w:fill="auto"/>
            <w:noWrap/>
            <w:vAlign w:val="bottom"/>
          </w:tcPr>
          <w:p w14:paraId="090517B4" w14:textId="77777777" w:rsidR="00733364" w:rsidRDefault="00733364" w:rsidP="001C1271">
            <w:pPr>
              <w:spacing w:after="0" w:line="240" w:lineRule="auto"/>
              <w:jc w:val="right"/>
              <w:rPr>
                <w:rFonts w:ascii="Arial" w:hAnsi="Arial" w:cs="Arial"/>
                <w:sz w:val="16"/>
                <w:szCs w:val="16"/>
              </w:rPr>
            </w:pPr>
          </w:p>
        </w:tc>
      </w:tr>
      <w:tr w:rsidR="001C1271" w:rsidRPr="00581F55" w14:paraId="6DC0739A" w14:textId="77777777" w:rsidTr="004D68AC">
        <w:trPr>
          <w:trHeight w:val="204"/>
        </w:trPr>
        <w:tc>
          <w:tcPr>
            <w:tcW w:w="1965" w:type="pct"/>
            <w:tcBorders>
              <w:top w:val="nil"/>
              <w:left w:val="nil"/>
              <w:bottom w:val="nil"/>
              <w:right w:val="nil"/>
            </w:tcBorders>
            <w:shd w:val="clear" w:color="auto" w:fill="auto"/>
            <w:noWrap/>
            <w:vAlign w:val="bottom"/>
            <w:hideMark/>
          </w:tcPr>
          <w:p w14:paraId="696E9EC0" w14:textId="77777777" w:rsidR="001C1271" w:rsidRPr="00581F55" w:rsidRDefault="001C1271" w:rsidP="001C1271">
            <w:pPr>
              <w:spacing w:after="0" w:line="240" w:lineRule="auto"/>
              <w:ind w:firstLineChars="100" w:firstLine="160"/>
              <w:rPr>
                <w:rFonts w:ascii="Arial" w:hAnsi="Arial" w:cs="Arial"/>
                <w:sz w:val="16"/>
                <w:szCs w:val="16"/>
              </w:rPr>
            </w:pPr>
            <w:r w:rsidRPr="00581F55">
              <w:rPr>
                <w:rFonts w:ascii="Arial" w:hAnsi="Arial" w:cs="Arial"/>
                <w:sz w:val="16"/>
                <w:szCs w:val="16"/>
              </w:rPr>
              <w:t>Program 3.1: Regional Development</w:t>
            </w:r>
          </w:p>
        </w:tc>
        <w:tc>
          <w:tcPr>
            <w:tcW w:w="654" w:type="pct"/>
            <w:tcBorders>
              <w:top w:val="nil"/>
              <w:left w:val="nil"/>
              <w:bottom w:val="nil"/>
              <w:right w:val="nil"/>
            </w:tcBorders>
            <w:shd w:val="clear" w:color="auto" w:fill="auto"/>
            <w:noWrap/>
            <w:vAlign w:val="bottom"/>
            <w:hideMark/>
          </w:tcPr>
          <w:p w14:paraId="53CD2AC1" w14:textId="14035405" w:rsidR="001C1271" w:rsidRPr="00581F55" w:rsidRDefault="001C1271" w:rsidP="001C1271">
            <w:pPr>
              <w:spacing w:after="0" w:line="240" w:lineRule="auto"/>
              <w:jc w:val="right"/>
              <w:rPr>
                <w:rFonts w:ascii="Arial" w:hAnsi="Arial" w:cs="Arial"/>
                <w:sz w:val="16"/>
                <w:szCs w:val="16"/>
              </w:rPr>
            </w:pPr>
            <w:r>
              <w:rPr>
                <w:rFonts w:ascii="Arial" w:hAnsi="Arial" w:cs="Arial"/>
                <w:sz w:val="16"/>
                <w:szCs w:val="16"/>
              </w:rPr>
              <w:t>(33,375)</w:t>
            </w:r>
          </w:p>
        </w:tc>
        <w:tc>
          <w:tcPr>
            <w:tcW w:w="568" w:type="pct"/>
            <w:tcBorders>
              <w:top w:val="nil"/>
              <w:left w:val="nil"/>
              <w:bottom w:val="nil"/>
              <w:right w:val="nil"/>
            </w:tcBorders>
            <w:shd w:val="clear" w:color="000000" w:fill="E6E6E6"/>
            <w:noWrap/>
            <w:vAlign w:val="bottom"/>
            <w:hideMark/>
          </w:tcPr>
          <w:p w14:paraId="00EE0363" w14:textId="4DB6B238" w:rsidR="001C1271" w:rsidRPr="00581F55" w:rsidRDefault="001C1271" w:rsidP="001C1271">
            <w:pPr>
              <w:spacing w:after="0" w:line="240" w:lineRule="auto"/>
              <w:jc w:val="right"/>
              <w:rPr>
                <w:rFonts w:ascii="Arial" w:hAnsi="Arial" w:cs="Arial"/>
                <w:sz w:val="16"/>
                <w:szCs w:val="16"/>
              </w:rPr>
            </w:pPr>
            <w:r>
              <w:rPr>
                <w:rFonts w:ascii="Arial" w:hAnsi="Arial" w:cs="Arial"/>
                <w:sz w:val="16"/>
                <w:szCs w:val="16"/>
              </w:rPr>
              <w:t>28,675</w:t>
            </w:r>
          </w:p>
        </w:tc>
        <w:tc>
          <w:tcPr>
            <w:tcW w:w="586" w:type="pct"/>
            <w:tcBorders>
              <w:top w:val="nil"/>
              <w:left w:val="nil"/>
              <w:bottom w:val="nil"/>
              <w:right w:val="nil"/>
            </w:tcBorders>
            <w:shd w:val="clear" w:color="auto" w:fill="auto"/>
            <w:noWrap/>
            <w:vAlign w:val="bottom"/>
            <w:hideMark/>
          </w:tcPr>
          <w:p w14:paraId="46049534" w14:textId="74DFE9FB" w:rsidR="001C1271" w:rsidRPr="00581F55" w:rsidRDefault="001C1271" w:rsidP="001C1271">
            <w:pPr>
              <w:spacing w:after="0" w:line="240" w:lineRule="auto"/>
              <w:jc w:val="right"/>
              <w:rPr>
                <w:rFonts w:ascii="Arial" w:hAnsi="Arial" w:cs="Arial"/>
                <w:sz w:val="16"/>
                <w:szCs w:val="16"/>
              </w:rPr>
            </w:pPr>
            <w:r>
              <w:rPr>
                <w:rFonts w:ascii="Arial" w:hAnsi="Arial" w:cs="Arial"/>
                <w:sz w:val="16"/>
                <w:szCs w:val="16"/>
              </w:rPr>
              <w:t>106,800</w:t>
            </w:r>
          </w:p>
        </w:tc>
        <w:tc>
          <w:tcPr>
            <w:tcW w:w="584" w:type="pct"/>
            <w:tcBorders>
              <w:top w:val="nil"/>
              <w:left w:val="nil"/>
              <w:bottom w:val="nil"/>
              <w:right w:val="nil"/>
            </w:tcBorders>
            <w:shd w:val="clear" w:color="auto" w:fill="auto"/>
            <w:noWrap/>
            <w:vAlign w:val="bottom"/>
            <w:hideMark/>
          </w:tcPr>
          <w:p w14:paraId="38DCB420" w14:textId="4D202D1B" w:rsidR="001C1271" w:rsidRPr="00581F55" w:rsidRDefault="001C1271" w:rsidP="001C1271">
            <w:pPr>
              <w:spacing w:after="0" w:line="240" w:lineRule="auto"/>
              <w:jc w:val="right"/>
              <w:rPr>
                <w:rFonts w:ascii="Arial" w:hAnsi="Arial" w:cs="Arial"/>
                <w:sz w:val="16"/>
                <w:szCs w:val="16"/>
              </w:rPr>
            </w:pPr>
            <w:r>
              <w:rPr>
                <w:rFonts w:ascii="Arial" w:hAnsi="Arial" w:cs="Arial"/>
                <w:sz w:val="16"/>
                <w:szCs w:val="16"/>
              </w:rPr>
              <w:t>87,900</w:t>
            </w:r>
          </w:p>
        </w:tc>
        <w:tc>
          <w:tcPr>
            <w:tcW w:w="643" w:type="pct"/>
            <w:tcBorders>
              <w:top w:val="nil"/>
              <w:left w:val="nil"/>
              <w:bottom w:val="nil"/>
              <w:right w:val="nil"/>
            </w:tcBorders>
            <w:shd w:val="clear" w:color="auto" w:fill="auto"/>
            <w:noWrap/>
            <w:vAlign w:val="bottom"/>
            <w:hideMark/>
          </w:tcPr>
          <w:p w14:paraId="05F6F277" w14:textId="5DADF918" w:rsidR="001C1271" w:rsidRPr="00581F55" w:rsidRDefault="001C1271" w:rsidP="001C1271">
            <w:pPr>
              <w:spacing w:after="0" w:line="240" w:lineRule="auto"/>
              <w:jc w:val="right"/>
              <w:rPr>
                <w:rFonts w:ascii="Arial" w:hAnsi="Arial" w:cs="Arial"/>
                <w:sz w:val="16"/>
                <w:szCs w:val="16"/>
              </w:rPr>
            </w:pPr>
            <w:r>
              <w:rPr>
                <w:rFonts w:ascii="Arial" w:hAnsi="Arial" w:cs="Arial"/>
                <w:sz w:val="16"/>
                <w:szCs w:val="16"/>
              </w:rPr>
              <w:t>(190,000)</w:t>
            </w:r>
          </w:p>
        </w:tc>
      </w:tr>
      <w:tr w:rsidR="001C1271" w:rsidRPr="00581F55" w14:paraId="5109CD2A" w14:textId="77777777" w:rsidTr="004D68AC">
        <w:trPr>
          <w:trHeight w:val="204"/>
        </w:trPr>
        <w:tc>
          <w:tcPr>
            <w:tcW w:w="1965" w:type="pct"/>
            <w:tcBorders>
              <w:top w:val="nil"/>
              <w:left w:val="nil"/>
              <w:bottom w:val="nil"/>
              <w:right w:val="nil"/>
            </w:tcBorders>
            <w:shd w:val="clear" w:color="auto" w:fill="auto"/>
            <w:noWrap/>
            <w:vAlign w:val="bottom"/>
            <w:hideMark/>
          </w:tcPr>
          <w:p w14:paraId="68044C76" w14:textId="77777777" w:rsidR="001C1271" w:rsidRPr="00581F55" w:rsidRDefault="001C1271" w:rsidP="001C1271">
            <w:pPr>
              <w:spacing w:after="0" w:line="240" w:lineRule="auto"/>
              <w:ind w:firstLineChars="100" w:firstLine="160"/>
              <w:rPr>
                <w:rFonts w:ascii="Arial" w:hAnsi="Arial" w:cs="Arial"/>
                <w:sz w:val="16"/>
                <w:szCs w:val="16"/>
              </w:rPr>
            </w:pPr>
            <w:r w:rsidRPr="00581F55">
              <w:rPr>
                <w:rFonts w:ascii="Arial" w:hAnsi="Arial" w:cs="Arial"/>
                <w:sz w:val="16"/>
                <w:szCs w:val="16"/>
              </w:rPr>
              <w:t>Program 3.3: Cities</w:t>
            </w:r>
          </w:p>
        </w:tc>
        <w:tc>
          <w:tcPr>
            <w:tcW w:w="654" w:type="pct"/>
            <w:tcBorders>
              <w:top w:val="nil"/>
              <w:left w:val="nil"/>
              <w:bottom w:val="nil"/>
              <w:right w:val="nil"/>
            </w:tcBorders>
            <w:shd w:val="clear" w:color="auto" w:fill="auto"/>
            <w:noWrap/>
            <w:vAlign w:val="bottom"/>
            <w:hideMark/>
          </w:tcPr>
          <w:p w14:paraId="07F63D10" w14:textId="757E3994" w:rsidR="001C1271" w:rsidRPr="00581F55" w:rsidRDefault="001C1271" w:rsidP="001C1271">
            <w:pPr>
              <w:spacing w:after="0" w:line="240" w:lineRule="auto"/>
              <w:jc w:val="right"/>
              <w:rPr>
                <w:rFonts w:ascii="Arial" w:hAnsi="Arial" w:cs="Arial"/>
                <w:sz w:val="16"/>
                <w:szCs w:val="16"/>
              </w:rPr>
            </w:pPr>
            <w:r>
              <w:rPr>
                <w:rFonts w:ascii="Arial" w:hAnsi="Arial" w:cs="Arial"/>
                <w:sz w:val="16"/>
                <w:szCs w:val="16"/>
              </w:rPr>
              <w:t>(3,590)</w:t>
            </w:r>
          </w:p>
        </w:tc>
        <w:tc>
          <w:tcPr>
            <w:tcW w:w="568" w:type="pct"/>
            <w:tcBorders>
              <w:top w:val="nil"/>
              <w:left w:val="nil"/>
              <w:bottom w:val="nil"/>
              <w:right w:val="nil"/>
            </w:tcBorders>
            <w:shd w:val="clear" w:color="000000" w:fill="E6E6E6"/>
            <w:noWrap/>
            <w:vAlign w:val="bottom"/>
            <w:hideMark/>
          </w:tcPr>
          <w:p w14:paraId="0C913B66" w14:textId="08BA0AF6" w:rsidR="001C1271" w:rsidRPr="00581F55" w:rsidRDefault="001C1271" w:rsidP="001C1271">
            <w:pPr>
              <w:spacing w:after="0" w:line="240" w:lineRule="auto"/>
              <w:jc w:val="right"/>
              <w:rPr>
                <w:rFonts w:ascii="Arial" w:hAnsi="Arial" w:cs="Arial"/>
                <w:sz w:val="16"/>
                <w:szCs w:val="16"/>
              </w:rPr>
            </w:pPr>
            <w:r>
              <w:rPr>
                <w:rFonts w:ascii="Arial" w:hAnsi="Arial" w:cs="Arial"/>
                <w:sz w:val="16"/>
                <w:szCs w:val="16"/>
              </w:rPr>
              <w:t>3,590</w:t>
            </w:r>
          </w:p>
        </w:tc>
        <w:tc>
          <w:tcPr>
            <w:tcW w:w="586" w:type="pct"/>
            <w:tcBorders>
              <w:top w:val="nil"/>
              <w:left w:val="nil"/>
              <w:bottom w:val="nil"/>
              <w:right w:val="nil"/>
            </w:tcBorders>
            <w:shd w:val="clear" w:color="auto" w:fill="auto"/>
            <w:noWrap/>
            <w:vAlign w:val="bottom"/>
            <w:hideMark/>
          </w:tcPr>
          <w:p w14:paraId="3AA06E74" w14:textId="6443220F" w:rsidR="001C1271" w:rsidRPr="00581F55" w:rsidRDefault="001C1271" w:rsidP="001C1271">
            <w:pPr>
              <w:spacing w:after="0" w:line="240" w:lineRule="auto"/>
              <w:jc w:val="right"/>
              <w:rPr>
                <w:rFonts w:ascii="Arial" w:hAnsi="Arial" w:cs="Arial"/>
                <w:sz w:val="16"/>
                <w:szCs w:val="16"/>
              </w:rPr>
            </w:pPr>
            <w:r>
              <w:rPr>
                <w:rFonts w:ascii="Arial" w:hAnsi="Arial" w:cs="Arial"/>
                <w:sz w:val="16"/>
                <w:szCs w:val="16"/>
              </w:rPr>
              <w:t>-</w:t>
            </w:r>
          </w:p>
        </w:tc>
        <w:tc>
          <w:tcPr>
            <w:tcW w:w="584" w:type="pct"/>
            <w:tcBorders>
              <w:top w:val="nil"/>
              <w:left w:val="nil"/>
              <w:bottom w:val="nil"/>
              <w:right w:val="nil"/>
            </w:tcBorders>
            <w:shd w:val="clear" w:color="auto" w:fill="auto"/>
            <w:noWrap/>
            <w:vAlign w:val="bottom"/>
            <w:hideMark/>
          </w:tcPr>
          <w:p w14:paraId="37BA2D09" w14:textId="7E7E771B" w:rsidR="001C1271" w:rsidRPr="00581F55" w:rsidRDefault="001C1271" w:rsidP="001C1271">
            <w:pPr>
              <w:spacing w:after="0" w:line="240" w:lineRule="auto"/>
              <w:jc w:val="right"/>
              <w:rPr>
                <w:rFonts w:ascii="Arial" w:hAnsi="Arial" w:cs="Arial"/>
                <w:sz w:val="16"/>
                <w:szCs w:val="16"/>
              </w:rPr>
            </w:pPr>
            <w:r>
              <w:rPr>
                <w:rFonts w:ascii="Arial" w:hAnsi="Arial" w:cs="Arial"/>
                <w:sz w:val="16"/>
                <w:szCs w:val="16"/>
              </w:rPr>
              <w:t>-</w:t>
            </w:r>
          </w:p>
        </w:tc>
        <w:tc>
          <w:tcPr>
            <w:tcW w:w="643" w:type="pct"/>
            <w:tcBorders>
              <w:top w:val="nil"/>
              <w:left w:val="nil"/>
              <w:bottom w:val="nil"/>
              <w:right w:val="nil"/>
            </w:tcBorders>
            <w:shd w:val="clear" w:color="auto" w:fill="auto"/>
            <w:noWrap/>
            <w:vAlign w:val="bottom"/>
            <w:hideMark/>
          </w:tcPr>
          <w:p w14:paraId="7C5E8463" w14:textId="54AC48F5" w:rsidR="001C1271" w:rsidRPr="00581F55" w:rsidRDefault="001C1271" w:rsidP="001C1271">
            <w:pPr>
              <w:spacing w:after="0" w:line="240" w:lineRule="auto"/>
              <w:jc w:val="right"/>
              <w:rPr>
                <w:rFonts w:ascii="Arial" w:hAnsi="Arial" w:cs="Arial"/>
                <w:sz w:val="16"/>
                <w:szCs w:val="16"/>
              </w:rPr>
            </w:pPr>
            <w:r>
              <w:rPr>
                <w:rFonts w:ascii="Arial" w:hAnsi="Arial" w:cs="Arial"/>
                <w:sz w:val="16"/>
                <w:szCs w:val="16"/>
              </w:rPr>
              <w:t>-</w:t>
            </w:r>
          </w:p>
        </w:tc>
      </w:tr>
      <w:tr w:rsidR="001C1271" w:rsidRPr="00581F55" w14:paraId="2EA1A783" w14:textId="77777777" w:rsidTr="004D68AC">
        <w:trPr>
          <w:trHeight w:val="204"/>
        </w:trPr>
        <w:tc>
          <w:tcPr>
            <w:tcW w:w="1965" w:type="pct"/>
            <w:tcBorders>
              <w:top w:val="nil"/>
              <w:left w:val="nil"/>
              <w:bottom w:val="single" w:sz="4" w:space="0" w:color="auto"/>
              <w:right w:val="nil"/>
            </w:tcBorders>
            <w:shd w:val="clear" w:color="auto" w:fill="auto"/>
            <w:vAlign w:val="bottom"/>
            <w:hideMark/>
          </w:tcPr>
          <w:p w14:paraId="167C0541" w14:textId="792DE5DB" w:rsidR="001C1271" w:rsidRPr="00581F55" w:rsidRDefault="001C1271" w:rsidP="001C1271">
            <w:pPr>
              <w:spacing w:after="0" w:line="240" w:lineRule="auto"/>
              <w:rPr>
                <w:rFonts w:ascii="Arial" w:hAnsi="Arial" w:cs="Arial"/>
                <w:b/>
                <w:bCs/>
                <w:sz w:val="16"/>
                <w:szCs w:val="16"/>
              </w:rPr>
            </w:pPr>
            <w:r w:rsidRPr="00581F55">
              <w:rPr>
                <w:rFonts w:ascii="Arial" w:hAnsi="Arial" w:cs="Arial"/>
                <w:b/>
                <w:bCs/>
                <w:sz w:val="16"/>
                <w:szCs w:val="16"/>
              </w:rPr>
              <w:t>Total movement of administered funds</w:t>
            </w:r>
          </w:p>
        </w:tc>
        <w:tc>
          <w:tcPr>
            <w:tcW w:w="654" w:type="pct"/>
            <w:tcBorders>
              <w:top w:val="single" w:sz="4" w:space="0" w:color="auto"/>
              <w:left w:val="nil"/>
              <w:bottom w:val="single" w:sz="4" w:space="0" w:color="auto"/>
              <w:right w:val="nil"/>
            </w:tcBorders>
            <w:shd w:val="clear" w:color="auto" w:fill="auto"/>
            <w:noWrap/>
            <w:vAlign w:val="bottom"/>
            <w:hideMark/>
          </w:tcPr>
          <w:p w14:paraId="2EE25858" w14:textId="3B5F32DF" w:rsidR="001C1271" w:rsidRPr="00581F55" w:rsidRDefault="001C1271" w:rsidP="001C1271">
            <w:pPr>
              <w:spacing w:after="0" w:line="240" w:lineRule="auto"/>
              <w:jc w:val="right"/>
              <w:rPr>
                <w:rFonts w:ascii="Arial" w:hAnsi="Arial" w:cs="Arial"/>
                <w:b/>
                <w:bCs/>
                <w:sz w:val="16"/>
                <w:szCs w:val="16"/>
              </w:rPr>
            </w:pPr>
            <w:r>
              <w:rPr>
                <w:rFonts w:ascii="Arial" w:hAnsi="Arial" w:cs="Arial"/>
                <w:b/>
                <w:bCs/>
                <w:sz w:val="16"/>
                <w:szCs w:val="16"/>
              </w:rPr>
              <w:t>(36,965)</w:t>
            </w:r>
          </w:p>
        </w:tc>
        <w:tc>
          <w:tcPr>
            <w:tcW w:w="568" w:type="pct"/>
            <w:tcBorders>
              <w:top w:val="single" w:sz="4" w:space="0" w:color="auto"/>
              <w:left w:val="nil"/>
              <w:bottom w:val="single" w:sz="4" w:space="0" w:color="auto"/>
              <w:right w:val="nil"/>
            </w:tcBorders>
            <w:shd w:val="clear" w:color="000000" w:fill="E6E6E6"/>
            <w:noWrap/>
            <w:vAlign w:val="bottom"/>
            <w:hideMark/>
          </w:tcPr>
          <w:p w14:paraId="3C63F79E" w14:textId="7B692E88" w:rsidR="001C1271" w:rsidRPr="00581F55" w:rsidRDefault="001C1271" w:rsidP="001C1271">
            <w:pPr>
              <w:spacing w:after="0" w:line="240" w:lineRule="auto"/>
              <w:jc w:val="right"/>
              <w:rPr>
                <w:rFonts w:ascii="Arial" w:hAnsi="Arial" w:cs="Arial"/>
                <w:b/>
                <w:bCs/>
                <w:sz w:val="16"/>
                <w:szCs w:val="16"/>
              </w:rPr>
            </w:pPr>
            <w:r>
              <w:rPr>
                <w:rFonts w:ascii="Arial" w:hAnsi="Arial" w:cs="Arial"/>
                <w:b/>
                <w:bCs/>
                <w:sz w:val="16"/>
                <w:szCs w:val="16"/>
              </w:rPr>
              <w:t>32,265</w:t>
            </w:r>
          </w:p>
        </w:tc>
        <w:tc>
          <w:tcPr>
            <w:tcW w:w="586" w:type="pct"/>
            <w:tcBorders>
              <w:top w:val="single" w:sz="4" w:space="0" w:color="auto"/>
              <w:left w:val="nil"/>
              <w:bottom w:val="single" w:sz="4" w:space="0" w:color="auto"/>
              <w:right w:val="nil"/>
            </w:tcBorders>
            <w:shd w:val="clear" w:color="auto" w:fill="auto"/>
            <w:noWrap/>
            <w:vAlign w:val="bottom"/>
            <w:hideMark/>
          </w:tcPr>
          <w:p w14:paraId="621F4575" w14:textId="0D2B1DAE" w:rsidR="001C1271" w:rsidRPr="00581F55" w:rsidRDefault="001C1271" w:rsidP="001C1271">
            <w:pPr>
              <w:spacing w:after="0" w:line="240" w:lineRule="auto"/>
              <w:jc w:val="right"/>
              <w:rPr>
                <w:rFonts w:ascii="Arial" w:hAnsi="Arial" w:cs="Arial"/>
                <w:b/>
                <w:bCs/>
                <w:sz w:val="16"/>
                <w:szCs w:val="16"/>
              </w:rPr>
            </w:pPr>
            <w:r>
              <w:rPr>
                <w:rFonts w:ascii="Arial" w:hAnsi="Arial" w:cs="Arial"/>
                <w:b/>
                <w:bCs/>
                <w:sz w:val="16"/>
                <w:szCs w:val="16"/>
              </w:rPr>
              <w:t>106,800</w:t>
            </w:r>
          </w:p>
        </w:tc>
        <w:tc>
          <w:tcPr>
            <w:tcW w:w="584" w:type="pct"/>
            <w:tcBorders>
              <w:top w:val="single" w:sz="4" w:space="0" w:color="auto"/>
              <w:left w:val="nil"/>
              <w:bottom w:val="single" w:sz="4" w:space="0" w:color="auto"/>
              <w:right w:val="nil"/>
            </w:tcBorders>
            <w:shd w:val="clear" w:color="auto" w:fill="auto"/>
            <w:noWrap/>
            <w:vAlign w:val="bottom"/>
            <w:hideMark/>
          </w:tcPr>
          <w:p w14:paraId="64B88A45" w14:textId="4A1E62DE" w:rsidR="001C1271" w:rsidRPr="00581F55" w:rsidRDefault="001C1271" w:rsidP="001C1271">
            <w:pPr>
              <w:spacing w:after="0" w:line="240" w:lineRule="auto"/>
              <w:jc w:val="right"/>
              <w:rPr>
                <w:rFonts w:ascii="Arial" w:hAnsi="Arial" w:cs="Arial"/>
                <w:b/>
                <w:bCs/>
                <w:sz w:val="16"/>
                <w:szCs w:val="16"/>
              </w:rPr>
            </w:pPr>
            <w:r>
              <w:rPr>
                <w:rFonts w:ascii="Arial" w:hAnsi="Arial" w:cs="Arial"/>
                <w:b/>
                <w:bCs/>
                <w:sz w:val="16"/>
                <w:szCs w:val="16"/>
              </w:rPr>
              <w:t>87,900</w:t>
            </w:r>
          </w:p>
        </w:tc>
        <w:tc>
          <w:tcPr>
            <w:tcW w:w="643" w:type="pct"/>
            <w:tcBorders>
              <w:top w:val="single" w:sz="4" w:space="0" w:color="auto"/>
              <w:left w:val="nil"/>
              <w:bottom w:val="single" w:sz="4" w:space="0" w:color="auto"/>
              <w:right w:val="nil"/>
            </w:tcBorders>
            <w:shd w:val="clear" w:color="auto" w:fill="auto"/>
            <w:noWrap/>
            <w:vAlign w:val="bottom"/>
            <w:hideMark/>
          </w:tcPr>
          <w:p w14:paraId="169D6112" w14:textId="18DAB6FC" w:rsidR="001C1271" w:rsidRPr="00581F55" w:rsidRDefault="001C1271" w:rsidP="001C1271">
            <w:pPr>
              <w:spacing w:after="0" w:line="240" w:lineRule="auto"/>
              <w:jc w:val="right"/>
              <w:rPr>
                <w:rFonts w:ascii="Arial" w:hAnsi="Arial" w:cs="Arial"/>
                <w:b/>
                <w:bCs/>
                <w:sz w:val="16"/>
                <w:szCs w:val="16"/>
              </w:rPr>
            </w:pPr>
            <w:r>
              <w:rPr>
                <w:rFonts w:ascii="Arial" w:hAnsi="Arial" w:cs="Arial"/>
                <w:b/>
                <w:bCs/>
                <w:sz w:val="16"/>
                <w:szCs w:val="16"/>
              </w:rPr>
              <w:t>(190,000)</w:t>
            </w:r>
          </w:p>
        </w:tc>
      </w:tr>
    </w:tbl>
    <w:p w14:paraId="2933AE94" w14:textId="566BA27E" w:rsidR="00581F55" w:rsidRPr="001C1271" w:rsidRDefault="00581F55" w:rsidP="001C1271">
      <w:pPr>
        <w:spacing w:after="0" w:line="240" w:lineRule="auto"/>
        <w:rPr>
          <w:rFonts w:ascii="Arial" w:hAnsi="Arial" w:cs="Arial"/>
          <w:sz w:val="16"/>
          <w:szCs w:val="16"/>
          <w:lang w:val="x-none" w:eastAsia="x-none"/>
        </w:rPr>
      </w:pPr>
    </w:p>
    <w:tbl>
      <w:tblPr>
        <w:tblW w:w="4912" w:type="dxa"/>
        <w:tblLook w:val="04A0" w:firstRow="1" w:lastRow="0" w:firstColumn="1" w:lastColumn="0" w:noHBand="0" w:noVBand="1"/>
      </w:tblPr>
      <w:tblGrid>
        <w:gridCol w:w="3066"/>
        <w:gridCol w:w="966"/>
        <w:gridCol w:w="880"/>
      </w:tblGrid>
      <w:tr w:rsidR="00581F55" w:rsidRPr="00581F55" w14:paraId="0A3E1C40" w14:textId="77777777" w:rsidTr="00957358">
        <w:trPr>
          <w:trHeight w:val="204"/>
        </w:trPr>
        <w:tc>
          <w:tcPr>
            <w:tcW w:w="3066" w:type="dxa"/>
            <w:tcBorders>
              <w:top w:val="single" w:sz="4" w:space="0" w:color="auto"/>
              <w:left w:val="nil"/>
              <w:bottom w:val="nil"/>
              <w:right w:val="nil"/>
            </w:tcBorders>
            <w:shd w:val="clear" w:color="auto" w:fill="auto"/>
            <w:noWrap/>
            <w:vAlign w:val="bottom"/>
            <w:hideMark/>
          </w:tcPr>
          <w:p w14:paraId="3760F1C7" w14:textId="77777777" w:rsidR="00581F55" w:rsidRPr="00581F55" w:rsidRDefault="00581F55" w:rsidP="00581F55">
            <w:pPr>
              <w:spacing w:after="0" w:line="240" w:lineRule="auto"/>
              <w:rPr>
                <w:rFonts w:ascii="Times New Roman" w:hAnsi="Times New Roman"/>
                <w:sz w:val="24"/>
                <w:szCs w:val="24"/>
              </w:rPr>
            </w:pPr>
          </w:p>
        </w:tc>
        <w:tc>
          <w:tcPr>
            <w:tcW w:w="966" w:type="dxa"/>
            <w:tcBorders>
              <w:top w:val="single" w:sz="4" w:space="0" w:color="auto"/>
              <w:left w:val="nil"/>
              <w:bottom w:val="single" w:sz="4" w:space="0" w:color="auto"/>
              <w:right w:val="nil"/>
            </w:tcBorders>
            <w:shd w:val="clear" w:color="auto" w:fill="auto"/>
            <w:noWrap/>
            <w:vAlign w:val="bottom"/>
            <w:hideMark/>
          </w:tcPr>
          <w:p w14:paraId="1D28220E" w14:textId="77777777" w:rsidR="00581F55" w:rsidRPr="00581F55" w:rsidRDefault="00581F55" w:rsidP="00581F55">
            <w:pPr>
              <w:spacing w:after="0" w:line="240" w:lineRule="auto"/>
              <w:jc w:val="right"/>
              <w:rPr>
                <w:rFonts w:ascii="Arial" w:hAnsi="Arial" w:cs="Arial"/>
                <w:sz w:val="16"/>
                <w:szCs w:val="16"/>
              </w:rPr>
            </w:pPr>
            <w:r w:rsidRPr="00581F55">
              <w:rPr>
                <w:rFonts w:ascii="Arial" w:hAnsi="Arial" w:cs="Arial"/>
                <w:sz w:val="16"/>
                <w:szCs w:val="16"/>
              </w:rPr>
              <w:t>2022-23</w:t>
            </w:r>
          </w:p>
        </w:tc>
        <w:tc>
          <w:tcPr>
            <w:tcW w:w="880" w:type="dxa"/>
            <w:tcBorders>
              <w:top w:val="single" w:sz="4" w:space="0" w:color="auto"/>
              <w:left w:val="nil"/>
              <w:bottom w:val="single" w:sz="4" w:space="0" w:color="auto"/>
              <w:right w:val="nil"/>
            </w:tcBorders>
            <w:shd w:val="clear" w:color="000000" w:fill="E6E6E6"/>
            <w:vAlign w:val="bottom"/>
            <w:hideMark/>
          </w:tcPr>
          <w:p w14:paraId="27AF46DC" w14:textId="77777777" w:rsidR="00581F55" w:rsidRPr="00581F55" w:rsidRDefault="00581F55" w:rsidP="00581F55">
            <w:pPr>
              <w:spacing w:after="0" w:line="240" w:lineRule="auto"/>
              <w:jc w:val="right"/>
              <w:rPr>
                <w:rFonts w:ascii="Arial" w:hAnsi="Arial" w:cs="Arial"/>
                <w:sz w:val="16"/>
                <w:szCs w:val="16"/>
              </w:rPr>
            </w:pPr>
            <w:r w:rsidRPr="00581F55">
              <w:rPr>
                <w:rFonts w:ascii="Arial" w:hAnsi="Arial" w:cs="Arial"/>
                <w:sz w:val="16"/>
                <w:szCs w:val="16"/>
              </w:rPr>
              <w:t>2023-24</w:t>
            </w:r>
          </w:p>
        </w:tc>
      </w:tr>
      <w:tr w:rsidR="001C1271" w:rsidRPr="00581F55" w14:paraId="64DF0CFE" w14:textId="77777777" w:rsidTr="00957358">
        <w:trPr>
          <w:trHeight w:val="204"/>
        </w:trPr>
        <w:tc>
          <w:tcPr>
            <w:tcW w:w="3066" w:type="dxa"/>
            <w:tcBorders>
              <w:top w:val="nil"/>
              <w:left w:val="nil"/>
              <w:bottom w:val="single" w:sz="4" w:space="0" w:color="auto"/>
              <w:right w:val="nil"/>
            </w:tcBorders>
            <w:shd w:val="clear" w:color="auto" w:fill="auto"/>
            <w:noWrap/>
            <w:vAlign w:val="bottom"/>
            <w:hideMark/>
          </w:tcPr>
          <w:p w14:paraId="0BCE6AD1" w14:textId="77777777" w:rsidR="001C1271" w:rsidRPr="00581F55" w:rsidRDefault="001C1271" w:rsidP="001C1271">
            <w:pPr>
              <w:spacing w:after="0" w:line="240" w:lineRule="auto"/>
              <w:rPr>
                <w:rFonts w:ascii="Arial" w:hAnsi="Arial" w:cs="Arial"/>
                <w:b/>
                <w:bCs/>
                <w:sz w:val="16"/>
                <w:szCs w:val="16"/>
              </w:rPr>
            </w:pPr>
            <w:r w:rsidRPr="00581F55">
              <w:rPr>
                <w:rFonts w:ascii="Arial" w:hAnsi="Arial" w:cs="Arial"/>
                <w:b/>
                <w:bCs/>
                <w:sz w:val="16"/>
                <w:szCs w:val="16"/>
              </w:rPr>
              <w:t>Average staffing level (number)</w:t>
            </w:r>
          </w:p>
        </w:tc>
        <w:tc>
          <w:tcPr>
            <w:tcW w:w="966" w:type="dxa"/>
            <w:tcBorders>
              <w:top w:val="nil"/>
              <w:left w:val="nil"/>
              <w:bottom w:val="single" w:sz="4" w:space="0" w:color="auto"/>
              <w:right w:val="nil"/>
            </w:tcBorders>
            <w:shd w:val="clear" w:color="auto" w:fill="auto"/>
            <w:noWrap/>
            <w:vAlign w:val="bottom"/>
            <w:hideMark/>
          </w:tcPr>
          <w:p w14:paraId="08E483CF" w14:textId="5FE230A6" w:rsidR="001C1271" w:rsidRPr="00581F55" w:rsidRDefault="001C1271" w:rsidP="001C1271">
            <w:pPr>
              <w:spacing w:after="0" w:line="240" w:lineRule="auto"/>
              <w:jc w:val="right"/>
              <w:rPr>
                <w:rFonts w:ascii="Arial" w:hAnsi="Arial" w:cs="Arial"/>
                <w:sz w:val="16"/>
                <w:szCs w:val="16"/>
              </w:rPr>
            </w:pPr>
            <w:r>
              <w:rPr>
                <w:rFonts w:ascii="Arial" w:hAnsi="Arial" w:cs="Arial"/>
                <w:sz w:val="16"/>
                <w:szCs w:val="16"/>
              </w:rPr>
              <w:t>314</w:t>
            </w:r>
          </w:p>
        </w:tc>
        <w:tc>
          <w:tcPr>
            <w:tcW w:w="880" w:type="dxa"/>
            <w:tcBorders>
              <w:top w:val="nil"/>
              <w:left w:val="nil"/>
              <w:bottom w:val="single" w:sz="4" w:space="0" w:color="auto"/>
              <w:right w:val="nil"/>
            </w:tcBorders>
            <w:shd w:val="clear" w:color="000000" w:fill="E6E6E6"/>
            <w:noWrap/>
            <w:vAlign w:val="bottom"/>
            <w:hideMark/>
          </w:tcPr>
          <w:p w14:paraId="41A1524C" w14:textId="0371334A" w:rsidR="001C1271" w:rsidRPr="00581F55" w:rsidRDefault="001C1271" w:rsidP="001C1271">
            <w:pPr>
              <w:spacing w:after="0" w:line="240" w:lineRule="auto"/>
              <w:jc w:val="right"/>
              <w:rPr>
                <w:rFonts w:ascii="Arial" w:hAnsi="Arial" w:cs="Arial"/>
                <w:sz w:val="16"/>
                <w:szCs w:val="16"/>
              </w:rPr>
            </w:pPr>
            <w:r>
              <w:rPr>
                <w:rFonts w:ascii="Arial" w:hAnsi="Arial" w:cs="Arial"/>
                <w:sz w:val="16"/>
                <w:szCs w:val="16"/>
              </w:rPr>
              <w:t>385</w:t>
            </w:r>
          </w:p>
        </w:tc>
      </w:tr>
    </w:tbl>
    <w:p w14:paraId="73B0456E" w14:textId="2BA122D5" w:rsidR="00666202" w:rsidRPr="001C1271" w:rsidRDefault="00666202" w:rsidP="00977C28">
      <w:pPr>
        <w:pStyle w:val="TableGraphic"/>
        <w:numPr>
          <w:ilvl w:val="0"/>
          <w:numId w:val="159"/>
        </w:numPr>
        <w:spacing w:before="60"/>
        <w:ind w:left="426"/>
        <w:rPr>
          <w:rFonts w:ascii="Arial" w:hAnsi="Arial" w:cs="Arial"/>
          <w:sz w:val="16"/>
          <w:szCs w:val="16"/>
        </w:rPr>
      </w:pPr>
      <w:r w:rsidRPr="001C1271">
        <w:rPr>
          <w:rFonts w:ascii="Arial" w:hAnsi="Arial" w:cs="Arial"/>
          <w:sz w:val="16"/>
          <w:szCs w:val="16"/>
        </w:rPr>
        <w:t xml:space="preserve">Administered ‘Expenses not requiring appropriation in the Budget year’ </w:t>
      </w:r>
      <w:r w:rsidR="007B34E6">
        <w:rPr>
          <w:rFonts w:ascii="Arial" w:hAnsi="Arial" w:cs="Arial"/>
          <w:sz w:val="16"/>
          <w:szCs w:val="16"/>
        </w:rPr>
        <w:t>comprise</w:t>
      </w:r>
      <w:r w:rsidRPr="001C1271">
        <w:rPr>
          <w:rFonts w:ascii="Arial" w:hAnsi="Arial" w:cs="Arial"/>
          <w:sz w:val="16"/>
          <w:szCs w:val="16"/>
        </w:rPr>
        <w:t xml:space="preserve"> expenses relating to concessional loans, accruals, payments made from prior year appropriations and other non–cash expenses. </w:t>
      </w:r>
    </w:p>
    <w:p w14:paraId="4C648811" w14:textId="1F9BD4DB" w:rsidR="00666202" w:rsidRPr="001C1271" w:rsidRDefault="00666202" w:rsidP="00977C28">
      <w:pPr>
        <w:pStyle w:val="TableGraphic"/>
        <w:numPr>
          <w:ilvl w:val="0"/>
          <w:numId w:val="159"/>
        </w:numPr>
        <w:ind w:left="426"/>
        <w:rPr>
          <w:rFonts w:ascii="Arial" w:hAnsi="Arial" w:cs="Arial"/>
          <w:sz w:val="16"/>
          <w:szCs w:val="16"/>
        </w:rPr>
      </w:pPr>
      <w:r w:rsidRPr="001C1271">
        <w:rPr>
          <w:rFonts w:ascii="Arial" w:hAnsi="Arial" w:cs="Arial"/>
          <w:sz w:val="16"/>
          <w:szCs w:val="16"/>
        </w:rPr>
        <w:t xml:space="preserve">Relates to appropriation for corporate entities provided through the </w:t>
      </w:r>
      <w:r w:rsidR="00E17F15">
        <w:rPr>
          <w:rFonts w:ascii="Arial" w:hAnsi="Arial" w:cs="Arial"/>
          <w:sz w:val="16"/>
          <w:szCs w:val="16"/>
        </w:rPr>
        <w:t>Department</w:t>
      </w:r>
      <w:r w:rsidRPr="001C1271">
        <w:rPr>
          <w:rFonts w:ascii="Arial" w:hAnsi="Arial" w:cs="Arial"/>
          <w:sz w:val="16"/>
          <w:szCs w:val="16"/>
        </w:rPr>
        <w:t>.</w:t>
      </w:r>
    </w:p>
    <w:p w14:paraId="66A42427" w14:textId="711DCEE6" w:rsidR="00666202" w:rsidRPr="001C1271" w:rsidRDefault="00666202" w:rsidP="00977C28">
      <w:pPr>
        <w:pStyle w:val="TableGraphic"/>
        <w:numPr>
          <w:ilvl w:val="0"/>
          <w:numId w:val="159"/>
        </w:numPr>
        <w:ind w:left="426"/>
        <w:rPr>
          <w:rFonts w:ascii="Arial" w:hAnsi="Arial" w:cs="Arial"/>
          <w:sz w:val="16"/>
          <w:szCs w:val="16"/>
        </w:rPr>
      </w:pPr>
      <w:r w:rsidRPr="001C1271">
        <w:rPr>
          <w:rFonts w:ascii="Arial" w:hAnsi="Arial" w:cs="Arial"/>
          <w:sz w:val="16"/>
          <w:szCs w:val="16"/>
        </w:rPr>
        <w:t xml:space="preserve">Departmental 'Expenses not requiring appropriation in the Budget year' are made up of depreciation expenses, amortisation expenses, </w:t>
      </w:r>
      <w:r w:rsidR="006E0842">
        <w:rPr>
          <w:rFonts w:ascii="Arial" w:hAnsi="Arial" w:cs="Arial"/>
          <w:sz w:val="16"/>
          <w:szCs w:val="16"/>
        </w:rPr>
        <w:t>and exclude right of use assets</w:t>
      </w:r>
      <w:r w:rsidRPr="001C1271">
        <w:rPr>
          <w:rFonts w:ascii="Arial" w:hAnsi="Arial" w:cs="Arial"/>
          <w:sz w:val="16"/>
          <w:szCs w:val="16"/>
        </w:rPr>
        <w:t xml:space="preserve">. </w:t>
      </w:r>
    </w:p>
    <w:p w14:paraId="420BE986" w14:textId="728CCDAA" w:rsidR="00666202" w:rsidRPr="001C1271" w:rsidRDefault="00666202" w:rsidP="00977C28">
      <w:pPr>
        <w:pStyle w:val="TableGraphic"/>
        <w:numPr>
          <w:ilvl w:val="0"/>
          <w:numId w:val="159"/>
        </w:numPr>
        <w:ind w:left="426"/>
        <w:rPr>
          <w:rFonts w:ascii="Arial" w:hAnsi="Arial" w:cs="Arial"/>
          <w:sz w:val="16"/>
          <w:szCs w:val="16"/>
        </w:rPr>
      </w:pPr>
      <w:r w:rsidRPr="001C1271">
        <w:rPr>
          <w:rFonts w:ascii="Arial" w:hAnsi="Arial" w:cs="Arial"/>
          <w:sz w:val="16"/>
          <w:szCs w:val="16"/>
        </w:rPr>
        <w:t xml:space="preserve">Figures displayed as a negative (–) represent a decrease in funds and a positive (+) represent an increase in funds. </w:t>
      </w:r>
    </w:p>
    <w:p w14:paraId="56208E9E" w14:textId="19F4B51D" w:rsidR="00595948" w:rsidRDefault="00666202" w:rsidP="00EF327A">
      <w:pPr>
        <w:pStyle w:val="TableGraphic"/>
        <w:spacing w:after="360"/>
        <w:ind w:left="66"/>
        <w:rPr>
          <w:rFonts w:ascii="Arial" w:hAnsi="Arial" w:cs="Arial"/>
          <w:sz w:val="16"/>
          <w:szCs w:val="16"/>
        </w:rPr>
      </w:pPr>
      <w:r>
        <w:rPr>
          <w:rFonts w:ascii="Arial" w:hAnsi="Arial" w:cs="Arial"/>
          <w:sz w:val="16"/>
          <w:szCs w:val="16"/>
        </w:rPr>
        <w:t>Note: Departmental appropriation splits and totals are indicative estimates and may change in the course of the budget year as government priorities change.</w:t>
      </w:r>
    </w:p>
    <w:p w14:paraId="5BD4E849" w14:textId="388ADDB6" w:rsidR="00595948" w:rsidRDefault="00595948">
      <w:pPr>
        <w:spacing w:after="0" w:line="240" w:lineRule="auto"/>
        <w:rPr>
          <w:rFonts w:ascii="Arial" w:hAnsi="Arial" w:cs="Arial"/>
          <w:sz w:val="16"/>
          <w:szCs w:val="16"/>
        </w:rPr>
      </w:pPr>
      <w:r>
        <w:rPr>
          <w:rFonts w:ascii="Arial" w:hAnsi="Arial" w:cs="Arial"/>
          <w:sz w:val="16"/>
          <w:szCs w:val="16"/>
        </w:rPr>
        <w:br w:type="page"/>
      </w:r>
    </w:p>
    <w:p w14:paraId="42687206" w14:textId="77777777" w:rsidR="009D1D35" w:rsidRDefault="009D1D35">
      <w:pPr>
        <w:spacing w:after="0" w:line="240" w:lineRule="auto"/>
        <w:rPr>
          <w:rFonts w:ascii="Arial" w:hAnsi="Arial" w:cs="Arial"/>
          <w:sz w:val="16"/>
          <w:szCs w:val="16"/>
        </w:rPr>
      </w:pPr>
    </w:p>
    <w:p w14:paraId="53F21C22" w14:textId="2A9B36E7" w:rsidR="00115843" w:rsidRDefault="00115843" w:rsidP="009D1D35">
      <w:pPr>
        <w:pStyle w:val="TableHeading"/>
        <w:spacing w:after="0"/>
      </w:pPr>
      <w:r w:rsidRPr="00AD42E2">
        <w:t>Table 2.</w:t>
      </w:r>
      <w:r>
        <w:t>3</w:t>
      </w:r>
      <w:r w:rsidRPr="00AD42E2">
        <w:t>.</w:t>
      </w:r>
      <w:r>
        <w:t>2</w:t>
      </w:r>
      <w:r w:rsidRPr="00AD42E2">
        <w:t xml:space="preserve">: </w:t>
      </w:r>
      <w:r>
        <w:t>Program components</w:t>
      </w:r>
      <w:r w:rsidRPr="00AD42E2">
        <w:t xml:space="preserve"> for Outcome </w:t>
      </w:r>
      <w:r>
        <w:t>3</w:t>
      </w:r>
    </w:p>
    <w:tbl>
      <w:tblPr>
        <w:tblW w:w="5148" w:type="pct"/>
        <w:tblLayout w:type="fixed"/>
        <w:tblLook w:val="04A0" w:firstRow="1" w:lastRow="0" w:firstColumn="1" w:lastColumn="0" w:noHBand="0" w:noVBand="1"/>
      </w:tblPr>
      <w:tblGrid>
        <w:gridCol w:w="2954"/>
        <w:gridCol w:w="98"/>
        <w:gridCol w:w="929"/>
        <w:gridCol w:w="1002"/>
        <w:gridCol w:w="991"/>
        <w:gridCol w:w="965"/>
        <w:gridCol w:w="935"/>
        <w:gridCol w:w="64"/>
      </w:tblGrid>
      <w:tr w:rsidR="00DE6C80" w:rsidRPr="00DE6C80" w14:paraId="7C8B3EFD" w14:textId="77777777" w:rsidTr="00264E90">
        <w:trPr>
          <w:gridAfter w:val="1"/>
          <w:wAfter w:w="40" w:type="pct"/>
          <w:trHeight w:val="204"/>
        </w:trPr>
        <w:tc>
          <w:tcPr>
            <w:tcW w:w="1923" w:type="pct"/>
            <w:gridSpan w:val="2"/>
            <w:tcBorders>
              <w:top w:val="single" w:sz="4" w:space="0" w:color="auto"/>
              <w:left w:val="nil"/>
              <w:bottom w:val="single" w:sz="4" w:space="0" w:color="auto"/>
              <w:right w:val="nil"/>
            </w:tcBorders>
            <w:shd w:val="clear" w:color="auto" w:fill="auto"/>
            <w:noWrap/>
            <w:vAlign w:val="bottom"/>
            <w:hideMark/>
          </w:tcPr>
          <w:p w14:paraId="386DA50F" w14:textId="77777777" w:rsidR="00DE6C80" w:rsidRPr="00DE6C80" w:rsidRDefault="00DE6C80" w:rsidP="00DE6C80">
            <w:pPr>
              <w:spacing w:after="0" w:line="240" w:lineRule="auto"/>
              <w:rPr>
                <w:rFonts w:ascii="Arial" w:hAnsi="Arial" w:cs="Arial"/>
                <w:sz w:val="16"/>
                <w:szCs w:val="16"/>
              </w:rPr>
            </w:pPr>
            <w:r w:rsidRPr="00DE6C80">
              <w:rPr>
                <w:rFonts w:ascii="Arial" w:hAnsi="Arial" w:cs="Arial"/>
                <w:sz w:val="16"/>
                <w:szCs w:val="16"/>
              </w:rPr>
              <w:t> </w:t>
            </w:r>
          </w:p>
        </w:tc>
        <w:tc>
          <w:tcPr>
            <w:tcW w:w="585" w:type="pct"/>
            <w:tcBorders>
              <w:top w:val="single" w:sz="4" w:space="0" w:color="auto"/>
              <w:left w:val="nil"/>
              <w:bottom w:val="nil"/>
              <w:right w:val="nil"/>
            </w:tcBorders>
            <w:shd w:val="clear" w:color="auto" w:fill="auto"/>
            <w:vAlign w:val="bottom"/>
            <w:hideMark/>
          </w:tcPr>
          <w:p w14:paraId="61620EB5" w14:textId="77777777"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2022-23</w:t>
            </w:r>
            <w:r w:rsidRPr="00DE6C80">
              <w:rPr>
                <w:rFonts w:ascii="Arial" w:hAnsi="Arial" w:cs="Arial"/>
                <w:sz w:val="16"/>
                <w:szCs w:val="16"/>
              </w:rPr>
              <w:br/>
              <w:t>Estimated  actual</w:t>
            </w:r>
            <w:r w:rsidRPr="00DE6C80">
              <w:rPr>
                <w:rFonts w:ascii="Arial" w:hAnsi="Arial" w:cs="Arial"/>
                <w:sz w:val="16"/>
                <w:szCs w:val="16"/>
              </w:rPr>
              <w:br/>
              <w:t>$'000</w:t>
            </w:r>
          </w:p>
        </w:tc>
        <w:tc>
          <w:tcPr>
            <w:tcW w:w="631" w:type="pct"/>
            <w:tcBorders>
              <w:top w:val="single" w:sz="4" w:space="0" w:color="auto"/>
              <w:left w:val="nil"/>
              <w:bottom w:val="nil"/>
              <w:right w:val="nil"/>
            </w:tcBorders>
            <w:shd w:val="clear" w:color="000000" w:fill="E6E6E6"/>
            <w:vAlign w:val="bottom"/>
            <w:hideMark/>
          </w:tcPr>
          <w:p w14:paraId="09DB22EE" w14:textId="77777777"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2023-24</w:t>
            </w:r>
            <w:r w:rsidRPr="00DE6C80">
              <w:rPr>
                <w:rFonts w:ascii="Arial" w:hAnsi="Arial" w:cs="Arial"/>
                <w:sz w:val="16"/>
                <w:szCs w:val="16"/>
              </w:rPr>
              <w:br/>
              <w:t xml:space="preserve"> Budget</w:t>
            </w:r>
            <w:r w:rsidRPr="00DE6C80">
              <w:rPr>
                <w:rFonts w:ascii="Arial" w:hAnsi="Arial" w:cs="Arial"/>
                <w:sz w:val="16"/>
                <w:szCs w:val="16"/>
              </w:rPr>
              <w:br/>
              <w:t xml:space="preserve">                                      $'000</w:t>
            </w:r>
          </w:p>
        </w:tc>
        <w:tc>
          <w:tcPr>
            <w:tcW w:w="624" w:type="pct"/>
            <w:tcBorders>
              <w:top w:val="single" w:sz="4" w:space="0" w:color="auto"/>
              <w:left w:val="nil"/>
              <w:bottom w:val="nil"/>
              <w:right w:val="nil"/>
            </w:tcBorders>
            <w:shd w:val="clear" w:color="auto" w:fill="auto"/>
            <w:vAlign w:val="bottom"/>
            <w:hideMark/>
          </w:tcPr>
          <w:p w14:paraId="36D7AA87" w14:textId="77777777"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2024-25</w:t>
            </w:r>
            <w:r w:rsidRPr="00DE6C80">
              <w:rPr>
                <w:rFonts w:ascii="Arial" w:hAnsi="Arial" w:cs="Arial"/>
                <w:sz w:val="16"/>
                <w:szCs w:val="16"/>
              </w:rPr>
              <w:br/>
              <w:t>Forward estimate</w:t>
            </w:r>
            <w:r w:rsidRPr="00DE6C80">
              <w:rPr>
                <w:rFonts w:ascii="Arial" w:hAnsi="Arial" w:cs="Arial"/>
                <w:sz w:val="16"/>
                <w:szCs w:val="16"/>
              </w:rPr>
              <w:br/>
              <w:t>$'000</w:t>
            </w:r>
          </w:p>
        </w:tc>
        <w:tc>
          <w:tcPr>
            <w:tcW w:w="608" w:type="pct"/>
            <w:tcBorders>
              <w:top w:val="single" w:sz="4" w:space="0" w:color="auto"/>
              <w:left w:val="nil"/>
              <w:bottom w:val="nil"/>
              <w:right w:val="nil"/>
            </w:tcBorders>
            <w:shd w:val="clear" w:color="auto" w:fill="auto"/>
            <w:vAlign w:val="bottom"/>
            <w:hideMark/>
          </w:tcPr>
          <w:p w14:paraId="0AB5BB03" w14:textId="77777777"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2025-26</w:t>
            </w:r>
            <w:r w:rsidRPr="00DE6C80">
              <w:rPr>
                <w:rFonts w:ascii="Arial" w:hAnsi="Arial" w:cs="Arial"/>
                <w:sz w:val="16"/>
                <w:szCs w:val="16"/>
              </w:rPr>
              <w:br/>
              <w:t>Forward estimate</w:t>
            </w:r>
            <w:r w:rsidRPr="00DE6C80">
              <w:rPr>
                <w:rFonts w:ascii="Arial" w:hAnsi="Arial" w:cs="Arial"/>
                <w:sz w:val="16"/>
                <w:szCs w:val="16"/>
              </w:rPr>
              <w:br/>
              <w:t>$'000</w:t>
            </w:r>
          </w:p>
        </w:tc>
        <w:tc>
          <w:tcPr>
            <w:tcW w:w="589" w:type="pct"/>
            <w:tcBorders>
              <w:top w:val="single" w:sz="4" w:space="0" w:color="auto"/>
              <w:left w:val="nil"/>
              <w:bottom w:val="nil"/>
              <w:right w:val="nil"/>
            </w:tcBorders>
            <w:shd w:val="clear" w:color="auto" w:fill="auto"/>
            <w:vAlign w:val="bottom"/>
            <w:hideMark/>
          </w:tcPr>
          <w:p w14:paraId="78D41DE1" w14:textId="77777777"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2026-27</w:t>
            </w:r>
            <w:r w:rsidRPr="00DE6C80">
              <w:rPr>
                <w:rFonts w:ascii="Arial" w:hAnsi="Arial" w:cs="Arial"/>
                <w:sz w:val="16"/>
                <w:szCs w:val="16"/>
              </w:rPr>
              <w:br/>
              <w:t>Forward estimate</w:t>
            </w:r>
            <w:r w:rsidRPr="00DE6C80">
              <w:rPr>
                <w:rFonts w:ascii="Arial" w:hAnsi="Arial" w:cs="Arial"/>
                <w:sz w:val="16"/>
                <w:szCs w:val="16"/>
              </w:rPr>
              <w:br/>
              <w:t>$'000</w:t>
            </w:r>
          </w:p>
        </w:tc>
      </w:tr>
      <w:tr w:rsidR="00DE6C80" w:rsidRPr="00DE6C80" w14:paraId="72506C32" w14:textId="77777777" w:rsidTr="00264E90">
        <w:trPr>
          <w:gridAfter w:val="1"/>
          <w:wAfter w:w="40" w:type="pct"/>
          <w:trHeight w:val="204"/>
        </w:trPr>
        <w:tc>
          <w:tcPr>
            <w:tcW w:w="3139" w:type="pct"/>
            <w:gridSpan w:val="4"/>
            <w:tcBorders>
              <w:top w:val="single" w:sz="4" w:space="0" w:color="auto"/>
              <w:left w:val="nil"/>
              <w:bottom w:val="single" w:sz="4" w:space="0" w:color="auto"/>
              <w:right w:val="nil"/>
            </w:tcBorders>
            <w:shd w:val="clear" w:color="000000" w:fill="E6E6E6"/>
            <w:noWrap/>
            <w:vAlign w:val="bottom"/>
            <w:hideMark/>
          </w:tcPr>
          <w:p w14:paraId="04FC72AA" w14:textId="77777777" w:rsidR="00DE6C80" w:rsidRPr="00DE6C80" w:rsidRDefault="00DE6C80" w:rsidP="00DE6C80">
            <w:pPr>
              <w:spacing w:after="0" w:line="240" w:lineRule="auto"/>
              <w:rPr>
                <w:rFonts w:ascii="Arial" w:hAnsi="Arial" w:cs="Arial"/>
                <w:b/>
                <w:bCs/>
                <w:sz w:val="16"/>
                <w:szCs w:val="16"/>
              </w:rPr>
            </w:pPr>
            <w:r w:rsidRPr="00DE6C80">
              <w:rPr>
                <w:rFonts w:ascii="Arial" w:hAnsi="Arial" w:cs="Arial"/>
                <w:b/>
                <w:bCs/>
                <w:sz w:val="16"/>
                <w:szCs w:val="16"/>
              </w:rPr>
              <w:t>Components for Program 3.1: Regional development</w:t>
            </w:r>
          </w:p>
        </w:tc>
        <w:tc>
          <w:tcPr>
            <w:tcW w:w="624" w:type="pct"/>
            <w:tcBorders>
              <w:top w:val="single" w:sz="4" w:space="0" w:color="auto"/>
              <w:left w:val="nil"/>
              <w:bottom w:val="single" w:sz="4" w:space="0" w:color="auto"/>
              <w:right w:val="nil"/>
            </w:tcBorders>
            <w:shd w:val="clear" w:color="000000" w:fill="E6E6E6"/>
            <w:noWrap/>
            <w:vAlign w:val="bottom"/>
            <w:hideMark/>
          </w:tcPr>
          <w:p w14:paraId="63C795E2" w14:textId="77777777" w:rsidR="00DE6C80" w:rsidRPr="00DE6C80" w:rsidRDefault="00DE6C80" w:rsidP="00DE6C80">
            <w:pPr>
              <w:spacing w:after="0" w:line="240" w:lineRule="auto"/>
              <w:rPr>
                <w:rFonts w:ascii="Arial" w:hAnsi="Arial" w:cs="Arial"/>
                <w:sz w:val="16"/>
                <w:szCs w:val="16"/>
              </w:rPr>
            </w:pPr>
            <w:r w:rsidRPr="00DE6C80">
              <w:rPr>
                <w:rFonts w:ascii="Arial" w:hAnsi="Arial" w:cs="Arial"/>
                <w:sz w:val="16"/>
                <w:szCs w:val="16"/>
              </w:rPr>
              <w:t> </w:t>
            </w:r>
          </w:p>
        </w:tc>
        <w:tc>
          <w:tcPr>
            <w:tcW w:w="608" w:type="pct"/>
            <w:tcBorders>
              <w:top w:val="single" w:sz="4" w:space="0" w:color="auto"/>
              <w:left w:val="nil"/>
              <w:bottom w:val="single" w:sz="4" w:space="0" w:color="auto"/>
              <w:right w:val="nil"/>
            </w:tcBorders>
            <w:shd w:val="clear" w:color="000000" w:fill="E6E6E6"/>
            <w:noWrap/>
            <w:vAlign w:val="bottom"/>
            <w:hideMark/>
          </w:tcPr>
          <w:p w14:paraId="7ACDECCB" w14:textId="77777777" w:rsidR="00DE6C80" w:rsidRPr="00DE6C80" w:rsidRDefault="00DE6C80" w:rsidP="00DE6C80">
            <w:pPr>
              <w:spacing w:after="0" w:line="240" w:lineRule="auto"/>
              <w:rPr>
                <w:rFonts w:ascii="Arial" w:hAnsi="Arial" w:cs="Arial"/>
                <w:sz w:val="16"/>
                <w:szCs w:val="16"/>
              </w:rPr>
            </w:pPr>
            <w:r w:rsidRPr="00DE6C80">
              <w:rPr>
                <w:rFonts w:ascii="Arial" w:hAnsi="Arial" w:cs="Arial"/>
                <w:sz w:val="16"/>
                <w:szCs w:val="16"/>
              </w:rPr>
              <w:t> </w:t>
            </w:r>
          </w:p>
        </w:tc>
        <w:tc>
          <w:tcPr>
            <w:tcW w:w="589" w:type="pct"/>
            <w:tcBorders>
              <w:top w:val="single" w:sz="4" w:space="0" w:color="auto"/>
              <w:left w:val="nil"/>
              <w:bottom w:val="single" w:sz="4" w:space="0" w:color="auto"/>
              <w:right w:val="nil"/>
            </w:tcBorders>
            <w:shd w:val="clear" w:color="000000" w:fill="E6E6E6"/>
            <w:noWrap/>
            <w:vAlign w:val="bottom"/>
            <w:hideMark/>
          </w:tcPr>
          <w:p w14:paraId="490224F3" w14:textId="77777777" w:rsidR="00DE6C80" w:rsidRPr="00DE6C80" w:rsidRDefault="00DE6C80" w:rsidP="00DE6C80">
            <w:pPr>
              <w:spacing w:after="0" w:line="240" w:lineRule="auto"/>
              <w:rPr>
                <w:rFonts w:ascii="Arial" w:hAnsi="Arial" w:cs="Arial"/>
                <w:sz w:val="16"/>
                <w:szCs w:val="16"/>
              </w:rPr>
            </w:pPr>
            <w:r w:rsidRPr="00DE6C80">
              <w:rPr>
                <w:rFonts w:ascii="Arial" w:hAnsi="Arial" w:cs="Arial"/>
                <w:sz w:val="16"/>
                <w:szCs w:val="16"/>
              </w:rPr>
              <w:t> </w:t>
            </w:r>
          </w:p>
        </w:tc>
      </w:tr>
      <w:tr w:rsidR="00DE6C80" w:rsidRPr="00DE6C80" w14:paraId="07EE3713" w14:textId="77777777" w:rsidTr="00264E90">
        <w:trPr>
          <w:gridAfter w:val="1"/>
          <w:wAfter w:w="40" w:type="pct"/>
          <w:trHeight w:val="204"/>
        </w:trPr>
        <w:tc>
          <w:tcPr>
            <w:tcW w:w="1923" w:type="pct"/>
            <w:gridSpan w:val="2"/>
            <w:tcBorders>
              <w:top w:val="nil"/>
              <w:left w:val="nil"/>
              <w:bottom w:val="nil"/>
              <w:right w:val="nil"/>
            </w:tcBorders>
            <w:shd w:val="clear" w:color="auto" w:fill="auto"/>
            <w:noWrap/>
            <w:vAlign w:val="bottom"/>
            <w:hideMark/>
          </w:tcPr>
          <w:p w14:paraId="1253A5EA" w14:textId="77777777" w:rsidR="00DE6C80" w:rsidRPr="00DE6C80" w:rsidRDefault="00DE6C80" w:rsidP="00DE6C80">
            <w:pPr>
              <w:spacing w:after="0" w:line="240" w:lineRule="auto"/>
              <w:rPr>
                <w:rFonts w:ascii="Arial" w:hAnsi="Arial" w:cs="Arial"/>
                <w:sz w:val="16"/>
                <w:szCs w:val="16"/>
              </w:rPr>
            </w:pPr>
            <w:r w:rsidRPr="00DE6C80">
              <w:rPr>
                <w:rFonts w:ascii="Arial" w:hAnsi="Arial" w:cs="Arial"/>
                <w:sz w:val="16"/>
                <w:szCs w:val="16"/>
              </w:rPr>
              <w:t>Administered expenses:</w:t>
            </w:r>
          </w:p>
        </w:tc>
        <w:tc>
          <w:tcPr>
            <w:tcW w:w="585" w:type="pct"/>
            <w:tcBorders>
              <w:top w:val="nil"/>
              <w:left w:val="nil"/>
              <w:bottom w:val="nil"/>
              <w:right w:val="nil"/>
            </w:tcBorders>
            <w:shd w:val="clear" w:color="auto" w:fill="auto"/>
            <w:noWrap/>
            <w:vAlign w:val="bottom"/>
            <w:hideMark/>
          </w:tcPr>
          <w:p w14:paraId="2E10BD47" w14:textId="77777777" w:rsidR="00DE6C80" w:rsidRPr="00DE6C80" w:rsidRDefault="00DE6C80" w:rsidP="00DE6C80">
            <w:pPr>
              <w:spacing w:after="0" w:line="240" w:lineRule="auto"/>
              <w:jc w:val="right"/>
              <w:rPr>
                <w:rFonts w:ascii="Arial" w:hAnsi="Arial" w:cs="Arial"/>
                <w:sz w:val="16"/>
                <w:szCs w:val="16"/>
              </w:rPr>
            </w:pPr>
          </w:p>
        </w:tc>
        <w:tc>
          <w:tcPr>
            <w:tcW w:w="631" w:type="pct"/>
            <w:tcBorders>
              <w:top w:val="nil"/>
              <w:left w:val="nil"/>
              <w:bottom w:val="nil"/>
              <w:right w:val="nil"/>
            </w:tcBorders>
            <w:shd w:val="clear" w:color="000000" w:fill="E6E6E6"/>
            <w:noWrap/>
            <w:vAlign w:val="bottom"/>
            <w:hideMark/>
          </w:tcPr>
          <w:p w14:paraId="533A1A45" w14:textId="1626525F" w:rsidR="00DE6C80" w:rsidRPr="00DE6C80" w:rsidRDefault="00DE6C80" w:rsidP="00DE6C80">
            <w:pPr>
              <w:spacing w:after="0" w:line="240" w:lineRule="auto"/>
              <w:jc w:val="right"/>
              <w:rPr>
                <w:rFonts w:ascii="Arial" w:hAnsi="Arial" w:cs="Arial"/>
                <w:sz w:val="16"/>
                <w:szCs w:val="16"/>
              </w:rPr>
            </w:pPr>
          </w:p>
        </w:tc>
        <w:tc>
          <w:tcPr>
            <w:tcW w:w="624" w:type="pct"/>
            <w:tcBorders>
              <w:top w:val="nil"/>
              <w:left w:val="nil"/>
              <w:bottom w:val="nil"/>
              <w:right w:val="nil"/>
            </w:tcBorders>
            <w:shd w:val="clear" w:color="auto" w:fill="auto"/>
            <w:noWrap/>
            <w:vAlign w:val="bottom"/>
            <w:hideMark/>
          </w:tcPr>
          <w:p w14:paraId="770E9BDC" w14:textId="77777777" w:rsidR="00DE6C80" w:rsidRPr="00DE6C80" w:rsidRDefault="00DE6C80" w:rsidP="00DE6C80">
            <w:pPr>
              <w:spacing w:after="0" w:line="240" w:lineRule="auto"/>
              <w:jc w:val="right"/>
              <w:rPr>
                <w:rFonts w:ascii="Arial" w:hAnsi="Arial" w:cs="Arial"/>
                <w:sz w:val="16"/>
                <w:szCs w:val="16"/>
              </w:rPr>
            </w:pPr>
          </w:p>
        </w:tc>
        <w:tc>
          <w:tcPr>
            <w:tcW w:w="608" w:type="pct"/>
            <w:tcBorders>
              <w:top w:val="nil"/>
              <w:left w:val="nil"/>
              <w:bottom w:val="nil"/>
              <w:right w:val="nil"/>
            </w:tcBorders>
            <w:shd w:val="clear" w:color="auto" w:fill="auto"/>
            <w:noWrap/>
            <w:vAlign w:val="bottom"/>
            <w:hideMark/>
          </w:tcPr>
          <w:p w14:paraId="067E3C1D" w14:textId="77777777" w:rsidR="00DE6C80" w:rsidRPr="00DE6C80" w:rsidRDefault="00DE6C80" w:rsidP="00DE6C80">
            <w:pPr>
              <w:spacing w:after="0" w:line="240" w:lineRule="auto"/>
              <w:jc w:val="right"/>
              <w:rPr>
                <w:rFonts w:ascii="Times New Roman" w:hAnsi="Times New Roman"/>
              </w:rPr>
            </w:pPr>
          </w:p>
        </w:tc>
        <w:tc>
          <w:tcPr>
            <w:tcW w:w="589" w:type="pct"/>
            <w:tcBorders>
              <w:top w:val="nil"/>
              <w:left w:val="nil"/>
              <w:bottom w:val="nil"/>
              <w:right w:val="nil"/>
            </w:tcBorders>
            <w:shd w:val="clear" w:color="auto" w:fill="auto"/>
            <w:noWrap/>
            <w:vAlign w:val="bottom"/>
            <w:hideMark/>
          </w:tcPr>
          <w:p w14:paraId="33D4DB4F" w14:textId="77777777" w:rsidR="00DE6C80" w:rsidRPr="00DE6C80" w:rsidRDefault="00DE6C80" w:rsidP="00DE6C80">
            <w:pPr>
              <w:spacing w:after="0" w:line="240" w:lineRule="auto"/>
              <w:jc w:val="right"/>
              <w:rPr>
                <w:rFonts w:ascii="Times New Roman" w:hAnsi="Times New Roman"/>
              </w:rPr>
            </w:pPr>
          </w:p>
        </w:tc>
      </w:tr>
      <w:tr w:rsidR="00DE6C80" w:rsidRPr="00DE6C80" w14:paraId="44E4E19A" w14:textId="77777777" w:rsidTr="00264E90">
        <w:trPr>
          <w:gridAfter w:val="1"/>
          <w:wAfter w:w="40" w:type="pct"/>
          <w:trHeight w:val="204"/>
        </w:trPr>
        <w:tc>
          <w:tcPr>
            <w:tcW w:w="1923" w:type="pct"/>
            <w:gridSpan w:val="2"/>
            <w:tcBorders>
              <w:top w:val="nil"/>
              <w:left w:val="nil"/>
              <w:bottom w:val="nil"/>
              <w:right w:val="nil"/>
            </w:tcBorders>
            <w:shd w:val="clear" w:color="auto" w:fill="auto"/>
            <w:vAlign w:val="bottom"/>
            <w:hideMark/>
          </w:tcPr>
          <w:p w14:paraId="58C3916B" w14:textId="77777777" w:rsidR="00DE6C80" w:rsidRPr="00DE6C80" w:rsidRDefault="00DE6C80" w:rsidP="00DE6C80">
            <w:pPr>
              <w:spacing w:after="0" w:line="240" w:lineRule="auto"/>
              <w:ind w:left="113"/>
              <w:rPr>
                <w:rFonts w:ascii="Arial" w:hAnsi="Arial" w:cs="Arial"/>
                <w:sz w:val="16"/>
                <w:szCs w:val="16"/>
              </w:rPr>
            </w:pPr>
            <w:r w:rsidRPr="00DE6C80">
              <w:rPr>
                <w:rFonts w:ascii="Arial" w:hAnsi="Arial" w:cs="Arial"/>
                <w:sz w:val="16"/>
                <w:szCs w:val="16"/>
              </w:rPr>
              <w:t>Barkly Regional Deal</w:t>
            </w:r>
          </w:p>
        </w:tc>
        <w:tc>
          <w:tcPr>
            <w:tcW w:w="585" w:type="pct"/>
            <w:tcBorders>
              <w:top w:val="nil"/>
              <w:left w:val="nil"/>
              <w:bottom w:val="nil"/>
              <w:right w:val="nil"/>
            </w:tcBorders>
            <w:shd w:val="clear" w:color="auto" w:fill="auto"/>
            <w:noWrap/>
            <w:vAlign w:val="bottom"/>
            <w:hideMark/>
          </w:tcPr>
          <w:p w14:paraId="61AE9494" w14:textId="5732CAEC"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18</w:t>
            </w:r>
          </w:p>
        </w:tc>
        <w:tc>
          <w:tcPr>
            <w:tcW w:w="631" w:type="pct"/>
            <w:tcBorders>
              <w:top w:val="nil"/>
              <w:left w:val="nil"/>
              <w:bottom w:val="nil"/>
              <w:right w:val="nil"/>
            </w:tcBorders>
            <w:shd w:val="clear" w:color="000000" w:fill="E6E6E6"/>
            <w:noWrap/>
            <w:vAlign w:val="bottom"/>
            <w:hideMark/>
          </w:tcPr>
          <w:p w14:paraId="0186E263" w14:textId="529F935B"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189</w:t>
            </w:r>
          </w:p>
        </w:tc>
        <w:tc>
          <w:tcPr>
            <w:tcW w:w="624" w:type="pct"/>
            <w:tcBorders>
              <w:top w:val="nil"/>
              <w:left w:val="nil"/>
              <w:bottom w:val="nil"/>
              <w:right w:val="nil"/>
            </w:tcBorders>
            <w:shd w:val="clear" w:color="auto" w:fill="auto"/>
            <w:noWrap/>
            <w:vAlign w:val="bottom"/>
            <w:hideMark/>
          </w:tcPr>
          <w:p w14:paraId="2EA7A3AB" w14:textId="4EE4D8CF"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w:t>
            </w:r>
          </w:p>
        </w:tc>
        <w:tc>
          <w:tcPr>
            <w:tcW w:w="608" w:type="pct"/>
            <w:tcBorders>
              <w:top w:val="nil"/>
              <w:left w:val="nil"/>
              <w:bottom w:val="nil"/>
              <w:right w:val="nil"/>
            </w:tcBorders>
            <w:shd w:val="clear" w:color="auto" w:fill="auto"/>
            <w:noWrap/>
            <w:vAlign w:val="bottom"/>
            <w:hideMark/>
          </w:tcPr>
          <w:p w14:paraId="703E9755" w14:textId="3C5E535E"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w:t>
            </w:r>
          </w:p>
        </w:tc>
        <w:tc>
          <w:tcPr>
            <w:tcW w:w="589" w:type="pct"/>
            <w:tcBorders>
              <w:top w:val="nil"/>
              <w:left w:val="nil"/>
              <w:bottom w:val="nil"/>
              <w:right w:val="nil"/>
            </w:tcBorders>
            <w:shd w:val="clear" w:color="auto" w:fill="auto"/>
            <w:noWrap/>
            <w:vAlign w:val="bottom"/>
            <w:hideMark/>
          </w:tcPr>
          <w:p w14:paraId="2C4096C6" w14:textId="09B112A5"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w:t>
            </w:r>
          </w:p>
        </w:tc>
      </w:tr>
      <w:tr w:rsidR="00DE6C80" w:rsidRPr="00DE6C80" w14:paraId="687742B4" w14:textId="77777777" w:rsidTr="00264E90">
        <w:trPr>
          <w:gridAfter w:val="1"/>
          <w:wAfter w:w="40" w:type="pct"/>
          <w:trHeight w:val="204"/>
        </w:trPr>
        <w:tc>
          <w:tcPr>
            <w:tcW w:w="1923" w:type="pct"/>
            <w:gridSpan w:val="2"/>
            <w:tcBorders>
              <w:top w:val="nil"/>
              <w:left w:val="nil"/>
              <w:bottom w:val="nil"/>
              <w:right w:val="nil"/>
            </w:tcBorders>
            <w:shd w:val="clear" w:color="auto" w:fill="auto"/>
            <w:vAlign w:val="bottom"/>
            <w:hideMark/>
          </w:tcPr>
          <w:p w14:paraId="1BAFA937" w14:textId="77777777" w:rsidR="00DE6C80" w:rsidRPr="00DE6C80" w:rsidRDefault="00DE6C80" w:rsidP="00DE6C80">
            <w:pPr>
              <w:spacing w:after="0" w:line="240" w:lineRule="auto"/>
              <w:ind w:left="113"/>
              <w:rPr>
                <w:rFonts w:ascii="Arial" w:hAnsi="Arial" w:cs="Arial"/>
                <w:sz w:val="16"/>
                <w:szCs w:val="16"/>
              </w:rPr>
            </w:pPr>
            <w:r w:rsidRPr="00DE6C80">
              <w:rPr>
                <w:rFonts w:ascii="Arial" w:hAnsi="Arial" w:cs="Arial"/>
                <w:sz w:val="16"/>
                <w:szCs w:val="16"/>
              </w:rPr>
              <w:t>Building Better Regions Fund</w:t>
            </w:r>
          </w:p>
        </w:tc>
        <w:tc>
          <w:tcPr>
            <w:tcW w:w="585" w:type="pct"/>
            <w:tcBorders>
              <w:top w:val="nil"/>
              <w:left w:val="nil"/>
              <w:bottom w:val="nil"/>
              <w:right w:val="nil"/>
            </w:tcBorders>
            <w:shd w:val="clear" w:color="auto" w:fill="auto"/>
            <w:noWrap/>
            <w:vAlign w:val="bottom"/>
            <w:hideMark/>
          </w:tcPr>
          <w:p w14:paraId="3CFB5568" w14:textId="69250115"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298,380</w:t>
            </w:r>
          </w:p>
        </w:tc>
        <w:tc>
          <w:tcPr>
            <w:tcW w:w="631" w:type="pct"/>
            <w:tcBorders>
              <w:top w:val="nil"/>
              <w:left w:val="nil"/>
              <w:bottom w:val="nil"/>
              <w:right w:val="nil"/>
            </w:tcBorders>
            <w:shd w:val="clear" w:color="000000" w:fill="E6E6E6"/>
            <w:noWrap/>
            <w:vAlign w:val="bottom"/>
            <w:hideMark/>
          </w:tcPr>
          <w:p w14:paraId="110859FD" w14:textId="4BA764DC"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174,237</w:t>
            </w:r>
          </w:p>
        </w:tc>
        <w:tc>
          <w:tcPr>
            <w:tcW w:w="624" w:type="pct"/>
            <w:tcBorders>
              <w:top w:val="nil"/>
              <w:left w:val="nil"/>
              <w:bottom w:val="nil"/>
              <w:right w:val="nil"/>
            </w:tcBorders>
            <w:shd w:val="clear" w:color="auto" w:fill="auto"/>
            <w:noWrap/>
            <w:vAlign w:val="bottom"/>
            <w:hideMark/>
          </w:tcPr>
          <w:p w14:paraId="08710546" w14:textId="6FD52AC7"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w:t>
            </w:r>
          </w:p>
        </w:tc>
        <w:tc>
          <w:tcPr>
            <w:tcW w:w="608" w:type="pct"/>
            <w:tcBorders>
              <w:top w:val="nil"/>
              <w:left w:val="nil"/>
              <w:bottom w:val="nil"/>
              <w:right w:val="nil"/>
            </w:tcBorders>
            <w:shd w:val="clear" w:color="auto" w:fill="auto"/>
            <w:noWrap/>
            <w:vAlign w:val="bottom"/>
            <w:hideMark/>
          </w:tcPr>
          <w:p w14:paraId="72E3F10B" w14:textId="5FD712D8"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w:t>
            </w:r>
          </w:p>
        </w:tc>
        <w:tc>
          <w:tcPr>
            <w:tcW w:w="589" w:type="pct"/>
            <w:tcBorders>
              <w:top w:val="nil"/>
              <w:left w:val="nil"/>
              <w:bottom w:val="nil"/>
              <w:right w:val="nil"/>
            </w:tcBorders>
            <w:shd w:val="clear" w:color="auto" w:fill="auto"/>
            <w:noWrap/>
            <w:vAlign w:val="bottom"/>
            <w:hideMark/>
          </w:tcPr>
          <w:p w14:paraId="2DA3300E" w14:textId="58FAE0BA"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w:t>
            </w:r>
          </w:p>
        </w:tc>
      </w:tr>
      <w:tr w:rsidR="00DE6C80" w:rsidRPr="00DE6C80" w14:paraId="1A6DF8EA" w14:textId="77777777" w:rsidTr="00264E90">
        <w:trPr>
          <w:gridAfter w:val="1"/>
          <w:wAfter w:w="40" w:type="pct"/>
          <w:trHeight w:val="204"/>
        </w:trPr>
        <w:tc>
          <w:tcPr>
            <w:tcW w:w="1923" w:type="pct"/>
            <w:gridSpan w:val="2"/>
            <w:tcBorders>
              <w:top w:val="nil"/>
              <w:left w:val="nil"/>
              <w:bottom w:val="nil"/>
              <w:right w:val="nil"/>
            </w:tcBorders>
            <w:shd w:val="clear" w:color="auto" w:fill="auto"/>
            <w:vAlign w:val="bottom"/>
            <w:hideMark/>
          </w:tcPr>
          <w:p w14:paraId="4246E761" w14:textId="77777777" w:rsidR="00DE6C80" w:rsidRPr="00DE6C80" w:rsidRDefault="00DE6C80" w:rsidP="00DE6C80">
            <w:pPr>
              <w:spacing w:after="0" w:line="240" w:lineRule="auto"/>
              <w:ind w:left="113"/>
              <w:rPr>
                <w:rFonts w:ascii="Arial" w:hAnsi="Arial" w:cs="Arial"/>
                <w:sz w:val="16"/>
                <w:szCs w:val="16"/>
              </w:rPr>
            </w:pPr>
            <w:r w:rsidRPr="00DE6C80">
              <w:rPr>
                <w:rFonts w:ascii="Arial" w:hAnsi="Arial" w:cs="Arial"/>
                <w:sz w:val="16"/>
                <w:szCs w:val="16"/>
              </w:rPr>
              <w:t>Community Development Grants Programme</w:t>
            </w:r>
          </w:p>
        </w:tc>
        <w:tc>
          <w:tcPr>
            <w:tcW w:w="585" w:type="pct"/>
            <w:tcBorders>
              <w:top w:val="nil"/>
              <w:left w:val="nil"/>
              <w:bottom w:val="nil"/>
              <w:right w:val="nil"/>
            </w:tcBorders>
            <w:shd w:val="clear" w:color="auto" w:fill="auto"/>
            <w:noWrap/>
            <w:vAlign w:val="bottom"/>
            <w:hideMark/>
          </w:tcPr>
          <w:p w14:paraId="352754F9" w14:textId="2B8C2DDE"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417,965</w:t>
            </w:r>
          </w:p>
        </w:tc>
        <w:tc>
          <w:tcPr>
            <w:tcW w:w="631" w:type="pct"/>
            <w:tcBorders>
              <w:top w:val="nil"/>
              <w:left w:val="nil"/>
              <w:bottom w:val="nil"/>
              <w:right w:val="nil"/>
            </w:tcBorders>
            <w:shd w:val="clear" w:color="000000" w:fill="E6E6E6"/>
            <w:noWrap/>
            <w:vAlign w:val="bottom"/>
            <w:hideMark/>
          </w:tcPr>
          <w:p w14:paraId="40F39B0A" w14:textId="3BC85F83"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253,509</w:t>
            </w:r>
          </w:p>
        </w:tc>
        <w:tc>
          <w:tcPr>
            <w:tcW w:w="624" w:type="pct"/>
            <w:tcBorders>
              <w:top w:val="nil"/>
              <w:left w:val="nil"/>
              <w:bottom w:val="nil"/>
              <w:right w:val="nil"/>
            </w:tcBorders>
            <w:shd w:val="clear" w:color="auto" w:fill="auto"/>
            <w:noWrap/>
            <w:vAlign w:val="bottom"/>
            <w:hideMark/>
          </w:tcPr>
          <w:p w14:paraId="5C8FAC84" w14:textId="1104F178"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226,100</w:t>
            </w:r>
          </w:p>
        </w:tc>
        <w:tc>
          <w:tcPr>
            <w:tcW w:w="608" w:type="pct"/>
            <w:tcBorders>
              <w:top w:val="nil"/>
              <w:left w:val="nil"/>
              <w:bottom w:val="nil"/>
              <w:right w:val="nil"/>
            </w:tcBorders>
            <w:shd w:val="clear" w:color="auto" w:fill="auto"/>
            <w:noWrap/>
            <w:vAlign w:val="bottom"/>
            <w:hideMark/>
          </w:tcPr>
          <w:p w14:paraId="0EDA34A6" w14:textId="05B04A03"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177,268</w:t>
            </w:r>
          </w:p>
        </w:tc>
        <w:tc>
          <w:tcPr>
            <w:tcW w:w="589" w:type="pct"/>
            <w:tcBorders>
              <w:top w:val="nil"/>
              <w:left w:val="nil"/>
              <w:bottom w:val="nil"/>
              <w:right w:val="nil"/>
            </w:tcBorders>
            <w:shd w:val="clear" w:color="auto" w:fill="auto"/>
            <w:noWrap/>
            <w:vAlign w:val="bottom"/>
            <w:hideMark/>
          </w:tcPr>
          <w:p w14:paraId="64227EF9" w14:textId="5713F828"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w:t>
            </w:r>
          </w:p>
        </w:tc>
      </w:tr>
      <w:tr w:rsidR="00DE6C80" w:rsidRPr="00DE6C80" w14:paraId="7C2705CB" w14:textId="77777777" w:rsidTr="00264E90">
        <w:trPr>
          <w:gridAfter w:val="1"/>
          <w:wAfter w:w="40" w:type="pct"/>
          <w:trHeight w:val="204"/>
        </w:trPr>
        <w:tc>
          <w:tcPr>
            <w:tcW w:w="1923" w:type="pct"/>
            <w:gridSpan w:val="2"/>
            <w:tcBorders>
              <w:top w:val="nil"/>
              <w:left w:val="nil"/>
              <w:bottom w:val="nil"/>
              <w:right w:val="nil"/>
            </w:tcBorders>
            <w:shd w:val="clear" w:color="auto" w:fill="auto"/>
            <w:vAlign w:val="bottom"/>
            <w:hideMark/>
          </w:tcPr>
          <w:p w14:paraId="07F2F66A" w14:textId="77777777" w:rsidR="00DE6C80" w:rsidRPr="00DE6C80" w:rsidRDefault="00DE6C80" w:rsidP="00DE6C80">
            <w:pPr>
              <w:spacing w:after="0" w:line="240" w:lineRule="auto"/>
              <w:ind w:left="113"/>
              <w:rPr>
                <w:rFonts w:ascii="Arial" w:hAnsi="Arial" w:cs="Arial"/>
                <w:sz w:val="16"/>
                <w:szCs w:val="16"/>
              </w:rPr>
            </w:pPr>
            <w:r w:rsidRPr="00DE6C80">
              <w:rPr>
                <w:rFonts w:ascii="Arial" w:hAnsi="Arial" w:cs="Arial"/>
                <w:sz w:val="16"/>
                <w:szCs w:val="16"/>
              </w:rPr>
              <w:t>Drought Communities Programme Extension</w:t>
            </w:r>
          </w:p>
        </w:tc>
        <w:tc>
          <w:tcPr>
            <w:tcW w:w="585" w:type="pct"/>
            <w:tcBorders>
              <w:top w:val="nil"/>
              <w:left w:val="nil"/>
              <w:bottom w:val="nil"/>
              <w:right w:val="nil"/>
            </w:tcBorders>
            <w:shd w:val="clear" w:color="auto" w:fill="auto"/>
            <w:noWrap/>
            <w:vAlign w:val="bottom"/>
            <w:hideMark/>
          </w:tcPr>
          <w:p w14:paraId="0EE3E5FA" w14:textId="3423F0AC"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4,264</w:t>
            </w:r>
          </w:p>
        </w:tc>
        <w:tc>
          <w:tcPr>
            <w:tcW w:w="631" w:type="pct"/>
            <w:tcBorders>
              <w:top w:val="nil"/>
              <w:left w:val="nil"/>
              <w:bottom w:val="nil"/>
              <w:right w:val="nil"/>
            </w:tcBorders>
            <w:shd w:val="clear" w:color="000000" w:fill="E6E6E6"/>
            <w:noWrap/>
            <w:vAlign w:val="bottom"/>
            <w:hideMark/>
          </w:tcPr>
          <w:p w14:paraId="57FA5467" w14:textId="61D4BDAA"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5,736</w:t>
            </w:r>
          </w:p>
        </w:tc>
        <w:tc>
          <w:tcPr>
            <w:tcW w:w="624" w:type="pct"/>
            <w:tcBorders>
              <w:top w:val="nil"/>
              <w:left w:val="nil"/>
              <w:bottom w:val="nil"/>
              <w:right w:val="nil"/>
            </w:tcBorders>
            <w:shd w:val="clear" w:color="auto" w:fill="auto"/>
            <w:noWrap/>
            <w:vAlign w:val="bottom"/>
            <w:hideMark/>
          </w:tcPr>
          <w:p w14:paraId="3984D02E" w14:textId="397D1207"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w:t>
            </w:r>
          </w:p>
        </w:tc>
        <w:tc>
          <w:tcPr>
            <w:tcW w:w="608" w:type="pct"/>
            <w:tcBorders>
              <w:top w:val="nil"/>
              <w:left w:val="nil"/>
              <w:bottom w:val="nil"/>
              <w:right w:val="nil"/>
            </w:tcBorders>
            <w:shd w:val="clear" w:color="auto" w:fill="auto"/>
            <w:noWrap/>
            <w:vAlign w:val="bottom"/>
            <w:hideMark/>
          </w:tcPr>
          <w:p w14:paraId="3733499B" w14:textId="0E296645"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w:t>
            </w:r>
          </w:p>
        </w:tc>
        <w:tc>
          <w:tcPr>
            <w:tcW w:w="589" w:type="pct"/>
            <w:tcBorders>
              <w:top w:val="nil"/>
              <w:left w:val="nil"/>
              <w:bottom w:val="nil"/>
              <w:right w:val="nil"/>
            </w:tcBorders>
            <w:shd w:val="clear" w:color="auto" w:fill="auto"/>
            <w:noWrap/>
            <w:vAlign w:val="bottom"/>
            <w:hideMark/>
          </w:tcPr>
          <w:p w14:paraId="459B916E" w14:textId="654522BB"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w:t>
            </w:r>
          </w:p>
        </w:tc>
      </w:tr>
      <w:tr w:rsidR="00DE6C80" w:rsidRPr="00DE6C80" w14:paraId="7899DB44" w14:textId="77777777" w:rsidTr="00264E90">
        <w:trPr>
          <w:gridAfter w:val="1"/>
          <w:wAfter w:w="40" w:type="pct"/>
          <w:trHeight w:val="204"/>
        </w:trPr>
        <w:tc>
          <w:tcPr>
            <w:tcW w:w="1923" w:type="pct"/>
            <w:gridSpan w:val="2"/>
            <w:tcBorders>
              <w:top w:val="nil"/>
              <w:left w:val="nil"/>
              <w:bottom w:val="nil"/>
              <w:right w:val="nil"/>
            </w:tcBorders>
            <w:shd w:val="clear" w:color="auto" w:fill="auto"/>
            <w:vAlign w:val="bottom"/>
            <w:hideMark/>
          </w:tcPr>
          <w:p w14:paraId="00163EFA" w14:textId="77777777" w:rsidR="00DE6C80" w:rsidRPr="00DE6C80" w:rsidRDefault="00DE6C80" w:rsidP="00DE6C80">
            <w:pPr>
              <w:spacing w:after="0" w:line="240" w:lineRule="auto"/>
              <w:ind w:left="113"/>
              <w:rPr>
                <w:rFonts w:ascii="Arial" w:hAnsi="Arial" w:cs="Arial"/>
                <w:sz w:val="16"/>
                <w:szCs w:val="16"/>
              </w:rPr>
            </w:pPr>
            <w:r w:rsidRPr="00DE6C80">
              <w:rPr>
                <w:rFonts w:ascii="Arial" w:hAnsi="Arial" w:cs="Arial"/>
                <w:sz w:val="16"/>
                <w:szCs w:val="16"/>
              </w:rPr>
              <w:t>Growing Regions</w:t>
            </w:r>
          </w:p>
        </w:tc>
        <w:tc>
          <w:tcPr>
            <w:tcW w:w="585" w:type="pct"/>
            <w:tcBorders>
              <w:top w:val="nil"/>
              <w:left w:val="nil"/>
              <w:bottom w:val="nil"/>
              <w:right w:val="nil"/>
            </w:tcBorders>
            <w:shd w:val="clear" w:color="auto" w:fill="auto"/>
            <w:noWrap/>
            <w:vAlign w:val="bottom"/>
            <w:hideMark/>
          </w:tcPr>
          <w:p w14:paraId="707AA49B" w14:textId="28524C95"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w:t>
            </w:r>
          </w:p>
        </w:tc>
        <w:tc>
          <w:tcPr>
            <w:tcW w:w="631" w:type="pct"/>
            <w:tcBorders>
              <w:top w:val="nil"/>
              <w:left w:val="nil"/>
              <w:bottom w:val="nil"/>
              <w:right w:val="nil"/>
            </w:tcBorders>
            <w:shd w:val="clear" w:color="000000" w:fill="E6E6E6"/>
            <w:noWrap/>
            <w:vAlign w:val="bottom"/>
            <w:hideMark/>
          </w:tcPr>
          <w:p w14:paraId="2C09B976" w14:textId="7850B223"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30,000</w:t>
            </w:r>
          </w:p>
        </w:tc>
        <w:tc>
          <w:tcPr>
            <w:tcW w:w="624" w:type="pct"/>
            <w:tcBorders>
              <w:top w:val="nil"/>
              <w:left w:val="nil"/>
              <w:bottom w:val="nil"/>
              <w:right w:val="nil"/>
            </w:tcBorders>
            <w:shd w:val="clear" w:color="auto" w:fill="auto"/>
            <w:noWrap/>
            <w:vAlign w:val="bottom"/>
            <w:hideMark/>
          </w:tcPr>
          <w:p w14:paraId="0C1C9B64" w14:textId="4ACEE9E4"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210,000</w:t>
            </w:r>
          </w:p>
        </w:tc>
        <w:tc>
          <w:tcPr>
            <w:tcW w:w="608" w:type="pct"/>
            <w:tcBorders>
              <w:top w:val="nil"/>
              <w:left w:val="nil"/>
              <w:bottom w:val="nil"/>
              <w:right w:val="nil"/>
            </w:tcBorders>
            <w:shd w:val="clear" w:color="auto" w:fill="auto"/>
            <w:noWrap/>
            <w:vAlign w:val="bottom"/>
            <w:hideMark/>
          </w:tcPr>
          <w:p w14:paraId="408215A8" w14:textId="7EEFAF5C"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360,000</w:t>
            </w:r>
          </w:p>
        </w:tc>
        <w:tc>
          <w:tcPr>
            <w:tcW w:w="589" w:type="pct"/>
            <w:tcBorders>
              <w:top w:val="nil"/>
              <w:left w:val="nil"/>
              <w:bottom w:val="nil"/>
              <w:right w:val="nil"/>
            </w:tcBorders>
            <w:shd w:val="clear" w:color="auto" w:fill="auto"/>
            <w:noWrap/>
            <w:vAlign w:val="bottom"/>
            <w:hideMark/>
          </w:tcPr>
          <w:p w14:paraId="5985AF10" w14:textId="4C274CF7"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w:t>
            </w:r>
          </w:p>
        </w:tc>
      </w:tr>
      <w:tr w:rsidR="00DE6C80" w:rsidRPr="00DE6C80" w14:paraId="4980EF2B" w14:textId="77777777" w:rsidTr="00264E90">
        <w:trPr>
          <w:gridAfter w:val="1"/>
          <w:wAfter w:w="40" w:type="pct"/>
          <w:trHeight w:val="204"/>
        </w:trPr>
        <w:tc>
          <w:tcPr>
            <w:tcW w:w="1923" w:type="pct"/>
            <w:gridSpan w:val="2"/>
            <w:tcBorders>
              <w:top w:val="nil"/>
              <w:left w:val="nil"/>
              <w:bottom w:val="nil"/>
              <w:right w:val="nil"/>
            </w:tcBorders>
            <w:shd w:val="clear" w:color="auto" w:fill="auto"/>
            <w:vAlign w:val="bottom"/>
            <w:hideMark/>
          </w:tcPr>
          <w:p w14:paraId="417DB378" w14:textId="77777777" w:rsidR="00DE6C80" w:rsidRPr="00DE6C80" w:rsidRDefault="00DE6C80" w:rsidP="00DE6C80">
            <w:pPr>
              <w:spacing w:after="0" w:line="240" w:lineRule="auto"/>
              <w:ind w:left="113"/>
              <w:rPr>
                <w:rFonts w:ascii="Arial" w:hAnsi="Arial" w:cs="Arial"/>
                <w:sz w:val="16"/>
                <w:szCs w:val="16"/>
              </w:rPr>
            </w:pPr>
            <w:r w:rsidRPr="00DE6C80">
              <w:rPr>
                <w:rFonts w:ascii="Arial" w:hAnsi="Arial" w:cs="Arial"/>
                <w:sz w:val="16"/>
                <w:szCs w:val="16"/>
              </w:rPr>
              <w:t>Hinkler Regional Deal</w:t>
            </w:r>
          </w:p>
        </w:tc>
        <w:tc>
          <w:tcPr>
            <w:tcW w:w="585" w:type="pct"/>
            <w:tcBorders>
              <w:top w:val="nil"/>
              <w:left w:val="nil"/>
              <w:bottom w:val="nil"/>
              <w:right w:val="nil"/>
            </w:tcBorders>
            <w:shd w:val="clear" w:color="auto" w:fill="auto"/>
            <w:noWrap/>
            <w:vAlign w:val="bottom"/>
            <w:hideMark/>
          </w:tcPr>
          <w:p w14:paraId="0E5ACE80" w14:textId="1AC072FA"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w:t>
            </w:r>
          </w:p>
        </w:tc>
        <w:tc>
          <w:tcPr>
            <w:tcW w:w="631" w:type="pct"/>
            <w:tcBorders>
              <w:top w:val="nil"/>
              <w:left w:val="nil"/>
              <w:bottom w:val="nil"/>
              <w:right w:val="nil"/>
            </w:tcBorders>
            <w:shd w:val="clear" w:color="000000" w:fill="E6E6E6"/>
            <w:noWrap/>
            <w:vAlign w:val="bottom"/>
            <w:hideMark/>
          </w:tcPr>
          <w:p w14:paraId="4CB0B80D" w14:textId="6407B317"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250</w:t>
            </w:r>
          </w:p>
        </w:tc>
        <w:tc>
          <w:tcPr>
            <w:tcW w:w="624" w:type="pct"/>
            <w:tcBorders>
              <w:top w:val="nil"/>
              <w:left w:val="nil"/>
              <w:bottom w:val="nil"/>
              <w:right w:val="nil"/>
            </w:tcBorders>
            <w:shd w:val="clear" w:color="auto" w:fill="auto"/>
            <w:noWrap/>
            <w:vAlign w:val="bottom"/>
            <w:hideMark/>
          </w:tcPr>
          <w:p w14:paraId="3291A35D" w14:textId="166E6422"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w:t>
            </w:r>
          </w:p>
        </w:tc>
        <w:tc>
          <w:tcPr>
            <w:tcW w:w="608" w:type="pct"/>
            <w:tcBorders>
              <w:top w:val="nil"/>
              <w:left w:val="nil"/>
              <w:bottom w:val="nil"/>
              <w:right w:val="nil"/>
            </w:tcBorders>
            <w:shd w:val="clear" w:color="auto" w:fill="auto"/>
            <w:noWrap/>
            <w:vAlign w:val="bottom"/>
            <w:hideMark/>
          </w:tcPr>
          <w:p w14:paraId="1834FC0E" w14:textId="2404199C"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w:t>
            </w:r>
          </w:p>
        </w:tc>
        <w:tc>
          <w:tcPr>
            <w:tcW w:w="589" w:type="pct"/>
            <w:tcBorders>
              <w:top w:val="nil"/>
              <w:left w:val="nil"/>
              <w:bottom w:val="nil"/>
              <w:right w:val="nil"/>
            </w:tcBorders>
            <w:shd w:val="clear" w:color="auto" w:fill="auto"/>
            <w:noWrap/>
            <w:vAlign w:val="bottom"/>
            <w:hideMark/>
          </w:tcPr>
          <w:p w14:paraId="43B673B0" w14:textId="4C57446C"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w:t>
            </w:r>
          </w:p>
        </w:tc>
      </w:tr>
      <w:tr w:rsidR="00DE6C80" w:rsidRPr="00DE6C80" w14:paraId="75AD6C51" w14:textId="77777777" w:rsidTr="00264E90">
        <w:trPr>
          <w:gridAfter w:val="1"/>
          <w:wAfter w:w="40" w:type="pct"/>
          <w:trHeight w:val="204"/>
        </w:trPr>
        <w:tc>
          <w:tcPr>
            <w:tcW w:w="1923" w:type="pct"/>
            <w:gridSpan w:val="2"/>
            <w:tcBorders>
              <w:top w:val="nil"/>
              <w:left w:val="nil"/>
              <w:bottom w:val="nil"/>
              <w:right w:val="nil"/>
            </w:tcBorders>
            <w:shd w:val="clear" w:color="auto" w:fill="auto"/>
            <w:vAlign w:val="bottom"/>
            <w:hideMark/>
          </w:tcPr>
          <w:p w14:paraId="7264225B" w14:textId="77777777" w:rsidR="00DE6C80" w:rsidRPr="00DE6C80" w:rsidRDefault="00DE6C80" w:rsidP="00DE6C80">
            <w:pPr>
              <w:spacing w:after="0" w:line="240" w:lineRule="auto"/>
              <w:ind w:left="113"/>
              <w:rPr>
                <w:rFonts w:ascii="Arial" w:hAnsi="Arial" w:cs="Arial"/>
                <w:sz w:val="16"/>
                <w:szCs w:val="16"/>
              </w:rPr>
            </w:pPr>
            <w:r w:rsidRPr="00DE6C80">
              <w:rPr>
                <w:rFonts w:ascii="Arial" w:hAnsi="Arial" w:cs="Arial"/>
                <w:sz w:val="16"/>
                <w:szCs w:val="16"/>
              </w:rPr>
              <w:t>Investing in our Communities Program</w:t>
            </w:r>
          </w:p>
        </w:tc>
        <w:tc>
          <w:tcPr>
            <w:tcW w:w="585" w:type="pct"/>
            <w:tcBorders>
              <w:top w:val="nil"/>
              <w:left w:val="nil"/>
              <w:bottom w:val="nil"/>
              <w:right w:val="nil"/>
            </w:tcBorders>
            <w:shd w:val="clear" w:color="auto" w:fill="auto"/>
            <w:noWrap/>
            <w:vAlign w:val="bottom"/>
            <w:hideMark/>
          </w:tcPr>
          <w:p w14:paraId="0686DFD1" w14:textId="4AE8B967"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22,927</w:t>
            </w:r>
          </w:p>
        </w:tc>
        <w:tc>
          <w:tcPr>
            <w:tcW w:w="631" w:type="pct"/>
            <w:tcBorders>
              <w:top w:val="nil"/>
              <w:left w:val="nil"/>
              <w:bottom w:val="nil"/>
              <w:right w:val="nil"/>
            </w:tcBorders>
            <w:shd w:val="clear" w:color="000000" w:fill="E6E6E6"/>
            <w:noWrap/>
            <w:vAlign w:val="bottom"/>
            <w:hideMark/>
          </w:tcPr>
          <w:p w14:paraId="7F4517FC" w14:textId="5D1D79E9"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102,465</w:t>
            </w:r>
          </w:p>
        </w:tc>
        <w:tc>
          <w:tcPr>
            <w:tcW w:w="624" w:type="pct"/>
            <w:tcBorders>
              <w:top w:val="nil"/>
              <w:left w:val="nil"/>
              <w:bottom w:val="nil"/>
              <w:right w:val="nil"/>
            </w:tcBorders>
            <w:shd w:val="clear" w:color="auto" w:fill="auto"/>
            <w:noWrap/>
            <w:vAlign w:val="bottom"/>
            <w:hideMark/>
          </w:tcPr>
          <w:p w14:paraId="18B60E31" w14:textId="4EDAC326"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125,764</w:t>
            </w:r>
          </w:p>
        </w:tc>
        <w:tc>
          <w:tcPr>
            <w:tcW w:w="608" w:type="pct"/>
            <w:tcBorders>
              <w:top w:val="nil"/>
              <w:left w:val="nil"/>
              <w:bottom w:val="nil"/>
              <w:right w:val="nil"/>
            </w:tcBorders>
            <w:shd w:val="clear" w:color="auto" w:fill="auto"/>
            <w:noWrap/>
            <w:vAlign w:val="bottom"/>
            <w:hideMark/>
          </w:tcPr>
          <w:p w14:paraId="1B4B3A28" w14:textId="397D6B09"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58,400</w:t>
            </w:r>
          </w:p>
        </w:tc>
        <w:tc>
          <w:tcPr>
            <w:tcW w:w="589" w:type="pct"/>
            <w:tcBorders>
              <w:top w:val="nil"/>
              <w:left w:val="nil"/>
              <w:bottom w:val="nil"/>
              <w:right w:val="nil"/>
            </w:tcBorders>
            <w:shd w:val="clear" w:color="auto" w:fill="auto"/>
            <w:noWrap/>
            <w:vAlign w:val="bottom"/>
            <w:hideMark/>
          </w:tcPr>
          <w:p w14:paraId="3002C788" w14:textId="1B801722"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30,283</w:t>
            </w:r>
          </w:p>
        </w:tc>
      </w:tr>
      <w:tr w:rsidR="00DE6C80" w:rsidRPr="00DE6C80" w14:paraId="50E9EA2E" w14:textId="77777777" w:rsidTr="00264E90">
        <w:trPr>
          <w:gridAfter w:val="1"/>
          <w:wAfter w:w="40" w:type="pct"/>
          <w:trHeight w:val="204"/>
        </w:trPr>
        <w:tc>
          <w:tcPr>
            <w:tcW w:w="1923" w:type="pct"/>
            <w:gridSpan w:val="2"/>
            <w:tcBorders>
              <w:top w:val="nil"/>
              <w:left w:val="nil"/>
              <w:bottom w:val="nil"/>
              <w:right w:val="nil"/>
            </w:tcBorders>
            <w:shd w:val="clear" w:color="auto" w:fill="auto"/>
            <w:vAlign w:val="bottom"/>
            <w:hideMark/>
          </w:tcPr>
          <w:p w14:paraId="19215D4F" w14:textId="77777777" w:rsidR="00DE6C80" w:rsidRPr="00DE6C80" w:rsidRDefault="00DE6C80" w:rsidP="00DE6C80">
            <w:pPr>
              <w:spacing w:after="0" w:line="240" w:lineRule="auto"/>
              <w:ind w:left="113"/>
              <w:rPr>
                <w:rFonts w:ascii="Arial" w:hAnsi="Arial" w:cs="Arial"/>
                <w:sz w:val="16"/>
                <w:szCs w:val="16"/>
              </w:rPr>
            </w:pPr>
            <w:r w:rsidRPr="00DE6C80">
              <w:rPr>
                <w:rFonts w:ascii="Arial" w:hAnsi="Arial" w:cs="Arial"/>
                <w:sz w:val="16"/>
                <w:szCs w:val="16"/>
              </w:rPr>
              <w:t>Mossman Mill</w:t>
            </w:r>
          </w:p>
        </w:tc>
        <w:tc>
          <w:tcPr>
            <w:tcW w:w="585" w:type="pct"/>
            <w:tcBorders>
              <w:top w:val="nil"/>
              <w:left w:val="nil"/>
              <w:bottom w:val="nil"/>
              <w:right w:val="nil"/>
            </w:tcBorders>
            <w:shd w:val="clear" w:color="auto" w:fill="auto"/>
            <w:noWrap/>
            <w:vAlign w:val="bottom"/>
            <w:hideMark/>
          </w:tcPr>
          <w:p w14:paraId="3005592C" w14:textId="1C04252E"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5,900</w:t>
            </w:r>
          </w:p>
        </w:tc>
        <w:tc>
          <w:tcPr>
            <w:tcW w:w="631" w:type="pct"/>
            <w:tcBorders>
              <w:top w:val="nil"/>
              <w:left w:val="nil"/>
              <w:bottom w:val="nil"/>
              <w:right w:val="nil"/>
            </w:tcBorders>
            <w:shd w:val="clear" w:color="000000" w:fill="E6E6E6"/>
            <w:noWrap/>
            <w:vAlign w:val="bottom"/>
            <w:hideMark/>
          </w:tcPr>
          <w:p w14:paraId="583AACAC" w14:textId="66132788"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w:t>
            </w:r>
          </w:p>
        </w:tc>
        <w:tc>
          <w:tcPr>
            <w:tcW w:w="624" w:type="pct"/>
            <w:tcBorders>
              <w:top w:val="nil"/>
              <w:left w:val="nil"/>
              <w:bottom w:val="nil"/>
              <w:right w:val="nil"/>
            </w:tcBorders>
            <w:shd w:val="clear" w:color="auto" w:fill="auto"/>
            <w:noWrap/>
            <w:vAlign w:val="bottom"/>
            <w:hideMark/>
          </w:tcPr>
          <w:p w14:paraId="5DFF2B75" w14:textId="07E073BC"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w:t>
            </w:r>
          </w:p>
        </w:tc>
        <w:tc>
          <w:tcPr>
            <w:tcW w:w="608" w:type="pct"/>
            <w:tcBorders>
              <w:top w:val="nil"/>
              <w:left w:val="nil"/>
              <w:bottom w:val="nil"/>
              <w:right w:val="nil"/>
            </w:tcBorders>
            <w:shd w:val="clear" w:color="auto" w:fill="auto"/>
            <w:noWrap/>
            <w:vAlign w:val="bottom"/>
            <w:hideMark/>
          </w:tcPr>
          <w:p w14:paraId="213313B4" w14:textId="48C4B948"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w:t>
            </w:r>
          </w:p>
        </w:tc>
        <w:tc>
          <w:tcPr>
            <w:tcW w:w="589" w:type="pct"/>
            <w:tcBorders>
              <w:top w:val="nil"/>
              <w:left w:val="nil"/>
              <w:bottom w:val="nil"/>
              <w:right w:val="nil"/>
            </w:tcBorders>
            <w:shd w:val="clear" w:color="auto" w:fill="auto"/>
            <w:noWrap/>
            <w:vAlign w:val="bottom"/>
            <w:hideMark/>
          </w:tcPr>
          <w:p w14:paraId="3F879EF5" w14:textId="3E04CBA9"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w:t>
            </w:r>
          </w:p>
        </w:tc>
      </w:tr>
      <w:tr w:rsidR="00DE6C80" w:rsidRPr="00DE6C80" w14:paraId="26F7CCFE" w14:textId="77777777" w:rsidTr="00264E90">
        <w:trPr>
          <w:gridAfter w:val="1"/>
          <w:wAfter w:w="40" w:type="pct"/>
          <w:trHeight w:val="204"/>
        </w:trPr>
        <w:tc>
          <w:tcPr>
            <w:tcW w:w="1923" w:type="pct"/>
            <w:gridSpan w:val="2"/>
            <w:tcBorders>
              <w:top w:val="nil"/>
              <w:left w:val="nil"/>
              <w:bottom w:val="nil"/>
              <w:right w:val="nil"/>
            </w:tcBorders>
            <w:shd w:val="clear" w:color="auto" w:fill="auto"/>
            <w:vAlign w:val="bottom"/>
            <w:hideMark/>
          </w:tcPr>
          <w:p w14:paraId="38C9C3FF" w14:textId="71871E18" w:rsidR="00DE6C80" w:rsidRPr="00DE6C80" w:rsidRDefault="00DE6C80" w:rsidP="00DE6C80">
            <w:pPr>
              <w:spacing w:after="0" w:line="240" w:lineRule="auto"/>
              <w:ind w:left="113"/>
              <w:rPr>
                <w:rFonts w:ascii="Arial" w:hAnsi="Arial" w:cs="Arial"/>
                <w:sz w:val="16"/>
                <w:szCs w:val="16"/>
              </w:rPr>
            </w:pPr>
            <w:r w:rsidRPr="00DE6C80">
              <w:rPr>
                <w:rFonts w:ascii="Arial" w:hAnsi="Arial" w:cs="Arial"/>
                <w:sz w:val="16"/>
                <w:szCs w:val="16"/>
              </w:rPr>
              <w:t>National Water Grid Authority</w:t>
            </w:r>
            <w:r w:rsidRPr="00653DFA">
              <w:rPr>
                <w:rFonts w:ascii="Arial" w:hAnsi="Arial" w:cs="Arial"/>
                <w:sz w:val="16"/>
                <w:szCs w:val="16"/>
                <w:vertAlign w:val="superscript"/>
              </w:rPr>
              <w:t>(a)</w:t>
            </w:r>
          </w:p>
        </w:tc>
        <w:tc>
          <w:tcPr>
            <w:tcW w:w="585" w:type="pct"/>
            <w:tcBorders>
              <w:top w:val="nil"/>
              <w:left w:val="nil"/>
              <w:bottom w:val="nil"/>
              <w:right w:val="nil"/>
            </w:tcBorders>
            <w:shd w:val="clear" w:color="auto" w:fill="auto"/>
            <w:noWrap/>
            <w:vAlign w:val="bottom"/>
            <w:hideMark/>
          </w:tcPr>
          <w:p w14:paraId="2F70ECF2" w14:textId="5905D754"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8</w:t>
            </w:r>
          </w:p>
        </w:tc>
        <w:tc>
          <w:tcPr>
            <w:tcW w:w="631" w:type="pct"/>
            <w:tcBorders>
              <w:top w:val="nil"/>
              <w:left w:val="nil"/>
              <w:bottom w:val="nil"/>
              <w:right w:val="nil"/>
            </w:tcBorders>
            <w:shd w:val="clear" w:color="000000" w:fill="E6E6E6"/>
            <w:noWrap/>
            <w:vAlign w:val="bottom"/>
            <w:hideMark/>
          </w:tcPr>
          <w:p w14:paraId="1A3EDB8E" w14:textId="50228F8D"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w:t>
            </w:r>
          </w:p>
        </w:tc>
        <w:tc>
          <w:tcPr>
            <w:tcW w:w="624" w:type="pct"/>
            <w:tcBorders>
              <w:top w:val="nil"/>
              <w:left w:val="nil"/>
              <w:bottom w:val="nil"/>
              <w:right w:val="nil"/>
            </w:tcBorders>
            <w:shd w:val="clear" w:color="auto" w:fill="auto"/>
            <w:noWrap/>
            <w:vAlign w:val="bottom"/>
            <w:hideMark/>
          </w:tcPr>
          <w:p w14:paraId="78798FAE" w14:textId="58E9EC7D"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w:t>
            </w:r>
          </w:p>
        </w:tc>
        <w:tc>
          <w:tcPr>
            <w:tcW w:w="608" w:type="pct"/>
            <w:tcBorders>
              <w:top w:val="nil"/>
              <w:left w:val="nil"/>
              <w:bottom w:val="nil"/>
              <w:right w:val="nil"/>
            </w:tcBorders>
            <w:shd w:val="clear" w:color="auto" w:fill="auto"/>
            <w:noWrap/>
            <w:vAlign w:val="bottom"/>
            <w:hideMark/>
          </w:tcPr>
          <w:p w14:paraId="6A89EFC8" w14:textId="21225034"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w:t>
            </w:r>
          </w:p>
        </w:tc>
        <w:tc>
          <w:tcPr>
            <w:tcW w:w="589" w:type="pct"/>
            <w:tcBorders>
              <w:top w:val="nil"/>
              <w:left w:val="nil"/>
              <w:bottom w:val="nil"/>
              <w:right w:val="nil"/>
            </w:tcBorders>
            <w:shd w:val="clear" w:color="auto" w:fill="auto"/>
            <w:noWrap/>
            <w:vAlign w:val="bottom"/>
            <w:hideMark/>
          </w:tcPr>
          <w:p w14:paraId="48C0C950" w14:textId="3C6B97BC"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w:t>
            </w:r>
          </w:p>
        </w:tc>
      </w:tr>
      <w:tr w:rsidR="00DE6C80" w:rsidRPr="00DE6C80" w14:paraId="227214A9" w14:textId="77777777" w:rsidTr="00264E90">
        <w:trPr>
          <w:gridAfter w:val="1"/>
          <w:wAfter w:w="40" w:type="pct"/>
          <w:trHeight w:val="204"/>
        </w:trPr>
        <w:tc>
          <w:tcPr>
            <w:tcW w:w="1923" w:type="pct"/>
            <w:gridSpan w:val="2"/>
            <w:tcBorders>
              <w:top w:val="nil"/>
              <w:left w:val="nil"/>
              <w:bottom w:val="nil"/>
              <w:right w:val="nil"/>
            </w:tcBorders>
            <w:shd w:val="clear" w:color="auto" w:fill="auto"/>
            <w:vAlign w:val="bottom"/>
            <w:hideMark/>
          </w:tcPr>
          <w:p w14:paraId="0B7FF854" w14:textId="0B9F8639" w:rsidR="00DE6C80" w:rsidRPr="00DE6C80" w:rsidRDefault="000A6FAE" w:rsidP="00DE6C80">
            <w:pPr>
              <w:spacing w:after="0" w:line="240" w:lineRule="auto"/>
              <w:ind w:left="113"/>
              <w:rPr>
                <w:rFonts w:ascii="Arial" w:hAnsi="Arial" w:cs="Arial"/>
                <w:sz w:val="16"/>
                <w:szCs w:val="16"/>
              </w:rPr>
            </w:pPr>
            <w:r>
              <w:rPr>
                <w:rFonts w:ascii="Arial" w:hAnsi="Arial" w:cs="Arial"/>
                <w:sz w:val="16"/>
                <w:szCs w:val="16"/>
              </w:rPr>
              <w:t>r</w:t>
            </w:r>
            <w:r w:rsidR="00DE6C80" w:rsidRPr="00DE6C80">
              <w:rPr>
                <w:rFonts w:ascii="Arial" w:hAnsi="Arial" w:cs="Arial"/>
                <w:sz w:val="16"/>
                <w:szCs w:val="16"/>
              </w:rPr>
              <w:t>egional Precincts and Partnerships Program</w:t>
            </w:r>
          </w:p>
        </w:tc>
        <w:tc>
          <w:tcPr>
            <w:tcW w:w="585" w:type="pct"/>
            <w:tcBorders>
              <w:top w:val="nil"/>
              <w:left w:val="nil"/>
              <w:bottom w:val="nil"/>
              <w:right w:val="nil"/>
            </w:tcBorders>
            <w:shd w:val="clear" w:color="auto" w:fill="auto"/>
            <w:noWrap/>
            <w:vAlign w:val="bottom"/>
            <w:hideMark/>
          </w:tcPr>
          <w:p w14:paraId="47667001" w14:textId="06A8CDA9"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w:t>
            </w:r>
          </w:p>
        </w:tc>
        <w:tc>
          <w:tcPr>
            <w:tcW w:w="631" w:type="pct"/>
            <w:tcBorders>
              <w:top w:val="nil"/>
              <w:left w:val="nil"/>
              <w:bottom w:val="nil"/>
              <w:right w:val="nil"/>
            </w:tcBorders>
            <w:shd w:val="clear" w:color="000000" w:fill="E6E6E6"/>
            <w:noWrap/>
            <w:vAlign w:val="bottom"/>
            <w:hideMark/>
          </w:tcPr>
          <w:p w14:paraId="3FE3A6C3" w14:textId="14E66F04"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100,000</w:t>
            </w:r>
          </w:p>
        </w:tc>
        <w:tc>
          <w:tcPr>
            <w:tcW w:w="624" w:type="pct"/>
            <w:tcBorders>
              <w:top w:val="nil"/>
              <w:left w:val="nil"/>
              <w:bottom w:val="nil"/>
              <w:right w:val="nil"/>
            </w:tcBorders>
            <w:shd w:val="clear" w:color="auto" w:fill="auto"/>
            <w:noWrap/>
            <w:vAlign w:val="bottom"/>
            <w:hideMark/>
          </w:tcPr>
          <w:p w14:paraId="1B815CDC" w14:textId="673D9CC8"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150,000</w:t>
            </w:r>
          </w:p>
        </w:tc>
        <w:tc>
          <w:tcPr>
            <w:tcW w:w="608" w:type="pct"/>
            <w:tcBorders>
              <w:top w:val="nil"/>
              <w:left w:val="nil"/>
              <w:bottom w:val="nil"/>
              <w:right w:val="nil"/>
            </w:tcBorders>
            <w:shd w:val="clear" w:color="auto" w:fill="auto"/>
            <w:noWrap/>
            <w:vAlign w:val="bottom"/>
            <w:hideMark/>
          </w:tcPr>
          <w:p w14:paraId="4CD42B7A" w14:textId="41B48491"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150,000</w:t>
            </w:r>
          </w:p>
        </w:tc>
        <w:tc>
          <w:tcPr>
            <w:tcW w:w="589" w:type="pct"/>
            <w:tcBorders>
              <w:top w:val="nil"/>
              <w:left w:val="nil"/>
              <w:bottom w:val="nil"/>
              <w:right w:val="nil"/>
            </w:tcBorders>
            <w:shd w:val="clear" w:color="auto" w:fill="auto"/>
            <w:noWrap/>
            <w:vAlign w:val="bottom"/>
            <w:hideMark/>
          </w:tcPr>
          <w:p w14:paraId="0294D312" w14:textId="454E7555"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w:t>
            </w:r>
          </w:p>
        </w:tc>
      </w:tr>
      <w:tr w:rsidR="00DE6C80" w:rsidRPr="00DE6C80" w14:paraId="40309D2B" w14:textId="77777777" w:rsidTr="00264E90">
        <w:trPr>
          <w:gridAfter w:val="1"/>
          <w:wAfter w:w="40" w:type="pct"/>
          <w:trHeight w:val="204"/>
        </w:trPr>
        <w:tc>
          <w:tcPr>
            <w:tcW w:w="1923" w:type="pct"/>
            <w:gridSpan w:val="2"/>
            <w:tcBorders>
              <w:top w:val="nil"/>
              <w:left w:val="nil"/>
              <w:bottom w:val="nil"/>
              <w:right w:val="nil"/>
            </w:tcBorders>
            <w:shd w:val="clear" w:color="auto" w:fill="auto"/>
            <w:vAlign w:val="bottom"/>
            <w:hideMark/>
          </w:tcPr>
          <w:p w14:paraId="0D8F56F1" w14:textId="77777777" w:rsidR="00DE6C80" w:rsidRPr="00DE6C80" w:rsidRDefault="00DE6C80" w:rsidP="00DE6C80">
            <w:pPr>
              <w:spacing w:after="0" w:line="240" w:lineRule="auto"/>
              <w:ind w:left="113"/>
              <w:rPr>
                <w:rFonts w:ascii="Arial" w:hAnsi="Arial" w:cs="Arial"/>
                <w:sz w:val="16"/>
                <w:szCs w:val="16"/>
              </w:rPr>
            </w:pPr>
            <w:r w:rsidRPr="00DE6C80">
              <w:rPr>
                <w:rFonts w:ascii="Arial" w:hAnsi="Arial" w:cs="Arial"/>
                <w:sz w:val="16"/>
                <w:szCs w:val="16"/>
              </w:rPr>
              <w:t>Priority Community Infrastructure Program</w:t>
            </w:r>
          </w:p>
        </w:tc>
        <w:tc>
          <w:tcPr>
            <w:tcW w:w="585" w:type="pct"/>
            <w:tcBorders>
              <w:top w:val="nil"/>
              <w:left w:val="nil"/>
              <w:bottom w:val="nil"/>
              <w:right w:val="nil"/>
            </w:tcBorders>
            <w:shd w:val="clear" w:color="auto" w:fill="auto"/>
            <w:noWrap/>
            <w:vAlign w:val="bottom"/>
            <w:hideMark/>
          </w:tcPr>
          <w:p w14:paraId="4F0700DD" w14:textId="6DF822BB"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62,250</w:t>
            </w:r>
          </w:p>
        </w:tc>
        <w:tc>
          <w:tcPr>
            <w:tcW w:w="631" w:type="pct"/>
            <w:tcBorders>
              <w:top w:val="nil"/>
              <w:left w:val="nil"/>
              <w:bottom w:val="nil"/>
              <w:right w:val="nil"/>
            </w:tcBorders>
            <w:shd w:val="clear" w:color="000000" w:fill="E6E6E6"/>
            <w:noWrap/>
            <w:vAlign w:val="bottom"/>
            <w:hideMark/>
          </w:tcPr>
          <w:p w14:paraId="5AB909A8" w14:textId="63594C81"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202,000</w:t>
            </w:r>
          </w:p>
        </w:tc>
        <w:tc>
          <w:tcPr>
            <w:tcW w:w="624" w:type="pct"/>
            <w:tcBorders>
              <w:top w:val="nil"/>
              <w:left w:val="nil"/>
              <w:bottom w:val="nil"/>
              <w:right w:val="nil"/>
            </w:tcBorders>
            <w:shd w:val="clear" w:color="auto" w:fill="auto"/>
            <w:noWrap/>
            <w:vAlign w:val="bottom"/>
            <w:hideMark/>
          </w:tcPr>
          <w:p w14:paraId="07B4570A" w14:textId="73D8D258"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295,000</w:t>
            </w:r>
          </w:p>
        </w:tc>
        <w:tc>
          <w:tcPr>
            <w:tcW w:w="608" w:type="pct"/>
            <w:tcBorders>
              <w:top w:val="nil"/>
              <w:left w:val="nil"/>
              <w:bottom w:val="nil"/>
              <w:right w:val="nil"/>
            </w:tcBorders>
            <w:shd w:val="clear" w:color="auto" w:fill="auto"/>
            <w:noWrap/>
            <w:vAlign w:val="bottom"/>
            <w:hideMark/>
          </w:tcPr>
          <w:p w14:paraId="2C7BC86A" w14:textId="600A5FDF"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300,000</w:t>
            </w:r>
          </w:p>
        </w:tc>
        <w:tc>
          <w:tcPr>
            <w:tcW w:w="589" w:type="pct"/>
            <w:tcBorders>
              <w:top w:val="nil"/>
              <w:left w:val="nil"/>
              <w:bottom w:val="nil"/>
              <w:right w:val="nil"/>
            </w:tcBorders>
            <w:shd w:val="clear" w:color="auto" w:fill="auto"/>
            <w:noWrap/>
            <w:vAlign w:val="bottom"/>
            <w:hideMark/>
          </w:tcPr>
          <w:p w14:paraId="23C463AD" w14:textId="090CC90E"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158,000</w:t>
            </w:r>
          </w:p>
        </w:tc>
      </w:tr>
      <w:tr w:rsidR="00DE6C80" w:rsidRPr="00DE6C80" w14:paraId="6FE5E44A" w14:textId="77777777" w:rsidTr="00264E90">
        <w:trPr>
          <w:gridAfter w:val="1"/>
          <w:wAfter w:w="40" w:type="pct"/>
          <w:trHeight w:val="204"/>
        </w:trPr>
        <w:tc>
          <w:tcPr>
            <w:tcW w:w="1923" w:type="pct"/>
            <w:gridSpan w:val="2"/>
            <w:tcBorders>
              <w:top w:val="nil"/>
              <w:left w:val="nil"/>
              <w:bottom w:val="nil"/>
              <w:right w:val="nil"/>
            </w:tcBorders>
            <w:shd w:val="clear" w:color="auto" w:fill="auto"/>
            <w:vAlign w:val="bottom"/>
            <w:hideMark/>
          </w:tcPr>
          <w:p w14:paraId="240A52BD" w14:textId="77777777" w:rsidR="00DE6C80" w:rsidRPr="00DE6C80" w:rsidRDefault="00DE6C80" w:rsidP="00DE6C80">
            <w:pPr>
              <w:spacing w:after="0" w:line="240" w:lineRule="auto"/>
              <w:ind w:left="113"/>
              <w:rPr>
                <w:rFonts w:ascii="Arial" w:hAnsi="Arial" w:cs="Arial"/>
                <w:sz w:val="16"/>
                <w:szCs w:val="16"/>
              </w:rPr>
            </w:pPr>
            <w:r w:rsidRPr="00DE6C80">
              <w:rPr>
                <w:rFonts w:ascii="Arial" w:hAnsi="Arial" w:cs="Arial"/>
                <w:sz w:val="16"/>
                <w:szCs w:val="16"/>
              </w:rPr>
              <w:t>Rebuilding Regional Communities</w:t>
            </w:r>
          </w:p>
        </w:tc>
        <w:tc>
          <w:tcPr>
            <w:tcW w:w="585" w:type="pct"/>
            <w:tcBorders>
              <w:top w:val="nil"/>
              <w:left w:val="nil"/>
              <w:bottom w:val="nil"/>
              <w:right w:val="nil"/>
            </w:tcBorders>
            <w:shd w:val="clear" w:color="auto" w:fill="auto"/>
            <w:noWrap/>
            <w:vAlign w:val="bottom"/>
            <w:hideMark/>
          </w:tcPr>
          <w:p w14:paraId="3B14E784" w14:textId="4A89C5CC"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2,304</w:t>
            </w:r>
          </w:p>
        </w:tc>
        <w:tc>
          <w:tcPr>
            <w:tcW w:w="631" w:type="pct"/>
            <w:tcBorders>
              <w:top w:val="nil"/>
              <w:left w:val="nil"/>
              <w:bottom w:val="nil"/>
              <w:right w:val="nil"/>
            </w:tcBorders>
            <w:shd w:val="clear" w:color="000000" w:fill="E6E6E6"/>
            <w:noWrap/>
            <w:vAlign w:val="bottom"/>
            <w:hideMark/>
          </w:tcPr>
          <w:p w14:paraId="2C02780A" w14:textId="2276074A"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w:t>
            </w:r>
          </w:p>
        </w:tc>
        <w:tc>
          <w:tcPr>
            <w:tcW w:w="624" w:type="pct"/>
            <w:tcBorders>
              <w:top w:val="nil"/>
              <w:left w:val="nil"/>
              <w:bottom w:val="nil"/>
              <w:right w:val="nil"/>
            </w:tcBorders>
            <w:shd w:val="clear" w:color="auto" w:fill="auto"/>
            <w:noWrap/>
            <w:vAlign w:val="bottom"/>
            <w:hideMark/>
          </w:tcPr>
          <w:p w14:paraId="75C3DD3D" w14:textId="2502761B"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w:t>
            </w:r>
          </w:p>
        </w:tc>
        <w:tc>
          <w:tcPr>
            <w:tcW w:w="608" w:type="pct"/>
            <w:tcBorders>
              <w:top w:val="nil"/>
              <w:left w:val="nil"/>
              <w:bottom w:val="nil"/>
              <w:right w:val="nil"/>
            </w:tcBorders>
            <w:shd w:val="clear" w:color="auto" w:fill="auto"/>
            <w:noWrap/>
            <w:vAlign w:val="bottom"/>
            <w:hideMark/>
          </w:tcPr>
          <w:p w14:paraId="760B638B" w14:textId="6A79A393"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w:t>
            </w:r>
          </w:p>
        </w:tc>
        <w:tc>
          <w:tcPr>
            <w:tcW w:w="589" w:type="pct"/>
            <w:tcBorders>
              <w:top w:val="nil"/>
              <w:left w:val="nil"/>
              <w:bottom w:val="nil"/>
              <w:right w:val="nil"/>
            </w:tcBorders>
            <w:shd w:val="clear" w:color="auto" w:fill="auto"/>
            <w:noWrap/>
            <w:vAlign w:val="bottom"/>
            <w:hideMark/>
          </w:tcPr>
          <w:p w14:paraId="2DF6CB66" w14:textId="57854054"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w:t>
            </w:r>
          </w:p>
        </w:tc>
      </w:tr>
      <w:tr w:rsidR="00DE6C80" w:rsidRPr="00DE6C80" w14:paraId="7909ED6E" w14:textId="77777777" w:rsidTr="00264E90">
        <w:trPr>
          <w:gridAfter w:val="1"/>
          <w:wAfter w:w="40" w:type="pct"/>
          <w:trHeight w:val="204"/>
        </w:trPr>
        <w:tc>
          <w:tcPr>
            <w:tcW w:w="1923" w:type="pct"/>
            <w:gridSpan w:val="2"/>
            <w:tcBorders>
              <w:top w:val="nil"/>
              <w:left w:val="nil"/>
              <w:bottom w:val="nil"/>
              <w:right w:val="nil"/>
            </w:tcBorders>
            <w:shd w:val="clear" w:color="auto" w:fill="auto"/>
            <w:vAlign w:val="bottom"/>
            <w:hideMark/>
          </w:tcPr>
          <w:p w14:paraId="6173DBB9" w14:textId="77777777" w:rsidR="00DE6C80" w:rsidRPr="00DE6C80" w:rsidRDefault="00DE6C80" w:rsidP="00DE6C80">
            <w:pPr>
              <w:spacing w:after="0" w:line="240" w:lineRule="auto"/>
              <w:ind w:left="113"/>
              <w:rPr>
                <w:rFonts w:ascii="Arial" w:hAnsi="Arial" w:cs="Arial"/>
                <w:sz w:val="16"/>
                <w:szCs w:val="16"/>
              </w:rPr>
            </w:pPr>
            <w:r w:rsidRPr="00DE6C80">
              <w:rPr>
                <w:rFonts w:ascii="Arial" w:hAnsi="Arial" w:cs="Arial"/>
                <w:sz w:val="16"/>
                <w:szCs w:val="16"/>
              </w:rPr>
              <w:t>Regional Development Australia Committees</w:t>
            </w:r>
          </w:p>
        </w:tc>
        <w:tc>
          <w:tcPr>
            <w:tcW w:w="585" w:type="pct"/>
            <w:tcBorders>
              <w:top w:val="nil"/>
              <w:left w:val="nil"/>
              <w:bottom w:val="nil"/>
              <w:right w:val="nil"/>
            </w:tcBorders>
            <w:shd w:val="clear" w:color="auto" w:fill="auto"/>
            <w:noWrap/>
            <w:vAlign w:val="bottom"/>
            <w:hideMark/>
          </w:tcPr>
          <w:p w14:paraId="34C13754" w14:textId="2E01AF02"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19,947</w:t>
            </w:r>
          </w:p>
        </w:tc>
        <w:tc>
          <w:tcPr>
            <w:tcW w:w="631" w:type="pct"/>
            <w:tcBorders>
              <w:top w:val="nil"/>
              <w:left w:val="nil"/>
              <w:bottom w:val="nil"/>
              <w:right w:val="nil"/>
            </w:tcBorders>
            <w:shd w:val="clear" w:color="000000" w:fill="E6E6E6"/>
            <w:noWrap/>
            <w:vAlign w:val="bottom"/>
            <w:hideMark/>
          </w:tcPr>
          <w:p w14:paraId="7374534D" w14:textId="11A3A710"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21,049</w:t>
            </w:r>
          </w:p>
        </w:tc>
        <w:tc>
          <w:tcPr>
            <w:tcW w:w="624" w:type="pct"/>
            <w:tcBorders>
              <w:top w:val="nil"/>
              <w:left w:val="nil"/>
              <w:bottom w:val="nil"/>
              <w:right w:val="nil"/>
            </w:tcBorders>
            <w:shd w:val="clear" w:color="auto" w:fill="auto"/>
            <w:noWrap/>
            <w:vAlign w:val="bottom"/>
            <w:hideMark/>
          </w:tcPr>
          <w:p w14:paraId="50AC9D3E" w14:textId="4E4CC14A"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21,909</w:t>
            </w:r>
          </w:p>
        </w:tc>
        <w:tc>
          <w:tcPr>
            <w:tcW w:w="608" w:type="pct"/>
            <w:tcBorders>
              <w:top w:val="nil"/>
              <w:left w:val="nil"/>
              <w:bottom w:val="nil"/>
              <w:right w:val="nil"/>
            </w:tcBorders>
            <w:shd w:val="clear" w:color="auto" w:fill="auto"/>
            <w:noWrap/>
            <w:vAlign w:val="bottom"/>
            <w:hideMark/>
          </w:tcPr>
          <w:p w14:paraId="09193F80" w14:textId="71A021BA"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22,423</w:t>
            </w:r>
          </w:p>
        </w:tc>
        <w:tc>
          <w:tcPr>
            <w:tcW w:w="589" w:type="pct"/>
            <w:tcBorders>
              <w:top w:val="nil"/>
              <w:left w:val="nil"/>
              <w:bottom w:val="nil"/>
              <w:right w:val="nil"/>
            </w:tcBorders>
            <w:shd w:val="clear" w:color="auto" w:fill="auto"/>
            <w:noWrap/>
            <w:vAlign w:val="bottom"/>
            <w:hideMark/>
          </w:tcPr>
          <w:p w14:paraId="28A5BB29" w14:textId="273AC15A"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22,934</w:t>
            </w:r>
          </w:p>
        </w:tc>
      </w:tr>
      <w:tr w:rsidR="00DE6C80" w:rsidRPr="00DE6C80" w14:paraId="36AB8406" w14:textId="77777777" w:rsidTr="00264E90">
        <w:trPr>
          <w:gridAfter w:val="1"/>
          <w:wAfter w:w="40" w:type="pct"/>
          <w:trHeight w:val="204"/>
        </w:trPr>
        <w:tc>
          <w:tcPr>
            <w:tcW w:w="1923" w:type="pct"/>
            <w:gridSpan w:val="2"/>
            <w:tcBorders>
              <w:top w:val="nil"/>
              <w:left w:val="nil"/>
              <w:bottom w:val="nil"/>
              <w:right w:val="nil"/>
            </w:tcBorders>
            <w:shd w:val="clear" w:color="auto" w:fill="auto"/>
            <w:vAlign w:val="bottom"/>
            <w:hideMark/>
          </w:tcPr>
          <w:p w14:paraId="0CE6977D" w14:textId="77777777" w:rsidR="00DE6C80" w:rsidRPr="00DE6C80" w:rsidRDefault="00DE6C80" w:rsidP="00DE6C80">
            <w:pPr>
              <w:spacing w:after="0" w:line="240" w:lineRule="auto"/>
              <w:ind w:left="113"/>
              <w:rPr>
                <w:rFonts w:ascii="Arial" w:hAnsi="Arial" w:cs="Arial"/>
                <w:sz w:val="16"/>
                <w:szCs w:val="16"/>
              </w:rPr>
            </w:pPr>
            <w:r w:rsidRPr="00DE6C80">
              <w:rPr>
                <w:rFonts w:ascii="Arial" w:hAnsi="Arial" w:cs="Arial"/>
                <w:sz w:val="16"/>
                <w:szCs w:val="16"/>
              </w:rPr>
              <w:t>Regional Growth Fund</w:t>
            </w:r>
          </w:p>
        </w:tc>
        <w:tc>
          <w:tcPr>
            <w:tcW w:w="585" w:type="pct"/>
            <w:tcBorders>
              <w:top w:val="nil"/>
              <w:left w:val="nil"/>
              <w:bottom w:val="nil"/>
              <w:right w:val="nil"/>
            </w:tcBorders>
            <w:shd w:val="clear" w:color="auto" w:fill="auto"/>
            <w:noWrap/>
            <w:vAlign w:val="bottom"/>
            <w:hideMark/>
          </w:tcPr>
          <w:p w14:paraId="054E5A13" w14:textId="14185903"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126,713</w:t>
            </w:r>
          </w:p>
        </w:tc>
        <w:tc>
          <w:tcPr>
            <w:tcW w:w="631" w:type="pct"/>
            <w:tcBorders>
              <w:top w:val="nil"/>
              <w:left w:val="nil"/>
              <w:bottom w:val="nil"/>
              <w:right w:val="nil"/>
            </w:tcBorders>
            <w:shd w:val="clear" w:color="000000" w:fill="E6E6E6"/>
            <w:noWrap/>
            <w:vAlign w:val="bottom"/>
            <w:hideMark/>
          </w:tcPr>
          <w:p w14:paraId="29E23F34" w14:textId="051B8E3A"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w:t>
            </w:r>
          </w:p>
        </w:tc>
        <w:tc>
          <w:tcPr>
            <w:tcW w:w="624" w:type="pct"/>
            <w:tcBorders>
              <w:top w:val="nil"/>
              <w:left w:val="nil"/>
              <w:bottom w:val="nil"/>
              <w:right w:val="nil"/>
            </w:tcBorders>
            <w:shd w:val="clear" w:color="auto" w:fill="auto"/>
            <w:noWrap/>
            <w:vAlign w:val="bottom"/>
            <w:hideMark/>
          </w:tcPr>
          <w:p w14:paraId="679F7F7C" w14:textId="0D2BFB26"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w:t>
            </w:r>
          </w:p>
        </w:tc>
        <w:tc>
          <w:tcPr>
            <w:tcW w:w="608" w:type="pct"/>
            <w:tcBorders>
              <w:top w:val="nil"/>
              <w:left w:val="nil"/>
              <w:bottom w:val="nil"/>
              <w:right w:val="nil"/>
            </w:tcBorders>
            <w:shd w:val="clear" w:color="auto" w:fill="auto"/>
            <w:noWrap/>
            <w:vAlign w:val="bottom"/>
            <w:hideMark/>
          </w:tcPr>
          <w:p w14:paraId="6CEAB0D4" w14:textId="6B4E9D7F"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w:t>
            </w:r>
          </w:p>
        </w:tc>
        <w:tc>
          <w:tcPr>
            <w:tcW w:w="589" w:type="pct"/>
            <w:tcBorders>
              <w:top w:val="nil"/>
              <w:left w:val="nil"/>
              <w:bottom w:val="nil"/>
              <w:right w:val="nil"/>
            </w:tcBorders>
            <w:shd w:val="clear" w:color="auto" w:fill="auto"/>
            <w:noWrap/>
            <w:vAlign w:val="bottom"/>
            <w:hideMark/>
          </w:tcPr>
          <w:p w14:paraId="028EADBB" w14:textId="41FCEFEC"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w:t>
            </w:r>
          </w:p>
        </w:tc>
      </w:tr>
      <w:tr w:rsidR="00DE6C80" w:rsidRPr="00DE6C80" w14:paraId="13031E7F" w14:textId="77777777" w:rsidTr="00264E90">
        <w:trPr>
          <w:gridAfter w:val="1"/>
          <w:wAfter w:w="40" w:type="pct"/>
          <w:trHeight w:val="204"/>
        </w:trPr>
        <w:tc>
          <w:tcPr>
            <w:tcW w:w="1923" w:type="pct"/>
            <w:gridSpan w:val="2"/>
            <w:tcBorders>
              <w:top w:val="nil"/>
              <w:left w:val="nil"/>
              <w:bottom w:val="nil"/>
              <w:right w:val="nil"/>
            </w:tcBorders>
            <w:shd w:val="clear" w:color="auto" w:fill="auto"/>
            <w:vAlign w:val="bottom"/>
            <w:hideMark/>
          </w:tcPr>
          <w:p w14:paraId="6CF4B0A6" w14:textId="77777777" w:rsidR="00DE6C80" w:rsidRPr="00DE6C80" w:rsidRDefault="00DE6C80" w:rsidP="00DE6C80">
            <w:pPr>
              <w:spacing w:after="0" w:line="240" w:lineRule="auto"/>
              <w:ind w:left="113"/>
              <w:rPr>
                <w:rFonts w:ascii="Arial" w:hAnsi="Arial" w:cs="Arial"/>
                <w:sz w:val="16"/>
                <w:szCs w:val="16"/>
              </w:rPr>
            </w:pPr>
            <w:r w:rsidRPr="00DE6C80">
              <w:rPr>
                <w:rFonts w:ascii="Arial" w:hAnsi="Arial" w:cs="Arial"/>
                <w:sz w:val="16"/>
                <w:szCs w:val="16"/>
              </w:rPr>
              <w:t>Regional Jobs and Investment Packages</w:t>
            </w:r>
          </w:p>
        </w:tc>
        <w:tc>
          <w:tcPr>
            <w:tcW w:w="585" w:type="pct"/>
            <w:tcBorders>
              <w:top w:val="nil"/>
              <w:left w:val="nil"/>
              <w:bottom w:val="nil"/>
              <w:right w:val="nil"/>
            </w:tcBorders>
            <w:shd w:val="clear" w:color="auto" w:fill="auto"/>
            <w:noWrap/>
            <w:vAlign w:val="bottom"/>
            <w:hideMark/>
          </w:tcPr>
          <w:p w14:paraId="0229B251" w14:textId="1F8D0209"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4,142</w:t>
            </w:r>
          </w:p>
        </w:tc>
        <w:tc>
          <w:tcPr>
            <w:tcW w:w="631" w:type="pct"/>
            <w:tcBorders>
              <w:top w:val="nil"/>
              <w:left w:val="nil"/>
              <w:bottom w:val="nil"/>
              <w:right w:val="nil"/>
            </w:tcBorders>
            <w:shd w:val="clear" w:color="000000" w:fill="E6E6E6"/>
            <w:noWrap/>
            <w:vAlign w:val="bottom"/>
            <w:hideMark/>
          </w:tcPr>
          <w:p w14:paraId="14AA7105" w14:textId="7F93C9D0"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w:t>
            </w:r>
          </w:p>
        </w:tc>
        <w:tc>
          <w:tcPr>
            <w:tcW w:w="624" w:type="pct"/>
            <w:tcBorders>
              <w:top w:val="nil"/>
              <w:left w:val="nil"/>
              <w:bottom w:val="nil"/>
              <w:right w:val="nil"/>
            </w:tcBorders>
            <w:shd w:val="clear" w:color="auto" w:fill="auto"/>
            <w:noWrap/>
            <w:vAlign w:val="bottom"/>
            <w:hideMark/>
          </w:tcPr>
          <w:p w14:paraId="69BE8B02" w14:textId="63B239C1"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w:t>
            </w:r>
          </w:p>
        </w:tc>
        <w:tc>
          <w:tcPr>
            <w:tcW w:w="608" w:type="pct"/>
            <w:tcBorders>
              <w:top w:val="nil"/>
              <w:left w:val="nil"/>
              <w:bottom w:val="nil"/>
              <w:right w:val="nil"/>
            </w:tcBorders>
            <w:shd w:val="clear" w:color="auto" w:fill="auto"/>
            <w:noWrap/>
            <w:vAlign w:val="bottom"/>
            <w:hideMark/>
          </w:tcPr>
          <w:p w14:paraId="4DE7B36D" w14:textId="475E916E"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w:t>
            </w:r>
          </w:p>
        </w:tc>
        <w:tc>
          <w:tcPr>
            <w:tcW w:w="589" w:type="pct"/>
            <w:tcBorders>
              <w:top w:val="nil"/>
              <w:left w:val="nil"/>
              <w:bottom w:val="nil"/>
              <w:right w:val="nil"/>
            </w:tcBorders>
            <w:shd w:val="clear" w:color="auto" w:fill="auto"/>
            <w:noWrap/>
            <w:vAlign w:val="bottom"/>
            <w:hideMark/>
          </w:tcPr>
          <w:p w14:paraId="4CDB456C" w14:textId="11FE0D85"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w:t>
            </w:r>
          </w:p>
        </w:tc>
      </w:tr>
      <w:tr w:rsidR="00DE6C80" w:rsidRPr="00DE6C80" w14:paraId="3F5A16D0" w14:textId="77777777" w:rsidTr="00264E90">
        <w:trPr>
          <w:gridAfter w:val="1"/>
          <w:wAfter w:w="40" w:type="pct"/>
          <w:trHeight w:val="204"/>
        </w:trPr>
        <w:tc>
          <w:tcPr>
            <w:tcW w:w="1923" w:type="pct"/>
            <w:gridSpan w:val="2"/>
            <w:tcBorders>
              <w:top w:val="nil"/>
              <w:left w:val="nil"/>
              <w:bottom w:val="nil"/>
              <w:right w:val="nil"/>
            </w:tcBorders>
            <w:shd w:val="clear" w:color="auto" w:fill="auto"/>
            <w:vAlign w:val="bottom"/>
            <w:hideMark/>
          </w:tcPr>
          <w:p w14:paraId="79B5B4F1" w14:textId="77777777" w:rsidR="00DE6C80" w:rsidRPr="00DE6C80" w:rsidRDefault="00DE6C80" w:rsidP="00DE6C80">
            <w:pPr>
              <w:spacing w:after="0" w:line="240" w:lineRule="auto"/>
              <w:ind w:left="113"/>
              <w:rPr>
                <w:rFonts w:ascii="Arial" w:hAnsi="Arial" w:cs="Arial"/>
                <w:sz w:val="16"/>
                <w:szCs w:val="16"/>
              </w:rPr>
            </w:pPr>
            <w:r w:rsidRPr="00DE6C80">
              <w:rPr>
                <w:rFonts w:ascii="Arial" w:hAnsi="Arial" w:cs="Arial"/>
                <w:sz w:val="16"/>
                <w:szCs w:val="16"/>
              </w:rPr>
              <w:t>Regionalisation and Decentralisation Policy - Research and Development Program</w:t>
            </w:r>
          </w:p>
        </w:tc>
        <w:tc>
          <w:tcPr>
            <w:tcW w:w="585" w:type="pct"/>
            <w:tcBorders>
              <w:top w:val="nil"/>
              <w:left w:val="nil"/>
              <w:bottom w:val="nil"/>
              <w:right w:val="nil"/>
            </w:tcBorders>
            <w:shd w:val="clear" w:color="auto" w:fill="auto"/>
            <w:noWrap/>
            <w:vAlign w:val="bottom"/>
            <w:hideMark/>
          </w:tcPr>
          <w:p w14:paraId="4AEB7457" w14:textId="5A5951A6"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7,898</w:t>
            </w:r>
          </w:p>
        </w:tc>
        <w:tc>
          <w:tcPr>
            <w:tcW w:w="631" w:type="pct"/>
            <w:tcBorders>
              <w:top w:val="nil"/>
              <w:left w:val="nil"/>
              <w:bottom w:val="nil"/>
              <w:right w:val="nil"/>
            </w:tcBorders>
            <w:shd w:val="clear" w:color="000000" w:fill="E6E6E6"/>
            <w:noWrap/>
            <w:vAlign w:val="bottom"/>
            <w:hideMark/>
          </w:tcPr>
          <w:p w14:paraId="45DB11EF" w14:textId="2F9E3F32"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10,934</w:t>
            </w:r>
          </w:p>
        </w:tc>
        <w:tc>
          <w:tcPr>
            <w:tcW w:w="624" w:type="pct"/>
            <w:tcBorders>
              <w:top w:val="nil"/>
              <w:left w:val="nil"/>
              <w:bottom w:val="nil"/>
              <w:right w:val="nil"/>
            </w:tcBorders>
            <w:shd w:val="clear" w:color="auto" w:fill="auto"/>
            <w:noWrap/>
            <w:vAlign w:val="bottom"/>
            <w:hideMark/>
          </w:tcPr>
          <w:p w14:paraId="004BDFFC" w14:textId="64EB3E99"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10,150</w:t>
            </w:r>
          </w:p>
        </w:tc>
        <w:tc>
          <w:tcPr>
            <w:tcW w:w="608" w:type="pct"/>
            <w:tcBorders>
              <w:top w:val="nil"/>
              <w:left w:val="nil"/>
              <w:bottom w:val="nil"/>
              <w:right w:val="nil"/>
            </w:tcBorders>
            <w:shd w:val="clear" w:color="auto" w:fill="auto"/>
            <w:noWrap/>
            <w:vAlign w:val="bottom"/>
            <w:hideMark/>
          </w:tcPr>
          <w:p w14:paraId="79DC7812" w14:textId="2FCD60D4"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w:t>
            </w:r>
          </w:p>
        </w:tc>
        <w:tc>
          <w:tcPr>
            <w:tcW w:w="589" w:type="pct"/>
            <w:tcBorders>
              <w:top w:val="nil"/>
              <w:left w:val="nil"/>
              <w:bottom w:val="nil"/>
              <w:right w:val="nil"/>
            </w:tcBorders>
            <w:shd w:val="clear" w:color="auto" w:fill="auto"/>
            <w:noWrap/>
            <w:vAlign w:val="bottom"/>
            <w:hideMark/>
          </w:tcPr>
          <w:p w14:paraId="19F74D38" w14:textId="75087868"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w:t>
            </w:r>
          </w:p>
        </w:tc>
      </w:tr>
      <w:tr w:rsidR="00DE6C80" w:rsidRPr="00DE6C80" w14:paraId="5E0B3DFF" w14:textId="77777777" w:rsidTr="00264E90">
        <w:trPr>
          <w:gridAfter w:val="1"/>
          <w:wAfter w:w="40" w:type="pct"/>
          <w:trHeight w:val="204"/>
        </w:trPr>
        <w:tc>
          <w:tcPr>
            <w:tcW w:w="1923" w:type="pct"/>
            <w:gridSpan w:val="2"/>
            <w:tcBorders>
              <w:top w:val="nil"/>
              <w:left w:val="nil"/>
              <w:bottom w:val="nil"/>
              <w:right w:val="nil"/>
            </w:tcBorders>
            <w:shd w:val="clear" w:color="auto" w:fill="auto"/>
            <w:vAlign w:val="bottom"/>
            <w:hideMark/>
          </w:tcPr>
          <w:p w14:paraId="7E2A0F9D" w14:textId="77777777" w:rsidR="00DE6C80" w:rsidRPr="00DE6C80" w:rsidRDefault="00DE6C80" w:rsidP="00DE6C80">
            <w:pPr>
              <w:spacing w:after="0" w:line="240" w:lineRule="auto"/>
              <w:ind w:left="113"/>
              <w:rPr>
                <w:rFonts w:ascii="Arial" w:hAnsi="Arial" w:cs="Arial"/>
                <w:sz w:val="16"/>
                <w:szCs w:val="16"/>
              </w:rPr>
            </w:pPr>
            <w:r w:rsidRPr="00DE6C80">
              <w:rPr>
                <w:rFonts w:ascii="Arial" w:hAnsi="Arial" w:cs="Arial"/>
                <w:sz w:val="16"/>
                <w:szCs w:val="16"/>
              </w:rPr>
              <w:t>Resilient Regional Leaders Program</w:t>
            </w:r>
          </w:p>
        </w:tc>
        <w:tc>
          <w:tcPr>
            <w:tcW w:w="585" w:type="pct"/>
            <w:tcBorders>
              <w:top w:val="nil"/>
              <w:left w:val="nil"/>
              <w:bottom w:val="nil"/>
              <w:right w:val="nil"/>
            </w:tcBorders>
            <w:shd w:val="clear" w:color="auto" w:fill="auto"/>
            <w:noWrap/>
            <w:vAlign w:val="bottom"/>
            <w:hideMark/>
          </w:tcPr>
          <w:p w14:paraId="2EA5E303" w14:textId="6100345A"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2,000</w:t>
            </w:r>
          </w:p>
        </w:tc>
        <w:tc>
          <w:tcPr>
            <w:tcW w:w="631" w:type="pct"/>
            <w:tcBorders>
              <w:top w:val="nil"/>
              <w:left w:val="nil"/>
              <w:bottom w:val="nil"/>
              <w:right w:val="nil"/>
            </w:tcBorders>
            <w:shd w:val="clear" w:color="000000" w:fill="E6E6E6"/>
            <w:noWrap/>
            <w:vAlign w:val="bottom"/>
            <w:hideMark/>
          </w:tcPr>
          <w:p w14:paraId="2D02B000" w14:textId="5FE54339"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w:t>
            </w:r>
          </w:p>
        </w:tc>
        <w:tc>
          <w:tcPr>
            <w:tcW w:w="624" w:type="pct"/>
            <w:tcBorders>
              <w:top w:val="nil"/>
              <w:left w:val="nil"/>
              <w:bottom w:val="nil"/>
              <w:right w:val="nil"/>
            </w:tcBorders>
            <w:shd w:val="clear" w:color="auto" w:fill="auto"/>
            <w:noWrap/>
            <w:vAlign w:val="bottom"/>
            <w:hideMark/>
          </w:tcPr>
          <w:p w14:paraId="5B26B588" w14:textId="7950DC70"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w:t>
            </w:r>
          </w:p>
        </w:tc>
        <w:tc>
          <w:tcPr>
            <w:tcW w:w="608" w:type="pct"/>
            <w:tcBorders>
              <w:top w:val="nil"/>
              <w:left w:val="nil"/>
              <w:bottom w:val="nil"/>
              <w:right w:val="nil"/>
            </w:tcBorders>
            <w:shd w:val="clear" w:color="auto" w:fill="auto"/>
            <w:noWrap/>
            <w:vAlign w:val="bottom"/>
            <w:hideMark/>
          </w:tcPr>
          <w:p w14:paraId="770F11D2" w14:textId="2E25A2C2"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w:t>
            </w:r>
          </w:p>
        </w:tc>
        <w:tc>
          <w:tcPr>
            <w:tcW w:w="589" w:type="pct"/>
            <w:tcBorders>
              <w:top w:val="nil"/>
              <w:left w:val="nil"/>
              <w:bottom w:val="nil"/>
              <w:right w:val="nil"/>
            </w:tcBorders>
            <w:shd w:val="clear" w:color="auto" w:fill="auto"/>
            <w:noWrap/>
            <w:vAlign w:val="bottom"/>
            <w:hideMark/>
          </w:tcPr>
          <w:p w14:paraId="182BA951" w14:textId="74E1BFDE"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w:t>
            </w:r>
          </w:p>
        </w:tc>
      </w:tr>
      <w:tr w:rsidR="00DE6C80" w:rsidRPr="00DE6C80" w14:paraId="3AA299DE" w14:textId="77777777" w:rsidTr="00264E90">
        <w:trPr>
          <w:gridAfter w:val="1"/>
          <w:wAfter w:w="40" w:type="pct"/>
          <w:trHeight w:val="204"/>
        </w:trPr>
        <w:tc>
          <w:tcPr>
            <w:tcW w:w="1923" w:type="pct"/>
            <w:gridSpan w:val="2"/>
            <w:tcBorders>
              <w:top w:val="nil"/>
              <w:left w:val="nil"/>
              <w:bottom w:val="nil"/>
              <w:right w:val="nil"/>
            </w:tcBorders>
            <w:shd w:val="clear" w:color="auto" w:fill="auto"/>
            <w:vAlign w:val="bottom"/>
            <w:hideMark/>
          </w:tcPr>
          <w:p w14:paraId="70565AF7" w14:textId="77777777" w:rsidR="00DE6C80" w:rsidRPr="00DE6C80" w:rsidRDefault="00DE6C80" w:rsidP="00DE6C80">
            <w:pPr>
              <w:spacing w:after="0" w:line="240" w:lineRule="auto"/>
              <w:ind w:left="113"/>
              <w:rPr>
                <w:rFonts w:ascii="Arial" w:hAnsi="Arial" w:cs="Arial"/>
                <w:sz w:val="16"/>
                <w:szCs w:val="16"/>
              </w:rPr>
            </w:pPr>
            <w:r w:rsidRPr="00DE6C80">
              <w:rPr>
                <w:rFonts w:ascii="Arial" w:hAnsi="Arial" w:cs="Arial"/>
                <w:sz w:val="16"/>
                <w:szCs w:val="16"/>
              </w:rPr>
              <w:t>Stronger Communities Programme</w:t>
            </w:r>
          </w:p>
        </w:tc>
        <w:tc>
          <w:tcPr>
            <w:tcW w:w="585" w:type="pct"/>
            <w:tcBorders>
              <w:top w:val="nil"/>
              <w:left w:val="nil"/>
              <w:bottom w:val="nil"/>
              <w:right w:val="nil"/>
            </w:tcBorders>
            <w:shd w:val="clear" w:color="auto" w:fill="auto"/>
            <w:noWrap/>
            <w:vAlign w:val="bottom"/>
            <w:hideMark/>
          </w:tcPr>
          <w:p w14:paraId="3BECB52F" w14:textId="138AAE39"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3,650</w:t>
            </w:r>
          </w:p>
        </w:tc>
        <w:tc>
          <w:tcPr>
            <w:tcW w:w="631" w:type="pct"/>
            <w:tcBorders>
              <w:top w:val="nil"/>
              <w:left w:val="nil"/>
              <w:bottom w:val="nil"/>
              <w:right w:val="nil"/>
            </w:tcBorders>
            <w:shd w:val="clear" w:color="000000" w:fill="E6E6E6"/>
            <w:noWrap/>
            <w:vAlign w:val="bottom"/>
            <w:hideMark/>
          </w:tcPr>
          <w:p w14:paraId="02EFA4DE" w14:textId="4A4A7CE0"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19,000</w:t>
            </w:r>
          </w:p>
        </w:tc>
        <w:tc>
          <w:tcPr>
            <w:tcW w:w="624" w:type="pct"/>
            <w:tcBorders>
              <w:top w:val="nil"/>
              <w:left w:val="nil"/>
              <w:bottom w:val="nil"/>
              <w:right w:val="nil"/>
            </w:tcBorders>
            <w:shd w:val="clear" w:color="auto" w:fill="auto"/>
            <w:noWrap/>
            <w:vAlign w:val="bottom"/>
            <w:hideMark/>
          </w:tcPr>
          <w:p w14:paraId="3E94957E" w14:textId="26A571BF"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w:t>
            </w:r>
          </w:p>
        </w:tc>
        <w:tc>
          <w:tcPr>
            <w:tcW w:w="608" w:type="pct"/>
            <w:tcBorders>
              <w:top w:val="nil"/>
              <w:left w:val="nil"/>
              <w:bottom w:val="nil"/>
              <w:right w:val="nil"/>
            </w:tcBorders>
            <w:shd w:val="clear" w:color="auto" w:fill="auto"/>
            <w:noWrap/>
            <w:vAlign w:val="bottom"/>
            <w:hideMark/>
          </w:tcPr>
          <w:p w14:paraId="6537C922" w14:textId="34097418"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w:t>
            </w:r>
          </w:p>
        </w:tc>
        <w:tc>
          <w:tcPr>
            <w:tcW w:w="589" w:type="pct"/>
            <w:tcBorders>
              <w:top w:val="nil"/>
              <w:left w:val="nil"/>
              <w:bottom w:val="nil"/>
              <w:right w:val="nil"/>
            </w:tcBorders>
            <w:shd w:val="clear" w:color="auto" w:fill="auto"/>
            <w:noWrap/>
            <w:vAlign w:val="bottom"/>
            <w:hideMark/>
          </w:tcPr>
          <w:p w14:paraId="282BFD56" w14:textId="69B79009"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w:t>
            </w:r>
          </w:p>
        </w:tc>
      </w:tr>
      <w:tr w:rsidR="00DE6C80" w:rsidRPr="00DE6C80" w14:paraId="77100D88" w14:textId="77777777" w:rsidTr="00264E90">
        <w:trPr>
          <w:gridAfter w:val="1"/>
          <w:wAfter w:w="40" w:type="pct"/>
          <w:trHeight w:val="204"/>
        </w:trPr>
        <w:tc>
          <w:tcPr>
            <w:tcW w:w="1923" w:type="pct"/>
            <w:gridSpan w:val="2"/>
            <w:tcBorders>
              <w:top w:val="nil"/>
              <w:left w:val="nil"/>
              <w:bottom w:val="nil"/>
              <w:right w:val="nil"/>
            </w:tcBorders>
            <w:shd w:val="clear" w:color="auto" w:fill="auto"/>
            <w:vAlign w:val="bottom"/>
            <w:hideMark/>
          </w:tcPr>
          <w:p w14:paraId="0AF5BA62" w14:textId="77777777" w:rsidR="00DE6C80" w:rsidRPr="00DE6C80" w:rsidRDefault="00DE6C80" w:rsidP="00DE6C80">
            <w:pPr>
              <w:spacing w:after="0" w:line="240" w:lineRule="auto"/>
              <w:ind w:left="113"/>
              <w:rPr>
                <w:rFonts w:ascii="Arial" w:hAnsi="Arial" w:cs="Arial"/>
                <w:sz w:val="16"/>
                <w:szCs w:val="16"/>
              </w:rPr>
            </w:pPr>
            <w:r w:rsidRPr="00DE6C80">
              <w:rPr>
                <w:rFonts w:ascii="Arial" w:hAnsi="Arial" w:cs="Arial"/>
                <w:sz w:val="16"/>
                <w:szCs w:val="16"/>
              </w:rPr>
              <w:t>Supporting Regional Australia Institute</w:t>
            </w:r>
          </w:p>
        </w:tc>
        <w:tc>
          <w:tcPr>
            <w:tcW w:w="585" w:type="pct"/>
            <w:tcBorders>
              <w:top w:val="nil"/>
              <w:left w:val="nil"/>
              <w:bottom w:val="nil"/>
              <w:right w:val="nil"/>
            </w:tcBorders>
            <w:shd w:val="clear" w:color="auto" w:fill="auto"/>
            <w:noWrap/>
            <w:vAlign w:val="bottom"/>
            <w:hideMark/>
          </w:tcPr>
          <w:p w14:paraId="0FFC0830" w14:textId="421DA8DF"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1,000</w:t>
            </w:r>
          </w:p>
        </w:tc>
        <w:tc>
          <w:tcPr>
            <w:tcW w:w="631" w:type="pct"/>
            <w:tcBorders>
              <w:top w:val="nil"/>
              <w:left w:val="nil"/>
              <w:bottom w:val="nil"/>
              <w:right w:val="nil"/>
            </w:tcBorders>
            <w:shd w:val="clear" w:color="000000" w:fill="E6E6E6"/>
            <w:noWrap/>
            <w:vAlign w:val="bottom"/>
            <w:hideMark/>
          </w:tcPr>
          <w:p w14:paraId="52D2D0F5" w14:textId="06E459AB"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2,000</w:t>
            </w:r>
          </w:p>
        </w:tc>
        <w:tc>
          <w:tcPr>
            <w:tcW w:w="624" w:type="pct"/>
            <w:tcBorders>
              <w:top w:val="nil"/>
              <w:left w:val="nil"/>
              <w:bottom w:val="nil"/>
              <w:right w:val="nil"/>
            </w:tcBorders>
            <w:shd w:val="clear" w:color="auto" w:fill="auto"/>
            <w:noWrap/>
            <w:vAlign w:val="bottom"/>
            <w:hideMark/>
          </w:tcPr>
          <w:p w14:paraId="7CA737B1" w14:textId="0150A2C2"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2,000</w:t>
            </w:r>
          </w:p>
        </w:tc>
        <w:tc>
          <w:tcPr>
            <w:tcW w:w="608" w:type="pct"/>
            <w:tcBorders>
              <w:top w:val="nil"/>
              <w:left w:val="nil"/>
              <w:bottom w:val="nil"/>
              <w:right w:val="nil"/>
            </w:tcBorders>
            <w:shd w:val="clear" w:color="auto" w:fill="auto"/>
            <w:noWrap/>
            <w:vAlign w:val="bottom"/>
            <w:hideMark/>
          </w:tcPr>
          <w:p w14:paraId="361088B2" w14:textId="0D809158"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w:t>
            </w:r>
          </w:p>
        </w:tc>
        <w:tc>
          <w:tcPr>
            <w:tcW w:w="589" w:type="pct"/>
            <w:tcBorders>
              <w:top w:val="nil"/>
              <w:left w:val="nil"/>
              <w:bottom w:val="nil"/>
              <w:right w:val="nil"/>
            </w:tcBorders>
            <w:shd w:val="clear" w:color="auto" w:fill="auto"/>
            <w:noWrap/>
            <w:vAlign w:val="bottom"/>
            <w:hideMark/>
          </w:tcPr>
          <w:p w14:paraId="3358F732" w14:textId="18549E89"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w:t>
            </w:r>
          </w:p>
        </w:tc>
      </w:tr>
      <w:tr w:rsidR="00DE6C80" w:rsidRPr="00DE6C80" w14:paraId="0CD3690D" w14:textId="77777777" w:rsidTr="00264E90">
        <w:trPr>
          <w:gridAfter w:val="1"/>
          <w:wAfter w:w="40" w:type="pct"/>
          <w:trHeight w:val="204"/>
        </w:trPr>
        <w:tc>
          <w:tcPr>
            <w:tcW w:w="1923" w:type="pct"/>
            <w:gridSpan w:val="2"/>
            <w:tcBorders>
              <w:top w:val="nil"/>
              <w:left w:val="nil"/>
              <w:bottom w:val="single" w:sz="4" w:space="0" w:color="auto"/>
              <w:right w:val="nil"/>
            </w:tcBorders>
            <w:shd w:val="clear" w:color="auto" w:fill="auto"/>
            <w:noWrap/>
            <w:vAlign w:val="bottom"/>
            <w:hideMark/>
          </w:tcPr>
          <w:p w14:paraId="3DE4087A" w14:textId="77777777" w:rsidR="00DE6C80" w:rsidRPr="00DE6C80" w:rsidRDefault="00DE6C80" w:rsidP="00DE6C80">
            <w:pPr>
              <w:spacing w:after="0" w:line="240" w:lineRule="auto"/>
              <w:rPr>
                <w:rFonts w:ascii="Arial" w:hAnsi="Arial" w:cs="Arial"/>
                <w:b/>
                <w:bCs/>
                <w:sz w:val="16"/>
                <w:szCs w:val="16"/>
              </w:rPr>
            </w:pPr>
            <w:r w:rsidRPr="00DE6C80">
              <w:rPr>
                <w:rFonts w:ascii="Arial" w:hAnsi="Arial" w:cs="Arial"/>
                <w:b/>
                <w:bCs/>
                <w:sz w:val="16"/>
                <w:szCs w:val="16"/>
              </w:rPr>
              <w:t>Total expenses for Program 3.1</w:t>
            </w:r>
          </w:p>
        </w:tc>
        <w:tc>
          <w:tcPr>
            <w:tcW w:w="585" w:type="pct"/>
            <w:tcBorders>
              <w:top w:val="single" w:sz="4" w:space="0" w:color="auto"/>
              <w:left w:val="nil"/>
              <w:bottom w:val="single" w:sz="4" w:space="0" w:color="auto"/>
              <w:right w:val="nil"/>
            </w:tcBorders>
            <w:shd w:val="clear" w:color="auto" w:fill="auto"/>
            <w:noWrap/>
            <w:vAlign w:val="bottom"/>
            <w:hideMark/>
          </w:tcPr>
          <w:p w14:paraId="702603B6" w14:textId="0152AA47" w:rsidR="00DE6C80" w:rsidRPr="00DE6C80" w:rsidRDefault="00DE6C80" w:rsidP="00DE6C80">
            <w:pPr>
              <w:spacing w:after="0" w:line="240" w:lineRule="auto"/>
              <w:jc w:val="right"/>
              <w:rPr>
                <w:rFonts w:ascii="Arial" w:hAnsi="Arial" w:cs="Arial"/>
                <w:b/>
                <w:bCs/>
                <w:sz w:val="16"/>
                <w:szCs w:val="16"/>
              </w:rPr>
            </w:pPr>
            <w:r w:rsidRPr="00DE6C80">
              <w:rPr>
                <w:rFonts w:ascii="Arial" w:hAnsi="Arial" w:cs="Arial"/>
                <w:b/>
                <w:bCs/>
                <w:sz w:val="16"/>
                <w:szCs w:val="16"/>
              </w:rPr>
              <w:t>979,366</w:t>
            </w:r>
          </w:p>
        </w:tc>
        <w:tc>
          <w:tcPr>
            <w:tcW w:w="631" w:type="pct"/>
            <w:tcBorders>
              <w:top w:val="single" w:sz="4" w:space="0" w:color="auto"/>
              <w:left w:val="nil"/>
              <w:bottom w:val="single" w:sz="4" w:space="0" w:color="auto"/>
              <w:right w:val="nil"/>
            </w:tcBorders>
            <w:shd w:val="clear" w:color="000000" w:fill="E6E6E6"/>
            <w:noWrap/>
            <w:vAlign w:val="bottom"/>
            <w:hideMark/>
          </w:tcPr>
          <w:p w14:paraId="7D6963AF" w14:textId="5B5B1FF9" w:rsidR="00DE6C80" w:rsidRPr="00DE6C80" w:rsidRDefault="00DE6C80" w:rsidP="00DE6C80">
            <w:pPr>
              <w:spacing w:after="0" w:line="240" w:lineRule="auto"/>
              <w:jc w:val="right"/>
              <w:rPr>
                <w:rFonts w:ascii="Arial" w:hAnsi="Arial" w:cs="Arial"/>
                <w:b/>
                <w:bCs/>
                <w:sz w:val="16"/>
                <w:szCs w:val="16"/>
              </w:rPr>
            </w:pPr>
            <w:r w:rsidRPr="00DE6C80">
              <w:rPr>
                <w:rFonts w:ascii="Arial" w:hAnsi="Arial" w:cs="Arial"/>
                <w:b/>
                <w:bCs/>
                <w:sz w:val="16"/>
                <w:szCs w:val="16"/>
              </w:rPr>
              <w:t>921,369</w:t>
            </w:r>
          </w:p>
        </w:tc>
        <w:tc>
          <w:tcPr>
            <w:tcW w:w="624" w:type="pct"/>
            <w:tcBorders>
              <w:top w:val="single" w:sz="4" w:space="0" w:color="auto"/>
              <w:left w:val="nil"/>
              <w:bottom w:val="single" w:sz="4" w:space="0" w:color="auto"/>
              <w:right w:val="nil"/>
            </w:tcBorders>
            <w:shd w:val="clear" w:color="auto" w:fill="auto"/>
            <w:noWrap/>
            <w:vAlign w:val="bottom"/>
            <w:hideMark/>
          </w:tcPr>
          <w:p w14:paraId="4F223978" w14:textId="51E6822A" w:rsidR="00DE6C80" w:rsidRPr="00DE6C80" w:rsidRDefault="00DE6C80" w:rsidP="00DE6C80">
            <w:pPr>
              <w:spacing w:after="0" w:line="240" w:lineRule="auto"/>
              <w:jc w:val="right"/>
              <w:rPr>
                <w:rFonts w:ascii="Arial" w:hAnsi="Arial" w:cs="Arial"/>
                <w:b/>
                <w:bCs/>
                <w:sz w:val="16"/>
                <w:szCs w:val="16"/>
              </w:rPr>
            </w:pPr>
            <w:r w:rsidRPr="00DE6C80">
              <w:rPr>
                <w:rFonts w:ascii="Arial" w:hAnsi="Arial" w:cs="Arial"/>
                <w:b/>
                <w:bCs/>
                <w:sz w:val="16"/>
                <w:szCs w:val="16"/>
              </w:rPr>
              <w:t>1,040,923</w:t>
            </w:r>
          </w:p>
        </w:tc>
        <w:tc>
          <w:tcPr>
            <w:tcW w:w="608" w:type="pct"/>
            <w:tcBorders>
              <w:top w:val="single" w:sz="4" w:space="0" w:color="auto"/>
              <w:left w:val="nil"/>
              <w:bottom w:val="single" w:sz="4" w:space="0" w:color="auto"/>
              <w:right w:val="nil"/>
            </w:tcBorders>
            <w:shd w:val="clear" w:color="auto" w:fill="auto"/>
            <w:noWrap/>
            <w:vAlign w:val="bottom"/>
            <w:hideMark/>
          </w:tcPr>
          <w:p w14:paraId="6F038509" w14:textId="131C65C5" w:rsidR="00DE6C80" w:rsidRPr="00DE6C80" w:rsidRDefault="00DE6C80" w:rsidP="00DE6C80">
            <w:pPr>
              <w:spacing w:after="0" w:line="240" w:lineRule="auto"/>
              <w:jc w:val="right"/>
              <w:rPr>
                <w:rFonts w:ascii="Arial" w:hAnsi="Arial" w:cs="Arial"/>
                <w:b/>
                <w:bCs/>
                <w:sz w:val="16"/>
                <w:szCs w:val="16"/>
              </w:rPr>
            </w:pPr>
            <w:r w:rsidRPr="00DE6C80">
              <w:rPr>
                <w:rFonts w:ascii="Arial" w:hAnsi="Arial" w:cs="Arial"/>
                <w:b/>
                <w:bCs/>
                <w:sz w:val="16"/>
                <w:szCs w:val="16"/>
              </w:rPr>
              <w:t>1,068,091</w:t>
            </w:r>
          </w:p>
        </w:tc>
        <w:tc>
          <w:tcPr>
            <w:tcW w:w="589" w:type="pct"/>
            <w:tcBorders>
              <w:top w:val="single" w:sz="4" w:space="0" w:color="auto"/>
              <w:left w:val="nil"/>
              <w:bottom w:val="single" w:sz="4" w:space="0" w:color="auto"/>
              <w:right w:val="nil"/>
            </w:tcBorders>
            <w:shd w:val="clear" w:color="auto" w:fill="auto"/>
            <w:noWrap/>
            <w:vAlign w:val="bottom"/>
            <w:hideMark/>
          </w:tcPr>
          <w:p w14:paraId="75139F4E" w14:textId="4378E83E" w:rsidR="00DE6C80" w:rsidRPr="00DE6C80" w:rsidRDefault="00DE6C80" w:rsidP="00DE6C80">
            <w:pPr>
              <w:spacing w:after="0" w:line="240" w:lineRule="auto"/>
              <w:jc w:val="right"/>
              <w:rPr>
                <w:rFonts w:ascii="Arial" w:hAnsi="Arial" w:cs="Arial"/>
                <w:b/>
                <w:bCs/>
                <w:sz w:val="16"/>
                <w:szCs w:val="16"/>
              </w:rPr>
            </w:pPr>
            <w:r w:rsidRPr="00DE6C80">
              <w:rPr>
                <w:rFonts w:ascii="Arial" w:hAnsi="Arial" w:cs="Arial"/>
                <w:b/>
                <w:bCs/>
                <w:sz w:val="16"/>
                <w:szCs w:val="16"/>
              </w:rPr>
              <w:t>211,217</w:t>
            </w:r>
          </w:p>
        </w:tc>
      </w:tr>
      <w:tr w:rsidR="00264E90" w:rsidRPr="00DE6C80" w14:paraId="42B93D45" w14:textId="77777777" w:rsidTr="00264E90">
        <w:trPr>
          <w:trHeight w:val="204"/>
        </w:trPr>
        <w:tc>
          <w:tcPr>
            <w:tcW w:w="5000" w:type="pct"/>
            <w:gridSpan w:val="8"/>
            <w:tcBorders>
              <w:top w:val="single" w:sz="4" w:space="0" w:color="auto"/>
              <w:left w:val="nil"/>
              <w:bottom w:val="single" w:sz="4" w:space="0" w:color="auto"/>
              <w:right w:val="nil"/>
            </w:tcBorders>
            <w:shd w:val="clear" w:color="000000" w:fill="E6E6E6"/>
            <w:noWrap/>
            <w:vAlign w:val="bottom"/>
            <w:hideMark/>
          </w:tcPr>
          <w:p w14:paraId="27675875" w14:textId="4647EB19" w:rsidR="00264E90" w:rsidRPr="00DE6C80" w:rsidRDefault="00264E90" w:rsidP="00264E90">
            <w:pPr>
              <w:spacing w:after="0" w:line="240" w:lineRule="auto"/>
              <w:rPr>
                <w:rFonts w:ascii="Arial" w:hAnsi="Arial" w:cs="Arial"/>
                <w:sz w:val="16"/>
                <w:szCs w:val="16"/>
              </w:rPr>
            </w:pPr>
            <w:r w:rsidRPr="00DE6C80">
              <w:rPr>
                <w:rFonts w:ascii="Arial" w:hAnsi="Arial" w:cs="Arial"/>
                <w:b/>
                <w:bCs/>
                <w:sz w:val="16"/>
                <w:szCs w:val="16"/>
              </w:rPr>
              <w:t>Components for Program 3.2: Local government</w:t>
            </w:r>
          </w:p>
        </w:tc>
      </w:tr>
      <w:tr w:rsidR="00DE6C80" w:rsidRPr="00DE6C80" w14:paraId="0643A877" w14:textId="77777777" w:rsidTr="00264E90">
        <w:trPr>
          <w:gridAfter w:val="1"/>
          <w:wAfter w:w="40" w:type="pct"/>
          <w:trHeight w:val="204"/>
        </w:trPr>
        <w:tc>
          <w:tcPr>
            <w:tcW w:w="1861" w:type="pct"/>
            <w:tcBorders>
              <w:top w:val="nil"/>
              <w:left w:val="nil"/>
              <w:bottom w:val="nil"/>
              <w:right w:val="nil"/>
            </w:tcBorders>
            <w:shd w:val="clear" w:color="auto" w:fill="auto"/>
            <w:noWrap/>
            <w:vAlign w:val="bottom"/>
            <w:hideMark/>
          </w:tcPr>
          <w:p w14:paraId="577065D1" w14:textId="77777777" w:rsidR="00DE6C80" w:rsidRPr="00DE6C80" w:rsidRDefault="00DE6C80" w:rsidP="00DE6C80">
            <w:pPr>
              <w:spacing w:after="0" w:line="240" w:lineRule="auto"/>
              <w:rPr>
                <w:rFonts w:ascii="Arial" w:hAnsi="Arial" w:cs="Arial"/>
                <w:sz w:val="16"/>
                <w:szCs w:val="16"/>
              </w:rPr>
            </w:pPr>
            <w:r w:rsidRPr="00DE6C80">
              <w:rPr>
                <w:rFonts w:ascii="Arial" w:hAnsi="Arial" w:cs="Arial"/>
                <w:sz w:val="16"/>
                <w:szCs w:val="16"/>
              </w:rPr>
              <w:t>Administered expenses:</w:t>
            </w:r>
          </w:p>
        </w:tc>
        <w:tc>
          <w:tcPr>
            <w:tcW w:w="647" w:type="pct"/>
            <w:gridSpan w:val="2"/>
            <w:tcBorders>
              <w:top w:val="nil"/>
              <w:left w:val="nil"/>
              <w:bottom w:val="nil"/>
              <w:right w:val="nil"/>
            </w:tcBorders>
            <w:shd w:val="clear" w:color="auto" w:fill="auto"/>
            <w:noWrap/>
            <w:vAlign w:val="bottom"/>
            <w:hideMark/>
          </w:tcPr>
          <w:p w14:paraId="0DFEF665" w14:textId="77777777" w:rsidR="00DE6C80" w:rsidRPr="00DE6C80" w:rsidRDefault="00DE6C80" w:rsidP="00DE6C80">
            <w:pPr>
              <w:spacing w:after="0" w:line="240" w:lineRule="auto"/>
              <w:rPr>
                <w:rFonts w:ascii="Arial" w:hAnsi="Arial" w:cs="Arial"/>
                <w:sz w:val="16"/>
                <w:szCs w:val="16"/>
              </w:rPr>
            </w:pPr>
          </w:p>
        </w:tc>
        <w:tc>
          <w:tcPr>
            <w:tcW w:w="631" w:type="pct"/>
            <w:tcBorders>
              <w:top w:val="nil"/>
              <w:left w:val="nil"/>
              <w:bottom w:val="nil"/>
              <w:right w:val="nil"/>
            </w:tcBorders>
            <w:shd w:val="clear" w:color="000000" w:fill="E6E6E6"/>
            <w:noWrap/>
            <w:vAlign w:val="bottom"/>
            <w:hideMark/>
          </w:tcPr>
          <w:p w14:paraId="093F30A6" w14:textId="77777777"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 </w:t>
            </w:r>
          </w:p>
        </w:tc>
        <w:tc>
          <w:tcPr>
            <w:tcW w:w="624" w:type="pct"/>
            <w:tcBorders>
              <w:top w:val="nil"/>
              <w:left w:val="nil"/>
              <w:bottom w:val="nil"/>
              <w:right w:val="nil"/>
            </w:tcBorders>
            <w:shd w:val="clear" w:color="auto" w:fill="auto"/>
            <w:noWrap/>
            <w:vAlign w:val="bottom"/>
            <w:hideMark/>
          </w:tcPr>
          <w:p w14:paraId="583A0D5F" w14:textId="77777777" w:rsidR="00DE6C80" w:rsidRPr="00DE6C80" w:rsidRDefault="00DE6C80" w:rsidP="00DE6C80">
            <w:pPr>
              <w:spacing w:after="0" w:line="240" w:lineRule="auto"/>
              <w:jc w:val="right"/>
              <w:rPr>
                <w:rFonts w:ascii="Arial" w:hAnsi="Arial" w:cs="Arial"/>
                <w:sz w:val="16"/>
                <w:szCs w:val="16"/>
              </w:rPr>
            </w:pPr>
          </w:p>
        </w:tc>
        <w:tc>
          <w:tcPr>
            <w:tcW w:w="608" w:type="pct"/>
            <w:tcBorders>
              <w:top w:val="nil"/>
              <w:left w:val="nil"/>
              <w:bottom w:val="nil"/>
              <w:right w:val="nil"/>
            </w:tcBorders>
            <w:shd w:val="clear" w:color="auto" w:fill="auto"/>
            <w:noWrap/>
            <w:vAlign w:val="bottom"/>
            <w:hideMark/>
          </w:tcPr>
          <w:p w14:paraId="461FD0C6" w14:textId="77777777" w:rsidR="00DE6C80" w:rsidRPr="00DE6C80" w:rsidRDefault="00DE6C80" w:rsidP="00DE6C80">
            <w:pPr>
              <w:spacing w:after="0" w:line="240" w:lineRule="auto"/>
              <w:jc w:val="right"/>
              <w:rPr>
                <w:rFonts w:ascii="Times New Roman" w:hAnsi="Times New Roman"/>
              </w:rPr>
            </w:pPr>
          </w:p>
        </w:tc>
        <w:tc>
          <w:tcPr>
            <w:tcW w:w="589" w:type="pct"/>
            <w:tcBorders>
              <w:top w:val="nil"/>
              <w:left w:val="nil"/>
              <w:bottom w:val="nil"/>
              <w:right w:val="nil"/>
            </w:tcBorders>
            <w:shd w:val="clear" w:color="auto" w:fill="auto"/>
            <w:noWrap/>
            <w:vAlign w:val="bottom"/>
            <w:hideMark/>
          </w:tcPr>
          <w:p w14:paraId="4D991EE9" w14:textId="77777777" w:rsidR="00DE6C80" w:rsidRPr="00DE6C80" w:rsidRDefault="00DE6C80" w:rsidP="00DE6C80">
            <w:pPr>
              <w:spacing w:after="0" w:line="240" w:lineRule="auto"/>
              <w:jc w:val="right"/>
              <w:rPr>
                <w:rFonts w:ascii="Times New Roman" w:hAnsi="Times New Roman"/>
              </w:rPr>
            </w:pPr>
          </w:p>
        </w:tc>
      </w:tr>
      <w:tr w:rsidR="00DE6C80" w:rsidRPr="00DE6C80" w14:paraId="7BB6BF56" w14:textId="77777777" w:rsidTr="00264E90">
        <w:trPr>
          <w:gridAfter w:val="1"/>
          <w:wAfter w:w="40" w:type="pct"/>
          <w:trHeight w:val="204"/>
        </w:trPr>
        <w:tc>
          <w:tcPr>
            <w:tcW w:w="1861" w:type="pct"/>
            <w:tcBorders>
              <w:top w:val="nil"/>
              <w:left w:val="nil"/>
              <w:bottom w:val="nil"/>
              <w:right w:val="nil"/>
            </w:tcBorders>
            <w:shd w:val="clear" w:color="auto" w:fill="auto"/>
            <w:vAlign w:val="bottom"/>
            <w:hideMark/>
          </w:tcPr>
          <w:p w14:paraId="6CA28C35" w14:textId="77777777" w:rsidR="00DE6C80" w:rsidRPr="00DE6C80" w:rsidRDefault="00DE6C80" w:rsidP="00264E90">
            <w:pPr>
              <w:spacing w:after="0" w:line="240" w:lineRule="auto"/>
              <w:ind w:left="113"/>
              <w:rPr>
                <w:rFonts w:ascii="Arial" w:hAnsi="Arial" w:cs="Arial"/>
                <w:sz w:val="16"/>
                <w:szCs w:val="16"/>
              </w:rPr>
            </w:pPr>
            <w:r w:rsidRPr="00DE6C80">
              <w:rPr>
                <w:rFonts w:ascii="Arial" w:hAnsi="Arial" w:cs="Arial"/>
                <w:sz w:val="16"/>
                <w:szCs w:val="16"/>
              </w:rPr>
              <w:t>Local Roads and Community Infrastructure</w:t>
            </w:r>
          </w:p>
        </w:tc>
        <w:tc>
          <w:tcPr>
            <w:tcW w:w="647" w:type="pct"/>
            <w:gridSpan w:val="2"/>
            <w:tcBorders>
              <w:top w:val="nil"/>
              <w:left w:val="nil"/>
              <w:bottom w:val="nil"/>
              <w:right w:val="nil"/>
            </w:tcBorders>
            <w:shd w:val="clear" w:color="auto" w:fill="auto"/>
            <w:noWrap/>
            <w:vAlign w:val="bottom"/>
            <w:hideMark/>
          </w:tcPr>
          <w:p w14:paraId="32E9C930" w14:textId="77777777"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 xml:space="preserve">966,303 </w:t>
            </w:r>
          </w:p>
        </w:tc>
        <w:tc>
          <w:tcPr>
            <w:tcW w:w="631" w:type="pct"/>
            <w:tcBorders>
              <w:top w:val="nil"/>
              <w:left w:val="nil"/>
              <w:bottom w:val="nil"/>
              <w:right w:val="nil"/>
            </w:tcBorders>
            <w:shd w:val="clear" w:color="000000" w:fill="E6E6E6"/>
            <w:noWrap/>
            <w:vAlign w:val="bottom"/>
            <w:hideMark/>
          </w:tcPr>
          <w:p w14:paraId="4DD7FAB2" w14:textId="77777777"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 xml:space="preserve">350,000 </w:t>
            </w:r>
          </w:p>
        </w:tc>
        <w:tc>
          <w:tcPr>
            <w:tcW w:w="624" w:type="pct"/>
            <w:tcBorders>
              <w:top w:val="nil"/>
              <w:left w:val="nil"/>
              <w:bottom w:val="nil"/>
              <w:right w:val="nil"/>
            </w:tcBorders>
            <w:shd w:val="clear" w:color="auto" w:fill="auto"/>
            <w:noWrap/>
            <w:vAlign w:val="bottom"/>
            <w:hideMark/>
          </w:tcPr>
          <w:p w14:paraId="71B96AB5" w14:textId="77777777"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 xml:space="preserve">250,000 </w:t>
            </w:r>
          </w:p>
        </w:tc>
        <w:tc>
          <w:tcPr>
            <w:tcW w:w="608" w:type="pct"/>
            <w:tcBorders>
              <w:top w:val="nil"/>
              <w:left w:val="nil"/>
              <w:bottom w:val="nil"/>
              <w:right w:val="nil"/>
            </w:tcBorders>
            <w:shd w:val="clear" w:color="auto" w:fill="auto"/>
            <w:noWrap/>
            <w:vAlign w:val="bottom"/>
            <w:hideMark/>
          </w:tcPr>
          <w:p w14:paraId="713F9F1B" w14:textId="77777777"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 xml:space="preserve">250,000 </w:t>
            </w:r>
          </w:p>
        </w:tc>
        <w:tc>
          <w:tcPr>
            <w:tcW w:w="589" w:type="pct"/>
            <w:tcBorders>
              <w:top w:val="nil"/>
              <w:left w:val="nil"/>
              <w:bottom w:val="nil"/>
              <w:right w:val="nil"/>
            </w:tcBorders>
            <w:shd w:val="clear" w:color="auto" w:fill="auto"/>
            <w:noWrap/>
            <w:vAlign w:val="bottom"/>
            <w:hideMark/>
          </w:tcPr>
          <w:p w14:paraId="30C7CAAB" w14:textId="77777777"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 xml:space="preserve">- </w:t>
            </w:r>
          </w:p>
        </w:tc>
      </w:tr>
      <w:tr w:rsidR="00DE6C80" w:rsidRPr="00DE6C80" w14:paraId="4D6D19F6" w14:textId="77777777" w:rsidTr="00264E90">
        <w:trPr>
          <w:gridAfter w:val="1"/>
          <w:wAfter w:w="40" w:type="pct"/>
          <w:trHeight w:val="204"/>
        </w:trPr>
        <w:tc>
          <w:tcPr>
            <w:tcW w:w="1861" w:type="pct"/>
            <w:tcBorders>
              <w:top w:val="nil"/>
              <w:left w:val="nil"/>
              <w:bottom w:val="nil"/>
              <w:right w:val="nil"/>
            </w:tcBorders>
            <w:shd w:val="clear" w:color="auto" w:fill="auto"/>
            <w:vAlign w:val="bottom"/>
            <w:hideMark/>
          </w:tcPr>
          <w:p w14:paraId="2CD72F71" w14:textId="77777777" w:rsidR="00DE6C80" w:rsidRPr="00DE6C80" w:rsidRDefault="00DE6C80" w:rsidP="00264E90">
            <w:pPr>
              <w:spacing w:after="0" w:line="240" w:lineRule="auto"/>
              <w:ind w:left="113"/>
              <w:rPr>
                <w:rFonts w:ascii="Arial" w:hAnsi="Arial" w:cs="Arial"/>
                <w:sz w:val="16"/>
                <w:szCs w:val="16"/>
              </w:rPr>
            </w:pPr>
            <w:r w:rsidRPr="00DE6C80">
              <w:rPr>
                <w:rFonts w:ascii="Arial" w:hAnsi="Arial" w:cs="Arial"/>
                <w:sz w:val="16"/>
                <w:szCs w:val="16"/>
              </w:rPr>
              <w:t>Supplementary Funding for South Australian Roads</w:t>
            </w:r>
          </w:p>
        </w:tc>
        <w:tc>
          <w:tcPr>
            <w:tcW w:w="647" w:type="pct"/>
            <w:gridSpan w:val="2"/>
            <w:tcBorders>
              <w:top w:val="nil"/>
              <w:left w:val="nil"/>
              <w:bottom w:val="nil"/>
              <w:right w:val="nil"/>
            </w:tcBorders>
            <w:shd w:val="clear" w:color="auto" w:fill="auto"/>
            <w:noWrap/>
            <w:vAlign w:val="bottom"/>
            <w:hideMark/>
          </w:tcPr>
          <w:p w14:paraId="5643DCCA" w14:textId="77777777"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 xml:space="preserve">20,000 </w:t>
            </w:r>
          </w:p>
        </w:tc>
        <w:tc>
          <w:tcPr>
            <w:tcW w:w="631" w:type="pct"/>
            <w:tcBorders>
              <w:top w:val="nil"/>
              <w:left w:val="nil"/>
              <w:bottom w:val="nil"/>
              <w:right w:val="nil"/>
            </w:tcBorders>
            <w:shd w:val="clear" w:color="000000" w:fill="E6E6E6"/>
            <w:noWrap/>
            <w:vAlign w:val="bottom"/>
            <w:hideMark/>
          </w:tcPr>
          <w:p w14:paraId="047A09F4" w14:textId="77777777"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 xml:space="preserve">20,000 </w:t>
            </w:r>
          </w:p>
        </w:tc>
        <w:tc>
          <w:tcPr>
            <w:tcW w:w="624" w:type="pct"/>
            <w:tcBorders>
              <w:top w:val="nil"/>
              <w:left w:val="nil"/>
              <w:bottom w:val="nil"/>
              <w:right w:val="nil"/>
            </w:tcBorders>
            <w:shd w:val="clear" w:color="auto" w:fill="auto"/>
            <w:noWrap/>
            <w:vAlign w:val="bottom"/>
            <w:hideMark/>
          </w:tcPr>
          <w:p w14:paraId="58DC7D94" w14:textId="77777777"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 xml:space="preserve">20,000 </w:t>
            </w:r>
          </w:p>
        </w:tc>
        <w:tc>
          <w:tcPr>
            <w:tcW w:w="608" w:type="pct"/>
            <w:tcBorders>
              <w:top w:val="nil"/>
              <w:left w:val="nil"/>
              <w:bottom w:val="nil"/>
              <w:right w:val="nil"/>
            </w:tcBorders>
            <w:shd w:val="clear" w:color="auto" w:fill="auto"/>
            <w:noWrap/>
            <w:vAlign w:val="bottom"/>
            <w:hideMark/>
          </w:tcPr>
          <w:p w14:paraId="1DCA697D" w14:textId="77777777"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 xml:space="preserve">20,000 </w:t>
            </w:r>
          </w:p>
        </w:tc>
        <w:tc>
          <w:tcPr>
            <w:tcW w:w="589" w:type="pct"/>
            <w:tcBorders>
              <w:top w:val="nil"/>
              <w:left w:val="nil"/>
              <w:bottom w:val="nil"/>
              <w:right w:val="nil"/>
            </w:tcBorders>
            <w:shd w:val="clear" w:color="auto" w:fill="auto"/>
            <w:noWrap/>
            <w:vAlign w:val="bottom"/>
            <w:hideMark/>
          </w:tcPr>
          <w:p w14:paraId="793DA843" w14:textId="77777777"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 xml:space="preserve">- </w:t>
            </w:r>
          </w:p>
        </w:tc>
      </w:tr>
      <w:tr w:rsidR="00DE6C80" w:rsidRPr="00DE6C80" w14:paraId="4C2659F8" w14:textId="77777777" w:rsidTr="00264E90">
        <w:trPr>
          <w:gridAfter w:val="1"/>
          <w:wAfter w:w="40" w:type="pct"/>
          <w:trHeight w:val="204"/>
        </w:trPr>
        <w:tc>
          <w:tcPr>
            <w:tcW w:w="1861" w:type="pct"/>
            <w:tcBorders>
              <w:top w:val="nil"/>
              <w:left w:val="nil"/>
              <w:bottom w:val="nil"/>
              <w:right w:val="nil"/>
            </w:tcBorders>
            <w:shd w:val="clear" w:color="auto" w:fill="auto"/>
            <w:vAlign w:val="bottom"/>
            <w:hideMark/>
          </w:tcPr>
          <w:p w14:paraId="6D89C383" w14:textId="77777777" w:rsidR="00DE6C80" w:rsidRPr="00DE6C80" w:rsidRDefault="00DE6C80" w:rsidP="00264E90">
            <w:pPr>
              <w:spacing w:after="0" w:line="240" w:lineRule="auto"/>
              <w:rPr>
                <w:rFonts w:ascii="Arial" w:hAnsi="Arial" w:cs="Arial"/>
                <w:sz w:val="16"/>
                <w:szCs w:val="16"/>
              </w:rPr>
            </w:pPr>
            <w:r w:rsidRPr="00DE6C80">
              <w:rPr>
                <w:rFonts w:ascii="Arial" w:hAnsi="Arial" w:cs="Arial"/>
                <w:sz w:val="16"/>
                <w:szCs w:val="16"/>
              </w:rPr>
              <w:t>Special Appropriations</w:t>
            </w:r>
          </w:p>
        </w:tc>
        <w:tc>
          <w:tcPr>
            <w:tcW w:w="647" w:type="pct"/>
            <w:gridSpan w:val="2"/>
            <w:tcBorders>
              <w:top w:val="nil"/>
              <w:left w:val="nil"/>
              <w:bottom w:val="nil"/>
              <w:right w:val="nil"/>
            </w:tcBorders>
            <w:shd w:val="clear" w:color="auto" w:fill="auto"/>
            <w:noWrap/>
            <w:vAlign w:val="bottom"/>
            <w:hideMark/>
          </w:tcPr>
          <w:p w14:paraId="591E6DED" w14:textId="77777777" w:rsidR="00DE6C80" w:rsidRPr="00DE6C80" w:rsidRDefault="00DE6C80" w:rsidP="00DE6C80">
            <w:pPr>
              <w:spacing w:after="0" w:line="240" w:lineRule="auto"/>
              <w:ind w:firstLineChars="100" w:firstLine="160"/>
              <w:rPr>
                <w:rFonts w:ascii="Arial" w:hAnsi="Arial" w:cs="Arial"/>
                <w:sz w:val="16"/>
                <w:szCs w:val="16"/>
              </w:rPr>
            </w:pPr>
          </w:p>
        </w:tc>
        <w:tc>
          <w:tcPr>
            <w:tcW w:w="631" w:type="pct"/>
            <w:tcBorders>
              <w:top w:val="nil"/>
              <w:left w:val="nil"/>
              <w:bottom w:val="nil"/>
              <w:right w:val="nil"/>
            </w:tcBorders>
            <w:shd w:val="clear" w:color="000000" w:fill="E6E6E6"/>
            <w:noWrap/>
            <w:vAlign w:val="bottom"/>
            <w:hideMark/>
          </w:tcPr>
          <w:p w14:paraId="7F6C0851" w14:textId="77777777"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 </w:t>
            </w:r>
          </w:p>
        </w:tc>
        <w:tc>
          <w:tcPr>
            <w:tcW w:w="624" w:type="pct"/>
            <w:tcBorders>
              <w:top w:val="nil"/>
              <w:left w:val="nil"/>
              <w:bottom w:val="nil"/>
              <w:right w:val="nil"/>
            </w:tcBorders>
            <w:shd w:val="clear" w:color="auto" w:fill="auto"/>
            <w:noWrap/>
            <w:vAlign w:val="bottom"/>
            <w:hideMark/>
          </w:tcPr>
          <w:p w14:paraId="6E8808DA" w14:textId="77777777" w:rsidR="00DE6C80" w:rsidRPr="00DE6C80" w:rsidRDefault="00DE6C80" w:rsidP="00DE6C80">
            <w:pPr>
              <w:spacing w:after="0" w:line="240" w:lineRule="auto"/>
              <w:jc w:val="right"/>
              <w:rPr>
                <w:rFonts w:ascii="Arial" w:hAnsi="Arial" w:cs="Arial"/>
                <w:sz w:val="16"/>
                <w:szCs w:val="16"/>
              </w:rPr>
            </w:pPr>
          </w:p>
        </w:tc>
        <w:tc>
          <w:tcPr>
            <w:tcW w:w="608" w:type="pct"/>
            <w:tcBorders>
              <w:top w:val="nil"/>
              <w:left w:val="nil"/>
              <w:bottom w:val="nil"/>
              <w:right w:val="nil"/>
            </w:tcBorders>
            <w:shd w:val="clear" w:color="auto" w:fill="auto"/>
            <w:noWrap/>
            <w:vAlign w:val="bottom"/>
            <w:hideMark/>
          </w:tcPr>
          <w:p w14:paraId="73C89618" w14:textId="77777777" w:rsidR="00DE6C80" w:rsidRPr="00DE6C80" w:rsidRDefault="00DE6C80" w:rsidP="00DE6C80">
            <w:pPr>
              <w:spacing w:after="0" w:line="240" w:lineRule="auto"/>
              <w:jc w:val="right"/>
              <w:rPr>
                <w:rFonts w:ascii="Times New Roman" w:hAnsi="Times New Roman"/>
              </w:rPr>
            </w:pPr>
          </w:p>
        </w:tc>
        <w:tc>
          <w:tcPr>
            <w:tcW w:w="589" w:type="pct"/>
            <w:tcBorders>
              <w:top w:val="nil"/>
              <w:left w:val="nil"/>
              <w:bottom w:val="nil"/>
              <w:right w:val="nil"/>
            </w:tcBorders>
            <w:shd w:val="clear" w:color="auto" w:fill="auto"/>
            <w:noWrap/>
            <w:vAlign w:val="bottom"/>
            <w:hideMark/>
          </w:tcPr>
          <w:p w14:paraId="7132FD25" w14:textId="77777777" w:rsidR="00DE6C80" w:rsidRPr="00DE6C80" w:rsidRDefault="00DE6C80" w:rsidP="00DE6C80">
            <w:pPr>
              <w:spacing w:after="0" w:line="240" w:lineRule="auto"/>
              <w:jc w:val="right"/>
              <w:rPr>
                <w:rFonts w:ascii="Times New Roman" w:hAnsi="Times New Roman"/>
              </w:rPr>
            </w:pPr>
          </w:p>
        </w:tc>
      </w:tr>
      <w:tr w:rsidR="00DE6C80" w:rsidRPr="00DE6C80" w14:paraId="5D238027" w14:textId="77777777" w:rsidTr="00264E90">
        <w:trPr>
          <w:gridAfter w:val="1"/>
          <w:wAfter w:w="40" w:type="pct"/>
          <w:trHeight w:val="204"/>
        </w:trPr>
        <w:tc>
          <w:tcPr>
            <w:tcW w:w="1861" w:type="pct"/>
            <w:tcBorders>
              <w:top w:val="nil"/>
              <w:left w:val="nil"/>
              <w:bottom w:val="nil"/>
              <w:right w:val="nil"/>
            </w:tcBorders>
            <w:shd w:val="clear" w:color="auto" w:fill="auto"/>
            <w:vAlign w:val="bottom"/>
            <w:hideMark/>
          </w:tcPr>
          <w:p w14:paraId="76565DBA" w14:textId="77777777" w:rsidR="00DE6C80" w:rsidRPr="00DE6C80" w:rsidRDefault="00DE6C80" w:rsidP="00264E90">
            <w:pPr>
              <w:spacing w:after="0" w:line="240" w:lineRule="auto"/>
              <w:ind w:left="113"/>
              <w:rPr>
                <w:rFonts w:ascii="Arial" w:hAnsi="Arial" w:cs="Arial"/>
                <w:i/>
                <w:iCs/>
                <w:sz w:val="16"/>
                <w:szCs w:val="16"/>
              </w:rPr>
            </w:pPr>
            <w:r w:rsidRPr="00DE6C80">
              <w:rPr>
                <w:rFonts w:ascii="Arial" w:hAnsi="Arial" w:cs="Arial"/>
                <w:i/>
                <w:iCs/>
                <w:sz w:val="16"/>
                <w:szCs w:val="16"/>
              </w:rPr>
              <w:t>Local Government (Financial Assistance) Act 1995</w:t>
            </w:r>
          </w:p>
        </w:tc>
        <w:tc>
          <w:tcPr>
            <w:tcW w:w="647" w:type="pct"/>
            <w:gridSpan w:val="2"/>
            <w:tcBorders>
              <w:top w:val="nil"/>
              <w:left w:val="nil"/>
              <w:bottom w:val="nil"/>
              <w:right w:val="nil"/>
            </w:tcBorders>
            <w:shd w:val="clear" w:color="auto" w:fill="auto"/>
            <w:noWrap/>
            <w:vAlign w:val="bottom"/>
            <w:hideMark/>
          </w:tcPr>
          <w:p w14:paraId="6A569238" w14:textId="77777777"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 xml:space="preserve">833,499 </w:t>
            </w:r>
          </w:p>
        </w:tc>
        <w:tc>
          <w:tcPr>
            <w:tcW w:w="631" w:type="pct"/>
            <w:tcBorders>
              <w:top w:val="nil"/>
              <w:left w:val="nil"/>
              <w:bottom w:val="nil"/>
              <w:right w:val="nil"/>
            </w:tcBorders>
            <w:shd w:val="clear" w:color="000000" w:fill="E6E6E6"/>
            <w:noWrap/>
            <w:vAlign w:val="bottom"/>
            <w:hideMark/>
          </w:tcPr>
          <w:p w14:paraId="16344CAE" w14:textId="77777777"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 xml:space="preserve">3,106,446 </w:t>
            </w:r>
          </w:p>
        </w:tc>
        <w:tc>
          <w:tcPr>
            <w:tcW w:w="624" w:type="pct"/>
            <w:tcBorders>
              <w:top w:val="nil"/>
              <w:left w:val="nil"/>
              <w:bottom w:val="nil"/>
              <w:right w:val="nil"/>
            </w:tcBorders>
            <w:shd w:val="clear" w:color="auto" w:fill="auto"/>
            <w:noWrap/>
            <w:vAlign w:val="bottom"/>
            <w:hideMark/>
          </w:tcPr>
          <w:p w14:paraId="6F6E7CFC" w14:textId="77777777"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 xml:space="preserve">3,256,799 </w:t>
            </w:r>
          </w:p>
        </w:tc>
        <w:tc>
          <w:tcPr>
            <w:tcW w:w="608" w:type="pct"/>
            <w:tcBorders>
              <w:top w:val="nil"/>
              <w:left w:val="nil"/>
              <w:bottom w:val="nil"/>
              <w:right w:val="nil"/>
            </w:tcBorders>
            <w:shd w:val="clear" w:color="auto" w:fill="auto"/>
            <w:noWrap/>
            <w:vAlign w:val="bottom"/>
            <w:hideMark/>
          </w:tcPr>
          <w:p w14:paraId="7CBDBE36" w14:textId="77777777"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 xml:space="preserve">3,390,977 </w:t>
            </w:r>
          </w:p>
        </w:tc>
        <w:tc>
          <w:tcPr>
            <w:tcW w:w="589" w:type="pct"/>
            <w:tcBorders>
              <w:top w:val="nil"/>
              <w:left w:val="nil"/>
              <w:bottom w:val="nil"/>
              <w:right w:val="nil"/>
            </w:tcBorders>
            <w:shd w:val="clear" w:color="auto" w:fill="auto"/>
            <w:noWrap/>
            <w:vAlign w:val="bottom"/>
            <w:hideMark/>
          </w:tcPr>
          <w:p w14:paraId="163728C3" w14:textId="77777777" w:rsidR="00DE6C80" w:rsidRPr="00DE6C80" w:rsidRDefault="00DE6C80" w:rsidP="00DE6C80">
            <w:pPr>
              <w:spacing w:after="0" w:line="240" w:lineRule="auto"/>
              <w:jc w:val="right"/>
              <w:rPr>
                <w:rFonts w:ascii="Arial" w:hAnsi="Arial" w:cs="Arial"/>
                <w:sz w:val="16"/>
                <w:szCs w:val="16"/>
              </w:rPr>
            </w:pPr>
            <w:r w:rsidRPr="00DE6C80">
              <w:rPr>
                <w:rFonts w:ascii="Arial" w:hAnsi="Arial" w:cs="Arial"/>
                <w:sz w:val="16"/>
                <w:szCs w:val="16"/>
              </w:rPr>
              <w:t xml:space="preserve">3,528,990 </w:t>
            </w:r>
          </w:p>
        </w:tc>
      </w:tr>
      <w:tr w:rsidR="00DE6C80" w:rsidRPr="00DE6C80" w14:paraId="63EA70F9" w14:textId="77777777" w:rsidTr="00264E90">
        <w:trPr>
          <w:gridAfter w:val="1"/>
          <w:wAfter w:w="40" w:type="pct"/>
          <w:trHeight w:val="204"/>
        </w:trPr>
        <w:tc>
          <w:tcPr>
            <w:tcW w:w="1861" w:type="pct"/>
            <w:tcBorders>
              <w:top w:val="nil"/>
              <w:left w:val="nil"/>
              <w:bottom w:val="single" w:sz="4" w:space="0" w:color="auto"/>
              <w:right w:val="nil"/>
            </w:tcBorders>
            <w:shd w:val="clear" w:color="auto" w:fill="auto"/>
            <w:noWrap/>
            <w:vAlign w:val="bottom"/>
            <w:hideMark/>
          </w:tcPr>
          <w:p w14:paraId="35F844AA" w14:textId="77777777" w:rsidR="00DE6C80" w:rsidRPr="00DE6C80" w:rsidRDefault="00DE6C80" w:rsidP="00DE6C80">
            <w:pPr>
              <w:spacing w:after="0" w:line="240" w:lineRule="auto"/>
              <w:rPr>
                <w:rFonts w:ascii="Arial" w:hAnsi="Arial" w:cs="Arial"/>
                <w:b/>
                <w:bCs/>
                <w:sz w:val="16"/>
                <w:szCs w:val="16"/>
              </w:rPr>
            </w:pPr>
            <w:r w:rsidRPr="00DE6C80">
              <w:rPr>
                <w:rFonts w:ascii="Arial" w:hAnsi="Arial" w:cs="Arial"/>
                <w:b/>
                <w:bCs/>
                <w:sz w:val="16"/>
                <w:szCs w:val="16"/>
              </w:rPr>
              <w:t>Total expenses for Program 3.2</w:t>
            </w:r>
          </w:p>
        </w:tc>
        <w:tc>
          <w:tcPr>
            <w:tcW w:w="647" w:type="pct"/>
            <w:gridSpan w:val="2"/>
            <w:tcBorders>
              <w:top w:val="single" w:sz="4" w:space="0" w:color="auto"/>
              <w:left w:val="nil"/>
              <w:bottom w:val="single" w:sz="4" w:space="0" w:color="auto"/>
              <w:right w:val="nil"/>
            </w:tcBorders>
            <w:shd w:val="clear" w:color="auto" w:fill="auto"/>
            <w:noWrap/>
            <w:vAlign w:val="bottom"/>
            <w:hideMark/>
          </w:tcPr>
          <w:p w14:paraId="106F0833" w14:textId="77777777" w:rsidR="00DE6C80" w:rsidRPr="00DE6C80" w:rsidRDefault="00DE6C80" w:rsidP="00DE6C80">
            <w:pPr>
              <w:spacing w:after="0" w:line="240" w:lineRule="auto"/>
              <w:jc w:val="right"/>
              <w:rPr>
                <w:rFonts w:ascii="Arial" w:hAnsi="Arial" w:cs="Arial"/>
                <w:b/>
                <w:bCs/>
                <w:sz w:val="16"/>
                <w:szCs w:val="16"/>
              </w:rPr>
            </w:pPr>
            <w:r w:rsidRPr="00DE6C80">
              <w:rPr>
                <w:rFonts w:ascii="Arial" w:hAnsi="Arial" w:cs="Arial"/>
                <w:b/>
                <w:bCs/>
                <w:sz w:val="16"/>
                <w:szCs w:val="16"/>
              </w:rPr>
              <w:t xml:space="preserve">1,819,802 </w:t>
            </w:r>
          </w:p>
        </w:tc>
        <w:tc>
          <w:tcPr>
            <w:tcW w:w="631" w:type="pct"/>
            <w:tcBorders>
              <w:top w:val="single" w:sz="4" w:space="0" w:color="auto"/>
              <w:left w:val="nil"/>
              <w:bottom w:val="single" w:sz="4" w:space="0" w:color="auto"/>
              <w:right w:val="nil"/>
            </w:tcBorders>
            <w:shd w:val="clear" w:color="000000" w:fill="E6E6E6"/>
            <w:noWrap/>
            <w:vAlign w:val="bottom"/>
            <w:hideMark/>
          </w:tcPr>
          <w:p w14:paraId="0E9A4939" w14:textId="77777777" w:rsidR="00DE6C80" w:rsidRPr="00DE6C80" w:rsidRDefault="00DE6C80" w:rsidP="00DE6C80">
            <w:pPr>
              <w:spacing w:after="0" w:line="240" w:lineRule="auto"/>
              <w:jc w:val="right"/>
              <w:rPr>
                <w:rFonts w:ascii="Arial" w:hAnsi="Arial" w:cs="Arial"/>
                <w:b/>
                <w:bCs/>
                <w:sz w:val="16"/>
                <w:szCs w:val="16"/>
              </w:rPr>
            </w:pPr>
            <w:r w:rsidRPr="00DE6C80">
              <w:rPr>
                <w:rFonts w:ascii="Arial" w:hAnsi="Arial" w:cs="Arial"/>
                <w:b/>
                <w:bCs/>
                <w:sz w:val="16"/>
                <w:szCs w:val="16"/>
              </w:rPr>
              <w:t xml:space="preserve">3,476,446 </w:t>
            </w:r>
          </w:p>
        </w:tc>
        <w:tc>
          <w:tcPr>
            <w:tcW w:w="624" w:type="pct"/>
            <w:tcBorders>
              <w:top w:val="single" w:sz="4" w:space="0" w:color="auto"/>
              <w:left w:val="nil"/>
              <w:bottom w:val="single" w:sz="4" w:space="0" w:color="auto"/>
              <w:right w:val="nil"/>
            </w:tcBorders>
            <w:shd w:val="clear" w:color="auto" w:fill="auto"/>
            <w:noWrap/>
            <w:vAlign w:val="bottom"/>
            <w:hideMark/>
          </w:tcPr>
          <w:p w14:paraId="4FF7C821" w14:textId="77777777" w:rsidR="00DE6C80" w:rsidRPr="00DE6C80" w:rsidRDefault="00DE6C80" w:rsidP="00DE6C80">
            <w:pPr>
              <w:spacing w:after="0" w:line="240" w:lineRule="auto"/>
              <w:jc w:val="right"/>
              <w:rPr>
                <w:rFonts w:ascii="Arial" w:hAnsi="Arial" w:cs="Arial"/>
                <w:b/>
                <w:bCs/>
                <w:sz w:val="16"/>
                <w:szCs w:val="16"/>
              </w:rPr>
            </w:pPr>
            <w:r w:rsidRPr="00DE6C80">
              <w:rPr>
                <w:rFonts w:ascii="Arial" w:hAnsi="Arial" w:cs="Arial"/>
                <w:b/>
                <w:bCs/>
                <w:sz w:val="16"/>
                <w:szCs w:val="16"/>
              </w:rPr>
              <w:t xml:space="preserve">3,526,799 </w:t>
            </w:r>
          </w:p>
        </w:tc>
        <w:tc>
          <w:tcPr>
            <w:tcW w:w="608" w:type="pct"/>
            <w:tcBorders>
              <w:top w:val="single" w:sz="4" w:space="0" w:color="auto"/>
              <w:left w:val="nil"/>
              <w:bottom w:val="single" w:sz="4" w:space="0" w:color="auto"/>
              <w:right w:val="nil"/>
            </w:tcBorders>
            <w:shd w:val="clear" w:color="auto" w:fill="auto"/>
            <w:noWrap/>
            <w:vAlign w:val="bottom"/>
            <w:hideMark/>
          </w:tcPr>
          <w:p w14:paraId="6FC56B35" w14:textId="77777777" w:rsidR="00DE6C80" w:rsidRPr="00DE6C80" w:rsidRDefault="00DE6C80" w:rsidP="00DE6C80">
            <w:pPr>
              <w:spacing w:after="0" w:line="240" w:lineRule="auto"/>
              <w:jc w:val="right"/>
              <w:rPr>
                <w:rFonts w:ascii="Arial" w:hAnsi="Arial" w:cs="Arial"/>
                <w:b/>
                <w:bCs/>
                <w:sz w:val="16"/>
                <w:szCs w:val="16"/>
              </w:rPr>
            </w:pPr>
            <w:r w:rsidRPr="00DE6C80">
              <w:rPr>
                <w:rFonts w:ascii="Arial" w:hAnsi="Arial" w:cs="Arial"/>
                <w:b/>
                <w:bCs/>
                <w:sz w:val="16"/>
                <w:szCs w:val="16"/>
              </w:rPr>
              <w:t xml:space="preserve">3,660,977 </w:t>
            </w:r>
          </w:p>
        </w:tc>
        <w:tc>
          <w:tcPr>
            <w:tcW w:w="589" w:type="pct"/>
            <w:tcBorders>
              <w:top w:val="single" w:sz="4" w:space="0" w:color="auto"/>
              <w:left w:val="nil"/>
              <w:bottom w:val="single" w:sz="4" w:space="0" w:color="auto"/>
              <w:right w:val="nil"/>
            </w:tcBorders>
            <w:shd w:val="clear" w:color="auto" w:fill="auto"/>
            <w:noWrap/>
            <w:vAlign w:val="bottom"/>
            <w:hideMark/>
          </w:tcPr>
          <w:p w14:paraId="03AECC90" w14:textId="77777777" w:rsidR="00DE6C80" w:rsidRPr="00DE6C80" w:rsidRDefault="00DE6C80" w:rsidP="00DE6C80">
            <w:pPr>
              <w:spacing w:after="0" w:line="240" w:lineRule="auto"/>
              <w:jc w:val="right"/>
              <w:rPr>
                <w:rFonts w:ascii="Arial" w:hAnsi="Arial" w:cs="Arial"/>
                <w:b/>
                <w:bCs/>
                <w:sz w:val="16"/>
                <w:szCs w:val="16"/>
              </w:rPr>
            </w:pPr>
            <w:r w:rsidRPr="00DE6C80">
              <w:rPr>
                <w:rFonts w:ascii="Arial" w:hAnsi="Arial" w:cs="Arial"/>
                <w:b/>
                <w:bCs/>
                <w:sz w:val="16"/>
                <w:szCs w:val="16"/>
              </w:rPr>
              <w:t xml:space="preserve">3,528,990 </w:t>
            </w:r>
          </w:p>
        </w:tc>
      </w:tr>
    </w:tbl>
    <w:p w14:paraId="4B7A353F" w14:textId="374AC584" w:rsidR="00115843" w:rsidRDefault="00DE6C80" w:rsidP="00115843">
      <w:r>
        <w:t xml:space="preserve"> </w:t>
      </w:r>
      <w:r w:rsidR="00115843">
        <w:br w:type="page"/>
      </w:r>
    </w:p>
    <w:p w14:paraId="2A599937" w14:textId="38005268" w:rsidR="00115843" w:rsidRDefault="00115843" w:rsidP="00115843">
      <w:pPr>
        <w:pStyle w:val="TableHeading"/>
      </w:pPr>
      <w:r w:rsidRPr="00AD42E2">
        <w:lastRenderedPageBreak/>
        <w:t>Table 2.</w:t>
      </w:r>
      <w:r>
        <w:t>3</w:t>
      </w:r>
      <w:r w:rsidRPr="00AD42E2">
        <w:t>.</w:t>
      </w:r>
      <w:r>
        <w:t>2</w:t>
      </w:r>
      <w:r w:rsidRPr="00AD42E2">
        <w:t xml:space="preserve">: </w:t>
      </w:r>
      <w:r>
        <w:t>Program components</w:t>
      </w:r>
      <w:r w:rsidRPr="00AD42E2">
        <w:t xml:space="preserve"> for Outcome </w:t>
      </w:r>
      <w:r>
        <w:t>3 (continued)</w:t>
      </w:r>
    </w:p>
    <w:tbl>
      <w:tblPr>
        <w:tblW w:w="5000" w:type="pct"/>
        <w:tblLook w:val="04A0" w:firstRow="1" w:lastRow="0" w:firstColumn="1" w:lastColumn="0" w:noHBand="0" w:noVBand="1"/>
      </w:tblPr>
      <w:tblGrid>
        <w:gridCol w:w="3238"/>
        <w:gridCol w:w="933"/>
        <w:gridCol w:w="885"/>
        <w:gridCol w:w="885"/>
        <w:gridCol w:w="885"/>
        <w:gridCol w:w="884"/>
      </w:tblGrid>
      <w:tr w:rsidR="00E3243B" w:rsidRPr="00E3243B" w14:paraId="280D8049" w14:textId="77777777" w:rsidTr="00794270">
        <w:trPr>
          <w:trHeight w:val="204"/>
        </w:trPr>
        <w:tc>
          <w:tcPr>
            <w:tcW w:w="2100" w:type="pct"/>
            <w:tcBorders>
              <w:top w:val="single" w:sz="4" w:space="0" w:color="auto"/>
              <w:left w:val="nil"/>
              <w:bottom w:val="single" w:sz="4" w:space="0" w:color="auto"/>
              <w:right w:val="nil"/>
            </w:tcBorders>
            <w:shd w:val="clear" w:color="auto" w:fill="auto"/>
            <w:noWrap/>
            <w:vAlign w:val="bottom"/>
            <w:hideMark/>
          </w:tcPr>
          <w:p w14:paraId="657CC2B4" w14:textId="77777777" w:rsidR="00E3243B" w:rsidRPr="00E3243B" w:rsidRDefault="00E3243B" w:rsidP="00E3243B">
            <w:pPr>
              <w:spacing w:after="0" w:line="240" w:lineRule="auto"/>
              <w:rPr>
                <w:rFonts w:ascii="Arial" w:hAnsi="Arial" w:cs="Arial"/>
                <w:b/>
                <w:bCs/>
                <w:sz w:val="16"/>
                <w:szCs w:val="16"/>
              </w:rPr>
            </w:pPr>
            <w:r w:rsidRPr="00E3243B">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7E464DD3" w14:textId="0AFBDE60" w:rsidR="00E3243B" w:rsidRPr="00E3243B" w:rsidRDefault="00E3243B" w:rsidP="00E3243B">
            <w:pPr>
              <w:spacing w:after="0" w:line="240" w:lineRule="auto"/>
              <w:jc w:val="right"/>
              <w:rPr>
                <w:rFonts w:ascii="Arial" w:hAnsi="Arial" w:cs="Arial"/>
                <w:sz w:val="16"/>
                <w:szCs w:val="16"/>
              </w:rPr>
            </w:pPr>
            <w:r w:rsidRPr="00E3243B">
              <w:rPr>
                <w:rFonts w:ascii="Arial" w:hAnsi="Arial" w:cs="Arial"/>
                <w:sz w:val="16"/>
                <w:szCs w:val="16"/>
              </w:rPr>
              <w:t>2022-23</w:t>
            </w:r>
            <w:r w:rsidRPr="00E3243B">
              <w:rPr>
                <w:rFonts w:ascii="Arial" w:hAnsi="Arial" w:cs="Arial"/>
                <w:sz w:val="16"/>
                <w:szCs w:val="16"/>
              </w:rPr>
              <w:br/>
              <w:t>Estimated actual</w:t>
            </w:r>
            <w:r w:rsidRPr="00E3243B">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000000" w:fill="E6E6E6"/>
            <w:vAlign w:val="bottom"/>
            <w:hideMark/>
          </w:tcPr>
          <w:p w14:paraId="6A24A112" w14:textId="77777777" w:rsidR="00E3243B" w:rsidRPr="00E3243B" w:rsidRDefault="00E3243B" w:rsidP="00E3243B">
            <w:pPr>
              <w:spacing w:after="0" w:line="240" w:lineRule="auto"/>
              <w:jc w:val="right"/>
              <w:rPr>
                <w:rFonts w:ascii="Arial" w:hAnsi="Arial" w:cs="Arial"/>
                <w:sz w:val="16"/>
                <w:szCs w:val="16"/>
              </w:rPr>
            </w:pPr>
            <w:r w:rsidRPr="00E3243B">
              <w:rPr>
                <w:rFonts w:ascii="Arial" w:hAnsi="Arial" w:cs="Arial"/>
                <w:sz w:val="16"/>
                <w:szCs w:val="16"/>
              </w:rPr>
              <w:t>2023-24</w:t>
            </w:r>
            <w:r w:rsidRPr="00E3243B">
              <w:rPr>
                <w:rFonts w:ascii="Arial" w:hAnsi="Arial" w:cs="Arial"/>
                <w:sz w:val="16"/>
                <w:szCs w:val="16"/>
              </w:rPr>
              <w:br/>
              <w:t xml:space="preserve"> Budget</w:t>
            </w:r>
            <w:r w:rsidRPr="00E3243B">
              <w:rPr>
                <w:rFonts w:ascii="Arial" w:hAnsi="Arial" w:cs="Arial"/>
                <w:sz w:val="16"/>
                <w:szCs w:val="16"/>
              </w:rPr>
              <w:br/>
              <w:t xml:space="preserve">                                      $'000</w:t>
            </w:r>
          </w:p>
        </w:tc>
        <w:tc>
          <w:tcPr>
            <w:tcW w:w="574" w:type="pct"/>
            <w:tcBorders>
              <w:top w:val="single" w:sz="4" w:space="0" w:color="auto"/>
              <w:left w:val="nil"/>
              <w:bottom w:val="single" w:sz="4" w:space="0" w:color="auto"/>
              <w:right w:val="nil"/>
            </w:tcBorders>
            <w:shd w:val="clear" w:color="auto" w:fill="auto"/>
            <w:vAlign w:val="bottom"/>
            <w:hideMark/>
          </w:tcPr>
          <w:p w14:paraId="1A440E7A" w14:textId="77777777" w:rsidR="00E3243B" w:rsidRPr="00E3243B" w:rsidRDefault="00E3243B" w:rsidP="00E3243B">
            <w:pPr>
              <w:spacing w:after="0" w:line="240" w:lineRule="auto"/>
              <w:jc w:val="right"/>
              <w:rPr>
                <w:rFonts w:ascii="Arial" w:hAnsi="Arial" w:cs="Arial"/>
                <w:sz w:val="16"/>
                <w:szCs w:val="16"/>
              </w:rPr>
            </w:pPr>
            <w:r w:rsidRPr="00E3243B">
              <w:rPr>
                <w:rFonts w:ascii="Arial" w:hAnsi="Arial" w:cs="Arial"/>
                <w:sz w:val="16"/>
                <w:szCs w:val="16"/>
              </w:rPr>
              <w:t>2024-25</w:t>
            </w:r>
            <w:r w:rsidRPr="00E3243B">
              <w:rPr>
                <w:rFonts w:ascii="Arial" w:hAnsi="Arial" w:cs="Arial"/>
                <w:sz w:val="16"/>
                <w:szCs w:val="16"/>
              </w:rPr>
              <w:br/>
              <w:t>Forward estimate</w:t>
            </w:r>
            <w:r w:rsidRPr="00E3243B">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3FEC171E" w14:textId="77777777" w:rsidR="00E3243B" w:rsidRPr="00E3243B" w:rsidRDefault="00E3243B" w:rsidP="00E3243B">
            <w:pPr>
              <w:spacing w:after="0" w:line="240" w:lineRule="auto"/>
              <w:jc w:val="right"/>
              <w:rPr>
                <w:rFonts w:ascii="Arial" w:hAnsi="Arial" w:cs="Arial"/>
                <w:sz w:val="16"/>
                <w:szCs w:val="16"/>
              </w:rPr>
            </w:pPr>
            <w:r w:rsidRPr="00E3243B">
              <w:rPr>
                <w:rFonts w:ascii="Arial" w:hAnsi="Arial" w:cs="Arial"/>
                <w:sz w:val="16"/>
                <w:szCs w:val="16"/>
              </w:rPr>
              <w:t>2025-26</w:t>
            </w:r>
            <w:r w:rsidRPr="00E3243B">
              <w:rPr>
                <w:rFonts w:ascii="Arial" w:hAnsi="Arial" w:cs="Arial"/>
                <w:sz w:val="16"/>
                <w:szCs w:val="16"/>
              </w:rPr>
              <w:br/>
              <w:t>Forward estimate</w:t>
            </w:r>
            <w:r w:rsidRPr="00E3243B">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5F3FA799" w14:textId="77777777" w:rsidR="00E3243B" w:rsidRPr="00E3243B" w:rsidRDefault="00E3243B" w:rsidP="00E3243B">
            <w:pPr>
              <w:spacing w:after="0" w:line="240" w:lineRule="auto"/>
              <w:jc w:val="right"/>
              <w:rPr>
                <w:rFonts w:ascii="Arial" w:hAnsi="Arial" w:cs="Arial"/>
                <w:sz w:val="16"/>
                <w:szCs w:val="16"/>
              </w:rPr>
            </w:pPr>
            <w:r w:rsidRPr="00E3243B">
              <w:rPr>
                <w:rFonts w:ascii="Arial" w:hAnsi="Arial" w:cs="Arial"/>
                <w:sz w:val="16"/>
                <w:szCs w:val="16"/>
              </w:rPr>
              <w:t>2026-27</w:t>
            </w:r>
            <w:r w:rsidRPr="00E3243B">
              <w:rPr>
                <w:rFonts w:ascii="Arial" w:hAnsi="Arial" w:cs="Arial"/>
                <w:sz w:val="16"/>
                <w:szCs w:val="16"/>
              </w:rPr>
              <w:br/>
              <w:t>Forward estimate</w:t>
            </w:r>
            <w:r w:rsidRPr="00E3243B">
              <w:rPr>
                <w:rFonts w:ascii="Arial" w:hAnsi="Arial" w:cs="Arial"/>
                <w:sz w:val="16"/>
                <w:szCs w:val="16"/>
              </w:rPr>
              <w:br/>
              <w:t>$'000</w:t>
            </w:r>
          </w:p>
        </w:tc>
      </w:tr>
      <w:tr w:rsidR="00E3243B" w:rsidRPr="00E3243B" w14:paraId="09ADDB0B" w14:textId="77777777" w:rsidTr="00794270">
        <w:trPr>
          <w:trHeight w:val="204"/>
        </w:trPr>
        <w:tc>
          <w:tcPr>
            <w:tcW w:w="2100" w:type="pct"/>
            <w:tcBorders>
              <w:top w:val="nil"/>
              <w:left w:val="nil"/>
              <w:bottom w:val="single" w:sz="4" w:space="0" w:color="auto"/>
              <w:right w:val="nil"/>
            </w:tcBorders>
            <w:shd w:val="clear" w:color="000000" w:fill="E6E6E6"/>
            <w:noWrap/>
            <w:vAlign w:val="bottom"/>
            <w:hideMark/>
          </w:tcPr>
          <w:p w14:paraId="28FF32FC" w14:textId="77777777" w:rsidR="00E3243B" w:rsidRPr="00E3243B" w:rsidRDefault="00E3243B" w:rsidP="00E3243B">
            <w:pPr>
              <w:spacing w:after="0" w:line="240" w:lineRule="auto"/>
              <w:rPr>
                <w:rFonts w:ascii="Arial" w:hAnsi="Arial" w:cs="Arial"/>
                <w:b/>
                <w:bCs/>
                <w:sz w:val="16"/>
                <w:szCs w:val="16"/>
              </w:rPr>
            </w:pPr>
            <w:r w:rsidRPr="00E3243B">
              <w:rPr>
                <w:rFonts w:ascii="Arial" w:hAnsi="Arial" w:cs="Arial"/>
                <w:b/>
                <w:bCs/>
                <w:sz w:val="16"/>
                <w:szCs w:val="16"/>
              </w:rPr>
              <w:t>Components for Program 3.3: Cities</w:t>
            </w:r>
          </w:p>
        </w:tc>
        <w:tc>
          <w:tcPr>
            <w:tcW w:w="605" w:type="pct"/>
            <w:tcBorders>
              <w:top w:val="nil"/>
              <w:left w:val="nil"/>
              <w:bottom w:val="single" w:sz="4" w:space="0" w:color="auto"/>
              <w:right w:val="nil"/>
            </w:tcBorders>
            <w:shd w:val="clear" w:color="000000" w:fill="E6E6E6"/>
            <w:noWrap/>
            <w:vAlign w:val="bottom"/>
            <w:hideMark/>
          </w:tcPr>
          <w:p w14:paraId="6153A571" w14:textId="4FFC28E1" w:rsidR="00E3243B" w:rsidRPr="00E3243B" w:rsidRDefault="00E3243B" w:rsidP="00E3243B">
            <w:pPr>
              <w:spacing w:after="0" w:line="240" w:lineRule="auto"/>
              <w:jc w:val="right"/>
              <w:rPr>
                <w:rFonts w:ascii="Arial" w:hAnsi="Arial" w:cs="Arial"/>
                <w:sz w:val="16"/>
                <w:szCs w:val="16"/>
              </w:rPr>
            </w:pPr>
          </w:p>
        </w:tc>
        <w:tc>
          <w:tcPr>
            <w:tcW w:w="574" w:type="pct"/>
            <w:tcBorders>
              <w:top w:val="nil"/>
              <w:left w:val="nil"/>
              <w:bottom w:val="single" w:sz="4" w:space="0" w:color="auto"/>
              <w:right w:val="nil"/>
            </w:tcBorders>
            <w:shd w:val="clear" w:color="000000" w:fill="E6E6E6"/>
            <w:noWrap/>
            <w:vAlign w:val="bottom"/>
            <w:hideMark/>
          </w:tcPr>
          <w:p w14:paraId="60FECD38" w14:textId="17B92D49" w:rsidR="00E3243B" w:rsidRPr="00E3243B" w:rsidRDefault="00E3243B" w:rsidP="00E3243B">
            <w:pPr>
              <w:spacing w:after="0" w:line="240" w:lineRule="auto"/>
              <w:jc w:val="right"/>
              <w:rPr>
                <w:rFonts w:ascii="Arial" w:hAnsi="Arial" w:cs="Arial"/>
                <w:sz w:val="16"/>
                <w:szCs w:val="16"/>
              </w:rPr>
            </w:pPr>
          </w:p>
        </w:tc>
        <w:tc>
          <w:tcPr>
            <w:tcW w:w="574" w:type="pct"/>
            <w:tcBorders>
              <w:top w:val="nil"/>
              <w:left w:val="nil"/>
              <w:bottom w:val="single" w:sz="4" w:space="0" w:color="auto"/>
              <w:right w:val="nil"/>
            </w:tcBorders>
            <w:shd w:val="clear" w:color="000000" w:fill="E6E6E6"/>
            <w:noWrap/>
            <w:vAlign w:val="bottom"/>
            <w:hideMark/>
          </w:tcPr>
          <w:p w14:paraId="2A13D023" w14:textId="360B126D" w:rsidR="00E3243B" w:rsidRPr="00E3243B" w:rsidRDefault="00E3243B" w:rsidP="00E3243B">
            <w:pPr>
              <w:spacing w:after="0" w:line="240" w:lineRule="auto"/>
              <w:jc w:val="right"/>
              <w:rPr>
                <w:rFonts w:ascii="Arial" w:hAnsi="Arial" w:cs="Arial"/>
                <w:sz w:val="16"/>
                <w:szCs w:val="16"/>
              </w:rPr>
            </w:pPr>
          </w:p>
        </w:tc>
        <w:tc>
          <w:tcPr>
            <w:tcW w:w="574" w:type="pct"/>
            <w:tcBorders>
              <w:top w:val="nil"/>
              <w:left w:val="nil"/>
              <w:bottom w:val="single" w:sz="4" w:space="0" w:color="auto"/>
              <w:right w:val="nil"/>
            </w:tcBorders>
            <w:shd w:val="clear" w:color="000000" w:fill="E6E6E6"/>
            <w:noWrap/>
            <w:vAlign w:val="bottom"/>
            <w:hideMark/>
          </w:tcPr>
          <w:p w14:paraId="55248CAE" w14:textId="61CEAF52" w:rsidR="00E3243B" w:rsidRPr="00E3243B" w:rsidRDefault="00E3243B" w:rsidP="00E3243B">
            <w:pPr>
              <w:spacing w:after="0" w:line="240" w:lineRule="auto"/>
              <w:jc w:val="right"/>
              <w:rPr>
                <w:rFonts w:ascii="Arial" w:hAnsi="Arial" w:cs="Arial"/>
                <w:sz w:val="16"/>
                <w:szCs w:val="16"/>
              </w:rPr>
            </w:pPr>
          </w:p>
        </w:tc>
        <w:tc>
          <w:tcPr>
            <w:tcW w:w="574" w:type="pct"/>
            <w:tcBorders>
              <w:top w:val="nil"/>
              <w:left w:val="nil"/>
              <w:bottom w:val="single" w:sz="4" w:space="0" w:color="auto"/>
              <w:right w:val="nil"/>
            </w:tcBorders>
            <w:shd w:val="clear" w:color="000000" w:fill="E6E6E6"/>
            <w:noWrap/>
            <w:vAlign w:val="bottom"/>
            <w:hideMark/>
          </w:tcPr>
          <w:p w14:paraId="7635D15D" w14:textId="5128C0D1" w:rsidR="00E3243B" w:rsidRPr="00E3243B" w:rsidRDefault="00E3243B" w:rsidP="00E3243B">
            <w:pPr>
              <w:spacing w:after="0" w:line="240" w:lineRule="auto"/>
              <w:jc w:val="right"/>
              <w:rPr>
                <w:rFonts w:ascii="Arial" w:hAnsi="Arial" w:cs="Arial"/>
                <w:sz w:val="16"/>
                <w:szCs w:val="16"/>
              </w:rPr>
            </w:pPr>
          </w:p>
        </w:tc>
      </w:tr>
      <w:tr w:rsidR="00E3243B" w:rsidRPr="00E3243B" w14:paraId="07EF6519" w14:textId="77777777" w:rsidTr="00794270">
        <w:trPr>
          <w:trHeight w:val="204"/>
        </w:trPr>
        <w:tc>
          <w:tcPr>
            <w:tcW w:w="2100" w:type="pct"/>
            <w:tcBorders>
              <w:top w:val="nil"/>
              <w:left w:val="nil"/>
              <w:bottom w:val="nil"/>
              <w:right w:val="nil"/>
            </w:tcBorders>
            <w:shd w:val="clear" w:color="auto" w:fill="auto"/>
            <w:noWrap/>
            <w:vAlign w:val="bottom"/>
            <w:hideMark/>
          </w:tcPr>
          <w:p w14:paraId="6DB8EB04" w14:textId="77777777" w:rsidR="00E3243B" w:rsidRPr="00E3243B" w:rsidRDefault="00E3243B" w:rsidP="00E3243B">
            <w:pPr>
              <w:spacing w:after="0" w:line="240" w:lineRule="auto"/>
              <w:rPr>
                <w:rFonts w:ascii="Arial" w:hAnsi="Arial" w:cs="Arial"/>
                <w:sz w:val="16"/>
                <w:szCs w:val="16"/>
              </w:rPr>
            </w:pPr>
            <w:r w:rsidRPr="00E3243B">
              <w:rPr>
                <w:rFonts w:ascii="Arial" w:hAnsi="Arial" w:cs="Arial"/>
                <w:sz w:val="16"/>
                <w:szCs w:val="16"/>
              </w:rPr>
              <w:t>Administered expenses:</w:t>
            </w:r>
          </w:p>
        </w:tc>
        <w:tc>
          <w:tcPr>
            <w:tcW w:w="605" w:type="pct"/>
            <w:tcBorders>
              <w:top w:val="nil"/>
              <w:left w:val="nil"/>
              <w:bottom w:val="nil"/>
              <w:right w:val="nil"/>
            </w:tcBorders>
            <w:shd w:val="clear" w:color="auto" w:fill="auto"/>
            <w:noWrap/>
            <w:vAlign w:val="bottom"/>
            <w:hideMark/>
          </w:tcPr>
          <w:p w14:paraId="6A1CF73B" w14:textId="77777777" w:rsidR="00E3243B" w:rsidRPr="00E3243B" w:rsidRDefault="00E3243B" w:rsidP="00E3243B">
            <w:pPr>
              <w:spacing w:after="0" w:line="240" w:lineRule="auto"/>
              <w:jc w:val="right"/>
              <w:rPr>
                <w:rFonts w:ascii="Arial" w:hAnsi="Arial" w:cs="Arial"/>
                <w:sz w:val="16"/>
                <w:szCs w:val="16"/>
              </w:rPr>
            </w:pPr>
          </w:p>
        </w:tc>
        <w:tc>
          <w:tcPr>
            <w:tcW w:w="574" w:type="pct"/>
            <w:tcBorders>
              <w:top w:val="nil"/>
              <w:left w:val="nil"/>
              <w:bottom w:val="nil"/>
              <w:right w:val="nil"/>
            </w:tcBorders>
            <w:shd w:val="clear" w:color="000000" w:fill="E6E6E6"/>
            <w:noWrap/>
            <w:vAlign w:val="bottom"/>
            <w:hideMark/>
          </w:tcPr>
          <w:p w14:paraId="74457928" w14:textId="2379FE93" w:rsidR="00E3243B" w:rsidRPr="00E3243B" w:rsidRDefault="00E3243B" w:rsidP="00E3243B">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2845F4DC" w14:textId="77777777" w:rsidR="00E3243B" w:rsidRPr="00E3243B" w:rsidRDefault="00E3243B" w:rsidP="00E3243B">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1ECF632E" w14:textId="77777777" w:rsidR="00E3243B" w:rsidRPr="00E3243B" w:rsidRDefault="00E3243B" w:rsidP="00E3243B">
            <w:pPr>
              <w:spacing w:after="0" w:line="240" w:lineRule="auto"/>
              <w:jc w:val="right"/>
              <w:rPr>
                <w:rFonts w:ascii="Times New Roman" w:hAnsi="Times New Roman"/>
              </w:rPr>
            </w:pPr>
          </w:p>
        </w:tc>
        <w:tc>
          <w:tcPr>
            <w:tcW w:w="574" w:type="pct"/>
            <w:tcBorders>
              <w:top w:val="nil"/>
              <w:left w:val="nil"/>
              <w:bottom w:val="nil"/>
              <w:right w:val="nil"/>
            </w:tcBorders>
            <w:shd w:val="clear" w:color="auto" w:fill="auto"/>
            <w:noWrap/>
            <w:vAlign w:val="bottom"/>
            <w:hideMark/>
          </w:tcPr>
          <w:p w14:paraId="151CAB96" w14:textId="77777777" w:rsidR="00E3243B" w:rsidRPr="00E3243B" w:rsidRDefault="00E3243B" w:rsidP="00E3243B">
            <w:pPr>
              <w:spacing w:after="0" w:line="240" w:lineRule="auto"/>
              <w:jc w:val="right"/>
              <w:rPr>
                <w:rFonts w:ascii="Times New Roman" w:hAnsi="Times New Roman"/>
              </w:rPr>
            </w:pPr>
          </w:p>
        </w:tc>
      </w:tr>
      <w:tr w:rsidR="00794270" w:rsidRPr="00E3243B" w14:paraId="770986FC" w14:textId="77777777" w:rsidTr="00794270">
        <w:trPr>
          <w:trHeight w:val="204"/>
        </w:trPr>
        <w:tc>
          <w:tcPr>
            <w:tcW w:w="2100" w:type="pct"/>
            <w:tcBorders>
              <w:top w:val="nil"/>
              <w:left w:val="nil"/>
              <w:bottom w:val="nil"/>
              <w:right w:val="nil"/>
            </w:tcBorders>
            <w:shd w:val="clear" w:color="auto" w:fill="auto"/>
            <w:vAlign w:val="bottom"/>
            <w:hideMark/>
          </w:tcPr>
          <w:p w14:paraId="06062E20" w14:textId="77777777" w:rsidR="00794270" w:rsidRPr="00E3243B" w:rsidRDefault="00794270" w:rsidP="00794270">
            <w:pPr>
              <w:spacing w:after="0" w:line="240" w:lineRule="auto"/>
              <w:ind w:left="113"/>
              <w:rPr>
                <w:rFonts w:ascii="Arial" w:hAnsi="Arial" w:cs="Arial"/>
                <w:sz w:val="16"/>
                <w:szCs w:val="16"/>
              </w:rPr>
            </w:pPr>
            <w:r w:rsidRPr="00E3243B">
              <w:rPr>
                <w:rFonts w:ascii="Arial" w:hAnsi="Arial" w:cs="Arial"/>
                <w:sz w:val="16"/>
                <w:szCs w:val="16"/>
              </w:rPr>
              <w:t>Support for City Deals</w:t>
            </w:r>
          </w:p>
        </w:tc>
        <w:tc>
          <w:tcPr>
            <w:tcW w:w="605" w:type="pct"/>
            <w:tcBorders>
              <w:top w:val="nil"/>
              <w:left w:val="nil"/>
              <w:bottom w:val="nil"/>
              <w:right w:val="nil"/>
            </w:tcBorders>
            <w:shd w:val="clear" w:color="auto" w:fill="auto"/>
            <w:noWrap/>
            <w:vAlign w:val="bottom"/>
            <w:hideMark/>
          </w:tcPr>
          <w:p w14:paraId="36244463" w14:textId="6A87A5D5" w:rsidR="00794270" w:rsidRPr="00E3243B" w:rsidRDefault="00794270" w:rsidP="00794270">
            <w:pPr>
              <w:spacing w:after="0" w:line="240" w:lineRule="auto"/>
              <w:jc w:val="right"/>
              <w:rPr>
                <w:rFonts w:ascii="Arial" w:hAnsi="Arial" w:cs="Arial"/>
                <w:sz w:val="16"/>
                <w:szCs w:val="16"/>
              </w:rPr>
            </w:pPr>
            <w:r>
              <w:rPr>
                <w:rFonts w:ascii="Arial" w:hAnsi="Arial" w:cs="Arial"/>
                <w:sz w:val="16"/>
                <w:szCs w:val="16"/>
              </w:rPr>
              <w:t>1,117</w:t>
            </w:r>
          </w:p>
        </w:tc>
        <w:tc>
          <w:tcPr>
            <w:tcW w:w="574" w:type="pct"/>
            <w:tcBorders>
              <w:top w:val="nil"/>
              <w:left w:val="nil"/>
              <w:bottom w:val="nil"/>
              <w:right w:val="nil"/>
            </w:tcBorders>
            <w:shd w:val="clear" w:color="000000" w:fill="E6E6E6"/>
            <w:noWrap/>
            <w:vAlign w:val="bottom"/>
            <w:hideMark/>
          </w:tcPr>
          <w:p w14:paraId="28605DBD" w14:textId="70F1C3A1" w:rsidR="00794270" w:rsidRPr="00E3243B" w:rsidRDefault="00794270" w:rsidP="00794270">
            <w:pPr>
              <w:spacing w:after="0" w:line="240" w:lineRule="auto"/>
              <w:jc w:val="right"/>
              <w:rPr>
                <w:rFonts w:ascii="Arial" w:hAnsi="Arial" w:cs="Arial"/>
                <w:sz w:val="16"/>
                <w:szCs w:val="16"/>
              </w:rPr>
            </w:pPr>
            <w:r>
              <w:rPr>
                <w:rFonts w:ascii="Arial" w:hAnsi="Arial" w:cs="Arial"/>
                <w:sz w:val="16"/>
                <w:szCs w:val="16"/>
              </w:rPr>
              <w:t>3,581</w:t>
            </w:r>
          </w:p>
        </w:tc>
        <w:tc>
          <w:tcPr>
            <w:tcW w:w="574" w:type="pct"/>
            <w:tcBorders>
              <w:top w:val="nil"/>
              <w:left w:val="nil"/>
              <w:bottom w:val="nil"/>
              <w:right w:val="nil"/>
            </w:tcBorders>
            <w:shd w:val="clear" w:color="auto" w:fill="auto"/>
            <w:noWrap/>
            <w:vAlign w:val="bottom"/>
            <w:hideMark/>
          </w:tcPr>
          <w:p w14:paraId="13F8D1FC" w14:textId="05EADCDF" w:rsidR="00794270" w:rsidRPr="00E3243B" w:rsidRDefault="00794270" w:rsidP="00794270">
            <w:pPr>
              <w:spacing w:after="0" w:line="240" w:lineRule="auto"/>
              <w:jc w:val="right"/>
              <w:rPr>
                <w:rFonts w:ascii="Arial" w:hAnsi="Arial" w:cs="Arial"/>
                <w:sz w:val="16"/>
                <w:szCs w:val="16"/>
              </w:rPr>
            </w:pPr>
            <w:r>
              <w:rPr>
                <w:rFonts w:ascii="Arial" w:hAnsi="Arial" w:cs="Arial"/>
                <w:sz w:val="16"/>
                <w:szCs w:val="16"/>
              </w:rPr>
              <w:t>-</w:t>
            </w:r>
          </w:p>
        </w:tc>
        <w:tc>
          <w:tcPr>
            <w:tcW w:w="574" w:type="pct"/>
            <w:tcBorders>
              <w:top w:val="nil"/>
              <w:left w:val="nil"/>
              <w:bottom w:val="nil"/>
              <w:right w:val="nil"/>
            </w:tcBorders>
            <w:shd w:val="clear" w:color="auto" w:fill="auto"/>
            <w:noWrap/>
            <w:vAlign w:val="bottom"/>
            <w:hideMark/>
          </w:tcPr>
          <w:p w14:paraId="4B9C7E79" w14:textId="1E280159" w:rsidR="00794270" w:rsidRPr="00E3243B" w:rsidRDefault="00794270" w:rsidP="00794270">
            <w:pPr>
              <w:spacing w:after="0" w:line="240" w:lineRule="auto"/>
              <w:jc w:val="right"/>
              <w:rPr>
                <w:rFonts w:ascii="Arial" w:hAnsi="Arial" w:cs="Arial"/>
                <w:sz w:val="16"/>
                <w:szCs w:val="16"/>
              </w:rPr>
            </w:pPr>
            <w:r>
              <w:rPr>
                <w:rFonts w:ascii="Arial" w:hAnsi="Arial" w:cs="Arial"/>
                <w:sz w:val="16"/>
                <w:szCs w:val="16"/>
              </w:rPr>
              <w:t>-</w:t>
            </w:r>
          </w:p>
        </w:tc>
        <w:tc>
          <w:tcPr>
            <w:tcW w:w="574" w:type="pct"/>
            <w:tcBorders>
              <w:top w:val="nil"/>
              <w:left w:val="nil"/>
              <w:bottom w:val="nil"/>
              <w:right w:val="nil"/>
            </w:tcBorders>
            <w:shd w:val="clear" w:color="auto" w:fill="auto"/>
            <w:noWrap/>
            <w:vAlign w:val="bottom"/>
            <w:hideMark/>
          </w:tcPr>
          <w:p w14:paraId="4DACBE33" w14:textId="7FC87EDB" w:rsidR="00794270" w:rsidRPr="00E3243B" w:rsidRDefault="00794270" w:rsidP="00794270">
            <w:pPr>
              <w:spacing w:after="0" w:line="240" w:lineRule="auto"/>
              <w:jc w:val="right"/>
              <w:rPr>
                <w:rFonts w:ascii="Arial" w:hAnsi="Arial" w:cs="Arial"/>
                <w:sz w:val="16"/>
                <w:szCs w:val="16"/>
              </w:rPr>
            </w:pPr>
            <w:r>
              <w:rPr>
                <w:rFonts w:ascii="Arial" w:hAnsi="Arial" w:cs="Arial"/>
                <w:sz w:val="16"/>
                <w:szCs w:val="16"/>
              </w:rPr>
              <w:t>-</w:t>
            </w:r>
          </w:p>
        </w:tc>
      </w:tr>
      <w:tr w:rsidR="00794270" w:rsidRPr="00E3243B" w14:paraId="561BF255" w14:textId="77777777" w:rsidTr="00794270">
        <w:trPr>
          <w:trHeight w:val="204"/>
        </w:trPr>
        <w:tc>
          <w:tcPr>
            <w:tcW w:w="2100" w:type="pct"/>
            <w:tcBorders>
              <w:top w:val="nil"/>
              <w:left w:val="nil"/>
              <w:bottom w:val="nil"/>
              <w:right w:val="nil"/>
            </w:tcBorders>
            <w:shd w:val="clear" w:color="auto" w:fill="auto"/>
            <w:vAlign w:val="bottom"/>
            <w:hideMark/>
          </w:tcPr>
          <w:p w14:paraId="438C774B" w14:textId="77777777" w:rsidR="00794270" w:rsidRPr="00E3243B" w:rsidRDefault="00794270" w:rsidP="00794270">
            <w:pPr>
              <w:spacing w:after="0" w:line="240" w:lineRule="auto"/>
              <w:ind w:left="113"/>
              <w:rPr>
                <w:rFonts w:ascii="Arial" w:hAnsi="Arial" w:cs="Arial"/>
                <w:sz w:val="16"/>
                <w:szCs w:val="16"/>
              </w:rPr>
            </w:pPr>
            <w:r w:rsidRPr="00E3243B">
              <w:rPr>
                <w:rFonts w:ascii="Arial" w:hAnsi="Arial" w:cs="Arial"/>
                <w:sz w:val="16"/>
                <w:szCs w:val="16"/>
              </w:rPr>
              <w:t>Thriving Suburbs</w:t>
            </w:r>
          </w:p>
        </w:tc>
        <w:tc>
          <w:tcPr>
            <w:tcW w:w="605" w:type="pct"/>
            <w:tcBorders>
              <w:top w:val="nil"/>
              <w:left w:val="nil"/>
              <w:bottom w:val="nil"/>
              <w:right w:val="nil"/>
            </w:tcBorders>
            <w:shd w:val="clear" w:color="auto" w:fill="auto"/>
            <w:noWrap/>
            <w:vAlign w:val="bottom"/>
            <w:hideMark/>
          </w:tcPr>
          <w:p w14:paraId="7EC95AEC" w14:textId="49B79B5B" w:rsidR="00794270" w:rsidRPr="00E3243B" w:rsidRDefault="00794270" w:rsidP="00794270">
            <w:pPr>
              <w:spacing w:after="0" w:line="240" w:lineRule="auto"/>
              <w:jc w:val="right"/>
              <w:rPr>
                <w:rFonts w:ascii="Arial" w:hAnsi="Arial" w:cs="Arial"/>
                <w:sz w:val="16"/>
                <w:szCs w:val="16"/>
              </w:rPr>
            </w:pPr>
            <w:r>
              <w:rPr>
                <w:rFonts w:ascii="Arial" w:hAnsi="Arial" w:cs="Arial"/>
                <w:sz w:val="16"/>
                <w:szCs w:val="16"/>
              </w:rPr>
              <w:t>-</w:t>
            </w:r>
          </w:p>
        </w:tc>
        <w:tc>
          <w:tcPr>
            <w:tcW w:w="574" w:type="pct"/>
            <w:tcBorders>
              <w:top w:val="nil"/>
              <w:left w:val="nil"/>
              <w:bottom w:val="nil"/>
              <w:right w:val="nil"/>
            </w:tcBorders>
            <w:shd w:val="clear" w:color="000000" w:fill="E6E6E6"/>
            <w:noWrap/>
            <w:vAlign w:val="bottom"/>
            <w:hideMark/>
          </w:tcPr>
          <w:p w14:paraId="0DB21868" w14:textId="23CFDF62" w:rsidR="00794270" w:rsidRPr="00E3243B" w:rsidRDefault="00794270" w:rsidP="00794270">
            <w:pPr>
              <w:spacing w:after="0" w:line="240" w:lineRule="auto"/>
              <w:jc w:val="right"/>
              <w:rPr>
                <w:rFonts w:ascii="Arial" w:hAnsi="Arial" w:cs="Arial"/>
                <w:sz w:val="16"/>
                <w:szCs w:val="16"/>
              </w:rPr>
            </w:pPr>
            <w:r>
              <w:rPr>
                <w:rFonts w:ascii="Arial" w:hAnsi="Arial" w:cs="Arial"/>
                <w:sz w:val="16"/>
                <w:szCs w:val="16"/>
              </w:rPr>
              <w:t>-</w:t>
            </w:r>
          </w:p>
        </w:tc>
        <w:tc>
          <w:tcPr>
            <w:tcW w:w="574" w:type="pct"/>
            <w:tcBorders>
              <w:top w:val="nil"/>
              <w:left w:val="nil"/>
              <w:bottom w:val="nil"/>
              <w:right w:val="nil"/>
            </w:tcBorders>
            <w:shd w:val="clear" w:color="auto" w:fill="auto"/>
            <w:noWrap/>
            <w:vAlign w:val="bottom"/>
            <w:hideMark/>
          </w:tcPr>
          <w:p w14:paraId="045F0D40" w14:textId="78B96699" w:rsidR="00794270" w:rsidRPr="00E3243B" w:rsidRDefault="00794270" w:rsidP="00794270">
            <w:pPr>
              <w:spacing w:after="0" w:line="240" w:lineRule="auto"/>
              <w:jc w:val="right"/>
              <w:rPr>
                <w:rFonts w:ascii="Arial" w:hAnsi="Arial" w:cs="Arial"/>
                <w:sz w:val="16"/>
                <w:szCs w:val="16"/>
              </w:rPr>
            </w:pPr>
            <w:r>
              <w:rPr>
                <w:rFonts w:ascii="Arial" w:hAnsi="Arial" w:cs="Arial"/>
                <w:sz w:val="16"/>
                <w:szCs w:val="16"/>
              </w:rPr>
              <w:t>80,000</w:t>
            </w:r>
          </w:p>
        </w:tc>
        <w:tc>
          <w:tcPr>
            <w:tcW w:w="574" w:type="pct"/>
            <w:tcBorders>
              <w:top w:val="nil"/>
              <w:left w:val="nil"/>
              <w:bottom w:val="nil"/>
              <w:right w:val="nil"/>
            </w:tcBorders>
            <w:shd w:val="clear" w:color="auto" w:fill="auto"/>
            <w:noWrap/>
            <w:vAlign w:val="bottom"/>
            <w:hideMark/>
          </w:tcPr>
          <w:p w14:paraId="4D8BFDF5" w14:textId="7BA1FE07" w:rsidR="00794270" w:rsidRPr="00E3243B" w:rsidRDefault="00794270" w:rsidP="00794270">
            <w:pPr>
              <w:spacing w:after="0" w:line="240" w:lineRule="auto"/>
              <w:jc w:val="right"/>
              <w:rPr>
                <w:rFonts w:ascii="Arial" w:hAnsi="Arial" w:cs="Arial"/>
                <w:sz w:val="16"/>
                <w:szCs w:val="16"/>
              </w:rPr>
            </w:pPr>
            <w:r>
              <w:rPr>
                <w:rFonts w:ascii="Arial" w:hAnsi="Arial" w:cs="Arial"/>
                <w:sz w:val="16"/>
                <w:szCs w:val="16"/>
              </w:rPr>
              <w:t>120,000</w:t>
            </w:r>
          </w:p>
        </w:tc>
        <w:tc>
          <w:tcPr>
            <w:tcW w:w="574" w:type="pct"/>
            <w:tcBorders>
              <w:top w:val="nil"/>
              <w:left w:val="nil"/>
              <w:bottom w:val="nil"/>
              <w:right w:val="nil"/>
            </w:tcBorders>
            <w:shd w:val="clear" w:color="auto" w:fill="auto"/>
            <w:noWrap/>
            <w:vAlign w:val="bottom"/>
            <w:hideMark/>
          </w:tcPr>
          <w:p w14:paraId="0E9A7234" w14:textId="109B5BE4" w:rsidR="00794270" w:rsidRPr="00E3243B" w:rsidRDefault="00794270" w:rsidP="00794270">
            <w:pPr>
              <w:spacing w:after="0" w:line="240" w:lineRule="auto"/>
              <w:jc w:val="right"/>
              <w:rPr>
                <w:rFonts w:ascii="Arial" w:hAnsi="Arial" w:cs="Arial"/>
                <w:sz w:val="16"/>
                <w:szCs w:val="16"/>
              </w:rPr>
            </w:pPr>
            <w:r>
              <w:rPr>
                <w:rFonts w:ascii="Arial" w:hAnsi="Arial" w:cs="Arial"/>
                <w:sz w:val="16"/>
                <w:szCs w:val="16"/>
              </w:rPr>
              <w:t>-</w:t>
            </w:r>
          </w:p>
        </w:tc>
      </w:tr>
      <w:tr w:rsidR="00794270" w:rsidRPr="00E3243B" w14:paraId="4314160A" w14:textId="77777777" w:rsidTr="00794270">
        <w:trPr>
          <w:trHeight w:val="204"/>
        </w:trPr>
        <w:tc>
          <w:tcPr>
            <w:tcW w:w="2100" w:type="pct"/>
            <w:tcBorders>
              <w:top w:val="nil"/>
              <w:left w:val="nil"/>
              <w:bottom w:val="nil"/>
              <w:right w:val="nil"/>
            </w:tcBorders>
            <w:shd w:val="clear" w:color="auto" w:fill="auto"/>
            <w:vAlign w:val="bottom"/>
            <w:hideMark/>
          </w:tcPr>
          <w:p w14:paraId="092C7EA0" w14:textId="15C9481F" w:rsidR="00794270" w:rsidRPr="00E3243B" w:rsidRDefault="009D1D35" w:rsidP="00794270">
            <w:pPr>
              <w:spacing w:after="0" w:line="240" w:lineRule="auto"/>
              <w:ind w:left="113"/>
              <w:rPr>
                <w:rFonts w:ascii="Arial" w:hAnsi="Arial" w:cs="Arial"/>
                <w:sz w:val="16"/>
                <w:szCs w:val="16"/>
              </w:rPr>
            </w:pPr>
            <w:r>
              <w:rPr>
                <w:rFonts w:ascii="Arial" w:hAnsi="Arial" w:cs="Arial"/>
                <w:sz w:val="16"/>
                <w:szCs w:val="16"/>
              </w:rPr>
              <w:t>u</w:t>
            </w:r>
            <w:r w:rsidR="00794270" w:rsidRPr="00E3243B">
              <w:rPr>
                <w:rFonts w:ascii="Arial" w:hAnsi="Arial" w:cs="Arial"/>
                <w:sz w:val="16"/>
                <w:szCs w:val="16"/>
              </w:rPr>
              <w:t>rban Precincts and Partnerships Program</w:t>
            </w:r>
          </w:p>
        </w:tc>
        <w:tc>
          <w:tcPr>
            <w:tcW w:w="605" w:type="pct"/>
            <w:tcBorders>
              <w:top w:val="nil"/>
              <w:left w:val="nil"/>
              <w:bottom w:val="nil"/>
              <w:right w:val="nil"/>
            </w:tcBorders>
            <w:shd w:val="clear" w:color="auto" w:fill="auto"/>
            <w:noWrap/>
            <w:vAlign w:val="bottom"/>
            <w:hideMark/>
          </w:tcPr>
          <w:p w14:paraId="0B026824" w14:textId="3320EB5B" w:rsidR="00794270" w:rsidRPr="00E3243B" w:rsidRDefault="00794270" w:rsidP="00794270">
            <w:pPr>
              <w:spacing w:after="0" w:line="240" w:lineRule="auto"/>
              <w:jc w:val="right"/>
              <w:rPr>
                <w:rFonts w:ascii="Arial" w:hAnsi="Arial" w:cs="Arial"/>
                <w:sz w:val="16"/>
                <w:szCs w:val="16"/>
              </w:rPr>
            </w:pPr>
            <w:r>
              <w:rPr>
                <w:rFonts w:ascii="Arial" w:hAnsi="Arial" w:cs="Arial"/>
                <w:sz w:val="16"/>
                <w:szCs w:val="16"/>
              </w:rPr>
              <w:t>-</w:t>
            </w:r>
          </w:p>
        </w:tc>
        <w:tc>
          <w:tcPr>
            <w:tcW w:w="574" w:type="pct"/>
            <w:tcBorders>
              <w:top w:val="nil"/>
              <w:left w:val="nil"/>
              <w:bottom w:val="nil"/>
              <w:right w:val="nil"/>
            </w:tcBorders>
            <w:shd w:val="clear" w:color="000000" w:fill="E6E6E6"/>
            <w:noWrap/>
            <w:vAlign w:val="bottom"/>
            <w:hideMark/>
          </w:tcPr>
          <w:p w14:paraId="7661E067" w14:textId="10F1DE60" w:rsidR="00794270" w:rsidRPr="00E3243B" w:rsidRDefault="00794270" w:rsidP="00794270">
            <w:pPr>
              <w:spacing w:after="0" w:line="240" w:lineRule="auto"/>
              <w:jc w:val="right"/>
              <w:rPr>
                <w:rFonts w:ascii="Arial" w:hAnsi="Arial" w:cs="Arial"/>
                <w:sz w:val="16"/>
                <w:szCs w:val="16"/>
              </w:rPr>
            </w:pPr>
            <w:r>
              <w:rPr>
                <w:rFonts w:ascii="Arial" w:hAnsi="Arial" w:cs="Arial"/>
                <w:sz w:val="16"/>
                <w:szCs w:val="16"/>
              </w:rPr>
              <w:t>-</w:t>
            </w:r>
          </w:p>
        </w:tc>
        <w:tc>
          <w:tcPr>
            <w:tcW w:w="574" w:type="pct"/>
            <w:tcBorders>
              <w:top w:val="nil"/>
              <w:left w:val="nil"/>
              <w:bottom w:val="nil"/>
              <w:right w:val="nil"/>
            </w:tcBorders>
            <w:shd w:val="clear" w:color="auto" w:fill="auto"/>
            <w:noWrap/>
            <w:vAlign w:val="bottom"/>
            <w:hideMark/>
          </w:tcPr>
          <w:p w14:paraId="23EAB985" w14:textId="29ECB3F6" w:rsidR="00794270" w:rsidRPr="00E3243B" w:rsidRDefault="00794270" w:rsidP="00794270">
            <w:pPr>
              <w:spacing w:after="0" w:line="240" w:lineRule="auto"/>
              <w:jc w:val="right"/>
              <w:rPr>
                <w:rFonts w:ascii="Arial" w:hAnsi="Arial" w:cs="Arial"/>
                <w:sz w:val="16"/>
                <w:szCs w:val="16"/>
              </w:rPr>
            </w:pPr>
            <w:r>
              <w:rPr>
                <w:rFonts w:ascii="Arial" w:hAnsi="Arial" w:cs="Arial"/>
                <w:sz w:val="16"/>
                <w:szCs w:val="16"/>
              </w:rPr>
              <w:t>50,000</w:t>
            </w:r>
          </w:p>
        </w:tc>
        <w:tc>
          <w:tcPr>
            <w:tcW w:w="574" w:type="pct"/>
            <w:tcBorders>
              <w:top w:val="nil"/>
              <w:left w:val="nil"/>
              <w:bottom w:val="nil"/>
              <w:right w:val="nil"/>
            </w:tcBorders>
            <w:shd w:val="clear" w:color="auto" w:fill="auto"/>
            <w:noWrap/>
            <w:vAlign w:val="bottom"/>
            <w:hideMark/>
          </w:tcPr>
          <w:p w14:paraId="7EDBDE95" w14:textId="78C0A8D9" w:rsidR="00794270" w:rsidRPr="00E3243B" w:rsidRDefault="00794270" w:rsidP="00794270">
            <w:pPr>
              <w:spacing w:after="0" w:line="240" w:lineRule="auto"/>
              <w:jc w:val="right"/>
              <w:rPr>
                <w:rFonts w:ascii="Arial" w:hAnsi="Arial" w:cs="Arial"/>
                <w:sz w:val="16"/>
                <w:szCs w:val="16"/>
              </w:rPr>
            </w:pPr>
            <w:r>
              <w:rPr>
                <w:rFonts w:ascii="Arial" w:hAnsi="Arial" w:cs="Arial"/>
                <w:sz w:val="16"/>
                <w:szCs w:val="16"/>
              </w:rPr>
              <w:t>50,000</w:t>
            </w:r>
          </w:p>
        </w:tc>
        <w:tc>
          <w:tcPr>
            <w:tcW w:w="574" w:type="pct"/>
            <w:tcBorders>
              <w:top w:val="nil"/>
              <w:left w:val="nil"/>
              <w:bottom w:val="nil"/>
              <w:right w:val="nil"/>
            </w:tcBorders>
            <w:shd w:val="clear" w:color="auto" w:fill="auto"/>
            <w:noWrap/>
            <w:vAlign w:val="bottom"/>
            <w:hideMark/>
          </w:tcPr>
          <w:p w14:paraId="53F6EDF8" w14:textId="121A8DC9" w:rsidR="00794270" w:rsidRPr="00E3243B" w:rsidRDefault="00794270" w:rsidP="00794270">
            <w:pPr>
              <w:spacing w:after="0" w:line="240" w:lineRule="auto"/>
              <w:jc w:val="right"/>
              <w:rPr>
                <w:rFonts w:ascii="Arial" w:hAnsi="Arial" w:cs="Arial"/>
                <w:sz w:val="16"/>
                <w:szCs w:val="16"/>
              </w:rPr>
            </w:pPr>
            <w:r>
              <w:rPr>
                <w:rFonts w:ascii="Arial" w:hAnsi="Arial" w:cs="Arial"/>
                <w:sz w:val="16"/>
                <w:szCs w:val="16"/>
              </w:rPr>
              <w:t>50,000</w:t>
            </w:r>
          </w:p>
        </w:tc>
      </w:tr>
      <w:tr w:rsidR="00794270" w:rsidRPr="00E3243B" w14:paraId="5E4F50BB" w14:textId="77777777" w:rsidTr="00794270">
        <w:trPr>
          <w:trHeight w:val="204"/>
        </w:trPr>
        <w:tc>
          <w:tcPr>
            <w:tcW w:w="2100" w:type="pct"/>
            <w:tcBorders>
              <w:top w:val="nil"/>
              <w:left w:val="nil"/>
              <w:bottom w:val="nil"/>
              <w:right w:val="nil"/>
            </w:tcBorders>
            <w:shd w:val="clear" w:color="auto" w:fill="auto"/>
            <w:vAlign w:val="bottom"/>
            <w:hideMark/>
          </w:tcPr>
          <w:p w14:paraId="749E5A64" w14:textId="77777777" w:rsidR="00794270" w:rsidRPr="00E3243B" w:rsidRDefault="00794270" w:rsidP="00794270">
            <w:pPr>
              <w:spacing w:after="0" w:line="240" w:lineRule="auto"/>
              <w:ind w:left="113"/>
              <w:rPr>
                <w:rFonts w:ascii="Arial" w:hAnsi="Arial" w:cs="Arial"/>
                <w:sz w:val="16"/>
                <w:szCs w:val="16"/>
              </w:rPr>
            </w:pPr>
            <w:r w:rsidRPr="00E3243B">
              <w:rPr>
                <w:rFonts w:ascii="Arial" w:hAnsi="Arial" w:cs="Arial"/>
                <w:sz w:val="16"/>
                <w:szCs w:val="16"/>
              </w:rPr>
              <w:t>Western Sydney City Deal</w:t>
            </w:r>
          </w:p>
        </w:tc>
        <w:tc>
          <w:tcPr>
            <w:tcW w:w="605" w:type="pct"/>
            <w:tcBorders>
              <w:top w:val="nil"/>
              <w:left w:val="nil"/>
              <w:bottom w:val="nil"/>
              <w:right w:val="nil"/>
            </w:tcBorders>
            <w:shd w:val="clear" w:color="auto" w:fill="auto"/>
            <w:noWrap/>
            <w:vAlign w:val="bottom"/>
            <w:hideMark/>
          </w:tcPr>
          <w:p w14:paraId="79FEA995" w14:textId="1FBE22BA" w:rsidR="00794270" w:rsidRPr="00E3243B" w:rsidRDefault="00794270" w:rsidP="00794270">
            <w:pPr>
              <w:spacing w:after="0" w:line="240" w:lineRule="auto"/>
              <w:jc w:val="right"/>
              <w:rPr>
                <w:rFonts w:ascii="Arial" w:hAnsi="Arial" w:cs="Arial"/>
                <w:sz w:val="16"/>
                <w:szCs w:val="16"/>
              </w:rPr>
            </w:pPr>
            <w:r>
              <w:rPr>
                <w:rFonts w:ascii="Arial" w:hAnsi="Arial" w:cs="Arial"/>
                <w:sz w:val="16"/>
                <w:szCs w:val="16"/>
              </w:rPr>
              <w:t>118</w:t>
            </w:r>
          </w:p>
        </w:tc>
        <w:tc>
          <w:tcPr>
            <w:tcW w:w="574" w:type="pct"/>
            <w:tcBorders>
              <w:top w:val="nil"/>
              <w:left w:val="nil"/>
              <w:bottom w:val="nil"/>
              <w:right w:val="nil"/>
            </w:tcBorders>
            <w:shd w:val="clear" w:color="000000" w:fill="E6E6E6"/>
            <w:noWrap/>
            <w:vAlign w:val="bottom"/>
            <w:hideMark/>
          </w:tcPr>
          <w:p w14:paraId="39BCB1B0" w14:textId="5C46F0B7" w:rsidR="00794270" w:rsidRPr="00E3243B" w:rsidRDefault="00794270" w:rsidP="00794270">
            <w:pPr>
              <w:spacing w:after="0" w:line="240" w:lineRule="auto"/>
              <w:jc w:val="right"/>
              <w:rPr>
                <w:rFonts w:ascii="Arial" w:hAnsi="Arial" w:cs="Arial"/>
                <w:sz w:val="16"/>
                <w:szCs w:val="16"/>
              </w:rPr>
            </w:pPr>
            <w:r>
              <w:rPr>
                <w:rFonts w:ascii="Arial" w:hAnsi="Arial" w:cs="Arial"/>
                <w:sz w:val="16"/>
                <w:szCs w:val="16"/>
              </w:rPr>
              <w:t>209</w:t>
            </w:r>
          </w:p>
        </w:tc>
        <w:tc>
          <w:tcPr>
            <w:tcW w:w="574" w:type="pct"/>
            <w:tcBorders>
              <w:top w:val="nil"/>
              <w:left w:val="nil"/>
              <w:bottom w:val="nil"/>
              <w:right w:val="nil"/>
            </w:tcBorders>
            <w:shd w:val="clear" w:color="auto" w:fill="auto"/>
            <w:noWrap/>
            <w:vAlign w:val="bottom"/>
            <w:hideMark/>
          </w:tcPr>
          <w:p w14:paraId="16F990D2" w14:textId="288D90B2" w:rsidR="00794270" w:rsidRPr="00E3243B" w:rsidRDefault="00794270" w:rsidP="00794270">
            <w:pPr>
              <w:spacing w:after="0" w:line="240" w:lineRule="auto"/>
              <w:jc w:val="right"/>
              <w:rPr>
                <w:rFonts w:ascii="Arial" w:hAnsi="Arial" w:cs="Arial"/>
                <w:sz w:val="16"/>
                <w:szCs w:val="16"/>
              </w:rPr>
            </w:pPr>
            <w:r>
              <w:rPr>
                <w:rFonts w:ascii="Arial" w:hAnsi="Arial" w:cs="Arial"/>
                <w:sz w:val="16"/>
                <w:szCs w:val="16"/>
              </w:rPr>
              <w:t>-</w:t>
            </w:r>
          </w:p>
        </w:tc>
        <w:tc>
          <w:tcPr>
            <w:tcW w:w="574" w:type="pct"/>
            <w:tcBorders>
              <w:top w:val="nil"/>
              <w:left w:val="nil"/>
              <w:bottom w:val="nil"/>
              <w:right w:val="nil"/>
            </w:tcBorders>
            <w:shd w:val="clear" w:color="auto" w:fill="auto"/>
            <w:noWrap/>
            <w:vAlign w:val="bottom"/>
            <w:hideMark/>
          </w:tcPr>
          <w:p w14:paraId="7F3580A2" w14:textId="59F4CBF0" w:rsidR="00794270" w:rsidRPr="00E3243B" w:rsidRDefault="00794270" w:rsidP="00794270">
            <w:pPr>
              <w:spacing w:after="0" w:line="240" w:lineRule="auto"/>
              <w:jc w:val="right"/>
              <w:rPr>
                <w:rFonts w:ascii="Arial" w:hAnsi="Arial" w:cs="Arial"/>
                <w:sz w:val="16"/>
                <w:szCs w:val="16"/>
              </w:rPr>
            </w:pPr>
            <w:r>
              <w:rPr>
                <w:rFonts w:ascii="Arial" w:hAnsi="Arial" w:cs="Arial"/>
                <w:sz w:val="16"/>
                <w:szCs w:val="16"/>
              </w:rPr>
              <w:t>-</w:t>
            </w:r>
          </w:p>
        </w:tc>
        <w:tc>
          <w:tcPr>
            <w:tcW w:w="574" w:type="pct"/>
            <w:tcBorders>
              <w:top w:val="nil"/>
              <w:left w:val="nil"/>
              <w:bottom w:val="nil"/>
              <w:right w:val="nil"/>
            </w:tcBorders>
            <w:shd w:val="clear" w:color="auto" w:fill="auto"/>
            <w:noWrap/>
            <w:vAlign w:val="bottom"/>
            <w:hideMark/>
          </w:tcPr>
          <w:p w14:paraId="4294B778" w14:textId="1F4096C6" w:rsidR="00794270" w:rsidRPr="00E3243B" w:rsidRDefault="00794270" w:rsidP="00794270">
            <w:pPr>
              <w:spacing w:after="0" w:line="240" w:lineRule="auto"/>
              <w:jc w:val="right"/>
              <w:rPr>
                <w:rFonts w:ascii="Arial" w:hAnsi="Arial" w:cs="Arial"/>
                <w:sz w:val="16"/>
                <w:szCs w:val="16"/>
              </w:rPr>
            </w:pPr>
            <w:r>
              <w:rPr>
                <w:rFonts w:ascii="Arial" w:hAnsi="Arial" w:cs="Arial"/>
                <w:sz w:val="16"/>
                <w:szCs w:val="16"/>
              </w:rPr>
              <w:t>-</w:t>
            </w:r>
          </w:p>
        </w:tc>
      </w:tr>
      <w:tr w:rsidR="00794270" w:rsidRPr="00E3243B" w14:paraId="3B02BB34" w14:textId="77777777" w:rsidTr="00794270">
        <w:trPr>
          <w:trHeight w:val="204"/>
        </w:trPr>
        <w:tc>
          <w:tcPr>
            <w:tcW w:w="2100" w:type="pct"/>
            <w:tcBorders>
              <w:top w:val="nil"/>
              <w:left w:val="nil"/>
              <w:bottom w:val="single" w:sz="4" w:space="0" w:color="auto"/>
              <w:right w:val="nil"/>
            </w:tcBorders>
            <w:shd w:val="clear" w:color="auto" w:fill="auto"/>
            <w:noWrap/>
            <w:vAlign w:val="bottom"/>
            <w:hideMark/>
          </w:tcPr>
          <w:p w14:paraId="23D9037B" w14:textId="77777777" w:rsidR="00794270" w:rsidRPr="00E3243B" w:rsidRDefault="00794270" w:rsidP="00794270">
            <w:pPr>
              <w:spacing w:after="0" w:line="240" w:lineRule="auto"/>
              <w:rPr>
                <w:rFonts w:ascii="Arial" w:hAnsi="Arial" w:cs="Arial"/>
                <w:b/>
                <w:bCs/>
                <w:sz w:val="16"/>
                <w:szCs w:val="16"/>
              </w:rPr>
            </w:pPr>
            <w:r w:rsidRPr="00E3243B">
              <w:rPr>
                <w:rFonts w:ascii="Arial" w:hAnsi="Arial" w:cs="Arial"/>
                <w:b/>
                <w:bCs/>
                <w:sz w:val="16"/>
                <w:szCs w:val="16"/>
              </w:rPr>
              <w:t>Total expenses for Program 3.3</w:t>
            </w:r>
          </w:p>
        </w:tc>
        <w:tc>
          <w:tcPr>
            <w:tcW w:w="605" w:type="pct"/>
            <w:tcBorders>
              <w:top w:val="single" w:sz="4" w:space="0" w:color="auto"/>
              <w:left w:val="nil"/>
              <w:bottom w:val="single" w:sz="4" w:space="0" w:color="auto"/>
              <w:right w:val="nil"/>
            </w:tcBorders>
            <w:shd w:val="clear" w:color="auto" w:fill="auto"/>
            <w:noWrap/>
            <w:vAlign w:val="bottom"/>
            <w:hideMark/>
          </w:tcPr>
          <w:p w14:paraId="57674E96" w14:textId="0BE4E294" w:rsidR="00794270" w:rsidRPr="00E3243B" w:rsidRDefault="00794270" w:rsidP="00794270">
            <w:pPr>
              <w:spacing w:after="0" w:line="240" w:lineRule="auto"/>
              <w:jc w:val="right"/>
              <w:rPr>
                <w:rFonts w:ascii="Arial" w:hAnsi="Arial" w:cs="Arial"/>
                <w:b/>
                <w:bCs/>
                <w:sz w:val="16"/>
                <w:szCs w:val="16"/>
              </w:rPr>
            </w:pPr>
            <w:r>
              <w:rPr>
                <w:rFonts w:ascii="Arial" w:hAnsi="Arial" w:cs="Arial"/>
                <w:b/>
                <w:bCs/>
                <w:sz w:val="16"/>
                <w:szCs w:val="16"/>
              </w:rPr>
              <w:t>1,235</w:t>
            </w:r>
          </w:p>
        </w:tc>
        <w:tc>
          <w:tcPr>
            <w:tcW w:w="574" w:type="pct"/>
            <w:tcBorders>
              <w:top w:val="single" w:sz="4" w:space="0" w:color="auto"/>
              <w:left w:val="nil"/>
              <w:bottom w:val="single" w:sz="4" w:space="0" w:color="auto"/>
              <w:right w:val="nil"/>
            </w:tcBorders>
            <w:shd w:val="clear" w:color="000000" w:fill="E6E6E6"/>
            <w:noWrap/>
            <w:vAlign w:val="bottom"/>
            <w:hideMark/>
          </w:tcPr>
          <w:p w14:paraId="313EC695" w14:textId="66D50787" w:rsidR="00794270" w:rsidRPr="00E3243B" w:rsidRDefault="00794270" w:rsidP="00794270">
            <w:pPr>
              <w:spacing w:after="0" w:line="240" w:lineRule="auto"/>
              <w:jc w:val="right"/>
              <w:rPr>
                <w:rFonts w:ascii="Arial" w:hAnsi="Arial" w:cs="Arial"/>
                <w:b/>
                <w:bCs/>
                <w:sz w:val="16"/>
                <w:szCs w:val="16"/>
              </w:rPr>
            </w:pPr>
            <w:r>
              <w:rPr>
                <w:rFonts w:ascii="Arial" w:hAnsi="Arial" w:cs="Arial"/>
                <w:b/>
                <w:bCs/>
                <w:sz w:val="16"/>
                <w:szCs w:val="16"/>
              </w:rPr>
              <w:t>3,790</w:t>
            </w:r>
          </w:p>
        </w:tc>
        <w:tc>
          <w:tcPr>
            <w:tcW w:w="574" w:type="pct"/>
            <w:tcBorders>
              <w:top w:val="single" w:sz="4" w:space="0" w:color="auto"/>
              <w:left w:val="nil"/>
              <w:bottom w:val="single" w:sz="4" w:space="0" w:color="auto"/>
              <w:right w:val="nil"/>
            </w:tcBorders>
            <w:shd w:val="clear" w:color="auto" w:fill="auto"/>
            <w:noWrap/>
            <w:vAlign w:val="bottom"/>
            <w:hideMark/>
          </w:tcPr>
          <w:p w14:paraId="5054FFCB" w14:textId="158EB5FD" w:rsidR="00794270" w:rsidRPr="00E3243B" w:rsidRDefault="00794270" w:rsidP="00794270">
            <w:pPr>
              <w:spacing w:after="0" w:line="240" w:lineRule="auto"/>
              <w:jc w:val="right"/>
              <w:rPr>
                <w:rFonts w:ascii="Arial" w:hAnsi="Arial" w:cs="Arial"/>
                <w:b/>
                <w:bCs/>
                <w:sz w:val="16"/>
                <w:szCs w:val="16"/>
              </w:rPr>
            </w:pPr>
            <w:r>
              <w:rPr>
                <w:rFonts w:ascii="Arial" w:hAnsi="Arial" w:cs="Arial"/>
                <w:b/>
                <w:bCs/>
                <w:sz w:val="16"/>
                <w:szCs w:val="16"/>
              </w:rPr>
              <w:t>130,000</w:t>
            </w:r>
          </w:p>
        </w:tc>
        <w:tc>
          <w:tcPr>
            <w:tcW w:w="574" w:type="pct"/>
            <w:tcBorders>
              <w:top w:val="single" w:sz="4" w:space="0" w:color="auto"/>
              <w:left w:val="nil"/>
              <w:bottom w:val="single" w:sz="4" w:space="0" w:color="auto"/>
              <w:right w:val="nil"/>
            </w:tcBorders>
            <w:shd w:val="clear" w:color="auto" w:fill="auto"/>
            <w:noWrap/>
            <w:vAlign w:val="bottom"/>
            <w:hideMark/>
          </w:tcPr>
          <w:p w14:paraId="67E5FB64" w14:textId="1EE86CA0" w:rsidR="00794270" w:rsidRPr="00E3243B" w:rsidRDefault="00794270" w:rsidP="00794270">
            <w:pPr>
              <w:spacing w:after="0" w:line="240" w:lineRule="auto"/>
              <w:jc w:val="right"/>
              <w:rPr>
                <w:rFonts w:ascii="Arial" w:hAnsi="Arial" w:cs="Arial"/>
                <w:b/>
                <w:bCs/>
                <w:sz w:val="16"/>
                <w:szCs w:val="16"/>
              </w:rPr>
            </w:pPr>
            <w:r>
              <w:rPr>
                <w:rFonts w:ascii="Arial" w:hAnsi="Arial" w:cs="Arial"/>
                <w:b/>
                <w:bCs/>
                <w:sz w:val="16"/>
                <w:szCs w:val="16"/>
              </w:rPr>
              <w:t>170,000</w:t>
            </w:r>
          </w:p>
        </w:tc>
        <w:tc>
          <w:tcPr>
            <w:tcW w:w="574" w:type="pct"/>
            <w:tcBorders>
              <w:top w:val="single" w:sz="4" w:space="0" w:color="auto"/>
              <w:left w:val="nil"/>
              <w:bottom w:val="single" w:sz="4" w:space="0" w:color="auto"/>
              <w:right w:val="nil"/>
            </w:tcBorders>
            <w:shd w:val="clear" w:color="auto" w:fill="auto"/>
            <w:noWrap/>
            <w:vAlign w:val="bottom"/>
            <w:hideMark/>
          </w:tcPr>
          <w:p w14:paraId="7CEA13B3" w14:textId="559BF510" w:rsidR="00794270" w:rsidRPr="00E3243B" w:rsidRDefault="00794270" w:rsidP="00794270">
            <w:pPr>
              <w:spacing w:after="0" w:line="240" w:lineRule="auto"/>
              <w:jc w:val="right"/>
              <w:rPr>
                <w:rFonts w:ascii="Arial" w:hAnsi="Arial" w:cs="Arial"/>
                <w:b/>
                <w:bCs/>
                <w:sz w:val="16"/>
                <w:szCs w:val="16"/>
              </w:rPr>
            </w:pPr>
            <w:r>
              <w:rPr>
                <w:rFonts w:ascii="Arial" w:hAnsi="Arial" w:cs="Arial"/>
                <w:b/>
                <w:bCs/>
                <w:sz w:val="16"/>
                <w:szCs w:val="16"/>
              </w:rPr>
              <w:t>50,000</w:t>
            </w:r>
          </w:p>
        </w:tc>
      </w:tr>
      <w:tr w:rsidR="00E3243B" w:rsidRPr="00E3243B" w14:paraId="7B504CB3" w14:textId="77777777" w:rsidTr="00794270">
        <w:trPr>
          <w:trHeight w:val="204"/>
        </w:trPr>
        <w:tc>
          <w:tcPr>
            <w:tcW w:w="4426" w:type="pct"/>
            <w:gridSpan w:val="5"/>
            <w:tcBorders>
              <w:top w:val="single" w:sz="4" w:space="0" w:color="auto"/>
              <w:left w:val="nil"/>
              <w:bottom w:val="single" w:sz="4" w:space="0" w:color="auto"/>
              <w:right w:val="nil"/>
            </w:tcBorders>
            <w:shd w:val="clear" w:color="000000" w:fill="E6E6E6"/>
            <w:noWrap/>
            <w:vAlign w:val="bottom"/>
            <w:hideMark/>
          </w:tcPr>
          <w:p w14:paraId="08EADCB8" w14:textId="77777777" w:rsidR="00E3243B" w:rsidRPr="00E3243B" w:rsidRDefault="00E3243B" w:rsidP="00E3243B">
            <w:pPr>
              <w:spacing w:after="0" w:line="240" w:lineRule="auto"/>
              <w:rPr>
                <w:rFonts w:ascii="Arial" w:hAnsi="Arial" w:cs="Arial"/>
                <w:b/>
                <w:bCs/>
                <w:sz w:val="16"/>
                <w:szCs w:val="16"/>
              </w:rPr>
            </w:pPr>
            <w:r w:rsidRPr="00E3243B">
              <w:rPr>
                <w:rFonts w:ascii="Arial" w:hAnsi="Arial" w:cs="Arial"/>
                <w:b/>
                <w:bCs/>
                <w:sz w:val="16"/>
                <w:szCs w:val="16"/>
              </w:rPr>
              <w:t>Components for Program 3.4: Growing a Stronger Northern Australian Economy</w:t>
            </w:r>
          </w:p>
        </w:tc>
        <w:tc>
          <w:tcPr>
            <w:tcW w:w="574" w:type="pct"/>
            <w:tcBorders>
              <w:top w:val="single" w:sz="4" w:space="0" w:color="auto"/>
              <w:left w:val="nil"/>
              <w:bottom w:val="single" w:sz="4" w:space="0" w:color="auto"/>
              <w:right w:val="nil"/>
            </w:tcBorders>
            <w:shd w:val="clear" w:color="000000" w:fill="E6E6E6"/>
            <w:noWrap/>
            <w:vAlign w:val="bottom"/>
            <w:hideMark/>
          </w:tcPr>
          <w:p w14:paraId="35222E20" w14:textId="77777777" w:rsidR="00E3243B" w:rsidRPr="00E3243B" w:rsidRDefault="00E3243B" w:rsidP="00E3243B">
            <w:pPr>
              <w:spacing w:after="0" w:line="240" w:lineRule="auto"/>
              <w:jc w:val="right"/>
              <w:rPr>
                <w:rFonts w:ascii="Arial" w:hAnsi="Arial" w:cs="Arial"/>
                <w:sz w:val="16"/>
                <w:szCs w:val="16"/>
              </w:rPr>
            </w:pPr>
            <w:r w:rsidRPr="00E3243B">
              <w:rPr>
                <w:rFonts w:ascii="Arial" w:hAnsi="Arial" w:cs="Arial"/>
                <w:sz w:val="16"/>
                <w:szCs w:val="16"/>
              </w:rPr>
              <w:t> </w:t>
            </w:r>
          </w:p>
        </w:tc>
      </w:tr>
      <w:tr w:rsidR="00E3243B" w:rsidRPr="00E3243B" w14:paraId="01DE021E" w14:textId="77777777" w:rsidTr="00794270">
        <w:trPr>
          <w:trHeight w:val="204"/>
        </w:trPr>
        <w:tc>
          <w:tcPr>
            <w:tcW w:w="2100" w:type="pct"/>
            <w:tcBorders>
              <w:top w:val="nil"/>
              <w:left w:val="nil"/>
              <w:bottom w:val="nil"/>
              <w:right w:val="nil"/>
            </w:tcBorders>
            <w:shd w:val="clear" w:color="auto" w:fill="auto"/>
            <w:noWrap/>
            <w:vAlign w:val="bottom"/>
            <w:hideMark/>
          </w:tcPr>
          <w:p w14:paraId="529B6F61" w14:textId="77777777" w:rsidR="00E3243B" w:rsidRPr="00E3243B" w:rsidRDefault="00E3243B" w:rsidP="00E3243B">
            <w:pPr>
              <w:spacing w:after="0" w:line="240" w:lineRule="auto"/>
              <w:rPr>
                <w:rFonts w:ascii="Arial" w:hAnsi="Arial" w:cs="Arial"/>
                <w:sz w:val="16"/>
                <w:szCs w:val="16"/>
              </w:rPr>
            </w:pPr>
            <w:r w:rsidRPr="00E3243B">
              <w:rPr>
                <w:rFonts w:ascii="Arial" w:hAnsi="Arial" w:cs="Arial"/>
                <w:sz w:val="16"/>
                <w:szCs w:val="16"/>
              </w:rPr>
              <w:t>Administered expenses:</w:t>
            </w:r>
          </w:p>
        </w:tc>
        <w:tc>
          <w:tcPr>
            <w:tcW w:w="605" w:type="pct"/>
            <w:tcBorders>
              <w:top w:val="nil"/>
              <w:left w:val="nil"/>
              <w:bottom w:val="nil"/>
              <w:right w:val="nil"/>
            </w:tcBorders>
            <w:shd w:val="clear" w:color="auto" w:fill="auto"/>
            <w:noWrap/>
            <w:vAlign w:val="bottom"/>
            <w:hideMark/>
          </w:tcPr>
          <w:p w14:paraId="300CBBEC" w14:textId="77777777" w:rsidR="00E3243B" w:rsidRPr="00E3243B" w:rsidRDefault="00E3243B" w:rsidP="00E3243B">
            <w:pPr>
              <w:spacing w:after="0" w:line="240" w:lineRule="auto"/>
              <w:jc w:val="right"/>
              <w:rPr>
                <w:rFonts w:ascii="Arial" w:hAnsi="Arial" w:cs="Arial"/>
                <w:sz w:val="16"/>
                <w:szCs w:val="16"/>
              </w:rPr>
            </w:pPr>
          </w:p>
        </w:tc>
        <w:tc>
          <w:tcPr>
            <w:tcW w:w="574" w:type="pct"/>
            <w:tcBorders>
              <w:top w:val="nil"/>
              <w:left w:val="nil"/>
              <w:bottom w:val="nil"/>
              <w:right w:val="nil"/>
            </w:tcBorders>
            <w:shd w:val="clear" w:color="000000" w:fill="E6E6E6"/>
            <w:noWrap/>
            <w:vAlign w:val="bottom"/>
            <w:hideMark/>
          </w:tcPr>
          <w:p w14:paraId="739224D9" w14:textId="0B1C0919" w:rsidR="00E3243B" w:rsidRPr="00E3243B" w:rsidRDefault="00E3243B" w:rsidP="00E3243B">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489C8A0C" w14:textId="77777777" w:rsidR="00E3243B" w:rsidRPr="00E3243B" w:rsidRDefault="00E3243B" w:rsidP="00E3243B">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3868D9E2" w14:textId="77777777" w:rsidR="00E3243B" w:rsidRPr="00E3243B" w:rsidRDefault="00E3243B" w:rsidP="00E3243B">
            <w:pPr>
              <w:spacing w:after="0" w:line="240" w:lineRule="auto"/>
              <w:jc w:val="right"/>
              <w:rPr>
                <w:rFonts w:ascii="Times New Roman" w:hAnsi="Times New Roman"/>
              </w:rPr>
            </w:pPr>
          </w:p>
        </w:tc>
        <w:tc>
          <w:tcPr>
            <w:tcW w:w="574" w:type="pct"/>
            <w:tcBorders>
              <w:top w:val="nil"/>
              <w:left w:val="nil"/>
              <w:bottom w:val="nil"/>
              <w:right w:val="nil"/>
            </w:tcBorders>
            <w:shd w:val="clear" w:color="auto" w:fill="auto"/>
            <w:noWrap/>
            <w:vAlign w:val="bottom"/>
            <w:hideMark/>
          </w:tcPr>
          <w:p w14:paraId="297B7FAE" w14:textId="77777777" w:rsidR="00E3243B" w:rsidRPr="00E3243B" w:rsidRDefault="00E3243B" w:rsidP="00E3243B">
            <w:pPr>
              <w:spacing w:after="0" w:line="240" w:lineRule="auto"/>
              <w:jc w:val="right"/>
              <w:rPr>
                <w:rFonts w:ascii="Times New Roman" w:hAnsi="Times New Roman"/>
              </w:rPr>
            </w:pPr>
          </w:p>
        </w:tc>
      </w:tr>
      <w:tr w:rsidR="00794270" w:rsidRPr="00E3243B" w14:paraId="0D1D03EE" w14:textId="77777777" w:rsidTr="00794270">
        <w:trPr>
          <w:trHeight w:val="204"/>
        </w:trPr>
        <w:tc>
          <w:tcPr>
            <w:tcW w:w="2100" w:type="pct"/>
            <w:tcBorders>
              <w:top w:val="nil"/>
              <w:left w:val="nil"/>
              <w:bottom w:val="nil"/>
              <w:right w:val="nil"/>
            </w:tcBorders>
            <w:shd w:val="clear" w:color="auto" w:fill="auto"/>
            <w:vAlign w:val="bottom"/>
            <w:hideMark/>
          </w:tcPr>
          <w:p w14:paraId="3D03EC73" w14:textId="77777777" w:rsidR="00794270" w:rsidRPr="00E3243B" w:rsidRDefault="00794270" w:rsidP="00794270">
            <w:pPr>
              <w:spacing w:after="0" w:line="240" w:lineRule="auto"/>
              <w:ind w:left="113"/>
              <w:rPr>
                <w:rFonts w:ascii="Arial" w:hAnsi="Arial" w:cs="Arial"/>
                <w:sz w:val="16"/>
                <w:szCs w:val="16"/>
              </w:rPr>
            </w:pPr>
            <w:r w:rsidRPr="00E3243B">
              <w:rPr>
                <w:rFonts w:ascii="Arial" w:hAnsi="Arial" w:cs="Arial"/>
                <w:sz w:val="16"/>
                <w:szCs w:val="16"/>
              </w:rPr>
              <w:t>Northern Australia Development Program</w:t>
            </w:r>
          </w:p>
        </w:tc>
        <w:tc>
          <w:tcPr>
            <w:tcW w:w="605" w:type="pct"/>
            <w:tcBorders>
              <w:top w:val="nil"/>
              <w:left w:val="nil"/>
              <w:bottom w:val="nil"/>
              <w:right w:val="nil"/>
            </w:tcBorders>
            <w:shd w:val="clear" w:color="auto" w:fill="auto"/>
            <w:noWrap/>
            <w:vAlign w:val="bottom"/>
            <w:hideMark/>
          </w:tcPr>
          <w:p w14:paraId="5A92D06B" w14:textId="15EB40B7" w:rsidR="00794270" w:rsidRPr="00E3243B" w:rsidRDefault="00794270" w:rsidP="00794270">
            <w:pPr>
              <w:spacing w:after="0" w:line="240" w:lineRule="auto"/>
              <w:jc w:val="right"/>
              <w:rPr>
                <w:rFonts w:ascii="Arial" w:hAnsi="Arial" w:cs="Arial"/>
                <w:sz w:val="16"/>
                <w:szCs w:val="16"/>
              </w:rPr>
            </w:pPr>
            <w:r>
              <w:rPr>
                <w:rFonts w:ascii="Arial" w:hAnsi="Arial" w:cs="Arial"/>
                <w:sz w:val="16"/>
                <w:szCs w:val="16"/>
              </w:rPr>
              <w:t>38,410</w:t>
            </w:r>
          </w:p>
        </w:tc>
        <w:tc>
          <w:tcPr>
            <w:tcW w:w="574" w:type="pct"/>
            <w:tcBorders>
              <w:top w:val="nil"/>
              <w:left w:val="nil"/>
              <w:bottom w:val="nil"/>
              <w:right w:val="nil"/>
            </w:tcBorders>
            <w:shd w:val="clear" w:color="000000" w:fill="E6E6E6"/>
            <w:noWrap/>
            <w:vAlign w:val="bottom"/>
            <w:hideMark/>
          </w:tcPr>
          <w:p w14:paraId="4D528524" w14:textId="7D1E5A68" w:rsidR="00794270" w:rsidRPr="00E3243B" w:rsidRDefault="00794270" w:rsidP="00794270">
            <w:pPr>
              <w:spacing w:after="0" w:line="240" w:lineRule="auto"/>
              <w:jc w:val="right"/>
              <w:rPr>
                <w:rFonts w:ascii="Arial" w:hAnsi="Arial" w:cs="Arial"/>
                <w:sz w:val="16"/>
                <w:szCs w:val="16"/>
              </w:rPr>
            </w:pPr>
            <w:r>
              <w:rPr>
                <w:rFonts w:ascii="Arial" w:hAnsi="Arial" w:cs="Arial"/>
                <w:sz w:val="16"/>
                <w:szCs w:val="16"/>
              </w:rPr>
              <w:t>40,306</w:t>
            </w:r>
          </w:p>
        </w:tc>
        <w:tc>
          <w:tcPr>
            <w:tcW w:w="574" w:type="pct"/>
            <w:tcBorders>
              <w:top w:val="nil"/>
              <w:left w:val="nil"/>
              <w:bottom w:val="nil"/>
              <w:right w:val="nil"/>
            </w:tcBorders>
            <w:shd w:val="clear" w:color="auto" w:fill="auto"/>
            <w:noWrap/>
            <w:vAlign w:val="bottom"/>
            <w:hideMark/>
          </w:tcPr>
          <w:p w14:paraId="71CAA1F9" w14:textId="107F5540" w:rsidR="00794270" w:rsidRPr="00E3243B" w:rsidRDefault="00794270" w:rsidP="00794270">
            <w:pPr>
              <w:spacing w:after="0" w:line="240" w:lineRule="auto"/>
              <w:jc w:val="right"/>
              <w:rPr>
                <w:rFonts w:ascii="Arial" w:hAnsi="Arial" w:cs="Arial"/>
                <w:sz w:val="16"/>
                <w:szCs w:val="16"/>
              </w:rPr>
            </w:pPr>
            <w:r>
              <w:rPr>
                <w:rFonts w:ascii="Arial" w:hAnsi="Arial" w:cs="Arial"/>
                <w:sz w:val="16"/>
                <w:szCs w:val="16"/>
              </w:rPr>
              <w:t>4,718</w:t>
            </w:r>
          </w:p>
        </w:tc>
        <w:tc>
          <w:tcPr>
            <w:tcW w:w="574" w:type="pct"/>
            <w:tcBorders>
              <w:top w:val="nil"/>
              <w:left w:val="nil"/>
              <w:bottom w:val="nil"/>
              <w:right w:val="nil"/>
            </w:tcBorders>
            <w:shd w:val="clear" w:color="auto" w:fill="auto"/>
            <w:noWrap/>
            <w:vAlign w:val="bottom"/>
            <w:hideMark/>
          </w:tcPr>
          <w:p w14:paraId="05B4BCE1" w14:textId="7FF62953" w:rsidR="00794270" w:rsidRPr="00E3243B" w:rsidRDefault="00794270" w:rsidP="00794270">
            <w:pPr>
              <w:spacing w:after="0" w:line="240" w:lineRule="auto"/>
              <w:jc w:val="right"/>
              <w:rPr>
                <w:rFonts w:ascii="Arial" w:hAnsi="Arial" w:cs="Arial"/>
                <w:sz w:val="16"/>
                <w:szCs w:val="16"/>
              </w:rPr>
            </w:pPr>
            <w:r>
              <w:rPr>
                <w:rFonts w:ascii="Arial" w:hAnsi="Arial" w:cs="Arial"/>
                <w:sz w:val="16"/>
                <w:szCs w:val="16"/>
              </w:rPr>
              <w:t>4,718</w:t>
            </w:r>
          </w:p>
        </w:tc>
        <w:tc>
          <w:tcPr>
            <w:tcW w:w="574" w:type="pct"/>
            <w:tcBorders>
              <w:top w:val="nil"/>
              <w:left w:val="nil"/>
              <w:bottom w:val="nil"/>
              <w:right w:val="nil"/>
            </w:tcBorders>
            <w:shd w:val="clear" w:color="auto" w:fill="auto"/>
            <w:noWrap/>
            <w:vAlign w:val="bottom"/>
            <w:hideMark/>
          </w:tcPr>
          <w:p w14:paraId="01BEBB1D" w14:textId="219C5462" w:rsidR="00794270" w:rsidRPr="00E3243B" w:rsidRDefault="00794270" w:rsidP="00794270">
            <w:pPr>
              <w:spacing w:after="0" w:line="240" w:lineRule="auto"/>
              <w:jc w:val="right"/>
              <w:rPr>
                <w:rFonts w:ascii="Arial" w:hAnsi="Arial" w:cs="Arial"/>
                <w:sz w:val="16"/>
                <w:szCs w:val="16"/>
              </w:rPr>
            </w:pPr>
            <w:r>
              <w:rPr>
                <w:rFonts w:ascii="Arial" w:hAnsi="Arial" w:cs="Arial"/>
                <w:sz w:val="16"/>
                <w:szCs w:val="16"/>
              </w:rPr>
              <w:t>-</w:t>
            </w:r>
          </w:p>
        </w:tc>
      </w:tr>
      <w:tr w:rsidR="00794270" w:rsidRPr="00E3243B" w14:paraId="12D66D65" w14:textId="77777777" w:rsidTr="00794270">
        <w:trPr>
          <w:trHeight w:val="204"/>
        </w:trPr>
        <w:tc>
          <w:tcPr>
            <w:tcW w:w="2100" w:type="pct"/>
            <w:tcBorders>
              <w:top w:val="nil"/>
              <w:left w:val="nil"/>
              <w:bottom w:val="nil"/>
              <w:right w:val="nil"/>
            </w:tcBorders>
            <w:shd w:val="clear" w:color="auto" w:fill="auto"/>
            <w:vAlign w:val="bottom"/>
            <w:hideMark/>
          </w:tcPr>
          <w:p w14:paraId="2D2C8460" w14:textId="77777777" w:rsidR="00794270" w:rsidRPr="00E3243B" w:rsidRDefault="00794270" w:rsidP="00794270">
            <w:pPr>
              <w:spacing w:after="0" w:line="240" w:lineRule="auto"/>
              <w:ind w:left="113"/>
              <w:rPr>
                <w:rFonts w:ascii="Arial" w:hAnsi="Arial" w:cs="Arial"/>
                <w:sz w:val="16"/>
                <w:szCs w:val="16"/>
              </w:rPr>
            </w:pPr>
            <w:r w:rsidRPr="00E3243B">
              <w:rPr>
                <w:rFonts w:ascii="Arial" w:hAnsi="Arial" w:cs="Arial"/>
                <w:sz w:val="16"/>
                <w:szCs w:val="16"/>
              </w:rPr>
              <w:t>Northern Australia Infrastructure Facility</w:t>
            </w:r>
          </w:p>
        </w:tc>
        <w:tc>
          <w:tcPr>
            <w:tcW w:w="605" w:type="pct"/>
            <w:tcBorders>
              <w:top w:val="nil"/>
              <w:left w:val="nil"/>
              <w:bottom w:val="nil"/>
              <w:right w:val="nil"/>
            </w:tcBorders>
            <w:shd w:val="clear" w:color="auto" w:fill="auto"/>
            <w:noWrap/>
            <w:vAlign w:val="bottom"/>
            <w:hideMark/>
          </w:tcPr>
          <w:p w14:paraId="1FDF2937" w14:textId="055DF791" w:rsidR="00794270" w:rsidRPr="00E3243B" w:rsidRDefault="00794270" w:rsidP="00794270">
            <w:pPr>
              <w:spacing w:after="0" w:line="240" w:lineRule="auto"/>
              <w:jc w:val="right"/>
              <w:rPr>
                <w:rFonts w:ascii="Arial" w:hAnsi="Arial" w:cs="Arial"/>
                <w:sz w:val="16"/>
                <w:szCs w:val="16"/>
              </w:rPr>
            </w:pPr>
            <w:r>
              <w:rPr>
                <w:rFonts w:ascii="Arial" w:hAnsi="Arial" w:cs="Arial"/>
                <w:sz w:val="16"/>
                <w:szCs w:val="16"/>
              </w:rPr>
              <w:t>164,794</w:t>
            </w:r>
          </w:p>
        </w:tc>
        <w:tc>
          <w:tcPr>
            <w:tcW w:w="574" w:type="pct"/>
            <w:tcBorders>
              <w:top w:val="nil"/>
              <w:left w:val="nil"/>
              <w:bottom w:val="nil"/>
              <w:right w:val="nil"/>
            </w:tcBorders>
            <w:shd w:val="clear" w:color="000000" w:fill="E6E6E6"/>
            <w:noWrap/>
            <w:vAlign w:val="bottom"/>
            <w:hideMark/>
          </w:tcPr>
          <w:p w14:paraId="4F3CDF1C" w14:textId="00EF1F7D" w:rsidR="00794270" w:rsidRPr="00E3243B" w:rsidRDefault="00794270" w:rsidP="00794270">
            <w:pPr>
              <w:spacing w:after="0" w:line="240" w:lineRule="auto"/>
              <w:jc w:val="right"/>
              <w:rPr>
                <w:rFonts w:ascii="Arial" w:hAnsi="Arial" w:cs="Arial"/>
                <w:sz w:val="16"/>
                <w:szCs w:val="16"/>
              </w:rPr>
            </w:pPr>
            <w:r>
              <w:rPr>
                <w:rFonts w:ascii="Arial" w:hAnsi="Arial" w:cs="Arial"/>
                <w:sz w:val="16"/>
                <w:szCs w:val="16"/>
              </w:rPr>
              <w:t>461,727</w:t>
            </w:r>
          </w:p>
        </w:tc>
        <w:tc>
          <w:tcPr>
            <w:tcW w:w="574" w:type="pct"/>
            <w:tcBorders>
              <w:top w:val="nil"/>
              <w:left w:val="nil"/>
              <w:bottom w:val="nil"/>
              <w:right w:val="nil"/>
            </w:tcBorders>
            <w:shd w:val="clear" w:color="auto" w:fill="auto"/>
            <w:noWrap/>
            <w:vAlign w:val="bottom"/>
            <w:hideMark/>
          </w:tcPr>
          <w:p w14:paraId="6D48193C" w14:textId="7097BF85" w:rsidR="00794270" w:rsidRPr="00E3243B" w:rsidRDefault="00794270" w:rsidP="00794270">
            <w:pPr>
              <w:spacing w:after="0" w:line="240" w:lineRule="auto"/>
              <w:jc w:val="right"/>
              <w:rPr>
                <w:rFonts w:ascii="Arial" w:hAnsi="Arial" w:cs="Arial"/>
                <w:sz w:val="16"/>
                <w:szCs w:val="16"/>
              </w:rPr>
            </w:pPr>
            <w:r>
              <w:rPr>
                <w:rFonts w:ascii="Arial" w:hAnsi="Arial" w:cs="Arial"/>
                <w:sz w:val="16"/>
                <w:szCs w:val="16"/>
              </w:rPr>
              <w:t>278,717</w:t>
            </w:r>
          </w:p>
        </w:tc>
        <w:tc>
          <w:tcPr>
            <w:tcW w:w="574" w:type="pct"/>
            <w:tcBorders>
              <w:top w:val="nil"/>
              <w:left w:val="nil"/>
              <w:bottom w:val="nil"/>
              <w:right w:val="nil"/>
            </w:tcBorders>
            <w:shd w:val="clear" w:color="auto" w:fill="auto"/>
            <w:noWrap/>
            <w:vAlign w:val="bottom"/>
            <w:hideMark/>
          </w:tcPr>
          <w:p w14:paraId="01FD1613" w14:textId="089B4B9B" w:rsidR="00794270" w:rsidRPr="00E3243B" w:rsidRDefault="00794270" w:rsidP="00794270">
            <w:pPr>
              <w:spacing w:after="0" w:line="240" w:lineRule="auto"/>
              <w:jc w:val="right"/>
              <w:rPr>
                <w:rFonts w:ascii="Arial" w:hAnsi="Arial" w:cs="Arial"/>
                <w:sz w:val="16"/>
                <w:szCs w:val="16"/>
              </w:rPr>
            </w:pPr>
            <w:r>
              <w:rPr>
                <w:rFonts w:ascii="Arial" w:hAnsi="Arial" w:cs="Arial"/>
                <w:sz w:val="16"/>
                <w:szCs w:val="16"/>
              </w:rPr>
              <w:t>212,350</w:t>
            </w:r>
          </w:p>
        </w:tc>
        <w:tc>
          <w:tcPr>
            <w:tcW w:w="574" w:type="pct"/>
            <w:tcBorders>
              <w:top w:val="nil"/>
              <w:left w:val="nil"/>
              <w:bottom w:val="nil"/>
              <w:right w:val="nil"/>
            </w:tcBorders>
            <w:shd w:val="clear" w:color="auto" w:fill="auto"/>
            <w:noWrap/>
            <w:vAlign w:val="bottom"/>
            <w:hideMark/>
          </w:tcPr>
          <w:p w14:paraId="6544935E" w14:textId="48B022BE" w:rsidR="00794270" w:rsidRPr="00E3243B" w:rsidRDefault="00794270" w:rsidP="00794270">
            <w:pPr>
              <w:spacing w:after="0" w:line="240" w:lineRule="auto"/>
              <w:jc w:val="right"/>
              <w:rPr>
                <w:rFonts w:ascii="Arial" w:hAnsi="Arial" w:cs="Arial"/>
                <w:sz w:val="16"/>
                <w:szCs w:val="16"/>
              </w:rPr>
            </w:pPr>
            <w:r>
              <w:rPr>
                <w:rFonts w:ascii="Arial" w:hAnsi="Arial" w:cs="Arial"/>
                <w:sz w:val="16"/>
                <w:szCs w:val="16"/>
              </w:rPr>
              <w:t>212,783</w:t>
            </w:r>
          </w:p>
        </w:tc>
      </w:tr>
      <w:tr w:rsidR="00794270" w:rsidRPr="00E3243B" w14:paraId="530ECA96" w14:textId="77777777" w:rsidTr="00794270">
        <w:trPr>
          <w:trHeight w:val="204"/>
        </w:trPr>
        <w:tc>
          <w:tcPr>
            <w:tcW w:w="2100" w:type="pct"/>
            <w:tcBorders>
              <w:top w:val="nil"/>
              <w:left w:val="nil"/>
              <w:bottom w:val="nil"/>
              <w:right w:val="nil"/>
            </w:tcBorders>
            <w:shd w:val="clear" w:color="auto" w:fill="auto"/>
            <w:vAlign w:val="bottom"/>
            <w:hideMark/>
          </w:tcPr>
          <w:p w14:paraId="472F89EB" w14:textId="785082D0" w:rsidR="00794270" w:rsidRPr="00E3243B" w:rsidRDefault="00794270" w:rsidP="00794270">
            <w:pPr>
              <w:spacing w:after="0" w:line="240" w:lineRule="auto"/>
              <w:ind w:left="113"/>
              <w:rPr>
                <w:rFonts w:ascii="Arial" w:hAnsi="Arial" w:cs="Arial"/>
                <w:sz w:val="16"/>
                <w:szCs w:val="16"/>
              </w:rPr>
            </w:pPr>
            <w:r w:rsidRPr="00E3243B">
              <w:rPr>
                <w:rFonts w:ascii="Arial" w:hAnsi="Arial" w:cs="Arial"/>
                <w:sz w:val="16"/>
                <w:szCs w:val="16"/>
              </w:rPr>
              <w:t>Payments to corporate entities</w:t>
            </w:r>
            <w:r w:rsidRPr="00E3243B">
              <w:rPr>
                <w:rFonts w:ascii="Arial" w:hAnsi="Arial" w:cs="Arial"/>
                <w:sz w:val="16"/>
                <w:szCs w:val="16"/>
                <w:vertAlign w:val="superscript"/>
              </w:rPr>
              <w:t>(</w:t>
            </w:r>
            <w:r>
              <w:rPr>
                <w:rFonts w:ascii="Arial" w:hAnsi="Arial" w:cs="Arial"/>
                <w:sz w:val="16"/>
                <w:szCs w:val="16"/>
                <w:vertAlign w:val="superscript"/>
              </w:rPr>
              <w:t>b</w:t>
            </w:r>
            <w:r w:rsidRPr="00E3243B">
              <w:rPr>
                <w:rFonts w:ascii="Arial" w:hAnsi="Arial" w:cs="Arial"/>
                <w:sz w:val="16"/>
                <w:szCs w:val="16"/>
                <w:vertAlign w:val="superscript"/>
              </w:rPr>
              <w:t>)</w:t>
            </w:r>
          </w:p>
        </w:tc>
        <w:tc>
          <w:tcPr>
            <w:tcW w:w="605" w:type="pct"/>
            <w:tcBorders>
              <w:top w:val="nil"/>
              <w:left w:val="nil"/>
              <w:bottom w:val="nil"/>
              <w:right w:val="nil"/>
            </w:tcBorders>
            <w:shd w:val="clear" w:color="auto" w:fill="auto"/>
            <w:noWrap/>
            <w:vAlign w:val="bottom"/>
            <w:hideMark/>
          </w:tcPr>
          <w:p w14:paraId="05CAC821" w14:textId="77777777" w:rsidR="00794270" w:rsidRPr="00E3243B" w:rsidRDefault="00794270" w:rsidP="00794270">
            <w:pPr>
              <w:spacing w:after="0" w:line="240" w:lineRule="auto"/>
              <w:ind w:firstLineChars="100" w:firstLine="160"/>
              <w:jc w:val="right"/>
              <w:rPr>
                <w:rFonts w:ascii="Arial" w:hAnsi="Arial" w:cs="Arial"/>
                <w:sz w:val="16"/>
                <w:szCs w:val="16"/>
              </w:rPr>
            </w:pPr>
          </w:p>
        </w:tc>
        <w:tc>
          <w:tcPr>
            <w:tcW w:w="574" w:type="pct"/>
            <w:tcBorders>
              <w:top w:val="nil"/>
              <w:left w:val="nil"/>
              <w:bottom w:val="nil"/>
              <w:right w:val="nil"/>
            </w:tcBorders>
            <w:shd w:val="clear" w:color="000000" w:fill="E6E6E6"/>
            <w:noWrap/>
            <w:vAlign w:val="bottom"/>
            <w:hideMark/>
          </w:tcPr>
          <w:p w14:paraId="4F6C3F9A" w14:textId="2831BE06" w:rsidR="00794270" w:rsidRPr="00E3243B" w:rsidRDefault="00794270" w:rsidP="00794270">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06D0D7D5" w14:textId="77777777" w:rsidR="00794270" w:rsidRPr="00E3243B" w:rsidRDefault="00794270" w:rsidP="00794270">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14F4B48A" w14:textId="77777777" w:rsidR="00794270" w:rsidRPr="00E3243B" w:rsidRDefault="00794270" w:rsidP="00794270">
            <w:pPr>
              <w:spacing w:after="0" w:line="240" w:lineRule="auto"/>
              <w:jc w:val="right"/>
              <w:rPr>
                <w:rFonts w:ascii="Times New Roman" w:hAnsi="Times New Roman"/>
              </w:rPr>
            </w:pPr>
          </w:p>
        </w:tc>
        <w:tc>
          <w:tcPr>
            <w:tcW w:w="574" w:type="pct"/>
            <w:tcBorders>
              <w:top w:val="nil"/>
              <w:left w:val="nil"/>
              <w:bottom w:val="nil"/>
              <w:right w:val="nil"/>
            </w:tcBorders>
            <w:shd w:val="clear" w:color="auto" w:fill="auto"/>
            <w:noWrap/>
            <w:vAlign w:val="bottom"/>
            <w:hideMark/>
          </w:tcPr>
          <w:p w14:paraId="0ABEC16B" w14:textId="77777777" w:rsidR="00794270" w:rsidRPr="00E3243B" w:rsidRDefault="00794270" w:rsidP="00794270">
            <w:pPr>
              <w:spacing w:after="0" w:line="240" w:lineRule="auto"/>
              <w:jc w:val="right"/>
              <w:rPr>
                <w:rFonts w:ascii="Times New Roman" w:hAnsi="Times New Roman"/>
              </w:rPr>
            </w:pPr>
          </w:p>
        </w:tc>
      </w:tr>
      <w:tr w:rsidR="00794270" w:rsidRPr="00E3243B" w14:paraId="69AD46B9" w14:textId="77777777" w:rsidTr="00794270">
        <w:trPr>
          <w:trHeight w:val="204"/>
        </w:trPr>
        <w:tc>
          <w:tcPr>
            <w:tcW w:w="2100" w:type="pct"/>
            <w:tcBorders>
              <w:top w:val="nil"/>
              <w:left w:val="nil"/>
              <w:bottom w:val="nil"/>
              <w:right w:val="nil"/>
            </w:tcBorders>
            <w:shd w:val="clear" w:color="auto" w:fill="auto"/>
            <w:vAlign w:val="bottom"/>
            <w:hideMark/>
          </w:tcPr>
          <w:p w14:paraId="797EB67A" w14:textId="77777777" w:rsidR="00794270" w:rsidRPr="00E3243B" w:rsidRDefault="00794270" w:rsidP="00794270">
            <w:pPr>
              <w:spacing w:after="0" w:line="240" w:lineRule="auto"/>
              <w:ind w:left="227"/>
              <w:rPr>
                <w:rFonts w:ascii="Arial" w:hAnsi="Arial" w:cs="Arial"/>
                <w:sz w:val="16"/>
                <w:szCs w:val="16"/>
              </w:rPr>
            </w:pPr>
            <w:r w:rsidRPr="00E3243B">
              <w:rPr>
                <w:rFonts w:ascii="Arial" w:hAnsi="Arial" w:cs="Arial"/>
                <w:sz w:val="16"/>
                <w:szCs w:val="16"/>
              </w:rPr>
              <w:t>Northern Australia Infrastructure Facility</w:t>
            </w:r>
          </w:p>
        </w:tc>
        <w:tc>
          <w:tcPr>
            <w:tcW w:w="605" w:type="pct"/>
            <w:tcBorders>
              <w:top w:val="nil"/>
              <w:left w:val="nil"/>
              <w:bottom w:val="nil"/>
              <w:right w:val="nil"/>
            </w:tcBorders>
            <w:shd w:val="clear" w:color="auto" w:fill="auto"/>
            <w:noWrap/>
            <w:vAlign w:val="bottom"/>
            <w:hideMark/>
          </w:tcPr>
          <w:p w14:paraId="0D2B6C4C" w14:textId="1753AE58" w:rsidR="00794270" w:rsidRPr="00E3243B" w:rsidRDefault="00794270" w:rsidP="00794270">
            <w:pPr>
              <w:spacing w:after="0" w:line="240" w:lineRule="auto"/>
              <w:jc w:val="right"/>
              <w:rPr>
                <w:rFonts w:ascii="Arial" w:hAnsi="Arial" w:cs="Arial"/>
                <w:sz w:val="16"/>
                <w:szCs w:val="16"/>
              </w:rPr>
            </w:pPr>
            <w:r>
              <w:rPr>
                <w:rFonts w:ascii="Arial" w:hAnsi="Arial" w:cs="Arial"/>
                <w:sz w:val="16"/>
                <w:szCs w:val="16"/>
              </w:rPr>
              <w:t>20,681</w:t>
            </w:r>
          </w:p>
        </w:tc>
        <w:tc>
          <w:tcPr>
            <w:tcW w:w="574" w:type="pct"/>
            <w:tcBorders>
              <w:top w:val="nil"/>
              <w:left w:val="nil"/>
              <w:bottom w:val="nil"/>
              <w:right w:val="nil"/>
            </w:tcBorders>
            <w:shd w:val="clear" w:color="000000" w:fill="E6E6E6"/>
            <w:noWrap/>
            <w:vAlign w:val="bottom"/>
            <w:hideMark/>
          </w:tcPr>
          <w:p w14:paraId="55E64A64" w14:textId="0054285C" w:rsidR="00794270" w:rsidRPr="00E3243B" w:rsidRDefault="00794270" w:rsidP="00794270">
            <w:pPr>
              <w:spacing w:after="0" w:line="240" w:lineRule="auto"/>
              <w:jc w:val="right"/>
              <w:rPr>
                <w:rFonts w:ascii="Arial" w:hAnsi="Arial" w:cs="Arial"/>
                <w:sz w:val="16"/>
                <w:szCs w:val="16"/>
              </w:rPr>
            </w:pPr>
            <w:r>
              <w:rPr>
                <w:rFonts w:ascii="Arial" w:hAnsi="Arial" w:cs="Arial"/>
                <w:sz w:val="16"/>
                <w:szCs w:val="16"/>
              </w:rPr>
              <w:t>21,295</w:t>
            </w:r>
          </w:p>
        </w:tc>
        <w:tc>
          <w:tcPr>
            <w:tcW w:w="574" w:type="pct"/>
            <w:tcBorders>
              <w:top w:val="nil"/>
              <w:left w:val="nil"/>
              <w:bottom w:val="nil"/>
              <w:right w:val="nil"/>
            </w:tcBorders>
            <w:shd w:val="clear" w:color="auto" w:fill="auto"/>
            <w:noWrap/>
            <w:vAlign w:val="bottom"/>
            <w:hideMark/>
          </w:tcPr>
          <w:p w14:paraId="7EC0D3AA" w14:textId="379D025A" w:rsidR="00794270" w:rsidRPr="00E3243B" w:rsidRDefault="00794270" w:rsidP="00794270">
            <w:pPr>
              <w:spacing w:after="0" w:line="240" w:lineRule="auto"/>
              <w:jc w:val="right"/>
              <w:rPr>
                <w:rFonts w:ascii="Arial" w:hAnsi="Arial" w:cs="Arial"/>
                <w:sz w:val="16"/>
                <w:szCs w:val="16"/>
              </w:rPr>
            </w:pPr>
            <w:r>
              <w:rPr>
                <w:rFonts w:ascii="Arial" w:hAnsi="Arial" w:cs="Arial"/>
                <w:sz w:val="16"/>
                <w:szCs w:val="16"/>
              </w:rPr>
              <w:t>21,814</w:t>
            </w:r>
          </w:p>
        </w:tc>
        <w:tc>
          <w:tcPr>
            <w:tcW w:w="574" w:type="pct"/>
            <w:tcBorders>
              <w:top w:val="nil"/>
              <w:left w:val="nil"/>
              <w:bottom w:val="nil"/>
              <w:right w:val="nil"/>
            </w:tcBorders>
            <w:shd w:val="clear" w:color="auto" w:fill="auto"/>
            <w:noWrap/>
            <w:vAlign w:val="bottom"/>
            <w:hideMark/>
          </w:tcPr>
          <w:p w14:paraId="46850BD5" w14:textId="1D7001A1" w:rsidR="00794270" w:rsidRPr="00E3243B" w:rsidRDefault="00794270" w:rsidP="00794270">
            <w:pPr>
              <w:spacing w:after="0" w:line="240" w:lineRule="auto"/>
              <w:jc w:val="right"/>
              <w:rPr>
                <w:rFonts w:ascii="Arial" w:hAnsi="Arial" w:cs="Arial"/>
                <w:sz w:val="16"/>
                <w:szCs w:val="16"/>
              </w:rPr>
            </w:pPr>
            <w:r>
              <w:rPr>
                <w:rFonts w:ascii="Arial" w:hAnsi="Arial" w:cs="Arial"/>
                <w:sz w:val="16"/>
                <w:szCs w:val="16"/>
              </w:rPr>
              <w:t>22,308</w:t>
            </w:r>
          </w:p>
        </w:tc>
        <w:tc>
          <w:tcPr>
            <w:tcW w:w="574" w:type="pct"/>
            <w:tcBorders>
              <w:top w:val="nil"/>
              <w:left w:val="nil"/>
              <w:bottom w:val="nil"/>
              <w:right w:val="nil"/>
            </w:tcBorders>
            <w:shd w:val="clear" w:color="auto" w:fill="auto"/>
            <w:noWrap/>
            <w:vAlign w:val="bottom"/>
            <w:hideMark/>
          </w:tcPr>
          <w:p w14:paraId="7923B395" w14:textId="6CFB3190" w:rsidR="00794270" w:rsidRPr="00E3243B" w:rsidRDefault="00794270" w:rsidP="00794270">
            <w:pPr>
              <w:spacing w:after="0" w:line="240" w:lineRule="auto"/>
              <w:jc w:val="right"/>
              <w:rPr>
                <w:rFonts w:ascii="Arial" w:hAnsi="Arial" w:cs="Arial"/>
                <w:sz w:val="16"/>
                <w:szCs w:val="16"/>
              </w:rPr>
            </w:pPr>
            <w:r>
              <w:rPr>
                <w:rFonts w:ascii="Arial" w:hAnsi="Arial" w:cs="Arial"/>
                <w:sz w:val="16"/>
                <w:szCs w:val="16"/>
              </w:rPr>
              <w:t>22,841</w:t>
            </w:r>
          </w:p>
        </w:tc>
      </w:tr>
      <w:tr w:rsidR="00794270" w:rsidRPr="00E3243B" w14:paraId="2A012487" w14:textId="77777777" w:rsidTr="00794270">
        <w:trPr>
          <w:trHeight w:val="204"/>
        </w:trPr>
        <w:tc>
          <w:tcPr>
            <w:tcW w:w="2100" w:type="pct"/>
            <w:tcBorders>
              <w:top w:val="nil"/>
              <w:left w:val="nil"/>
              <w:bottom w:val="single" w:sz="4" w:space="0" w:color="auto"/>
              <w:right w:val="nil"/>
            </w:tcBorders>
            <w:shd w:val="clear" w:color="auto" w:fill="auto"/>
            <w:noWrap/>
            <w:vAlign w:val="bottom"/>
            <w:hideMark/>
          </w:tcPr>
          <w:p w14:paraId="377F211E" w14:textId="77777777" w:rsidR="00794270" w:rsidRPr="00E3243B" w:rsidRDefault="00794270" w:rsidP="00794270">
            <w:pPr>
              <w:spacing w:after="0" w:line="240" w:lineRule="auto"/>
              <w:rPr>
                <w:rFonts w:ascii="Arial" w:hAnsi="Arial" w:cs="Arial"/>
                <w:b/>
                <w:bCs/>
                <w:sz w:val="16"/>
                <w:szCs w:val="16"/>
              </w:rPr>
            </w:pPr>
            <w:r w:rsidRPr="00E3243B">
              <w:rPr>
                <w:rFonts w:ascii="Arial" w:hAnsi="Arial" w:cs="Arial"/>
                <w:b/>
                <w:bCs/>
                <w:sz w:val="16"/>
                <w:szCs w:val="16"/>
              </w:rPr>
              <w:t>Total expenses for Program 3.4</w:t>
            </w:r>
          </w:p>
        </w:tc>
        <w:tc>
          <w:tcPr>
            <w:tcW w:w="605" w:type="pct"/>
            <w:tcBorders>
              <w:top w:val="single" w:sz="4" w:space="0" w:color="auto"/>
              <w:left w:val="nil"/>
              <w:bottom w:val="single" w:sz="4" w:space="0" w:color="auto"/>
              <w:right w:val="nil"/>
            </w:tcBorders>
            <w:shd w:val="clear" w:color="auto" w:fill="auto"/>
            <w:noWrap/>
            <w:vAlign w:val="bottom"/>
            <w:hideMark/>
          </w:tcPr>
          <w:p w14:paraId="232643AF" w14:textId="7BA9445D" w:rsidR="00794270" w:rsidRPr="00E3243B" w:rsidRDefault="00794270" w:rsidP="00794270">
            <w:pPr>
              <w:spacing w:after="0" w:line="240" w:lineRule="auto"/>
              <w:jc w:val="right"/>
              <w:rPr>
                <w:rFonts w:ascii="Arial" w:hAnsi="Arial" w:cs="Arial"/>
                <w:b/>
                <w:bCs/>
                <w:sz w:val="16"/>
                <w:szCs w:val="16"/>
              </w:rPr>
            </w:pPr>
            <w:r>
              <w:rPr>
                <w:rFonts w:ascii="Arial" w:hAnsi="Arial" w:cs="Arial"/>
                <w:b/>
                <w:bCs/>
                <w:sz w:val="16"/>
                <w:szCs w:val="16"/>
              </w:rPr>
              <w:t>223,885</w:t>
            </w:r>
          </w:p>
        </w:tc>
        <w:tc>
          <w:tcPr>
            <w:tcW w:w="574" w:type="pct"/>
            <w:tcBorders>
              <w:top w:val="single" w:sz="4" w:space="0" w:color="auto"/>
              <w:left w:val="nil"/>
              <w:bottom w:val="single" w:sz="4" w:space="0" w:color="auto"/>
              <w:right w:val="nil"/>
            </w:tcBorders>
            <w:shd w:val="clear" w:color="000000" w:fill="E6E6E6"/>
            <w:noWrap/>
            <w:vAlign w:val="bottom"/>
            <w:hideMark/>
          </w:tcPr>
          <w:p w14:paraId="0DFF4481" w14:textId="27B0A916" w:rsidR="00794270" w:rsidRPr="00E3243B" w:rsidRDefault="00794270" w:rsidP="00794270">
            <w:pPr>
              <w:spacing w:after="0" w:line="240" w:lineRule="auto"/>
              <w:jc w:val="right"/>
              <w:rPr>
                <w:rFonts w:ascii="Arial" w:hAnsi="Arial" w:cs="Arial"/>
                <w:b/>
                <w:bCs/>
                <w:sz w:val="16"/>
                <w:szCs w:val="16"/>
              </w:rPr>
            </w:pPr>
            <w:r>
              <w:rPr>
                <w:rFonts w:ascii="Arial" w:hAnsi="Arial" w:cs="Arial"/>
                <w:b/>
                <w:bCs/>
                <w:sz w:val="16"/>
                <w:szCs w:val="16"/>
              </w:rPr>
              <w:t>523,328</w:t>
            </w:r>
          </w:p>
        </w:tc>
        <w:tc>
          <w:tcPr>
            <w:tcW w:w="574" w:type="pct"/>
            <w:tcBorders>
              <w:top w:val="single" w:sz="4" w:space="0" w:color="auto"/>
              <w:left w:val="nil"/>
              <w:bottom w:val="single" w:sz="4" w:space="0" w:color="auto"/>
              <w:right w:val="nil"/>
            </w:tcBorders>
            <w:shd w:val="clear" w:color="auto" w:fill="auto"/>
            <w:noWrap/>
            <w:vAlign w:val="bottom"/>
            <w:hideMark/>
          </w:tcPr>
          <w:p w14:paraId="14F3B79F" w14:textId="3F5369DD" w:rsidR="00794270" w:rsidRPr="00E3243B" w:rsidRDefault="00794270" w:rsidP="00794270">
            <w:pPr>
              <w:spacing w:after="0" w:line="240" w:lineRule="auto"/>
              <w:jc w:val="right"/>
              <w:rPr>
                <w:rFonts w:ascii="Arial" w:hAnsi="Arial" w:cs="Arial"/>
                <w:b/>
                <w:bCs/>
                <w:sz w:val="16"/>
                <w:szCs w:val="16"/>
              </w:rPr>
            </w:pPr>
            <w:r>
              <w:rPr>
                <w:rFonts w:ascii="Arial" w:hAnsi="Arial" w:cs="Arial"/>
                <w:b/>
                <w:bCs/>
                <w:sz w:val="16"/>
                <w:szCs w:val="16"/>
              </w:rPr>
              <w:t>305,249</w:t>
            </w:r>
          </w:p>
        </w:tc>
        <w:tc>
          <w:tcPr>
            <w:tcW w:w="574" w:type="pct"/>
            <w:tcBorders>
              <w:top w:val="single" w:sz="4" w:space="0" w:color="auto"/>
              <w:left w:val="nil"/>
              <w:bottom w:val="single" w:sz="4" w:space="0" w:color="auto"/>
              <w:right w:val="nil"/>
            </w:tcBorders>
            <w:shd w:val="clear" w:color="auto" w:fill="auto"/>
            <w:noWrap/>
            <w:vAlign w:val="bottom"/>
            <w:hideMark/>
          </w:tcPr>
          <w:p w14:paraId="64D80F6C" w14:textId="7E1117F3" w:rsidR="00794270" w:rsidRPr="00E3243B" w:rsidRDefault="00794270" w:rsidP="00794270">
            <w:pPr>
              <w:spacing w:after="0" w:line="240" w:lineRule="auto"/>
              <w:jc w:val="right"/>
              <w:rPr>
                <w:rFonts w:ascii="Arial" w:hAnsi="Arial" w:cs="Arial"/>
                <w:b/>
                <w:bCs/>
                <w:sz w:val="16"/>
                <w:szCs w:val="16"/>
              </w:rPr>
            </w:pPr>
            <w:r>
              <w:rPr>
                <w:rFonts w:ascii="Arial" w:hAnsi="Arial" w:cs="Arial"/>
                <w:b/>
                <w:bCs/>
                <w:sz w:val="16"/>
                <w:szCs w:val="16"/>
              </w:rPr>
              <w:t>239,376</w:t>
            </w:r>
          </w:p>
        </w:tc>
        <w:tc>
          <w:tcPr>
            <w:tcW w:w="574" w:type="pct"/>
            <w:tcBorders>
              <w:top w:val="single" w:sz="4" w:space="0" w:color="auto"/>
              <w:left w:val="nil"/>
              <w:bottom w:val="single" w:sz="4" w:space="0" w:color="auto"/>
              <w:right w:val="nil"/>
            </w:tcBorders>
            <w:shd w:val="clear" w:color="auto" w:fill="auto"/>
            <w:noWrap/>
            <w:vAlign w:val="bottom"/>
            <w:hideMark/>
          </w:tcPr>
          <w:p w14:paraId="4FD49912" w14:textId="70D0CF38" w:rsidR="00794270" w:rsidRPr="00E3243B" w:rsidRDefault="00794270" w:rsidP="00794270">
            <w:pPr>
              <w:spacing w:after="0" w:line="240" w:lineRule="auto"/>
              <w:jc w:val="right"/>
              <w:rPr>
                <w:rFonts w:ascii="Arial" w:hAnsi="Arial" w:cs="Arial"/>
                <w:b/>
                <w:bCs/>
                <w:sz w:val="16"/>
                <w:szCs w:val="16"/>
              </w:rPr>
            </w:pPr>
            <w:r>
              <w:rPr>
                <w:rFonts w:ascii="Arial" w:hAnsi="Arial" w:cs="Arial"/>
                <w:b/>
                <w:bCs/>
                <w:sz w:val="16"/>
                <w:szCs w:val="16"/>
              </w:rPr>
              <w:t>235,624</w:t>
            </w:r>
          </w:p>
        </w:tc>
      </w:tr>
    </w:tbl>
    <w:p w14:paraId="0093DD8E" w14:textId="77777777" w:rsidR="00666202" w:rsidRDefault="00666202" w:rsidP="00666202">
      <w:pPr>
        <w:spacing w:before="60" w:after="0"/>
        <w:rPr>
          <w:rFonts w:ascii="Arial" w:hAnsi="Arial" w:cs="Arial"/>
          <w:sz w:val="16"/>
        </w:rPr>
      </w:pPr>
      <w:r>
        <w:rPr>
          <w:rFonts w:ascii="Arial" w:hAnsi="Arial" w:cs="Arial"/>
          <w:sz w:val="16"/>
        </w:rPr>
        <w:t>Table has been prepared inclusive of 2022-23 Additional Estimates figures.</w:t>
      </w:r>
    </w:p>
    <w:p w14:paraId="50560769" w14:textId="58F250A3" w:rsidR="00E3243B" w:rsidRDefault="00E3243B" w:rsidP="00977C28">
      <w:pPr>
        <w:pStyle w:val="ListParagraph"/>
        <w:numPr>
          <w:ilvl w:val="0"/>
          <w:numId w:val="160"/>
        </w:numPr>
        <w:spacing w:after="0" w:line="240" w:lineRule="auto"/>
        <w:ind w:left="426"/>
        <w:rPr>
          <w:rFonts w:ascii="Arial" w:hAnsi="Arial" w:cs="Arial"/>
          <w:sz w:val="16"/>
        </w:rPr>
      </w:pPr>
      <w:r>
        <w:rPr>
          <w:rFonts w:ascii="Arial" w:hAnsi="Arial" w:cs="Arial"/>
          <w:sz w:val="16"/>
        </w:rPr>
        <w:t>T</w:t>
      </w:r>
      <w:r w:rsidRPr="00E3243B">
        <w:rPr>
          <w:rFonts w:ascii="Arial" w:hAnsi="Arial" w:cs="Arial"/>
          <w:sz w:val="16"/>
        </w:rPr>
        <w:t>his program was transferred from the Department to the Department of Climate Change, Energy, the Environment and Water as part of the amendment to the Administrative Arrangements Order (AAO) with effect on 1 July 2022.</w:t>
      </w:r>
    </w:p>
    <w:p w14:paraId="43A75406" w14:textId="63A845E7" w:rsidR="00666202" w:rsidRDefault="00666202" w:rsidP="00977C28">
      <w:pPr>
        <w:pStyle w:val="ListParagraph"/>
        <w:numPr>
          <w:ilvl w:val="0"/>
          <w:numId w:val="160"/>
        </w:numPr>
        <w:spacing w:after="0" w:line="240" w:lineRule="auto"/>
        <w:ind w:left="426"/>
        <w:rPr>
          <w:rFonts w:ascii="Arial" w:hAnsi="Arial" w:cs="Arial"/>
          <w:sz w:val="16"/>
        </w:rPr>
      </w:pPr>
      <w:r>
        <w:rPr>
          <w:rFonts w:ascii="Arial" w:hAnsi="Arial" w:cs="Arial"/>
          <w:sz w:val="16"/>
        </w:rPr>
        <w:t xml:space="preserve">Relates to appropriation for corporate entities provided through the </w:t>
      </w:r>
      <w:r w:rsidR="00E17F15">
        <w:rPr>
          <w:rFonts w:ascii="Arial" w:hAnsi="Arial" w:cs="Arial"/>
          <w:sz w:val="16"/>
        </w:rPr>
        <w:t>Department</w:t>
      </w:r>
      <w:r>
        <w:rPr>
          <w:rFonts w:ascii="Arial" w:hAnsi="Arial" w:cs="Arial"/>
          <w:sz w:val="16"/>
        </w:rPr>
        <w:t>.</w:t>
      </w:r>
    </w:p>
    <w:p w14:paraId="0D6D8FF0" w14:textId="5EAEF670" w:rsidR="00115843" w:rsidRDefault="00115843" w:rsidP="00115843">
      <w:pPr>
        <w:spacing w:after="0" w:line="240" w:lineRule="auto"/>
        <w:rPr>
          <w:rFonts w:ascii="Arial" w:hAnsi="Arial" w:cs="Arial"/>
          <w:sz w:val="16"/>
        </w:rPr>
      </w:pPr>
      <w:r>
        <w:rPr>
          <w:rFonts w:ascii="Arial" w:hAnsi="Arial" w:cs="Arial"/>
          <w:sz w:val="16"/>
        </w:rPr>
        <w:br w:type="page"/>
      </w:r>
    </w:p>
    <w:p w14:paraId="7931102F" w14:textId="77777777" w:rsidR="009D1D35" w:rsidRDefault="009D1D35" w:rsidP="00115843">
      <w:pPr>
        <w:spacing w:after="0" w:line="240" w:lineRule="auto"/>
        <w:rPr>
          <w:rFonts w:ascii="Arial" w:hAnsi="Arial" w:cs="Arial"/>
          <w:sz w:val="16"/>
        </w:rPr>
      </w:pPr>
    </w:p>
    <w:p w14:paraId="3F37B3C4" w14:textId="62B0949A" w:rsidR="00115843" w:rsidRPr="00F71634" w:rsidRDefault="00115843" w:rsidP="00115843">
      <w:pPr>
        <w:pStyle w:val="TableHeading"/>
      </w:pPr>
      <w:r w:rsidRPr="00F71634">
        <w:t>Table 2.</w:t>
      </w:r>
      <w:r>
        <w:t>3</w:t>
      </w:r>
      <w:r w:rsidRPr="00F71634">
        <w:t xml:space="preserve">.3: Performance </w:t>
      </w:r>
      <w:r>
        <w:t>measure</w:t>
      </w:r>
      <w:r w:rsidR="005F455C">
        <w:rPr>
          <w:lang w:val="en-US"/>
        </w:rPr>
        <w:t>s</w:t>
      </w:r>
      <w:r w:rsidRPr="00F71634">
        <w:t xml:space="preserve"> for Outcome </w:t>
      </w:r>
      <w:r>
        <w:t>3</w:t>
      </w:r>
    </w:p>
    <w:p w14:paraId="56F84E47" w14:textId="50A865C9" w:rsidR="00115843" w:rsidRPr="005A19CC" w:rsidRDefault="00115843" w:rsidP="00115843">
      <w:r w:rsidRPr="005A19CC">
        <w:t>Table 2.</w:t>
      </w:r>
      <w:r>
        <w:t>3</w:t>
      </w:r>
      <w:r w:rsidRPr="005A19CC">
        <w:t xml:space="preserve">.3 details the performance measures for each program associated with Outcome </w:t>
      </w:r>
      <w:r>
        <w:t>3.</w:t>
      </w:r>
      <w:r w:rsidRPr="005A19CC">
        <w:t xml:space="preserve">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the </w:t>
      </w:r>
      <w:r w:rsidR="00047A4C">
        <w:t>2023</w:t>
      </w:r>
      <w:r w:rsidR="00047A4C">
        <w:noBreakHyphen/>
        <w:t xml:space="preserve">24 </w:t>
      </w:r>
      <w:r w:rsidRPr="005A19CC">
        <w:t xml:space="preserve">Budget measures that have created new programs or materially changed existing programs are provided. </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2"/>
        <w:gridCol w:w="3667"/>
        <w:gridCol w:w="11"/>
      </w:tblGrid>
      <w:tr w:rsidR="00115843" w:rsidRPr="009C035D" w14:paraId="3D7E8BBD" w14:textId="77777777" w:rsidTr="0084380A">
        <w:trPr>
          <w:trHeight w:val="569"/>
        </w:trPr>
        <w:tc>
          <w:tcPr>
            <w:tcW w:w="5000" w:type="pct"/>
            <w:gridSpan w:val="4"/>
            <w:shd w:val="clear" w:color="auto" w:fill="E6E6E6"/>
          </w:tcPr>
          <w:p w14:paraId="0EDFDF19" w14:textId="58E57119" w:rsidR="00115843" w:rsidRPr="009C035D" w:rsidRDefault="00115843" w:rsidP="00FB0D02">
            <w:pPr>
              <w:spacing w:before="60" w:after="60" w:line="240" w:lineRule="auto"/>
              <w:rPr>
                <w:rFonts w:ascii="Arial" w:hAnsi="Arial" w:cs="Arial"/>
                <w:b/>
                <w:highlight w:val="yellow"/>
              </w:rPr>
            </w:pPr>
            <w:r w:rsidRPr="009C035D">
              <w:rPr>
                <w:rFonts w:ascii="Arial" w:eastAsia="Calibri" w:hAnsi="Arial" w:cs="Arial"/>
                <w:b/>
              </w:rPr>
              <w:t>Outcome 3</w:t>
            </w:r>
            <w:r w:rsidRPr="009C035D">
              <w:rPr>
                <w:rFonts w:ascii="Arial" w:hAnsi="Arial" w:cs="Arial"/>
              </w:rPr>
              <w:t xml:space="preserve"> – </w:t>
            </w:r>
            <w:r w:rsidRPr="009C035D">
              <w:rPr>
                <w:rFonts w:ascii="Arial" w:eastAsia="Calibri" w:hAnsi="Arial" w:cs="Arial"/>
              </w:rPr>
              <w:t>Strengthening the sustainability, capacity and diversity of Australia’s cities and regions including northern Australia,</w:t>
            </w:r>
            <w:r w:rsidR="002232E5" w:rsidRPr="009C035D">
              <w:rPr>
                <w:rFonts w:ascii="Arial" w:eastAsia="Calibri" w:hAnsi="Arial" w:cs="Arial"/>
              </w:rPr>
              <w:t xml:space="preserve"> including</w:t>
            </w:r>
            <w:r w:rsidRPr="009C035D">
              <w:rPr>
                <w:rFonts w:ascii="Arial" w:eastAsia="Calibri" w:hAnsi="Arial" w:cs="Arial"/>
              </w:rPr>
              <w:t xml:space="preserve"> through facilitating local partnerships between all levels of government and local communities; through investment in infrastructure and measures that stimulate economic growth; and providing grants and financial assistance</w:t>
            </w:r>
            <w:r w:rsidR="001066C8" w:rsidRPr="009C035D">
              <w:rPr>
                <w:rFonts w:ascii="Arial" w:eastAsia="Calibri" w:hAnsi="Arial" w:cs="Arial"/>
              </w:rPr>
              <w:t>.</w:t>
            </w:r>
          </w:p>
        </w:tc>
      </w:tr>
      <w:tr w:rsidR="00115843" w:rsidRPr="009C035D" w14:paraId="3E96FB6A" w14:textId="77777777" w:rsidTr="0084380A">
        <w:trPr>
          <w:trHeight w:val="522"/>
        </w:trPr>
        <w:tc>
          <w:tcPr>
            <w:tcW w:w="5000" w:type="pct"/>
            <w:gridSpan w:val="4"/>
            <w:tcBorders>
              <w:bottom w:val="single" w:sz="4" w:space="0" w:color="auto"/>
            </w:tcBorders>
            <w:shd w:val="clear" w:color="auto" w:fill="E6E6E6"/>
          </w:tcPr>
          <w:p w14:paraId="3AC39A57" w14:textId="77777777" w:rsidR="00115843" w:rsidRPr="009C035D" w:rsidRDefault="00115843" w:rsidP="002232E5">
            <w:pPr>
              <w:spacing w:before="60" w:after="60" w:line="240" w:lineRule="auto"/>
              <w:rPr>
                <w:rFonts w:ascii="Arial" w:eastAsia="Calibri" w:hAnsi="Arial" w:cs="Arial"/>
                <w:b/>
                <w:sz w:val="18"/>
                <w:szCs w:val="18"/>
              </w:rPr>
            </w:pPr>
            <w:r w:rsidRPr="009C035D">
              <w:rPr>
                <w:rFonts w:ascii="Arial" w:eastAsia="Calibri" w:hAnsi="Arial" w:cs="Arial"/>
                <w:b/>
                <w:sz w:val="18"/>
                <w:szCs w:val="18"/>
              </w:rPr>
              <w:t>Program 3.1 – Regional Development</w:t>
            </w:r>
          </w:p>
          <w:p w14:paraId="7D04DCC9" w14:textId="77777777" w:rsidR="00115843" w:rsidRPr="009C035D" w:rsidRDefault="00115843" w:rsidP="00FB0D02">
            <w:pPr>
              <w:pStyle w:val="TableTextLeft"/>
              <w:rPr>
                <w:rFonts w:cs="Arial"/>
                <w:szCs w:val="18"/>
                <w:highlight w:val="yellow"/>
              </w:rPr>
            </w:pPr>
            <w:r w:rsidRPr="009C035D">
              <w:rPr>
                <w:rFonts w:eastAsia="Calibri" w:cs="Arial"/>
                <w:szCs w:val="18"/>
                <w:lang w:eastAsia="en-US"/>
              </w:rPr>
              <w:t>The regional development program supports regional development and local communities through regionally focused stakeholder consultation and engagement, research, policy development and program delivery activities to create jobs, drive regional economic growth and build stronger regional communities.</w:t>
            </w:r>
          </w:p>
        </w:tc>
      </w:tr>
      <w:tr w:rsidR="00115843" w:rsidRPr="009C035D" w14:paraId="6436E45F" w14:textId="77777777" w:rsidTr="0084380A">
        <w:trPr>
          <w:trHeight w:val="694"/>
        </w:trPr>
        <w:tc>
          <w:tcPr>
            <w:tcW w:w="999" w:type="pct"/>
          </w:tcPr>
          <w:p w14:paraId="4137D6AB" w14:textId="791DE346" w:rsidR="00115843" w:rsidRPr="009C035D" w:rsidRDefault="00115843" w:rsidP="00FB0D02">
            <w:pPr>
              <w:tabs>
                <w:tab w:val="left" w:pos="709"/>
              </w:tabs>
              <w:spacing w:before="60" w:after="60"/>
              <w:rPr>
                <w:rFonts w:ascii="Arial" w:hAnsi="Arial" w:cs="Arial"/>
                <w:b/>
                <w:sz w:val="16"/>
                <w:szCs w:val="16"/>
              </w:rPr>
            </w:pPr>
            <w:r w:rsidRPr="009C035D">
              <w:rPr>
                <w:rFonts w:ascii="Arial" w:eastAsia="Calibri" w:hAnsi="Arial" w:cs="Arial"/>
                <w:b/>
                <w:sz w:val="16"/>
                <w:szCs w:val="16"/>
              </w:rPr>
              <w:t>Key Activities</w:t>
            </w:r>
          </w:p>
        </w:tc>
        <w:tc>
          <w:tcPr>
            <w:tcW w:w="4001" w:type="pct"/>
            <w:gridSpan w:val="3"/>
          </w:tcPr>
          <w:p w14:paraId="16332AB3" w14:textId="4A4FF2FD" w:rsidR="00115843" w:rsidRPr="009C035D" w:rsidRDefault="00115843" w:rsidP="00977C28">
            <w:pPr>
              <w:numPr>
                <w:ilvl w:val="0"/>
                <w:numId w:val="9"/>
              </w:numPr>
              <w:spacing w:before="60" w:after="0" w:line="240" w:lineRule="auto"/>
              <w:ind w:left="322" w:hanging="322"/>
              <w:rPr>
                <w:rFonts w:ascii="Arial" w:eastAsia="Calibri" w:hAnsi="Arial" w:cs="Arial"/>
                <w:sz w:val="16"/>
                <w:szCs w:val="16"/>
              </w:rPr>
            </w:pPr>
            <w:r w:rsidRPr="009C035D">
              <w:rPr>
                <w:rFonts w:ascii="Arial" w:eastAsia="Calibri" w:hAnsi="Arial" w:cs="Arial"/>
                <w:sz w:val="16"/>
                <w:szCs w:val="16"/>
              </w:rPr>
              <w:t>Provide policy leadership and deliver programs to support regional development</w:t>
            </w:r>
            <w:r w:rsidR="007C47D6" w:rsidRPr="009C035D">
              <w:rPr>
                <w:rFonts w:ascii="Arial" w:eastAsia="Calibri" w:hAnsi="Arial" w:cs="Arial"/>
                <w:sz w:val="16"/>
                <w:szCs w:val="16"/>
              </w:rPr>
              <w:t xml:space="preserve">, </w:t>
            </w:r>
            <w:r w:rsidRPr="009C035D">
              <w:rPr>
                <w:rFonts w:ascii="Arial" w:eastAsia="Calibri" w:hAnsi="Arial" w:cs="Arial"/>
                <w:sz w:val="16"/>
                <w:szCs w:val="16"/>
              </w:rPr>
              <w:t>local government</w:t>
            </w:r>
            <w:r w:rsidR="007C47D6" w:rsidRPr="009C035D">
              <w:rPr>
                <w:rFonts w:ascii="Arial" w:eastAsia="Calibri" w:hAnsi="Arial" w:cs="Arial"/>
                <w:sz w:val="16"/>
                <w:szCs w:val="16"/>
              </w:rPr>
              <w:t xml:space="preserve"> and urban renewal</w:t>
            </w:r>
            <w:r w:rsidR="000908D6" w:rsidRPr="009C035D">
              <w:rPr>
                <w:rFonts w:ascii="Arial" w:eastAsia="Calibri" w:hAnsi="Arial" w:cs="Arial"/>
                <w:sz w:val="16"/>
                <w:szCs w:val="16"/>
              </w:rPr>
              <w:t>.</w:t>
            </w:r>
          </w:p>
          <w:p w14:paraId="43F9E0EE" w14:textId="7C2934D3" w:rsidR="00115843" w:rsidRPr="009C035D" w:rsidRDefault="00115843" w:rsidP="00977C28">
            <w:pPr>
              <w:numPr>
                <w:ilvl w:val="0"/>
                <w:numId w:val="9"/>
              </w:numPr>
              <w:spacing w:after="60" w:line="240" w:lineRule="auto"/>
              <w:ind w:left="322" w:hanging="322"/>
              <w:rPr>
                <w:rFonts w:ascii="Arial" w:hAnsi="Arial" w:cs="Arial"/>
                <w:sz w:val="16"/>
                <w:szCs w:val="16"/>
              </w:rPr>
            </w:pPr>
            <w:r w:rsidRPr="009C035D">
              <w:rPr>
                <w:rFonts w:ascii="Arial" w:eastAsia="Calibri" w:hAnsi="Arial" w:cs="Arial"/>
                <w:sz w:val="16"/>
                <w:szCs w:val="16"/>
              </w:rPr>
              <w:t>Advise on and deliver City Deals and Regional Deals</w:t>
            </w:r>
            <w:r w:rsidR="007C47D6" w:rsidRPr="009C035D">
              <w:rPr>
                <w:rFonts w:ascii="Arial" w:eastAsia="Calibri" w:hAnsi="Arial" w:cs="Arial"/>
                <w:sz w:val="16"/>
                <w:szCs w:val="16"/>
              </w:rPr>
              <w:t>.</w:t>
            </w:r>
            <w:r w:rsidRPr="009C035D">
              <w:rPr>
                <w:rFonts w:ascii="Arial" w:eastAsia="Calibri" w:hAnsi="Arial" w:cs="Arial"/>
                <w:sz w:val="16"/>
                <w:szCs w:val="16"/>
              </w:rPr>
              <w:t xml:space="preserve"> </w:t>
            </w:r>
          </w:p>
        </w:tc>
      </w:tr>
      <w:tr w:rsidR="00115843" w:rsidRPr="009C035D" w14:paraId="75C083ED" w14:textId="77777777" w:rsidTr="0084380A">
        <w:trPr>
          <w:gridAfter w:val="1"/>
          <w:wAfter w:w="7" w:type="pct"/>
          <w:trHeight w:val="258"/>
        </w:trPr>
        <w:tc>
          <w:tcPr>
            <w:tcW w:w="999" w:type="pct"/>
            <w:tcBorders>
              <w:top w:val="double" w:sz="4" w:space="0" w:color="auto"/>
              <w:bottom w:val="single" w:sz="4" w:space="0" w:color="auto"/>
              <w:right w:val="single" w:sz="4" w:space="0" w:color="auto"/>
            </w:tcBorders>
          </w:tcPr>
          <w:p w14:paraId="28E40F84" w14:textId="77777777" w:rsidR="00115843" w:rsidRPr="009C035D" w:rsidRDefault="00115843" w:rsidP="00FB0D02">
            <w:pPr>
              <w:pStyle w:val="TableTextBase"/>
              <w:rPr>
                <w:rFonts w:cs="Arial"/>
                <w:b/>
                <w:sz w:val="16"/>
                <w:szCs w:val="16"/>
              </w:rPr>
            </w:pPr>
            <w:bookmarkStart w:id="25" w:name="_Hlk114146566"/>
            <w:r w:rsidRPr="009C035D">
              <w:rPr>
                <w:rFonts w:cs="Arial"/>
                <w:b/>
                <w:sz w:val="16"/>
                <w:szCs w:val="16"/>
              </w:rPr>
              <w:t>Year</w:t>
            </w:r>
          </w:p>
        </w:tc>
        <w:tc>
          <w:tcPr>
            <w:tcW w:w="1639" w:type="pct"/>
            <w:tcBorders>
              <w:top w:val="double" w:sz="4" w:space="0" w:color="auto"/>
              <w:left w:val="single" w:sz="4" w:space="0" w:color="auto"/>
              <w:bottom w:val="single" w:sz="4" w:space="0" w:color="auto"/>
              <w:right w:val="single" w:sz="4" w:space="0" w:color="auto"/>
            </w:tcBorders>
          </w:tcPr>
          <w:p w14:paraId="50341039" w14:textId="77777777" w:rsidR="00115843" w:rsidRPr="009C035D" w:rsidRDefault="00115843" w:rsidP="00FB0D02">
            <w:pPr>
              <w:pStyle w:val="TableTextBase"/>
              <w:rPr>
                <w:rFonts w:cs="Arial"/>
                <w:b/>
                <w:sz w:val="16"/>
                <w:szCs w:val="16"/>
              </w:rPr>
            </w:pPr>
            <w:r w:rsidRPr="009C035D">
              <w:rPr>
                <w:rFonts w:cs="Arial"/>
                <w:b/>
                <w:sz w:val="16"/>
                <w:szCs w:val="16"/>
              </w:rPr>
              <w:t>Performance measures</w:t>
            </w:r>
          </w:p>
        </w:tc>
        <w:tc>
          <w:tcPr>
            <w:tcW w:w="2355" w:type="pct"/>
            <w:tcBorders>
              <w:top w:val="double" w:sz="4" w:space="0" w:color="auto"/>
              <w:left w:val="single" w:sz="4" w:space="0" w:color="auto"/>
              <w:bottom w:val="single" w:sz="4" w:space="0" w:color="auto"/>
            </w:tcBorders>
          </w:tcPr>
          <w:p w14:paraId="785F294E" w14:textId="77777777" w:rsidR="00115843" w:rsidRPr="009C035D" w:rsidRDefault="00115843" w:rsidP="00FB0D02">
            <w:pPr>
              <w:pStyle w:val="TableTextBase"/>
              <w:rPr>
                <w:rFonts w:cs="Arial"/>
                <w:b/>
                <w:sz w:val="16"/>
                <w:szCs w:val="16"/>
              </w:rPr>
            </w:pPr>
            <w:r w:rsidRPr="009C035D">
              <w:rPr>
                <w:rFonts w:cs="Arial"/>
                <w:b/>
                <w:sz w:val="16"/>
                <w:szCs w:val="16"/>
              </w:rPr>
              <w:t>Expected Performance Results</w:t>
            </w:r>
          </w:p>
        </w:tc>
      </w:tr>
      <w:tr w:rsidR="0084380A" w:rsidRPr="009C035D" w14:paraId="42C41ECA" w14:textId="77777777" w:rsidTr="0084380A">
        <w:trPr>
          <w:gridAfter w:val="1"/>
          <w:wAfter w:w="7" w:type="pct"/>
          <w:cantSplit/>
          <w:trHeight w:val="642"/>
        </w:trPr>
        <w:tc>
          <w:tcPr>
            <w:tcW w:w="999" w:type="pct"/>
            <w:vMerge w:val="restart"/>
            <w:tcBorders>
              <w:top w:val="single" w:sz="4" w:space="0" w:color="auto"/>
              <w:right w:val="single" w:sz="4" w:space="0" w:color="auto"/>
            </w:tcBorders>
          </w:tcPr>
          <w:p w14:paraId="75921F31" w14:textId="7B63E1E0" w:rsidR="0084380A" w:rsidRPr="009C035D" w:rsidRDefault="0084380A" w:rsidP="00FB0D02">
            <w:pPr>
              <w:pStyle w:val="TableTextBase"/>
              <w:rPr>
                <w:rFonts w:cs="Arial"/>
                <w:sz w:val="16"/>
                <w:szCs w:val="16"/>
              </w:rPr>
            </w:pPr>
            <w:r w:rsidRPr="009C035D">
              <w:rPr>
                <w:rFonts w:cs="Arial"/>
                <w:sz w:val="16"/>
                <w:szCs w:val="16"/>
              </w:rPr>
              <w:t xml:space="preserve">Current year </w:t>
            </w:r>
          </w:p>
          <w:p w14:paraId="01C3A400" w14:textId="5C6941B5" w:rsidR="0084380A" w:rsidRPr="009C035D" w:rsidRDefault="0084380A" w:rsidP="00FB0D02">
            <w:pPr>
              <w:pStyle w:val="TableTextBase"/>
              <w:rPr>
                <w:rFonts w:cs="Arial"/>
                <w:sz w:val="16"/>
                <w:szCs w:val="16"/>
              </w:rPr>
            </w:pPr>
            <w:r w:rsidRPr="009C035D">
              <w:rPr>
                <w:rFonts w:cs="Arial"/>
                <w:sz w:val="16"/>
                <w:szCs w:val="16"/>
              </w:rPr>
              <w:t>2022–23</w:t>
            </w:r>
          </w:p>
        </w:tc>
        <w:tc>
          <w:tcPr>
            <w:tcW w:w="1639" w:type="pct"/>
            <w:tcBorders>
              <w:top w:val="single" w:sz="4" w:space="0" w:color="auto"/>
              <w:left w:val="single" w:sz="4" w:space="0" w:color="auto"/>
              <w:bottom w:val="single" w:sz="4" w:space="0" w:color="auto"/>
              <w:right w:val="single" w:sz="4" w:space="0" w:color="auto"/>
            </w:tcBorders>
          </w:tcPr>
          <w:p w14:paraId="75F66194" w14:textId="011296A1" w:rsidR="0084380A" w:rsidRPr="009C035D" w:rsidRDefault="0084380A" w:rsidP="0084380A">
            <w:pPr>
              <w:spacing w:before="60" w:after="60" w:line="240" w:lineRule="auto"/>
              <w:contextualSpacing/>
              <w:rPr>
                <w:rFonts w:ascii="Arial" w:eastAsia="Calibri" w:hAnsi="Arial" w:cs="Arial"/>
                <w:sz w:val="16"/>
                <w:szCs w:val="16"/>
              </w:rPr>
            </w:pPr>
            <w:r w:rsidRPr="009C035D">
              <w:rPr>
                <w:rFonts w:ascii="Arial" w:eastAsia="Calibri" w:hAnsi="Arial" w:cs="Arial"/>
                <w:sz w:val="16"/>
                <w:szCs w:val="16"/>
              </w:rPr>
              <w:t>Performance in delivering legacy regional programs</w:t>
            </w:r>
          </w:p>
        </w:tc>
        <w:tc>
          <w:tcPr>
            <w:tcW w:w="2355" w:type="pct"/>
            <w:tcBorders>
              <w:top w:val="single" w:sz="4" w:space="0" w:color="auto"/>
              <w:left w:val="single" w:sz="4" w:space="0" w:color="auto"/>
              <w:bottom w:val="single" w:sz="4" w:space="0" w:color="auto"/>
            </w:tcBorders>
          </w:tcPr>
          <w:p w14:paraId="177F8646" w14:textId="3E488ADF" w:rsidR="000908D6" w:rsidRPr="009C035D" w:rsidRDefault="000908D6" w:rsidP="0084380A">
            <w:pPr>
              <w:pStyle w:val="TableParagraph"/>
              <w:spacing w:before="60" w:after="60"/>
              <w:rPr>
                <w:sz w:val="16"/>
                <w:szCs w:val="16"/>
              </w:rPr>
            </w:pPr>
            <w:r w:rsidRPr="009C035D">
              <w:rPr>
                <w:sz w:val="16"/>
                <w:szCs w:val="16"/>
              </w:rPr>
              <w:t>Target: By June 2023, 95% of all contracted commitments in legacy programs on target for completion.</w:t>
            </w:r>
          </w:p>
          <w:p w14:paraId="2EE9310C" w14:textId="69C3CC3F" w:rsidR="0084380A" w:rsidRPr="009C035D" w:rsidRDefault="0084380A" w:rsidP="0084380A">
            <w:pPr>
              <w:pStyle w:val="TableParagraph"/>
              <w:spacing w:before="60" w:after="60"/>
              <w:rPr>
                <w:sz w:val="16"/>
                <w:szCs w:val="16"/>
              </w:rPr>
            </w:pPr>
            <w:r w:rsidRPr="009C035D">
              <w:rPr>
                <w:sz w:val="16"/>
                <w:szCs w:val="16"/>
              </w:rPr>
              <w:t>Target expected to be partially met.</w:t>
            </w:r>
          </w:p>
          <w:p w14:paraId="2F1B3B71" w14:textId="3F5D1962" w:rsidR="0084380A" w:rsidRPr="009C035D" w:rsidRDefault="0084380A" w:rsidP="0084380A">
            <w:pPr>
              <w:pStyle w:val="TableTextPortrait"/>
              <w:spacing w:before="240" w:after="60"/>
              <w:rPr>
                <w:rFonts w:ascii="Arial" w:hAnsi="Arial" w:cs="Arial"/>
                <w:sz w:val="16"/>
                <w:szCs w:val="16"/>
              </w:rPr>
            </w:pPr>
            <w:r w:rsidRPr="009C035D">
              <w:rPr>
                <w:rFonts w:ascii="Arial" w:eastAsia="Calibri" w:hAnsi="Arial" w:cs="Arial"/>
                <w:sz w:val="16"/>
                <w:szCs w:val="16"/>
                <w:lang w:eastAsia="en-AU"/>
              </w:rPr>
              <w:t>With three of the four legacy program targets expected to be met, the overall achievement is Target expected to be partially met</w:t>
            </w:r>
            <w:r w:rsidR="001066C8" w:rsidRPr="009C035D">
              <w:rPr>
                <w:rFonts w:ascii="Arial" w:eastAsia="Calibri" w:hAnsi="Arial" w:cs="Arial"/>
                <w:sz w:val="16"/>
                <w:szCs w:val="16"/>
                <w:lang w:eastAsia="en-AU"/>
              </w:rPr>
              <w:t>.</w:t>
            </w:r>
          </w:p>
        </w:tc>
      </w:tr>
      <w:tr w:rsidR="0084380A" w:rsidRPr="009C035D" w14:paraId="6905895D" w14:textId="77777777" w:rsidTr="0084380A">
        <w:trPr>
          <w:gridAfter w:val="1"/>
          <w:wAfter w:w="7" w:type="pct"/>
          <w:cantSplit/>
          <w:trHeight w:val="642"/>
        </w:trPr>
        <w:tc>
          <w:tcPr>
            <w:tcW w:w="999" w:type="pct"/>
            <w:vMerge/>
            <w:tcBorders>
              <w:right w:val="single" w:sz="4" w:space="0" w:color="auto"/>
            </w:tcBorders>
          </w:tcPr>
          <w:p w14:paraId="15972904" w14:textId="77777777" w:rsidR="0084380A" w:rsidRPr="009C035D" w:rsidRDefault="0084380A" w:rsidP="00FB0D02">
            <w:pPr>
              <w:pStyle w:val="TableTextBase"/>
              <w:rPr>
                <w:rFonts w:cs="Arial"/>
                <w:sz w:val="16"/>
                <w:szCs w:val="16"/>
              </w:rPr>
            </w:pPr>
          </w:p>
        </w:tc>
        <w:tc>
          <w:tcPr>
            <w:tcW w:w="1639" w:type="pct"/>
            <w:tcBorders>
              <w:top w:val="single" w:sz="4" w:space="0" w:color="auto"/>
              <w:left w:val="single" w:sz="4" w:space="0" w:color="auto"/>
              <w:bottom w:val="single" w:sz="4" w:space="0" w:color="auto"/>
              <w:right w:val="single" w:sz="4" w:space="0" w:color="auto"/>
            </w:tcBorders>
          </w:tcPr>
          <w:p w14:paraId="630D3021" w14:textId="195EA94F" w:rsidR="0084380A" w:rsidRPr="009C035D" w:rsidRDefault="0084380A" w:rsidP="0084380A">
            <w:pPr>
              <w:spacing w:before="60" w:after="60" w:line="240" w:lineRule="auto"/>
              <w:contextualSpacing/>
              <w:rPr>
                <w:rFonts w:ascii="Arial" w:eastAsia="Calibri" w:hAnsi="Arial" w:cs="Arial"/>
                <w:sz w:val="16"/>
                <w:szCs w:val="16"/>
              </w:rPr>
            </w:pPr>
            <w:r w:rsidRPr="009C035D">
              <w:rPr>
                <w:rFonts w:ascii="Arial" w:eastAsia="Calibri" w:hAnsi="Arial" w:cs="Arial"/>
                <w:sz w:val="16"/>
                <w:szCs w:val="16"/>
              </w:rPr>
              <w:t>Number of City and Regional</w:t>
            </w:r>
            <w:r w:rsidRPr="009C035D">
              <w:rPr>
                <w:rFonts w:ascii="Arial" w:hAnsi="Arial" w:cs="Arial"/>
                <w:sz w:val="16"/>
                <w:szCs w:val="16"/>
              </w:rPr>
              <w:t xml:space="preserve"> </w:t>
            </w:r>
            <w:r w:rsidRPr="009C035D">
              <w:rPr>
                <w:rFonts w:ascii="Arial" w:eastAsia="Calibri" w:hAnsi="Arial" w:cs="Arial"/>
                <w:sz w:val="16"/>
                <w:szCs w:val="16"/>
              </w:rPr>
              <w:t>Deal commitments on track to be completed within agreed timeframes</w:t>
            </w:r>
            <w:r w:rsidRPr="009C035D">
              <w:rPr>
                <w:rFonts w:ascii="Arial" w:hAnsi="Arial" w:cs="Arial"/>
                <w:sz w:val="16"/>
                <w:szCs w:val="16"/>
                <w:vertAlign w:val="superscript"/>
              </w:rPr>
              <w:t>(a)</w:t>
            </w:r>
          </w:p>
        </w:tc>
        <w:tc>
          <w:tcPr>
            <w:tcW w:w="2355" w:type="pct"/>
            <w:tcBorders>
              <w:top w:val="single" w:sz="4" w:space="0" w:color="auto"/>
              <w:left w:val="single" w:sz="4" w:space="0" w:color="auto"/>
              <w:bottom w:val="single" w:sz="4" w:space="0" w:color="auto"/>
            </w:tcBorders>
          </w:tcPr>
          <w:p w14:paraId="32FEB3B9" w14:textId="397BD011" w:rsidR="000908D6" w:rsidRPr="009C035D" w:rsidRDefault="000908D6" w:rsidP="0084380A">
            <w:pPr>
              <w:pStyle w:val="TableParagraph"/>
              <w:spacing w:before="60" w:after="60"/>
              <w:rPr>
                <w:sz w:val="16"/>
                <w:szCs w:val="16"/>
              </w:rPr>
            </w:pPr>
            <w:r w:rsidRPr="009C035D">
              <w:rPr>
                <w:sz w:val="16"/>
                <w:szCs w:val="16"/>
              </w:rPr>
              <w:t>Target: Projects are delivered according to agreed milestones.</w:t>
            </w:r>
          </w:p>
          <w:p w14:paraId="0BFC4C3D" w14:textId="0CCD172C" w:rsidR="0084380A" w:rsidRPr="009C035D" w:rsidRDefault="0084380A" w:rsidP="000908D6">
            <w:pPr>
              <w:pStyle w:val="TableParagraph"/>
              <w:spacing w:before="120" w:after="60"/>
              <w:rPr>
                <w:sz w:val="16"/>
                <w:szCs w:val="16"/>
              </w:rPr>
            </w:pPr>
            <w:r w:rsidRPr="009C035D">
              <w:rPr>
                <w:sz w:val="16"/>
                <w:szCs w:val="16"/>
              </w:rPr>
              <w:t>Results rely on data not yet available</w:t>
            </w:r>
            <w:r w:rsidR="000908D6" w:rsidRPr="009C035D">
              <w:rPr>
                <w:sz w:val="16"/>
                <w:szCs w:val="16"/>
              </w:rPr>
              <w:t>.</w:t>
            </w:r>
          </w:p>
        </w:tc>
      </w:tr>
    </w:tbl>
    <w:p w14:paraId="1022C3B6" w14:textId="77777777" w:rsidR="000908D6" w:rsidRDefault="000908D6">
      <w:r>
        <w:br w:type="page"/>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2"/>
        <w:gridCol w:w="3678"/>
      </w:tblGrid>
      <w:tr w:rsidR="00115843" w:rsidRPr="001B2F81" w14:paraId="45C54914" w14:textId="77777777" w:rsidTr="000908D6">
        <w:trPr>
          <w:trHeight w:val="258"/>
          <w:tblHeader/>
        </w:trPr>
        <w:tc>
          <w:tcPr>
            <w:tcW w:w="999" w:type="pct"/>
            <w:tcBorders>
              <w:top w:val="double" w:sz="4" w:space="0" w:color="auto"/>
              <w:bottom w:val="single" w:sz="4" w:space="0" w:color="auto"/>
              <w:right w:val="single" w:sz="4" w:space="0" w:color="auto"/>
            </w:tcBorders>
          </w:tcPr>
          <w:p w14:paraId="781F3184" w14:textId="46C1B3FD" w:rsidR="00115843" w:rsidRPr="00707BCF" w:rsidRDefault="00115843" w:rsidP="00FB0D02">
            <w:pPr>
              <w:pStyle w:val="TableTextBase"/>
              <w:rPr>
                <w:b/>
                <w:sz w:val="16"/>
                <w:szCs w:val="16"/>
              </w:rPr>
            </w:pPr>
            <w:r w:rsidRPr="00707BCF">
              <w:rPr>
                <w:b/>
                <w:sz w:val="16"/>
                <w:szCs w:val="16"/>
              </w:rPr>
              <w:lastRenderedPageBreak/>
              <w:t>Year</w:t>
            </w:r>
          </w:p>
        </w:tc>
        <w:tc>
          <w:tcPr>
            <w:tcW w:w="1639" w:type="pct"/>
            <w:tcBorders>
              <w:top w:val="double" w:sz="4" w:space="0" w:color="auto"/>
              <w:left w:val="single" w:sz="4" w:space="0" w:color="auto"/>
              <w:bottom w:val="single" w:sz="4" w:space="0" w:color="auto"/>
              <w:right w:val="single" w:sz="4" w:space="0" w:color="auto"/>
            </w:tcBorders>
          </w:tcPr>
          <w:p w14:paraId="5FBB7F46" w14:textId="77777777" w:rsidR="00115843" w:rsidRPr="00707BCF" w:rsidRDefault="00115843" w:rsidP="00FB0D02">
            <w:pPr>
              <w:pStyle w:val="TableTextBase"/>
              <w:rPr>
                <w:rFonts w:cs="Arial"/>
                <w:b/>
                <w:sz w:val="16"/>
                <w:szCs w:val="16"/>
              </w:rPr>
            </w:pPr>
            <w:r w:rsidRPr="00707BCF">
              <w:rPr>
                <w:rFonts w:cs="Arial"/>
                <w:b/>
                <w:sz w:val="16"/>
                <w:szCs w:val="16"/>
              </w:rPr>
              <w:t>Performance measures</w:t>
            </w:r>
          </w:p>
        </w:tc>
        <w:tc>
          <w:tcPr>
            <w:tcW w:w="2362" w:type="pct"/>
            <w:tcBorders>
              <w:top w:val="double" w:sz="4" w:space="0" w:color="auto"/>
              <w:left w:val="single" w:sz="4" w:space="0" w:color="auto"/>
              <w:bottom w:val="single" w:sz="4" w:space="0" w:color="auto"/>
            </w:tcBorders>
          </w:tcPr>
          <w:p w14:paraId="370E970B" w14:textId="37F454E3" w:rsidR="00115843" w:rsidRPr="00707BCF" w:rsidRDefault="000575AF" w:rsidP="00FB0D02">
            <w:pPr>
              <w:pStyle w:val="TableTextBase"/>
              <w:rPr>
                <w:rFonts w:cs="Arial"/>
                <w:b/>
                <w:sz w:val="16"/>
                <w:szCs w:val="16"/>
              </w:rPr>
            </w:pPr>
            <w:r>
              <w:rPr>
                <w:rFonts w:cs="Arial"/>
                <w:b/>
                <w:sz w:val="16"/>
                <w:szCs w:val="16"/>
              </w:rPr>
              <w:t>Plann</w:t>
            </w:r>
            <w:r w:rsidR="00115843" w:rsidRPr="00707BCF">
              <w:rPr>
                <w:rFonts w:cs="Arial"/>
                <w:b/>
                <w:sz w:val="16"/>
                <w:szCs w:val="16"/>
              </w:rPr>
              <w:t>ed Performance Results</w:t>
            </w:r>
          </w:p>
        </w:tc>
      </w:tr>
      <w:bookmarkEnd w:id="25"/>
      <w:tr w:rsidR="000908D6" w:rsidRPr="001B2F81" w14:paraId="4432B6ED" w14:textId="77777777" w:rsidTr="000908D6">
        <w:trPr>
          <w:cantSplit/>
          <w:trHeight w:val="642"/>
        </w:trPr>
        <w:tc>
          <w:tcPr>
            <w:tcW w:w="999" w:type="pct"/>
            <w:vMerge w:val="restart"/>
            <w:tcBorders>
              <w:top w:val="single" w:sz="4" w:space="0" w:color="auto"/>
              <w:right w:val="single" w:sz="4" w:space="0" w:color="auto"/>
            </w:tcBorders>
          </w:tcPr>
          <w:p w14:paraId="3C915411" w14:textId="48559463" w:rsidR="000908D6" w:rsidRPr="00FD292C" w:rsidRDefault="000908D6" w:rsidP="00FB0D02">
            <w:pPr>
              <w:pStyle w:val="TableTextBase"/>
              <w:rPr>
                <w:sz w:val="16"/>
                <w:szCs w:val="16"/>
              </w:rPr>
            </w:pPr>
            <w:r>
              <w:rPr>
                <w:sz w:val="16"/>
                <w:szCs w:val="16"/>
              </w:rPr>
              <w:t>Budget</w:t>
            </w:r>
            <w:r w:rsidRPr="00FD292C">
              <w:rPr>
                <w:sz w:val="16"/>
                <w:szCs w:val="16"/>
              </w:rPr>
              <w:t xml:space="preserve"> year </w:t>
            </w:r>
          </w:p>
          <w:p w14:paraId="2E52D4D0" w14:textId="681CE9BC" w:rsidR="000908D6" w:rsidRPr="00FD292C" w:rsidRDefault="000908D6" w:rsidP="00FB0D02">
            <w:pPr>
              <w:pStyle w:val="TableTextBase"/>
              <w:rPr>
                <w:sz w:val="16"/>
                <w:szCs w:val="16"/>
              </w:rPr>
            </w:pPr>
            <w:r w:rsidRPr="00FD292C">
              <w:rPr>
                <w:sz w:val="16"/>
                <w:szCs w:val="16"/>
              </w:rPr>
              <w:t>202</w:t>
            </w:r>
            <w:r>
              <w:rPr>
                <w:sz w:val="16"/>
                <w:szCs w:val="16"/>
              </w:rPr>
              <w:t>3</w:t>
            </w:r>
            <w:r w:rsidRPr="00FD292C">
              <w:rPr>
                <w:sz w:val="16"/>
                <w:szCs w:val="16"/>
              </w:rPr>
              <w:t>–2</w:t>
            </w:r>
            <w:r>
              <w:rPr>
                <w:sz w:val="16"/>
                <w:szCs w:val="16"/>
              </w:rPr>
              <w:t>4</w:t>
            </w:r>
          </w:p>
        </w:tc>
        <w:tc>
          <w:tcPr>
            <w:tcW w:w="1639" w:type="pct"/>
            <w:tcBorders>
              <w:top w:val="single" w:sz="4" w:space="0" w:color="auto"/>
              <w:left w:val="single" w:sz="4" w:space="0" w:color="auto"/>
              <w:bottom w:val="single" w:sz="4" w:space="0" w:color="auto"/>
              <w:right w:val="single" w:sz="4" w:space="0" w:color="auto"/>
            </w:tcBorders>
          </w:tcPr>
          <w:p w14:paraId="34F84714" w14:textId="77777777" w:rsidR="000908D6" w:rsidRDefault="000908D6" w:rsidP="000575AF">
            <w:pPr>
              <w:pStyle w:val="TableParagraph"/>
              <w:spacing w:before="60" w:after="60"/>
              <w:rPr>
                <w:sz w:val="16"/>
                <w:szCs w:val="16"/>
              </w:rPr>
            </w:pPr>
            <w:r>
              <w:rPr>
                <w:sz w:val="16"/>
                <w:szCs w:val="16"/>
              </w:rPr>
              <w:t>Performance in delivering regional programs indicated through projects contracted, completed and funds expended for:</w:t>
            </w:r>
          </w:p>
          <w:p w14:paraId="33CB95A5" w14:textId="2707A0B2" w:rsidR="000908D6" w:rsidRDefault="000908D6" w:rsidP="00977C28">
            <w:pPr>
              <w:pStyle w:val="TableParagraph"/>
              <w:numPr>
                <w:ilvl w:val="0"/>
                <w:numId w:val="161"/>
              </w:numPr>
              <w:spacing w:before="60" w:after="60"/>
              <w:ind w:left="321" w:hanging="284"/>
              <w:rPr>
                <w:sz w:val="16"/>
                <w:szCs w:val="16"/>
              </w:rPr>
            </w:pPr>
            <w:r>
              <w:rPr>
                <w:sz w:val="16"/>
                <w:szCs w:val="16"/>
              </w:rPr>
              <w:t>Community Development Grants (terminating 30 June 2026)</w:t>
            </w:r>
          </w:p>
          <w:p w14:paraId="652E744F" w14:textId="2AE03AB3" w:rsidR="000908D6" w:rsidRDefault="000908D6" w:rsidP="00977C28">
            <w:pPr>
              <w:pStyle w:val="TableParagraph"/>
              <w:numPr>
                <w:ilvl w:val="0"/>
                <w:numId w:val="161"/>
              </w:numPr>
              <w:spacing w:before="60" w:after="60"/>
              <w:ind w:left="321" w:hanging="284"/>
              <w:rPr>
                <w:sz w:val="16"/>
                <w:szCs w:val="16"/>
              </w:rPr>
            </w:pPr>
            <w:r>
              <w:rPr>
                <w:sz w:val="16"/>
                <w:szCs w:val="16"/>
              </w:rPr>
              <w:t>Stronger Communities Program</w:t>
            </w:r>
          </w:p>
          <w:p w14:paraId="3ABAF1BA" w14:textId="214D17FE" w:rsidR="000908D6" w:rsidRPr="000575AF" w:rsidRDefault="000908D6" w:rsidP="00977C28">
            <w:pPr>
              <w:pStyle w:val="TableParagraph"/>
              <w:numPr>
                <w:ilvl w:val="0"/>
                <w:numId w:val="161"/>
              </w:numPr>
              <w:spacing w:before="60" w:after="60"/>
              <w:ind w:left="321" w:hanging="284"/>
              <w:rPr>
                <w:sz w:val="16"/>
                <w:szCs w:val="16"/>
              </w:rPr>
            </w:pPr>
            <w:r w:rsidRPr="000575AF">
              <w:rPr>
                <w:sz w:val="16"/>
                <w:szCs w:val="16"/>
              </w:rPr>
              <w:t>Building Better Regions Fund (terminating 30 June 2024)</w:t>
            </w:r>
          </w:p>
        </w:tc>
        <w:tc>
          <w:tcPr>
            <w:tcW w:w="2362" w:type="pct"/>
            <w:tcBorders>
              <w:top w:val="single" w:sz="4" w:space="0" w:color="auto"/>
              <w:left w:val="single" w:sz="4" w:space="0" w:color="auto"/>
              <w:bottom w:val="single" w:sz="4" w:space="0" w:color="auto"/>
            </w:tcBorders>
          </w:tcPr>
          <w:p w14:paraId="2DA59430" w14:textId="3EECE2EE" w:rsidR="000908D6" w:rsidRPr="00FD292C" w:rsidRDefault="000908D6" w:rsidP="000575AF">
            <w:pPr>
              <w:pStyle w:val="TableParagraph"/>
              <w:spacing w:before="60" w:after="60"/>
              <w:rPr>
                <w:sz w:val="16"/>
                <w:szCs w:val="16"/>
              </w:rPr>
            </w:pPr>
            <w:r w:rsidRPr="000575AF">
              <w:rPr>
                <w:sz w:val="16"/>
                <w:szCs w:val="16"/>
              </w:rPr>
              <w:t>By June 2024, 95% of all contracted commitments in programs are on target for completion.</w:t>
            </w:r>
          </w:p>
        </w:tc>
      </w:tr>
      <w:tr w:rsidR="000908D6" w:rsidRPr="001B2F81" w14:paraId="0E046DE0" w14:textId="77777777" w:rsidTr="000908D6">
        <w:trPr>
          <w:cantSplit/>
          <w:trHeight w:val="1362"/>
        </w:trPr>
        <w:tc>
          <w:tcPr>
            <w:tcW w:w="999" w:type="pct"/>
            <w:vMerge/>
            <w:tcBorders>
              <w:bottom w:val="nil"/>
              <w:right w:val="single" w:sz="4" w:space="0" w:color="auto"/>
            </w:tcBorders>
          </w:tcPr>
          <w:p w14:paraId="68A0727E" w14:textId="0D40336B" w:rsidR="000908D6" w:rsidRPr="00FD292C" w:rsidRDefault="000908D6" w:rsidP="00FB0D02">
            <w:pPr>
              <w:pStyle w:val="TableTextBase"/>
              <w:rPr>
                <w:b/>
                <w:sz w:val="16"/>
                <w:szCs w:val="16"/>
              </w:rPr>
            </w:pPr>
          </w:p>
        </w:tc>
        <w:tc>
          <w:tcPr>
            <w:tcW w:w="1639" w:type="pct"/>
            <w:tcBorders>
              <w:top w:val="single" w:sz="4" w:space="0" w:color="auto"/>
              <w:left w:val="single" w:sz="4" w:space="0" w:color="auto"/>
              <w:bottom w:val="single" w:sz="4" w:space="0" w:color="auto"/>
              <w:right w:val="single" w:sz="4" w:space="0" w:color="auto"/>
            </w:tcBorders>
          </w:tcPr>
          <w:p w14:paraId="6E554827" w14:textId="425CE40C" w:rsidR="000908D6" w:rsidRPr="00FD292C" w:rsidRDefault="000908D6" w:rsidP="00FB0D02">
            <w:pPr>
              <w:pStyle w:val="TableTextBase"/>
              <w:rPr>
                <w:rFonts w:eastAsia="Calibri" w:cs="Arial"/>
                <w:i/>
                <w:sz w:val="16"/>
                <w:szCs w:val="16"/>
                <w:vertAlign w:val="superscript"/>
                <w:lang w:eastAsia="en-US"/>
              </w:rPr>
            </w:pPr>
            <w:r>
              <w:rPr>
                <w:rFonts w:eastAsia="Calibri"/>
                <w:sz w:val="16"/>
                <w:szCs w:val="16"/>
              </w:rPr>
              <w:t>Delivery of City and Regional Deal commitments is measured against the objectives and timelines set out in Implementation Plans and funding agreements as reported by Delivery Partners</w:t>
            </w:r>
            <w:r>
              <w:rPr>
                <w:rFonts w:eastAsia="Calibri"/>
                <w:sz w:val="16"/>
                <w:szCs w:val="16"/>
                <w:vertAlign w:val="superscript"/>
              </w:rPr>
              <w:t>(a)</w:t>
            </w:r>
          </w:p>
        </w:tc>
        <w:tc>
          <w:tcPr>
            <w:tcW w:w="2362" w:type="pct"/>
            <w:tcBorders>
              <w:top w:val="single" w:sz="4" w:space="0" w:color="auto"/>
              <w:left w:val="single" w:sz="4" w:space="0" w:color="auto"/>
              <w:bottom w:val="single" w:sz="4" w:space="0" w:color="auto"/>
            </w:tcBorders>
          </w:tcPr>
          <w:p w14:paraId="500FED03" w14:textId="5C0E8C7C" w:rsidR="000908D6" w:rsidRPr="000575AF" w:rsidRDefault="000908D6" w:rsidP="00FB0D02">
            <w:pPr>
              <w:spacing w:before="60" w:after="60" w:line="240" w:lineRule="auto"/>
              <w:rPr>
                <w:rFonts w:ascii="Arial" w:eastAsia="Calibri" w:hAnsi="Arial" w:cs="Arial"/>
                <w:sz w:val="16"/>
                <w:szCs w:val="16"/>
              </w:rPr>
            </w:pPr>
            <w:r w:rsidRPr="000575AF">
              <w:rPr>
                <w:rFonts w:ascii="Arial" w:eastAsia="Calibri" w:hAnsi="Arial" w:cs="Arial"/>
                <w:sz w:val="16"/>
                <w:szCs w:val="16"/>
              </w:rPr>
              <w:t>Projects are delivered according to agreed timeframes.</w:t>
            </w:r>
          </w:p>
        </w:tc>
      </w:tr>
      <w:tr w:rsidR="00115843" w:rsidRPr="008E07F1" w14:paraId="2A3E22DC" w14:textId="77777777" w:rsidTr="000908D6">
        <w:trPr>
          <w:cantSplit/>
          <w:trHeight w:val="462"/>
        </w:trPr>
        <w:tc>
          <w:tcPr>
            <w:tcW w:w="999" w:type="pct"/>
            <w:vMerge w:val="restart"/>
            <w:tcBorders>
              <w:top w:val="single" w:sz="4" w:space="0" w:color="auto"/>
              <w:left w:val="single" w:sz="4" w:space="0" w:color="auto"/>
              <w:right w:val="single" w:sz="4" w:space="0" w:color="auto"/>
            </w:tcBorders>
          </w:tcPr>
          <w:p w14:paraId="6344E82F" w14:textId="2844C1E0" w:rsidR="00115843" w:rsidRPr="00FD292C" w:rsidRDefault="00115843" w:rsidP="00FB0D02">
            <w:pPr>
              <w:pStyle w:val="TableTextBase"/>
              <w:rPr>
                <w:sz w:val="16"/>
                <w:szCs w:val="16"/>
              </w:rPr>
            </w:pPr>
            <w:r w:rsidRPr="00FD292C">
              <w:rPr>
                <w:sz w:val="16"/>
                <w:szCs w:val="16"/>
              </w:rPr>
              <w:t>Forward Estimates</w:t>
            </w:r>
            <w:r w:rsidRPr="00FD292C">
              <w:rPr>
                <w:sz w:val="16"/>
                <w:szCs w:val="16"/>
              </w:rPr>
              <w:br/>
              <w:t>202</w:t>
            </w:r>
            <w:r w:rsidR="000575AF">
              <w:rPr>
                <w:sz w:val="16"/>
                <w:szCs w:val="16"/>
              </w:rPr>
              <w:t>4</w:t>
            </w:r>
            <w:r w:rsidRPr="00FD292C">
              <w:rPr>
                <w:sz w:val="16"/>
                <w:szCs w:val="16"/>
              </w:rPr>
              <w:t>–2</w:t>
            </w:r>
            <w:r w:rsidR="000575AF">
              <w:rPr>
                <w:sz w:val="16"/>
                <w:szCs w:val="16"/>
              </w:rPr>
              <w:t>7</w:t>
            </w:r>
          </w:p>
        </w:tc>
        <w:tc>
          <w:tcPr>
            <w:tcW w:w="1639" w:type="pct"/>
            <w:tcBorders>
              <w:top w:val="single" w:sz="4" w:space="0" w:color="auto"/>
              <w:left w:val="single" w:sz="4" w:space="0" w:color="auto"/>
              <w:bottom w:val="single" w:sz="4" w:space="0" w:color="auto"/>
              <w:right w:val="single" w:sz="4" w:space="0" w:color="auto"/>
            </w:tcBorders>
          </w:tcPr>
          <w:p w14:paraId="75370E9E" w14:textId="77777777" w:rsidR="000575AF" w:rsidRPr="000575AF" w:rsidRDefault="000575AF" w:rsidP="000575AF">
            <w:pPr>
              <w:pStyle w:val="TableTextBase"/>
              <w:rPr>
                <w:rFonts w:eastAsia="Calibri" w:cs="Arial"/>
                <w:sz w:val="16"/>
                <w:szCs w:val="16"/>
                <w:lang w:eastAsia="en-US"/>
              </w:rPr>
            </w:pPr>
            <w:r w:rsidRPr="000575AF">
              <w:rPr>
                <w:rFonts w:eastAsia="Calibri" w:cs="Arial"/>
                <w:sz w:val="16"/>
                <w:szCs w:val="16"/>
                <w:lang w:eastAsia="en-US"/>
              </w:rPr>
              <w:t>Performance in delivering regional programs indicated through projects contracted, completed and funds expended for:</w:t>
            </w:r>
          </w:p>
          <w:p w14:paraId="5C38B6B6" w14:textId="77777777" w:rsidR="000575AF" w:rsidRPr="000575AF" w:rsidRDefault="000575AF" w:rsidP="00977C28">
            <w:pPr>
              <w:pStyle w:val="TableTextBase"/>
              <w:numPr>
                <w:ilvl w:val="0"/>
                <w:numId w:val="162"/>
              </w:numPr>
              <w:ind w:left="321" w:hanging="321"/>
              <w:rPr>
                <w:rFonts w:eastAsia="Calibri" w:cs="Arial"/>
                <w:sz w:val="16"/>
                <w:szCs w:val="16"/>
                <w:lang w:eastAsia="en-US"/>
              </w:rPr>
            </w:pPr>
            <w:r w:rsidRPr="000575AF">
              <w:rPr>
                <w:rFonts w:eastAsia="Calibri" w:cs="Arial"/>
                <w:sz w:val="16"/>
                <w:szCs w:val="16"/>
                <w:lang w:eastAsia="en-US"/>
              </w:rPr>
              <w:t xml:space="preserve">Community Development Grants (terminating 30 June 2026); </w:t>
            </w:r>
          </w:p>
          <w:p w14:paraId="7630D1E2" w14:textId="77777777" w:rsidR="000575AF" w:rsidRPr="000575AF" w:rsidRDefault="000575AF" w:rsidP="00977C28">
            <w:pPr>
              <w:pStyle w:val="TableTextBase"/>
              <w:numPr>
                <w:ilvl w:val="0"/>
                <w:numId w:val="162"/>
              </w:numPr>
              <w:ind w:left="321" w:hanging="321"/>
              <w:rPr>
                <w:rFonts w:eastAsia="Calibri" w:cs="Arial"/>
                <w:sz w:val="16"/>
                <w:szCs w:val="16"/>
                <w:lang w:eastAsia="en-US"/>
              </w:rPr>
            </w:pPr>
            <w:r w:rsidRPr="000575AF">
              <w:rPr>
                <w:rFonts w:eastAsia="Calibri" w:cs="Arial"/>
                <w:sz w:val="16"/>
                <w:szCs w:val="16"/>
                <w:lang w:eastAsia="en-US"/>
              </w:rPr>
              <w:t xml:space="preserve">Stronger Communities Program </w:t>
            </w:r>
          </w:p>
          <w:p w14:paraId="658C37B3" w14:textId="2EB3D027" w:rsidR="00115843" w:rsidRPr="000575AF" w:rsidRDefault="000575AF" w:rsidP="00977C28">
            <w:pPr>
              <w:pStyle w:val="TableTextBase"/>
              <w:numPr>
                <w:ilvl w:val="0"/>
                <w:numId w:val="162"/>
              </w:numPr>
              <w:ind w:left="321" w:hanging="321"/>
              <w:rPr>
                <w:rFonts w:eastAsia="Calibri" w:cs="Arial"/>
                <w:i/>
                <w:sz w:val="16"/>
                <w:szCs w:val="16"/>
                <w:lang w:eastAsia="en-US"/>
              </w:rPr>
            </w:pPr>
            <w:r w:rsidRPr="000575AF">
              <w:rPr>
                <w:rFonts w:eastAsia="Calibri" w:cs="Arial"/>
                <w:sz w:val="16"/>
                <w:szCs w:val="16"/>
                <w:lang w:eastAsia="en-US"/>
              </w:rPr>
              <w:t>Building Better Regions Fund (terminating 30 June 2024)</w:t>
            </w:r>
          </w:p>
        </w:tc>
        <w:tc>
          <w:tcPr>
            <w:tcW w:w="2362" w:type="pct"/>
            <w:tcBorders>
              <w:top w:val="single" w:sz="4" w:space="0" w:color="auto"/>
              <w:left w:val="single" w:sz="4" w:space="0" w:color="auto"/>
              <w:bottom w:val="single" w:sz="4" w:space="0" w:color="auto"/>
              <w:right w:val="single" w:sz="4" w:space="0" w:color="auto"/>
            </w:tcBorders>
          </w:tcPr>
          <w:p w14:paraId="4F41CC0E" w14:textId="517B9CAA" w:rsidR="00115843" w:rsidRPr="00FD292C" w:rsidDel="008E1A6E" w:rsidRDefault="000575AF" w:rsidP="00FB0D02">
            <w:pPr>
              <w:pStyle w:val="TableTextBase"/>
              <w:rPr>
                <w:rFonts w:cs="Arial"/>
                <w:sz w:val="16"/>
                <w:szCs w:val="16"/>
              </w:rPr>
            </w:pPr>
            <w:r w:rsidRPr="000575AF">
              <w:rPr>
                <w:rFonts w:cs="Arial"/>
                <w:sz w:val="16"/>
                <w:szCs w:val="16"/>
              </w:rPr>
              <w:t>Programs completed prior to end of appropriation period.</w:t>
            </w:r>
          </w:p>
        </w:tc>
      </w:tr>
      <w:tr w:rsidR="00115843" w:rsidRPr="008E07F1" w14:paraId="043FA158" w14:textId="77777777" w:rsidTr="000908D6">
        <w:trPr>
          <w:cantSplit/>
          <w:trHeight w:val="345"/>
        </w:trPr>
        <w:tc>
          <w:tcPr>
            <w:tcW w:w="999" w:type="pct"/>
            <w:vMerge/>
            <w:tcBorders>
              <w:left w:val="single" w:sz="4" w:space="0" w:color="auto"/>
              <w:bottom w:val="single" w:sz="4" w:space="0" w:color="auto"/>
              <w:right w:val="single" w:sz="4" w:space="0" w:color="auto"/>
            </w:tcBorders>
          </w:tcPr>
          <w:p w14:paraId="2CCC095F" w14:textId="77777777" w:rsidR="00115843" w:rsidRPr="00FD292C" w:rsidRDefault="00115843" w:rsidP="00FB0D02">
            <w:pPr>
              <w:pStyle w:val="TableTextBase"/>
              <w:rPr>
                <w:sz w:val="16"/>
                <w:szCs w:val="16"/>
              </w:rPr>
            </w:pPr>
          </w:p>
        </w:tc>
        <w:tc>
          <w:tcPr>
            <w:tcW w:w="1639" w:type="pct"/>
            <w:tcBorders>
              <w:top w:val="single" w:sz="4" w:space="0" w:color="auto"/>
              <w:left w:val="single" w:sz="4" w:space="0" w:color="auto"/>
              <w:bottom w:val="single" w:sz="4" w:space="0" w:color="auto"/>
              <w:right w:val="single" w:sz="4" w:space="0" w:color="auto"/>
            </w:tcBorders>
          </w:tcPr>
          <w:p w14:paraId="2A9044E0" w14:textId="26BA4D2A" w:rsidR="00115843" w:rsidRPr="000575AF" w:rsidRDefault="000908D6" w:rsidP="00FB0D02">
            <w:pPr>
              <w:pStyle w:val="TableTextBase"/>
              <w:rPr>
                <w:rFonts w:eastAsia="Calibri" w:cs="Arial"/>
                <w:sz w:val="16"/>
                <w:szCs w:val="16"/>
                <w:lang w:eastAsia="en-US"/>
              </w:rPr>
            </w:pPr>
            <w:r>
              <w:rPr>
                <w:rFonts w:eastAsia="Calibri"/>
                <w:sz w:val="16"/>
                <w:szCs w:val="16"/>
              </w:rPr>
              <w:t>Delivery of City and Regional Deal commitments is measured against the objectives and timelines set out in Implementation Plans and funding agreements as reported by Delivery Partners</w:t>
            </w:r>
            <w:r>
              <w:rPr>
                <w:rFonts w:eastAsia="Calibri"/>
                <w:sz w:val="16"/>
                <w:szCs w:val="16"/>
                <w:vertAlign w:val="superscript"/>
              </w:rPr>
              <w:t>(a)</w:t>
            </w:r>
          </w:p>
        </w:tc>
        <w:tc>
          <w:tcPr>
            <w:tcW w:w="2362" w:type="pct"/>
            <w:tcBorders>
              <w:top w:val="single" w:sz="4" w:space="0" w:color="auto"/>
              <w:left w:val="single" w:sz="4" w:space="0" w:color="auto"/>
              <w:bottom w:val="single" w:sz="4" w:space="0" w:color="auto"/>
              <w:right w:val="single" w:sz="4" w:space="0" w:color="auto"/>
            </w:tcBorders>
          </w:tcPr>
          <w:p w14:paraId="7BAF0429" w14:textId="22B2ED4C" w:rsidR="00115843" w:rsidRPr="00FD292C" w:rsidDel="008E1A6E" w:rsidRDefault="000908D6" w:rsidP="00FB0D02">
            <w:pPr>
              <w:pStyle w:val="TableTextBase"/>
              <w:rPr>
                <w:rFonts w:cs="Arial"/>
                <w:sz w:val="16"/>
                <w:szCs w:val="16"/>
              </w:rPr>
            </w:pPr>
            <w:r w:rsidRPr="000575AF">
              <w:rPr>
                <w:rFonts w:eastAsia="Calibri" w:cs="Arial"/>
                <w:sz w:val="16"/>
                <w:szCs w:val="16"/>
              </w:rPr>
              <w:t>Projects are delivered according to agreed timeframes.</w:t>
            </w:r>
          </w:p>
        </w:tc>
      </w:tr>
    </w:tbl>
    <w:p w14:paraId="4B03E41E" w14:textId="0373DA3D" w:rsidR="000575AF" w:rsidRDefault="000575AF" w:rsidP="00977C28">
      <w:pPr>
        <w:pStyle w:val="ListParagraph"/>
        <w:numPr>
          <w:ilvl w:val="0"/>
          <w:numId w:val="163"/>
        </w:numPr>
        <w:spacing w:before="60" w:after="120" w:line="240" w:lineRule="auto"/>
        <w:ind w:left="426" w:right="470" w:hanging="426"/>
        <w:rPr>
          <w:rFonts w:ascii="Arial" w:hAnsi="Arial" w:cs="Arial"/>
          <w:sz w:val="16"/>
        </w:rPr>
      </w:pPr>
      <w:bookmarkStart w:id="26" w:name="_Hlk115704281"/>
      <w:r>
        <w:rPr>
          <w:rFonts w:ascii="Arial" w:hAnsi="Arial" w:cs="Arial"/>
          <w:sz w:val="16"/>
        </w:rPr>
        <w:t>This measure is linked to Program 3.1 Regional Development, and Program 3.3</w:t>
      </w:r>
      <w:r>
        <w:rPr>
          <w:rFonts w:ascii="Arial" w:hAnsi="Arial" w:cs="Arial"/>
        </w:rPr>
        <w:t xml:space="preserve"> </w:t>
      </w:r>
      <w:r>
        <w:rPr>
          <w:rFonts w:ascii="Arial" w:hAnsi="Arial" w:cs="Arial"/>
          <w:sz w:val="16"/>
        </w:rPr>
        <w:t>Cities.</w:t>
      </w:r>
    </w:p>
    <w:p w14:paraId="67AA710E" w14:textId="3CD762A9" w:rsidR="00557DDF" w:rsidRPr="00557DDF" w:rsidRDefault="00557DDF" w:rsidP="00557DDF">
      <w:pPr>
        <w:autoSpaceDE w:val="0"/>
        <w:autoSpaceDN w:val="0"/>
        <w:spacing w:before="40" w:after="40" w:line="240" w:lineRule="auto"/>
        <w:rPr>
          <w:rFonts w:ascii="Arial" w:hAnsi="Arial" w:cs="Arial"/>
          <w:sz w:val="16"/>
          <w:szCs w:val="16"/>
        </w:rPr>
      </w:pPr>
      <w:r w:rsidRPr="004E26ED">
        <w:rPr>
          <w:rFonts w:ascii="Arial" w:hAnsi="Arial" w:cs="Arial"/>
          <w:color w:val="000000"/>
          <w:sz w:val="16"/>
          <w:szCs w:val="16"/>
        </w:rPr>
        <w:t xml:space="preserve">The </w:t>
      </w:r>
      <w:r w:rsidR="00E17F15">
        <w:rPr>
          <w:rFonts w:ascii="Arial" w:hAnsi="Arial" w:cs="Arial"/>
          <w:color w:val="000000"/>
          <w:sz w:val="16"/>
          <w:szCs w:val="16"/>
        </w:rPr>
        <w:t>Department</w:t>
      </w:r>
      <w:r w:rsidRPr="004E26ED">
        <w:rPr>
          <w:rFonts w:ascii="Arial" w:hAnsi="Arial" w:cs="Arial"/>
          <w:color w:val="000000"/>
          <w:sz w:val="16"/>
          <w:szCs w:val="16"/>
        </w:rPr>
        <w:t xml:space="preserve"> has undertaken a suite of assessment and assurance activities regarding performance measures since </w:t>
      </w:r>
      <w:r w:rsidRPr="00557DDF">
        <w:rPr>
          <w:rFonts w:ascii="Arial" w:hAnsi="Arial" w:cs="Arial"/>
          <w:color w:val="000000"/>
          <w:sz w:val="16"/>
          <w:szCs w:val="16"/>
        </w:rPr>
        <w:t>the 2022</w:t>
      </w:r>
      <w:r w:rsidRPr="00557DDF">
        <w:rPr>
          <w:rFonts w:ascii="Arial" w:hAnsi="Arial" w:cs="Arial"/>
          <w:sz w:val="16"/>
          <w:szCs w:val="16"/>
        </w:rPr>
        <w:t>–</w:t>
      </w:r>
      <w:r w:rsidRPr="00557DDF">
        <w:rPr>
          <w:rFonts w:ascii="Arial" w:hAnsi="Arial" w:cs="Arial"/>
          <w:color w:val="000000"/>
          <w:sz w:val="16"/>
          <w:szCs w:val="16"/>
        </w:rPr>
        <w:t>23 Budget. As a result, a number of measures have been added, removed, or amended in the 2023</w:t>
      </w:r>
      <w:r w:rsidRPr="00557DDF">
        <w:rPr>
          <w:rFonts w:ascii="Arial" w:hAnsi="Arial" w:cs="Arial"/>
          <w:sz w:val="16"/>
          <w:szCs w:val="16"/>
        </w:rPr>
        <w:t>–</w:t>
      </w:r>
      <w:r w:rsidRPr="00557DDF">
        <w:rPr>
          <w:rFonts w:ascii="Arial" w:hAnsi="Arial" w:cs="Arial"/>
          <w:color w:val="000000"/>
          <w:sz w:val="16"/>
          <w:szCs w:val="16"/>
        </w:rPr>
        <w:t>24 Portfolio</w:t>
      </w:r>
      <w:r w:rsidRPr="004E26ED">
        <w:rPr>
          <w:rFonts w:ascii="Arial" w:hAnsi="Arial" w:cs="Arial"/>
          <w:color w:val="000000"/>
          <w:sz w:val="16"/>
          <w:szCs w:val="16"/>
        </w:rPr>
        <w:t xml:space="preserve"> Budget Statements. Further details will be provided in the </w:t>
      </w:r>
      <w:r w:rsidR="0000369A">
        <w:rPr>
          <w:rFonts w:ascii="Arial" w:hAnsi="Arial" w:cs="Arial"/>
          <w:color w:val="000000"/>
          <w:sz w:val="16"/>
          <w:szCs w:val="16"/>
        </w:rPr>
        <w:t>Department’s</w:t>
      </w:r>
      <w:r w:rsidRPr="004E26ED">
        <w:rPr>
          <w:rFonts w:ascii="Arial" w:hAnsi="Arial" w:cs="Arial"/>
          <w:color w:val="000000"/>
          <w:sz w:val="16"/>
          <w:szCs w:val="16"/>
        </w:rPr>
        <w:t xml:space="preserve"> Corporate Plan 2023</w:t>
      </w:r>
      <w:r w:rsidRPr="00557DDF">
        <w:rPr>
          <w:rFonts w:ascii="Arial" w:hAnsi="Arial" w:cs="Arial"/>
          <w:sz w:val="16"/>
          <w:szCs w:val="16"/>
        </w:rPr>
        <w:t>–</w:t>
      </w:r>
      <w:r w:rsidRPr="004E26ED">
        <w:rPr>
          <w:rFonts w:ascii="Arial" w:hAnsi="Arial" w:cs="Arial"/>
          <w:color w:val="000000"/>
          <w:sz w:val="16"/>
          <w:szCs w:val="16"/>
        </w:rPr>
        <w:t>24.  </w:t>
      </w:r>
    </w:p>
    <w:p w14:paraId="1CB78128" w14:textId="13EF8EA4" w:rsidR="00115843" w:rsidRDefault="00115843" w:rsidP="00977C28">
      <w:pPr>
        <w:numPr>
          <w:ilvl w:val="0"/>
          <w:numId w:val="110"/>
        </w:numPr>
        <w:spacing w:after="0" w:line="240" w:lineRule="auto"/>
        <w:ind w:left="0" w:firstLine="0"/>
        <w:contextualSpacing/>
        <w:rPr>
          <w:rFonts w:ascii="Arial" w:eastAsia="Calibri" w:hAnsi="Arial" w:cs="Arial"/>
          <w:sz w:val="16"/>
          <w:szCs w:val="16"/>
          <w:lang w:val="en-US" w:eastAsia="en-US"/>
        </w:rPr>
      </w:pPr>
      <w:r>
        <w:rPr>
          <w:rFonts w:ascii="Arial" w:eastAsia="Calibri" w:hAnsi="Arial" w:cs="Arial"/>
          <w:sz w:val="16"/>
          <w:szCs w:val="16"/>
          <w:lang w:val="en-US" w:eastAsia="en-US"/>
        </w:rPr>
        <w:br w:type="page"/>
      </w:r>
    </w:p>
    <w:p w14:paraId="683FE452" w14:textId="77777777" w:rsidR="009D1D35" w:rsidRDefault="009D1D35" w:rsidP="009D1D35">
      <w:pPr>
        <w:spacing w:after="0" w:line="240" w:lineRule="auto"/>
        <w:contextualSpacing/>
        <w:rPr>
          <w:rFonts w:ascii="Arial" w:eastAsia="Calibri" w:hAnsi="Arial" w:cs="Arial"/>
          <w:sz w:val="16"/>
          <w:szCs w:val="16"/>
          <w:lang w:val="en-US" w:eastAsia="en-US"/>
        </w:rPr>
      </w:pPr>
    </w:p>
    <w:bookmarkEnd w:id="2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2550"/>
        <w:gridCol w:w="3594"/>
      </w:tblGrid>
      <w:tr w:rsidR="00115843" w:rsidRPr="00EC4F85" w14:paraId="3ACFDC3E" w14:textId="77777777" w:rsidTr="002F3AAF">
        <w:trPr>
          <w:trHeight w:val="522"/>
        </w:trPr>
        <w:tc>
          <w:tcPr>
            <w:tcW w:w="5000" w:type="pct"/>
            <w:gridSpan w:val="3"/>
            <w:shd w:val="clear" w:color="auto" w:fill="E6E6E6"/>
          </w:tcPr>
          <w:p w14:paraId="46E28FD5" w14:textId="77777777" w:rsidR="00115843" w:rsidRPr="00EC4F85" w:rsidRDefault="00115843" w:rsidP="00FB0D02">
            <w:pPr>
              <w:spacing w:before="60" w:after="120" w:line="240" w:lineRule="auto"/>
              <w:rPr>
                <w:rFonts w:ascii="Arial" w:eastAsia="Calibri" w:hAnsi="Arial" w:cs="Arial"/>
                <w:b/>
                <w:sz w:val="18"/>
                <w:szCs w:val="18"/>
              </w:rPr>
            </w:pPr>
            <w:r w:rsidRPr="00EC4F85">
              <w:rPr>
                <w:rFonts w:ascii="Arial" w:hAnsi="Arial" w:cs="Arial"/>
                <w:sz w:val="18"/>
                <w:szCs w:val="18"/>
              </w:rPr>
              <w:br w:type="page"/>
            </w:r>
            <w:bookmarkStart w:id="27" w:name="LocalGovernment3_2"/>
            <w:r w:rsidRPr="00EC4F85">
              <w:rPr>
                <w:rFonts w:ascii="Arial" w:hAnsi="Arial" w:cs="Arial"/>
                <w:b/>
                <w:sz w:val="18"/>
                <w:szCs w:val="18"/>
              </w:rPr>
              <w:t>P</w:t>
            </w:r>
            <w:r w:rsidRPr="00EC4F85">
              <w:rPr>
                <w:rFonts w:ascii="Arial" w:eastAsia="Calibri" w:hAnsi="Arial" w:cs="Arial"/>
                <w:b/>
                <w:sz w:val="18"/>
                <w:szCs w:val="18"/>
              </w:rPr>
              <w:t xml:space="preserve">rogram 3.2 – Local Government </w:t>
            </w:r>
            <w:bookmarkEnd w:id="27"/>
          </w:p>
          <w:p w14:paraId="7CB4AFF9" w14:textId="77777777" w:rsidR="00115843" w:rsidRPr="00EC4F85" w:rsidRDefault="00115843" w:rsidP="00FB0D02">
            <w:pPr>
              <w:pStyle w:val="TableTextLeft"/>
              <w:rPr>
                <w:szCs w:val="18"/>
                <w:highlight w:val="yellow"/>
              </w:rPr>
            </w:pPr>
            <w:r w:rsidRPr="00EC4F85">
              <w:rPr>
                <w:rFonts w:eastAsia="Calibri" w:cs="Arial"/>
                <w:szCs w:val="18"/>
                <w:lang w:eastAsia="en-US"/>
              </w:rPr>
              <w:t>The local government program supports regional development and local communities through delivery of policy advice to the Australian Government and financial assistance to local governments to strengthen local government capacity and better support local communities.</w:t>
            </w:r>
          </w:p>
        </w:tc>
      </w:tr>
      <w:tr w:rsidR="00115843" w:rsidRPr="00160C23" w14:paraId="2FE0B1D4" w14:textId="77777777" w:rsidTr="00FB0D02">
        <w:trPr>
          <w:trHeight w:val="174"/>
        </w:trPr>
        <w:tc>
          <w:tcPr>
            <w:tcW w:w="1010" w:type="pct"/>
            <w:tcBorders>
              <w:bottom w:val="double" w:sz="4" w:space="0" w:color="auto"/>
            </w:tcBorders>
          </w:tcPr>
          <w:p w14:paraId="534108DE" w14:textId="77777777" w:rsidR="00115843" w:rsidRPr="00160C23" w:rsidRDefault="00115843" w:rsidP="00FB0D02">
            <w:pPr>
              <w:tabs>
                <w:tab w:val="left" w:pos="709"/>
              </w:tabs>
              <w:spacing w:before="60" w:after="60"/>
              <w:rPr>
                <w:rFonts w:ascii="Arial" w:hAnsi="Arial" w:cs="Arial"/>
                <w:b/>
                <w:sz w:val="16"/>
                <w:szCs w:val="16"/>
              </w:rPr>
            </w:pPr>
            <w:r w:rsidRPr="00BE08C4">
              <w:rPr>
                <w:rFonts w:ascii="Arial" w:eastAsia="Calibri" w:hAnsi="Arial" w:cs="Arial"/>
                <w:b/>
                <w:sz w:val="16"/>
                <w:szCs w:val="16"/>
              </w:rPr>
              <w:t>Key Activit</w:t>
            </w:r>
            <w:r>
              <w:rPr>
                <w:rFonts w:ascii="Arial" w:eastAsia="Calibri" w:hAnsi="Arial" w:cs="Arial"/>
                <w:b/>
                <w:sz w:val="16"/>
                <w:szCs w:val="16"/>
              </w:rPr>
              <w:t>y</w:t>
            </w:r>
          </w:p>
        </w:tc>
        <w:tc>
          <w:tcPr>
            <w:tcW w:w="3990" w:type="pct"/>
            <w:gridSpan w:val="2"/>
            <w:tcBorders>
              <w:bottom w:val="double" w:sz="4" w:space="0" w:color="auto"/>
            </w:tcBorders>
          </w:tcPr>
          <w:p w14:paraId="00FE1E65" w14:textId="097361BD" w:rsidR="00115843" w:rsidRPr="001F7463" w:rsidRDefault="00115843" w:rsidP="00977C28">
            <w:pPr>
              <w:numPr>
                <w:ilvl w:val="0"/>
                <w:numId w:val="9"/>
              </w:numPr>
              <w:spacing w:before="60" w:after="60" w:line="240" w:lineRule="auto"/>
              <w:ind w:left="321"/>
              <w:rPr>
                <w:rFonts w:ascii="Arial" w:eastAsia="Calibri" w:hAnsi="Arial" w:cs="Arial"/>
                <w:sz w:val="16"/>
                <w:szCs w:val="16"/>
              </w:rPr>
            </w:pPr>
            <w:r w:rsidRPr="00A46594">
              <w:rPr>
                <w:rFonts w:ascii="Arial" w:eastAsia="Calibri" w:hAnsi="Arial" w:cs="Arial"/>
                <w:sz w:val="16"/>
                <w:szCs w:val="16"/>
              </w:rPr>
              <w:t>Provide policy leadership and deliver programs to support regional development and local governments</w:t>
            </w:r>
            <w:r w:rsidR="007C47D6">
              <w:rPr>
                <w:rFonts w:ascii="Arial" w:eastAsia="Calibri" w:hAnsi="Arial" w:cs="Arial"/>
                <w:sz w:val="16"/>
                <w:szCs w:val="16"/>
              </w:rPr>
              <w:t>.</w:t>
            </w:r>
          </w:p>
        </w:tc>
      </w:tr>
      <w:tr w:rsidR="00115843" w:rsidRPr="00160C23" w14:paraId="51E91009" w14:textId="77777777" w:rsidTr="00FB0D02">
        <w:trPr>
          <w:trHeight w:val="258"/>
        </w:trPr>
        <w:tc>
          <w:tcPr>
            <w:tcW w:w="1010" w:type="pct"/>
            <w:tcBorders>
              <w:top w:val="double" w:sz="4" w:space="0" w:color="auto"/>
              <w:bottom w:val="single" w:sz="4" w:space="0" w:color="auto"/>
              <w:right w:val="single" w:sz="4" w:space="0" w:color="auto"/>
            </w:tcBorders>
          </w:tcPr>
          <w:p w14:paraId="5A12E124" w14:textId="77777777" w:rsidR="00115843" w:rsidRPr="00CD1CF1" w:rsidRDefault="00115843" w:rsidP="00FB0D02">
            <w:pPr>
              <w:pStyle w:val="TableTextBase"/>
              <w:rPr>
                <w:b/>
                <w:sz w:val="16"/>
                <w:szCs w:val="16"/>
              </w:rPr>
            </w:pPr>
            <w:r w:rsidRPr="00CD1CF1">
              <w:rPr>
                <w:b/>
                <w:sz w:val="16"/>
                <w:szCs w:val="16"/>
              </w:rPr>
              <w:t>Year</w:t>
            </w:r>
          </w:p>
        </w:tc>
        <w:tc>
          <w:tcPr>
            <w:tcW w:w="1656" w:type="pct"/>
            <w:tcBorders>
              <w:top w:val="double" w:sz="4" w:space="0" w:color="auto"/>
              <w:left w:val="single" w:sz="4" w:space="0" w:color="auto"/>
              <w:bottom w:val="single" w:sz="4" w:space="0" w:color="auto"/>
              <w:right w:val="single" w:sz="4" w:space="0" w:color="auto"/>
            </w:tcBorders>
          </w:tcPr>
          <w:p w14:paraId="2154003A" w14:textId="77777777" w:rsidR="00115843" w:rsidRPr="00CD1CF1" w:rsidRDefault="00115843" w:rsidP="00FB0D02">
            <w:pPr>
              <w:pStyle w:val="TableTextBase"/>
              <w:rPr>
                <w:rFonts w:cs="Arial"/>
                <w:b/>
                <w:sz w:val="16"/>
                <w:szCs w:val="16"/>
              </w:rPr>
            </w:pPr>
            <w:r w:rsidRPr="00CD1CF1">
              <w:rPr>
                <w:rFonts w:cs="Arial"/>
                <w:b/>
                <w:sz w:val="16"/>
                <w:szCs w:val="16"/>
              </w:rPr>
              <w:t>Performance measures</w:t>
            </w:r>
          </w:p>
        </w:tc>
        <w:tc>
          <w:tcPr>
            <w:tcW w:w="2334" w:type="pct"/>
            <w:tcBorders>
              <w:top w:val="double" w:sz="4" w:space="0" w:color="auto"/>
              <w:left w:val="single" w:sz="4" w:space="0" w:color="auto"/>
              <w:bottom w:val="single" w:sz="4" w:space="0" w:color="auto"/>
            </w:tcBorders>
          </w:tcPr>
          <w:p w14:paraId="2E9980A5" w14:textId="77777777" w:rsidR="00115843" w:rsidRPr="00CD1CF1" w:rsidRDefault="00115843" w:rsidP="00FB0D02">
            <w:pPr>
              <w:pStyle w:val="TableTextBase"/>
              <w:rPr>
                <w:rFonts w:cs="Arial"/>
                <w:b/>
                <w:sz w:val="16"/>
                <w:szCs w:val="16"/>
              </w:rPr>
            </w:pPr>
            <w:r w:rsidRPr="00CD1CF1">
              <w:rPr>
                <w:rFonts w:cs="Arial"/>
                <w:b/>
                <w:sz w:val="16"/>
                <w:szCs w:val="16"/>
              </w:rPr>
              <w:t>Expected Performance Results</w:t>
            </w:r>
          </w:p>
        </w:tc>
      </w:tr>
      <w:tr w:rsidR="00115843" w:rsidRPr="005307EA" w14:paraId="48BA9607" w14:textId="77777777" w:rsidTr="00FB0D02">
        <w:trPr>
          <w:cantSplit/>
          <w:trHeight w:val="642"/>
        </w:trPr>
        <w:tc>
          <w:tcPr>
            <w:tcW w:w="1010" w:type="pct"/>
            <w:tcBorders>
              <w:top w:val="single" w:sz="4" w:space="0" w:color="auto"/>
              <w:bottom w:val="single" w:sz="4" w:space="0" w:color="auto"/>
              <w:right w:val="single" w:sz="4" w:space="0" w:color="auto"/>
            </w:tcBorders>
          </w:tcPr>
          <w:p w14:paraId="7518F7CB" w14:textId="7C9B3FB0" w:rsidR="00115843" w:rsidRPr="00FD292C" w:rsidRDefault="000575AF" w:rsidP="00FB0D02">
            <w:pPr>
              <w:pStyle w:val="TableTextBase"/>
              <w:rPr>
                <w:sz w:val="16"/>
                <w:szCs w:val="16"/>
              </w:rPr>
            </w:pPr>
            <w:r>
              <w:rPr>
                <w:sz w:val="16"/>
                <w:szCs w:val="16"/>
              </w:rPr>
              <w:t>Current</w:t>
            </w:r>
            <w:r w:rsidR="00115843" w:rsidRPr="00FD292C">
              <w:rPr>
                <w:sz w:val="16"/>
                <w:szCs w:val="16"/>
              </w:rPr>
              <w:t xml:space="preserve"> year </w:t>
            </w:r>
            <w:r w:rsidR="00115843" w:rsidRPr="00FD292C">
              <w:rPr>
                <w:sz w:val="16"/>
                <w:szCs w:val="16"/>
              </w:rPr>
              <w:br/>
              <w:t>202</w:t>
            </w:r>
            <w:r>
              <w:rPr>
                <w:sz w:val="16"/>
                <w:szCs w:val="16"/>
              </w:rPr>
              <w:t>2</w:t>
            </w:r>
            <w:r w:rsidR="00115843" w:rsidRPr="00FD292C">
              <w:rPr>
                <w:sz w:val="16"/>
                <w:szCs w:val="16"/>
              </w:rPr>
              <w:t>–2</w:t>
            </w:r>
            <w:r>
              <w:rPr>
                <w:sz w:val="16"/>
                <w:szCs w:val="16"/>
              </w:rPr>
              <w:t>3</w:t>
            </w:r>
          </w:p>
        </w:tc>
        <w:tc>
          <w:tcPr>
            <w:tcW w:w="1656" w:type="pct"/>
            <w:tcBorders>
              <w:top w:val="single" w:sz="4" w:space="0" w:color="auto"/>
              <w:left w:val="single" w:sz="4" w:space="0" w:color="auto"/>
              <w:bottom w:val="single" w:sz="4" w:space="0" w:color="auto"/>
              <w:right w:val="single" w:sz="4" w:space="0" w:color="auto"/>
            </w:tcBorders>
          </w:tcPr>
          <w:p w14:paraId="59E70E5F" w14:textId="60214C3B" w:rsidR="00115843" w:rsidRPr="00FD292C" w:rsidRDefault="000575AF" w:rsidP="001066C8">
            <w:pPr>
              <w:spacing w:before="60" w:after="60" w:line="240" w:lineRule="auto"/>
              <w:contextualSpacing/>
              <w:rPr>
                <w:b/>
                <w:sz w:val="16"/>
                <w:szCs w:val="16"/>
                <w:lang w:val="en-US"/>
              </w:rPr>
            </w:pPr>
            <w:r w:rsidRPr="000575AF">
              <w:rPr>
                <w:rFonts w:ascii="Arial" w:eastAsia="Calibri" w:hAnsi="Arial" w:cs="Arial"/>
                <w:sz w:val="16"/>
                <w:szCs w:val="16"/>
              </w:rPr>
              <w:t xml:space="preserve">Financial assistance is provided to local government in accordance with the </w:t>
            </w:r>
            <w:r w:rsidRPr="000575AF">
              <w:rPr>
                <w:rFonts w:ascii="Arial" w:eastAsia="Calibri" w:hAnsi="Arial" w:cs="Arial"/>
                <w:i/>
                <w:sz w:val="16"/>
                <w:szCs w:val="16"/>
              </w:rPr>
              <w:t>Local Government (Financial Assistance) Act 1995</w:t>
            </w:r>
          </w:p>
        </w:tc>
        <w:tc>
          <w:tcPr>
            <w:tcW w:w="2334" w:type="pct"/>
            <w:tcBorders>
              <w:top w:val="single" w:sz="4" w:space="0" w:color="auto"/>
              <w:left w:val="single" w:sz="4" w:space="0" w:color="auto"/>
              <w:bottom w:val="single" w:sz="4" w:space="0" w:color="auto"/>
            </w:tcBorders>
          </w:tcPr>
          <w:p w14:paraId="32F31EE4" w14:textId="6FDA42A4" w:rsidR="000908D6" w:rsidRDefault="000908D6" w:rsidP="000575AF">
            <w:pPr>
              <w:spacing w:before="60" w:after="60" w:line="240" w:lineRule="auto"/>
              <w:rPr>
                <w:rFonts w:ascii="Arial" w:eastAsia="Calibri" w:hAnsi="Arial" w:cs="Arial"/>
                <w:sz w:val="16"/>
                <w:szCs w:val="16"/>
              </w:rPr>
            </w:pPr>
            <w:r>
              <w:rPr>
                <w:rFonts w:ascii="Arial" w:eastAsia="Calibri" w:hAnsi="Arial" w:cs="Arial"/>
                <w:sz w:val="16"/>
                <w:szCs w:val="16"/>
              </w:rPr>
              <w:t xml:space="preserve">Target: </w:t>
            </w:r>
            <w:r w:rsidRPr="00FD292C">
              <w:rPr>
                <w:rFonts w:ascii="Arial" w:eastAsia="Calibri" w:hAnsi="Arial" w:cs="Arial"/>
                <w:sz w:val="16"/>
                <w:szCs w:val="16"/>
              </w:rPr>
              <w:t>Assistance is provided on time and aligned with the budget appropriation</w:t>
            </w:r>
            <w:r w:rsidR="009D1D35">
              <w:rPr>
                <w:rFonts w:ascii="Arial" w:eastAsia="Calibri" w:hAnsi="Arial" w:cs="Arial"/>
                <w:sz w:val="16"/>
                <w:szCs w:val="16"/>
              </w:rPr>
              <w:t>.</w:t>
            </w:r>
          </w:p>
          <w:p w14:paraId="2BCF3F42" w14:textId="5DE1698F" w:rsidR="00115843" w:rsidRPr="00FD292C" w:rsidRDefault="00115843" w:rsidP="000908D6">
            <w:pPr>
              <w:spacing w:before="240" w:after="60" w:line="240" w:lineRule="auto"/>
              <w:rPr>
                <w:rFonts w:ascii="Arial" w:eastAsia="Calibri" w:hAnsi="Arial" w:cs="Arial"/>
                <w:sz w:val="16"/>
                <w:szCs w:val="16"/>
              </w:rPr>
            </w:pPr>
            <w:r w:rsidRPr="00FD292C">
              <w:rPr>
                <w:rFonts w:ascii="Arial" w:eastAsia="Calibri" w:hAnsi="Arial" w:cs="Arial"/>
                <w:sz w:val="16"/>
                <w:szCs w:val="16"/>
              </w:rPr>
              <w:t>Target</w:t>
            </w:r>
            <w:r w:rsidR="000575AF">
              <w:rPr>
                <w:rFonts w:ascii="Arial" w:eastAsia="Calibri" w:hAnsi="Arial" w:cs="Arial"/>
                <w:sz w:val="16"/>
                <w:szCs w:val="16"/>
              </w:rPr>
              <w:t xml:space="preserve"> expected to be met.</w:t>
            </w:r>
          </w:p>
        </w:tc>
      </w:tr>
      <w:tr w:rsidR="00115843" w14:paraId="778C8B30" w14:textId="77777777" w:rsidTr="00FB0D02">
        <w:trPr>
          <w:cantSplit/>
          <w:trHeight w:val="317"/>
        </w:trPr>
        <w:tc>
          <w:tcPr>
            <w:tcW w:w="1010" w:type="pct"/>
            <w:tcBorders>
              <w:top w:val="double" w:sz="4" w:space="0" w:color="auto"/>
              <w:bottom w:val="single" w:sz="4" w:space="0" w:color="auto"/>
              <w:right w:val="single" w:sz="4" w:space="0" w:color="auto"/>
            </w:tcBorders>
          </w:tcPr>
          <w:p w14:paraId="391A5639" w14:textId="77777777" w:rsidR="00115843" w:rsidRPr="00CD1CF1" w:rsidRDefault="00115843" w:rsidP="00FB0D02">
            <w:pPr>
              <w:pStyle w:val="TableTextBase"/>
              <w:rPr>
                <w:b/>
                <w:sz w:val="16"/>
                <w:szCs w:val="16"/>
              </w:rPr>
            </w:pPr>
            <w:r w:rsidRPr="00CD1CF1">
              <w:rPr>
                <w:b/>
                <w:sz w:val="16"/>
                <w:szCs w:val="16"/>
              </w:rPr>
              <w:t>Year</w:t>
            </w:r>
          </w:p>
        </w:tc>
        <w:tc>
          <w:tcPr>
            <w:tcW w:w="1656" w:type="pct"/>
            <w:tcBorders>
              <w:top w:val="double" w:sz="4" w:space="0" w:color="auto"/>
              <w:left w:val="single" w:sz="4" w:space="0" w:color="auto"/>
              <w:bottom w:val="single" w:sz="4" w:space="0" w:color="auto"/>
              <w:right w:val="single" w:sz="4" w:space="0" w:color="auto"/>
            </w:tcBorders>
          </w:tcPr>
          <w:p w14:paraId="426A8DB7" w14:textId="77777777" w:rsidR="00115843" w:rsidRPr="00CD1CF1" w:rsidRDefault="00115843" w:rsidP="00FB0D02">
            <w:pPr>
              <w:pStyle w:val="TableTextBase"/>
              <w:rPr>
                <w:b/>
                <w:sz w:val="16"/>
                <w:szCs w:val="16"/>
              </w:rPr>
            </w:pPr>
            <w:r w:rsidRPr="00CD1CF1">
              <w:rPr>
                <w:b/>
                <w:sz w:val="16"/>
                <w:szCs w:val="16"/>
              </w:rPr>
              <w:t>Performance measures</w:t>
            </w:r>
          </w:p>
        </w:tc>
        <w:tc>
          <w:tcPr>
            <w:tcW w:w="2334" w:type="pct"/>
            <w:tcBorders>
              <w:top w:val="double" w:sz="4" w:space="0" w:color="auto"/>
              <w:left w:val="single" w:sz="4" w:space="0" w:color="auto"/>
              <w:bottom w:val="single" w:sz="4" w:space="0" w:color="auto"/>
            </w:tcBorders>
          </w:tcPr>
          <w:p w14:paraId="0CCB8A7D" w14:textId="77777777" w:rsidR="00115843" w:rsidRPr="00CD1CF1" w:rsidDel="008E1A6E" w:rsidRDefault="00115843" w:rsidP="00FB0D02">
            <w:pPr>
              <w:pStyle w:val="TableTextBase"/>
              <w:rPr>
                <w:b/>
                <w:sz w:val="16"/>
                <w:szCs w:val="16"/>
              </w:rPr>
            </w:pPr>
            <w:r w:rsidRPr="00CD1CF1">
              <w:rPr>
                <w:b/>
                <w:sz w:val="16"/>
                <w:szCs w:val="16"/>
              </w:rPr>
              <w:t>Planned Performance Results</w:t>
            </w:r>
          </w:p>
        </w:tc>
      </w:tr>
      <w:tr w:rsidR="00115843" w14:paraId="030ED0C4" w14:textId="77777777" w:rsidTr="002232E5">
        <w:trPr>
          <w:cantSplit/>
          <w:trHeight w:val="1046"/>
        </w:trPr>
        <w:tc>
          <w:tcPr>
            <w:tcW w:w="1010" w:type="pct"/>
            <w:tcBorders>
              <w:top w:val="single" w:sz="4" w:space="0" w:color="auto"/>
              <w:left w:val="single" w:sz="4" w:space="0" w:color="auto"/>
              <w:bottom w:val="single" w:sz="4" w:space="0" w:color="auto"/>
              <w:right w:val="single" w:sz="4" w:space="0" w:color="auto"/>
            </w:tcBorders>
          </w:tcPr>
          <w:p w14:paraId="65C4AFF7" w14:textId="6AE2D705" w:rsidR="00115843" w:rsidRPr="00FD292C" w:rsidRDefault="00115843" w:rsidP="00FB0D02">
            <w:pPr>
              <w:pStyle w:val="TableTextBase"/>
              <w:rPr>
                <w:sz w:val="16"/>
                <w:szCs w:val="16"/>
              </w:rPr>
            </w:pPr>
            <w:r w:rsidRPr="00FD292C">
              <w:rPr>
                <w:sz w:val="16"/>
                <w:szCs w:val="16"/>
              </w:rPr>
              <w:t>Budget year</w:t>
            </w:r>
            <w:r w:rsidRPr="00FD292C">
              <w:rPr>
                <w:sz w:val="16"/>
                <w:szCs w:val="16"/>
              </w:rPr>
              <w:br/>
              <w:t>202</w:t>
            </w:r>
            <w:r w:rsidR="000575AF">
              <w:rPr>
                <w:sz w:val="16"/>
                <w:szCs w:val="16"/>
              </w:rPr>
              <w:t>3</w:t>
            </w:r>
            <w:r w:rsidRPr="00FD292C">
              <w:rPr>
                <w:sz w:val="16"/>
                <w:szCs w:val="16"/>
              </w:rPr>
              <w:t>–2</w:t>
            </w:r>
            <w:r w:rsidR="000575AF">
              <w:rPr>
                <w:sz w:val="16"/>
                <w:szCs w:val="16"/>
              </w:rPr>
              <w:t>4</w:t>
            </w:r>
          </w:p>
        </w:tc>
        <w:tc>
          <w:tcPr>
            <w:tcW w:w="1656" w:type="pct"/>
            <w:tcBorders>
              <w:top w:val="single" w:sz="4" w:space="0" w:color="auto"/>
              <w:left w:val="single" w:sz="4" w:space="0" w:color="auto"/>
              <w:bottom w:val="single" w:sz="4" w:space="0" w:color="auto"/>
              <w:right w:val="single" w:sz="4" w:space="0" w:color="auto"/>
            </w:tcBorders>
          </w:tcPr>
          <w:p w14:paraId="64926675" w14:textId="77777777" w:rsidR="000575AF" w:rsidRPr="000575AF" w:rsidRDefault="000575AF" w:rsidP="000575AF">
            <w:pPr>
              <w:spacing w:before="60" w:after="60" w:line="240" w:lineRule="auto"/>
              <w:contextualSpacing/>
              <w:rPr>
                <w:rFonts w:ascii="Arial" w:eastAsia="Calibri" w:hAnsi="Arial" w:cs="Arial"/>
                <w:sz w:val="16"/>
                <w:szCs w:val="16"/>
              </w:rPr>
            </w:pPr>
            <w:r w:rsidRPr="000575AF">
              <w:rPr>
                <w:rFonts w:ascii="Arial" w:eastAsia="Calibri" w:hAnsi="Arial" w:cs="Arial"/>
                <w:sz w:val="16"/>
                <w:szCs w:val="16"/>
              </w:rPr>
              <w:t xml:space="preserve">Financial assistance is provided to local government in accordance with the </w:t>
            </w:r>
            <w:r w:rsidRPr="000575AF">
              <w:rPr>
                <w:rFonts w:ascii="Arial" w:eastAsia="Calibri" w:hAnsi="Arial" w:cs="Arial"/>
                <w:i/>
                <w:sz w:val="16"/>
                <w:szCs w:val="16"/>
              </w:rPr>
              <w:t>Local Government (Financial Assistance) Act 1995</w:t>
            </w:r>
            <w:r w:rsidRPr="000575AF">
              <w:rPr>
                <w:rFonts w:ascii="Arial" w:eastAsia="Calibri" w:hAnsi="Arial" w:cs="Arial"/>
                <w:sz w:val="16"/>
                <w:szCs w:val="16"/>
              </w:rPr>
              <w:t xml:space="preserve"> consisting of:</w:t>
            </w:r>
          </w:p>
          <w:p w14:paraId="053BEA63" w14:textId="77777777" w:rsidR="000575AF" w:rsidRDefault="000575AF" w:rsidP="00977C28">
            <w:pPr>
              <w:numPr>
                <w:ilvl w:val="0"/>
                <w:numId w:val="154"/>
              </w:numPr>
              <w:spacing w:before="120" w:after="120" w:line="240" w:lineRule="auto"/>
              <w:ind w:left="321" w:hanging="321"/>
              <w:contextualSpacing/>
              <w:rPr>
                <w:rFonts w:ascii="Arial" w:eastAsia="Calibri" w:hAnsi="Arial" w:cs="Arial"/>
                <w:sz w:val="16"/>
                <w:szCs w:val="16"/>
              </w:rPr>
            </w:pPr>
            <w:r w:rsidRPr="000575AF">
              <w:rPr>
                <w:rFonts w:ascii="Arial" w:eastAsia="Calibri" w:hAnsi="Arial" w:cs="Arial"/>
                <w:sz w:val="16"/>
                <w:szCs w:val="16"/>
              </w:rPr>
              <w:t xml:space="preserve">a general-purpose component which is distributed between the states and territories according to population </w:t>
            </w:r>
          </w:p>
          <w:p w14:paraId="0AD28EEA" w14:textId="741191D6" w:rsidR="000575AF" w:rsidRDefault="000575AF" w:rsidP="000575AF">
            <w:pPr>
              <w:spacing w:before="120" w:after="120" w:line="240" w:lineRule="auto"/>
              <w:ind w:left="321"/>
              <w:contextualSpacing/>
              <w:rPr>
                <w:rFonts w:ascii="Arial" w:eastAsia="Calibri" w:hAnsi="Arial" w:cs="Arial"/>
                <w:sz w:val="16"/>
                <w:szCs w:val="16"/>
              </w:rPr>
            </w:pPr>
            <w:r w:rsidRPr="000575AF">
              <w:rPr>
                <w:rFonts w:ascii="Arial" w:eastAsia="Calibri" w:hAnsi="Arial" w:cs="Arial"/>
                <w:sz w:val="16"/>
                <w:szCs w:val="16"/>
              </w:rPr>
              <w:t>(i.e. on a per capita basis)</w:t>
            </w:r>
          </w:p>
          <w:p w14:paraId="459F7690" w14:textId="78BC7376" w:rsidR="00115843" w:rsidRPr="000575AF" w:rsidRDefault="000575AF" w:rsidP="00977C28">
            <w:pPr>
              <w:numPr>
                <w:ilvl w:val="0"/>
                <w:numId w:val="154"/>
              </w:numPr>
              <w:spacing w:before="120" w:after="120" w:line="240" w:lineRule="auto"/>
              <w:ind w:left="321" w:hanging="321"/>
              <w:contextualSpacing/>
              <w:rPr>
                <w:rFonts w:ascii="Arial" w:eastAsia="Calibri" w:hAnsi="Arial" w:cs="Arial"/>
                <w:sz w:val="16"/>
                <w:szCs w:val="16"/>
              </w:rPr>
            </w:pPr>
            <w:r w:rsidRPr="000575AF">
              <w:rPr>
                <w:rFonts w:ascii="Arial" w:eastAsia="Calibri" w:hAnsi="Arial" w:cs="Arial"/>
                <w:sz w:val="16"/>
                <w:szCs w:val="16"/>
              </w:rPr>
              <w:t>an identified local road component which is distributed between the states and territories according to fixed historical shares</w:t>
            </w:r>
          </w:p>
        </w:tc>
        <w:tc>
          <w:tcPr>
            <w:tcW w:w="2334" w:type="pct"/>
            <w:tcBorders>
              <w:top w:val="single" w:sz="4" w:space="0" w:color="auto"/>
              <w:left w:val="single" w:sz="4" w:space="0" w:color="auto"/>
              <w:bottom w:val="single" w:sz="4" w:space="0" w:color="auto"/>
              <w:right w:val="single" w:sz="4" w:space="0" w:color="auto"/>
            </w:tcBorders>
          </w:tcPr>
          <w:p w14:paraId="1194585E" w14:textId="71411CEC" w:rsidR="00115843" w:rsidRPr="00FD292C" w:rsidRDefault="00115843"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Assistance is provided on time and aligned with the budget appropriation</w:t>
            </w:r>
            <w:r w:rsidR="001066C8">
              <w:rPr>
                <w:rFonts w:ascii="Arial" w:eastAsia="Calibri" w:hAnsi="Arial" w:cs="Arial"/>
                <w:sz w:val="16"/>
                <w:szCs w:val="16"/>
              </w:rPr>
              <w:t>.</w:t>
            </w:r>
          </w:p>
        </w:tc>
      </w:tr>
      <w:tr w:rsidR="00115843" w14:paraId="51A42B28" w14:textId="77777777" w:rsidTr="00FB0D02">
        <w:trPr>
          <w:cantSplit/>
          <w:trHeight w:val="642"/>
        </w:trPr>
        <w:tc>
          <w:tcPr>
            <w:tcW w:w="1010" w:type="pct"/>
            <w:tcBorders>
              <w:top w:val="single" w:sz="4" w:space="0" w:color="auto"/>
              <w:bottom w:val="single" w:sz="4" w:space="0" w:color="auto"/>
              <w:right w:val="single" w:sz="4" w:space="0" w:color="auto"/>
            </w:tcBorders>
          </w:tcPr>
          <w:p w14:paraId="6A6B8EAC" w14:textId="033AE92C" w:rsidR="00115843" w:rsidRPr="00FD292C" w:rsidRDefault="00115843"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Forward Estimates</w:t>
            </w:r>
            <w:r w:rsidRPr="00FD292C">
              <w:rPr>
                <w:rFonts w:ascii="Arial" w:eastAsia="Calibri" w:hAnsi="Arial" w:cs="Arial"/>
                <w:sz w:val="16"/>
                <w:szCs w:val="16"/>
              </w:rPr>
              <w:br/>
              <w:t>202</w:t>
            </w:r>
            <w:r w:rsidR="000575AF">
              <w:rPr>
                <w:rFonts w:ascii="Arial" w:eastAsia="Calibri" w:hAnsi="Arial" w:cs="Arial"/>
                <w:sz w:val="16"/>
                <w:szCs w:val="16"/>
              </w:rPr>
              <w:t>4</w:t>
            </w:r>
            <w:r w:rsidRPr="00FD292C">
              <w:rPr>
                <w:rFonts w:ascii="Arial" w:eastAsia="Calibri" w:hAnsi="Arial" w:cs="Arial"/>
                <w:sz w:val="16"/>
                <w:szCs w:val="16"/>
              </w:rPr>
              <w:t>–2</w:t>
            </w:r>
            <w:r w:rsidR="000575AF">
              <w:rPr>
                <w:rFonts w:ascii="Arial" w:eastAsia="Calibri" w:hAnsi="Arial" w:cs="Arial"/>
                <w:sz w:val="16"/>
                <w:szCs w:val="16"/>
              </w:rPr>
              <w:t>7</w:t>
            </w:r>
          </w:p>
        </w:tc>
        <w:tc>
          <w:tcPr>
            <w:tcW w:w="1656" w:type="pct"/>
            <w:tcBorders>
              <w:top w:val="single" w:sz="4" w:space="0" w:color="auto"/>
              <w:left w:val="single" w:sz="4" w:space="0" w:color="auto"/>
              <w:bottom w:val="single" w:sz="4" w:space="0" w:color="auto"/>
              <w:right w:val="single" w:sz="4" w:space="0" w:color="auto"/>
            </w:tcBorders>
          </w:tcPr>
          <w:p w14:paraId="3B4D416A" w14:textId="42BF02E4" w:rsidR="00115843" w:rsidRPr="000908D6" w:rsidRDefault="000575AF" w:rsidP="000908D6">
            <w:pPr>
              <w:pStyle w:val="TableTextBase"/>
              <w:rPr>
                <w:rFonts w:eastAsia="Calibri" w:cs="Arial"/>
                <w:sz w:val="16"/>
                <w:szCs w:val="16"/>
                <w:lang w:eastAsia="en-US"/>
              </w:rPr>
            </w:pPr>
            <w:r w:rsidRPr="000908D6">
              <w:rPr>
                <w:rFonts w:eastAsia="Calibri" w:cs="Arial"/>
                <w:sz w:val="16"/>
                <w:szCs w:val="16"/>
                <w:lang w:eastAsia="en-US"/>
              </w:rPr>
              <w:t>As per 2023–24</w:t>
            </w:r>
          </w:p>
        </w:tc>
        <w:tc>
          <w:tcPr>
            <w:tcW w:w="2334" w:type="pct"/>
            <w:tcBorders>
              <w:top w:val="single" w:sz="4" w:space="0" w:color="auto"/>
              <w:left w:val="single" w:sz="4" w:space="0" w:color="auto"/>
              <w:bottom w:val="single" w:sz="4" w:space="0" w:color="auto"/>
            </w:tcBorders>
          </w:tcPr>
          <w:p w14:paraId="1DD363B0" w14:textId="30C99FAB" w:rsidR="00115843" w:rsidRPr="00FD292C" w:rsidDel="008E1A6E" w:rsidRDefault="000575AF" w:rsidP="000908D6">
            <w:pPr>
              <w:pStyle w:val="TableTextBase"/>
              <w:rPr>
                <w:rFonts w:eastAsia="Calibri" w:cs="Arial"/>
                <w:b/>
                <w:sz w:val="16"/>
                <w:szCs w:val="16"/>
                <w:lang w:eastAsia="en-US"/>
              </w:rPr>
            </w:pPr>
            <w:r w:rsidRPr="000575AF">
              <w:rPr>
                <w:rFonts w:eastAsia="Calibri" w:cs="Arial"/>
                <w:sz w:val="16"/>
                <w:szCs w:val="16"/>
                <w:lang w:eastAsia="en-US"/>
              </w:rPr>
              <w:t>As per 2023–24.</w:t>
            </w:r>
          </w:p>
        </w:tc>
      </w:tr>
    </w:tbl>
    <w:p w14:paraId="22187DAB" w14:textId="77777777" w:rsidR="00115843" w:rsidRDefault="00115843" w:rsidP="00115843">
      <w:pPr>
        <w:spacing w:after="0" w:line="240"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2550"/>
        <w:gridCol w:w="3594"/>
      </w:tblGrid>
      <w:tr w:rsidR="00115843" w:rsidRPr="008E07F1" w14:paraId="0A41197E" w14:textId="77777777" w:rsidTr="002F3AAF">
        <w:trPr>
          <w:trHeight w:val="522"/>
        </w:trPr>
        <w:tc>
          <w:tcPr>
            <w:tcW w:w="5000" w:type="pct"/>
            <w:gridSpan w:val="3"/>
            <w:shd w:val="clear" w:color="auto" w:fill="E6E6E6"/>
          </w:tcPr>
          <w:p w14:paraId="2099BE53" w14:textId="77777777" w:rsidR="00115843" w:rsidRPr="008E07F1" w:rsidRDefault="00115843" w:rsidP="00FB0D02">
            <w:pPr>
              <w:spacing w:before="60" w:after="0" w:line="240" w:lineRule="auto"/>
              <w:rPr>
                <w:rFonts w:ascii="Arial" w:eastAsia="Calibri" w:hAnsi="Arial" w:cs="Arial"/>
                <w:b/>
                <w:sz w:val="18"/>
                <w:szCs w:val="18"/>
                <w:lang w:eastAsia="en-US"/>
              </w:rPr>
            </w:pPr>
            <w:bookmarkStart w:id="28" w:name="Cities3_3"/>
            <w:r w:rsidRPr="008E07F1">
              <w:rPr>
                <w:rFonts w:ascii="Arial" w:eastAsia="Calibri" w:hAnsi="Arial" w:cs="Arial"/>
                <w:b/>
                <w:sz w:val="18"/>
                <w:szCs w:val="18"/>
                <w:lang w:eastAsia="en-US"/>
              </w:rPr>
              <w:lastRenderedPageBreak/>
              <w:t>Program 3.3 – Cities</w:t>
            </w:r>
            <w:bookmarkEnd w:id="28"/>
          </w:p>
          <w:p w14:paraId="45272848" w14:textId="77777777" w:rsidR="00115843" w:rsidRPr="008E07F1" w:rsidRDefault="00115843" w:rsidP="00FB0D02">
            <w:pPr>
              <w:spacing w:before="60" w:after="60" w:line="240" w:lineRule="auto"/>
              <w:rPr>
                <w:rFonts w:ascii="Arial" w:hAnsi="Arial"/>
                <w:sz w:val="18"/>
                <w:highlight w:val="yellow"/>
              </w:rPr>
            </w:pPr>
            <w:r w:rsidRPr="008E07F1">
              <w:rPr>
                <w:rFonts w:ascii="Arial" w:eastAsia="Calibri" w:hAnsi="Arial" w:cs="Arial"/>
                <w:sz w:val="18"/>
                <w:szCs w:val="18"/>
                <w:lang w:eastAsia="en-US"/>
              </w:rPr>
              <w:t>The cities program supports the development of more liveable and productive cities through programs and policies that support jobs and economic growth, manage population pressures and reduce congestion.</w:t>
            </w:r>
          </w:p>
        </w:tc>
      </w:tr>
      <w:tr w:rsidR="00115843" w:rsidRPr="008E07F1" w14:paraId="7C5DEDA5" w14:textId="77777777" w:rsidTr="00FB0D02">
        <w:trPr>
          <w:trHeight w:val="174"/>
        </w:trPr>
        <w:tc>
          <w:tcPr>
            <w:tcW w:w="1010" w:type="pct"/>
            <w:tcBorders>
              <w:bottom w:val="double" w:sz="4" w:space="0" w:color="auto"/>
            </w:tcBorders>
          </w:tcPr>
          <w:p w14:paraId="7E7BA740" w14:textId="77777777" w:rsidR="00115843" w:rsidRPr="008E07F1" w:rsidRDefault="00115843" w:rsidP="00FB0D02">
            <w:pPr>
              <w:tabs>
                <w:tab w:val="left" w:pos="709"/>
              </w:tabs>
              <w:spacing w:before="60" w:after="60" w:line="259" w:lineRule="auto"/>
              <w:rPr>
                <w:rFonts w:ascii="Arial" w:eastAsiaTheme="minorHAnsi" w:hAnsi="Arial" w:cs="Arial"/>
                <w:b/>
                <w:sz w:val="16"/>
                <w:szCs w:val="16"/>
                <w:lang w:eastAsia="en-US"/>
              </w:rPr>
            </w:pPr>
            <w:r w:rsidRPr="008E07F1">
              <w:rPr>
                <w:rFonts w:ascii="Arial" w:eastAsia="Calibri" w:hAnsi="Arial" w:cs="Arial"/>
                <w:b/>
                <w:sz w:val="16"/>
                <w:szCs w:val="16"/>
                <w:lang w:eastAsia="en-US"/>
              </w:rPr>
              <w:t>Key Activity</w:t>
            </w:r>
          </w:p>
        </w:tc>
        <w:tc>
          <w:tcPr>
            <w:tcW w:w="3990" w:type="pct"/>
            <w:gridSpan w:val="2"/>
            <w:tcBorders>
              <w:bottom w:val="double" w:sz="4" w:space="0" w:color="auto"/>
            </w:tcBorders>
          </w:tcPr>
          <w:p w14:paraId="1D98C828" w14:textId="1E02AAE4" w:rsidR="00115843" w:rsidRDefault="00115843" w:rsidP="00977C28">
            <w:pPr>
              <w:numPr>
                <w:ilvl w:val="0"/>
                <w:numId w:val="9"/>
              </w:numPr>
              <w:spacing w:before="60" w:after="60" w:line="240" w:lineRule="auto"/>
              <w:ind w:left="321"/>
              <w:rPr>
                <w:rFonts w:ascii="Arial" w:eastAsia="Calibri" w:hAnsi="Arial" w:cs="Arial"/>
                <w:sz w:val="16"/>
                <w:szCs w:val="16"/>
                <w:lang w:eastAsia="en-US"/>
              </w:rPr>
            </w:pPr>
            <w:r w:rsidRPr="008E07F1">
              <w:rPr>
                <w:rFonts w:ascii="Arial" w:eastAsia="Calibri" w:hAnsi="Arial" w:cs="Arial"/>
                <w:sz w:val="16"/>
                <w:szCs w:val="16"/>
                <w:lang w:eastAsia="en-US"/>
              </w:rPr>
              <w:t>Advise on and deliver City Deals and Regional Deals</w:t>
            </w:r>
            <w:r w:rsidR="000908D6">
              <w:rPr>
                <w:rFonts w:ascii="Arial" w:eastAsia="Calibri" w:hAnsi="Arial" w:cs="Arial"/>
                <w:sz w:val="16"/>
                <w:szCs w:val="16"/>
                <w:lang w:eastAsia="en-US"/>
              </w:rPr>
              <w:t>.</w:t>
            </w:r>
          </w:p>
          <w:p w14:paraId="68CC3018" w14:textId="4F1447B5" w:rsidR="000575AF" w:rsidRPr="008E07F1" w:rsidRDefault="000575AF" w:rsidP="00977C28">
            <w:pPr>
              <w:numPr>
                <w:ilvl w:val="0"/>
                <w:numId w:val="9"/>
              </w:numPr>
              <w:spacing w:before="60" w:after="60" w:line="240" w:lineRule="auto"/>
              <w:ind w:left="321"/>
              <w:rPr>
                <w:rFonts w:ascii="Arial" w:eastAsia="Calibri" w:hAnsi="Arial" w:cs="Arial"/>
                <w:sz w:val="16"/>
                <w:szCs w:val="16"/>
                <w:lang w:eastAsia="en-US"/>
              </w:rPr>
            </w:pPr>
            <w:r w:rsidRPr="000575AF">
              <w:rPr>
                <w:rFonts w:ascii="Arial" w:eastAsia="Calibri" w:hAnsi="Arial" w:cs="Arial"/>
                <w:sz w:val="16"/>
                <w:szCs w:val="16"/>
                <w:lang w:eastAsia="en-US"/>
              </w:rPr>
              <w:t>Advise on and deliver commitments to enhance Australia’s cities and towns.</w:t>
            </w:r>
          </w:p>
        </w:tc>
      </w:tr>
      <w:tr w:rsidR="00115843" w:rsidRPr="008E07F1" w14:paraId="220B24D7" w14:textId="77777777" w:rsidTr="00FB0D02">
        <w:trPr>
          <w:trHeight w:val="258"/>
        </w:trPr>
        <w:tc>
          <w:tcPr>
            <w:tcW w:w="1010" w:type="pct"/>
            <w:tcBorders>
              <w:top w:val="double" w:sz="4" w:space="0" w:color="auto"/>
              <w:bottom w:val="single" w:sz="4" w:space="0" w:color="auto"/>
              <w:right w:val="single" w:sz="4" w:space="0" w:color="auto"/>
            </w:tcBorders>
          </w:tcPr>
          <w:p w14:paraId="3A72C67B" w14:textId="77777777" w:rsidR="00115843" w:rsidRPr="008E07F1" w:rsidRDefault="00115843" w:rsidP="00FB0D02">
            <w:pPr>
              <w:spacing w:before="60" w:after="60" w:line="240" w:lineRule="auto"/>
              <w:rPr>
                <w:rFonts w:ascii="Arial" w:hAnsi="Arial"/>
                <w:b/>
                <w:sz w:val="16"/>
                <w:szCs w:val="16"/>
              </w:rPr>
            </w:pPr>
            <w:r w:rsidRPr="008E07F1">
              <w:rPr>
                <w:rFonts w:ascii="Arial" w:hAnsi="Arial"/>
                <w:b/>
                <w:sz w:val="16"/>
                <w:szCs w:val="16"/>
              </w:rPr>
              <w:t>Year</w:t>
            </w:r>
          </w:p>
        </w:tc>
        <w:tc>
          <w:tcPr>
            <w:tcW w:w="1656" w:type="pct"/>
            <w:tcBorders>
              <w:top w:val="double" w:sz="4" w:space="0" w:color="auto"/>
              <w:left w:val="single" w:sz="4" w:space="0" w:color="auto"/>
              <w:bottom w:val="single" w:sz="4" w:space="0" w:color="auto"/>
              <w:right w:val="single" w:sz="4" w:space="0" w:color="auto"/>
            </w:tcBorders>
          </w:tcPr>
          <w:p w14:paraId="60353A1E" w14:textId="77777777" w:rsidR="00115843" w:rsidRPr="008E07F1" w:rsidRDefault="00115843" w:rsidP="00FB0D02">
            <w:pPr>
              <w:spacing w:before="60" w:after="60" w:line="240" w:lineRule="auto"/>
              <w:rPr>
                <w:rFonts w:ascii="Arial" w:hAnsi="Arial" w:cs="Arial"/>
                <w:b/>
                <w:sz w:val="16"/>
                <w:szCs w:val="16"/>
              </w:rPr>
            </w:pPr>
            <w:r w:rsidRPr="008E07F1">
              <w:rPr>
                <w:rFonts w:ascii="Arial" w:hAnsi="Arial" w:cs="Arial"/>
                <w:b/>
                <w:sz w:val="16"/>
                <w:szCs w:val="16"/>
              </w:rPr>
              <w:t>Performance measures</w:t>
            </w:r>
          </w:p>
        </w:tc>
        <w:tc>
          <w:tcPr>
            <w:tcW w:w="2334" w:type="pct"/>
            <w:tcBorders>
              <w:top w:val="double" w:sz="4" w:space="0" w:color="auto"/>
              <w:left w:val="single" w:sz="4" w:space="0" w:color="auto"/>
              <w:bottom w:val="single" w:sz="4" w:space="0" w:color="auto"/>
            </w:tcBorders>
          </w:tcPr>
          <w:p w14:paraId="75037E24" w14:textId="77777777" w:rsidR="00115843" w:rsidRPr="008E07F1" w:rsidRDefault="00115843" w:rsidP="00FB0D02">
            <w:pPr>
              <w:spacing w:before="60" w:after="60" w:line="240" w:lineRule="auto"/>
              <w:rPr>
                <w:rFonts w:ascii="Arial" w:hAnsi="Arial" w:cs="Arial"/>
                <w:b/>
                <w:sz w:val="16"/>
                <w:szCs w:val="16"/>
              </w:rPr>
            </w:pPr>
            <w:r>
              <w:rPr>
                <w:rFonts w:ascii="Arial" w:hAnsi="Arial" w:cs="Arial"/>
                <w:b/>
                <w:sz w:val="16"/>
                <w:szCs w:val="16"/>
              </w:rPr>
              <w:t>Expected</w:t>
            </w:r>
            <w:r w:rsidRPr="008E07F1">
              <w:rPr>
                <w:rFonts w:ascii="Arial" w:hAnsi="Arial" w:cs="Arial"/>
                <w:b/>
                <w:sz w:val="16"/>
                <w:szCs w:val="16"/>
              </w:rPr>
              <w:t xml:space="preserve"> Performance Results</w:t>
            </w:r>
          </w:p>
        </w:tc>
      </w:tr>
      <w:tr w:rsidR="00115843" w:rsidRPr="008E07F1" w14:paraId="4C30E1CB" w14:textId="77777777" w:rsidTr="00FB0D02">
        <w:trPr>
          <w:trHeight w:val="642"/>
        </w:trPr>
        <w:tc>
          <w:tcPr>
            <w:tcW w:w="1010" w:type="pct"/>
            <w:tcBorders>
              <w:top w:val="single" w:sz="4" w:space="0" w:color="auto"/>
              <w:right w:val="single" w:sz="4" w:space="0" w:color="auto"/>
            </w:tcBorders>
          </w:tcPr>
          <w:p w14:paraId="20910607" w14:textId="7D522A76" w:rsidR="00115843" w:rsidRPr="00DB0E5D" w:rsidRDefault="000575AF" w:rsidP="00FB0D02">
            <w:pPr>
              <w:spacing w:before="60" w:after="60" w:line="240" w:lineRule="auto"/>
              <w:rPr>
                <w:rFonts w:ascii="Arial" w:hAnsi="Arial"/>
                <w:sz w:val="16"/>
                <w:szCs w:val="16"/>
              </w:rPr>
            </w:pPr>
            <w:r>
              <w:rPr>
                <w:rFonts w:ascii="Arial" w:hAnsi="Arial"/>
                <w:sz w:val="16"/>
                <w:szCs w:val="16"/>
              </w:rPr>
              <w:t>Current</w:t>
            </w:r>
            <w:r w:rsidR="00115843" w:rsidRPr="008D55A3">
              <w:rPr>
                <w:rFonts w:ascii="Arial" w:hAnsi="Arial"/>
                <w:sz w:val="16"/>
                <w:szCs w:val="16"/>
              </w:rPr>
              <w:t xml:space="preserve"> </w:t>
            </w:r>
            <w:r w:rsidR="00115843">
              <w:rPr>
                <w:rFonts w:ascii="Arial" w:hAnsi="Arial"/>
                <w:sz w:val="16"/>
                <w:szCs w:val="16"/>
              </w:rPr>
              <w:t>year</w:t>
            </w:r>
            <w:r w:rsidR="00115843" w:rsidRPr="008D55A3">
              <w:rPr>
                <w:rFonts w:ascii="Arial" w:hAnsi="Arial"/>
                <w:sz w:val="16"/>
                <w:szCs w:val="16"/>
              </w:rPr>
              <w:t xml:space="preserve"> </w:t>
            </w:r>
            <w:r w:rsidR="00115843">
              <w:rPr>
                <w:rFonts w:ascii="Arial" w:hAnsi="Arial"/>
                <w:sz w:val="16"/>
                <w:szCs w:val="16"/>
              </w:rPr>
              <w:br/>
            </w:r>
            <w:r w:rsidR="00115843" w:rsidRPr="008D55A3">
              <w:rPr>
                <w:rFonts w:ascii="Arial" w:hAnsi="Arial"/>
                <w:sz w:val="16"/>
                <w:szCs w:val="16"/>
              </w:rPr>
              <w:t>202</w:t>
            </w:r>
            <w:r>
              <w:rPr>
                <w:rFonts w:ascii="Arial" w:hAnsi="Arial"/>
                <w:sz w:val="16"/>
                <w:szCs w:val="16"/>
              </w:rPr>
              <w:t>2</w:t>
            </w:r>
            <w:r w:rsidR="00115843" w:rsidRPr="008D55A3">
              <w:rPr>
                <w:rFonts w:ascii="Arial" w:hAnsi="Arial"/>
                <w:sz w:val="16"/>
                <w:szCs w:val="16"/>
              </w:rPr>
              <w:t>–2</w:t>
            </w:r>
            <w:r>
              <w:rPr>
                <w:rFonts w:ascii="Arial" w:hAnsi="Arial"/>
                <w:sz w:val="16"/>
                <w:szCs w:val="16"/>
              </w:rPr>
              <w:t>3</w:t>
            </w:r>
          </w:p>
        </w:tc>
        <w:tc>
          <w:tcPr>
            <w:tcW w:w="1656" w:type="pct"/>
            <w:tcBorders>
              <w:top w:val="single" w:sz="4" w:space="0" w:color="auto"/>
              <w:left w:val="single" w:sz="4" w:space="0" w:color="auto"/>
              <w:bottom w:val="single" w:sz="4" w:space="0" w:color="auto"/>
              <w:right w:val="single" w:sz="4" w:space="0" w:color="auto"/>
            </w:tcBorders>
          </w:tcPr>
          <w:p w14:paraId="76A0FDAD" w14:textId="3B917385" w:rsidR="00115843" w:rsidRPr="008E07F1" w:rsidRDefault="000575AF" w:rsidP="00FB0D02">
            <w:pPr>
              <w:spacing w:before="60" w:after="60" w:line="240" w:lineRule="auto"/>
              <w:rPr>
                <w:rFonts w:asciiTheme="minorHAnsi" w:eastAsiaTheme="minorHAnsi" w:hAnsiTheme="minorHAnsi" w:cstheme="minorBidi"/>
                <w:b/>
                <w:sz w:val="22"/>
                <w:szCs w:val="22"/>
                <w:lang w:val="en-US" w:eastAsia="en-US"/>
              </w:rPr>
            </w:pPr>
            <w:r w:rsidRPr="000575AF">
              <w:rPr>
                <w:rFonts w:ascii="Arial" w:eastAsia="Calibri" w:hAnsi="Arial" w:cs="Arial"/>
                <w:sz w:val="16"/>
                <w:szCs w:val="16"/>
                <w:lang w:eastAsia="en-US"/>
              </w:rPr>
              <w:t>Number of City and Regional Deal commitments on track to be completed within agreed timeframes</w:t>
            </w:r>
            <w:r w:rsidRPr="000575AF">
              <w:rPr>
                <w:rFonts w:ascii="Arial" w:eastAsia="Calibri" w:hAnsi="Arial" w:cs="Arial"/>
                <w:sz w:val="16"/>
                <w:szCs w:val="16"/>
                <w:vertAlign w:val="superscript"/>
                <w:lang w:eastAsia="en-US"/>
              </w:rPr>
              <w:t>(a)</w:t>
            </w:r>
          </w:p>
        </w:tc>
        <w:tc>
          <w:tcPr>
            <w:tcW w:w="2334" w:type="pct"/>
            <w:tcBorders>
              <w:top w:val="single" w:sz="4" w:space="0" w:color="auto"/>
              <w:left w:val="single" w:sz="4" w:space="0" w:color="auto"/>
              <w:bottom w:val="single" w:sz="4" w:space="0" w:color="auto"/>
            </w:tcBorders>
          </w:tcPr>
          <w:p w14:paraId="1AD60923" w14:textId="77777777" w:rsidR="000575AF" w:rsidRPr="000575AF" w:rsidRDefault="000575AF" w:rsidP="000575AF">
            <w:pPr>
              <w:spacing w:before="60" w:after="60" w:line="240" w:lineRule="auto"/>
              <w:rPr>
                <w:rFonts w:ascii="Arial" w:eastAsia="Calibri" w:hAnsi="Arial" w:cs="Arial"/>
                <w:sz w:val="16"/>
                <w:szCs w:val="16"/>
                <w:lang w:eastAsia="en-US"/>
              </w:rPr>
            </w:pPr>
            <w:r w:rsidRPr="000575AF">
              <w:rPr>
                <w:rFonts w:ascii="Arial" w:eastAsia="Calibri" w:hAnsi="Arial" w:cs="Arial"/>
                <w:sz w:val="16"/>
                <w:szCs w:val="16"/>
                <w:lang w:eastAsia="en-US"/>
              </w:rPr>
              <w:t>Results rely on data not yet available.</w:t>
            </w:r>
          </w:p>
          <w:p w14:paraId="7CB523F1" w14:textId="694BC51E" w:rsidR="00115843" w:rsidRPr="008E07F1" w:rsidRDefault="00115843" w:rsidP="00FB0D02">
            <w:pPr>
              <w:spacing w:before="60" w:after="60" w:line="240" w:lineRule="auto"/>
              <w:rPr>
                <w:rFonts w:ascii="Arial" w:eastAsia="Calibri" w:hAnsi="Arial" w:cs="Arial"/>
                <w:sz w:val="16"/>
                <w:szCs w:val="16"/>
                <w:lang w:eastAsia="en-US"/>
              </w:rPr>
            </w:pPr>
          </w:p>
        </w:tc>
      </w:tr>
      <w:tr w:rsidR="00115843" w:rsidRPr="008E07F1" w14:paraId="5EF2EB96" w14:textId="77777777" w:rsidTr="00FB0D02">
        <w:trPr>
          <w:trHeight w:val="258"/>
        </w:trPr>
        <w:tc>
          <w:tcPr>
            <w:tcW w:w="1010" w:type="pct"/>
            <w:tcBorders>
              <w:top w:val="double" w:sz="4" w:space="0" w:color="auto"/>
              <w:bottom w:val="single" w:sz="4" w:space="0" w:color="auto"/>
              <w:right w:val="single" w:sz="4" w:space="0" w:color="auto"/>
            </w:tcBorders>
          </w:tcPr>
          <w:p w14:paraId="6DD167D1" w14:textId="77777777" w:rsidR="00115843" w:rsidRPr="008E07F1" w:rsidRDefault="00115843" w:rsidP="00FB0D02">
            <w:pPr>
              <w:spacing w:before="60" w:after="60" w:line="240" w:lineRule="auto"/>
              <w:rPr>
                <w:rFonts w:ascii="Arial" w:hAnsi="Arial"/>
                <w:b/>
                <w:sz w:val="16"/>
                <w:szCs w:val="16"/>
              </w:rPr>
            </w:pPr>
            <w:r w:rsidRPr="008E07F1">
              <w:rPr>
                <w:rFonts w:ascii="Arial" w:hAnsi="Arial"/>
                <w:b/>
                <w:sz w:val="16"/>
                <w:szCs w:val="16"/>
              </w:rPr>
              <w:t>Year</w:t>
            </w:r>
          </w:p>
        </w:tc>
        <w:tc>
          <w:tcPr>
            <w:tcW w:w="1656" w:type="pct"/>
            <w:tcBorders>
              <w:top w:val="double" w:sz="4" w:space="0" w:color="auto"/>
              <w:left w:val="single" w:sz="4" w:space="0" w:color="auto"/>
              <w:bottom w:val="single" w:sz="4" w:space="0" w:color="auto"/>
              <w:right w:val="single" w:sz="4" w:space="0" w:color="auto"/>
            </w:tcBorders>
          </w:tcPr>
          <w:p w14:paraId="1588B5A3" w14:textId="77777777" w:rsidR="00115843" w:rsidRPr="008E07F1" w:rsidRDefault="00115843" w:rsidP="00FB0D02">
            <w:pPr>
              <w:spacing w:before="60" w:after="60" w:line="240" w:lineRule="auto"/>
              <w:rPr>
                <w:rFonts w:ascii="Arial" w:hAnsi="Arial" w:cs="Arial"/>
                <w:b/>
                <w:sz w:val="16"/>
                <w:szCs w:val="16"/>
              </w:rPr>
            </w:pPr>
            <w:r w:rsidRPr="008E07F1">
              <w:rPr>
                <w:rFonts w:ascii="Arial" w:hAnsi="Arial" w:cs="Arial"/>
                <w:b/>
                <w:sz w:val="16"/>
                <w:szCs w:val="16"/>
              </w:rPr>
              <w:t>Performance measures</w:t>
            </w:r>
          </w:p>
        </w:tc>
        <w:tc>
          <w:tcPr>
            <w:tcW w:w="2334" w:type="pct"/>
            <w:tcBorders>
              <w:top w:val="double" w:sz="4" w:space="0" w:color="auto"/>
              <w:left w:val="single" w:sz="4" w:space="0" w:color="auto"/>
              <w:bottom w:val="single" w:sz="4" w:space="0" w:color="auto"/>
            </w:tcBorders>
          </w:tcPr>
          <w:p w14:paraId="38ACF9AB" w14:textId="3D8CE523" w:rsidR="00115843" w:rsidRPr="008E07F1" w:rsidRDefault="00AE5E33" w:rsidP="00FB0D02">
            <w:pPr>
              <w:spacing w:before="60" w:after="60" w:line="240" w:lineRule="auto"/>
              <w:rPr>
                <w:rFonts w:ascii="Arial" w:hAnsi="Arial" w:cs="Arial"/>
                <w:b/>
                <w:sz w:val="16"/>
                <w:szCs w:val="16"/>
              </w:rPr>
            </w:pPr>
            <w:r>
              <w:rPr>
                <w:rFonts w:ascii="Arial" w:hAnsi="Arial" w:cs="Arial"/>
                <w:b/>
                <w:sz w:val="16"/>
                <w:szCs w:val="16"/>
              </w:rPr>
              <w:t>Plann</w:t>
            </w:r>
            <w:r w:rsidR="00115843">
              <w:rPr>
                <w:rFonts w:ascii="Arial" w:hAnsi="Arial" w:cs="Arial"/>
                <w:b/>
                <w:sz w:val="16"/>
                <w:szCs w:val="16"/>
              </w:rPr>
              <w:t>ed</w:t>
            </w:r>
            <w:r w:rsidR="00115843" w:rsidRPr="008E07F1">
              <w:rPr>
                <w:rFonts w:ascii="Arial" w:hAnsi="Arial" w:cs="Arial"/>
                <w:b/>
                <w:sz w:val="16"/>
                <w:szCs w:val="16"/>
              </w:rPr>
              <w:t xml:space="preserve"> Performance Results</w:t>
            </w:r>
          </w:p>
        </w:tc>
      </w:tr>
      <w:tr w:rsidR="0050448E" w:rsidRPr="008E07F1" w14:paraId="22488402" w14:textId="77777777" w:rsidTr="007406E2">
        <w:trPr>
          <w:trHeight w:val="642"/>
        </w:trPr>
        <w:tc>
          <w:tcPr>
            <w:tcW w:w="1010" w:type="pct"/>
            <w:vMerge w:val="restart"/>
            <w:tcBorders>
              <w:top w:val="single" w:sz="4" w:space="0" w:color="auto"/>
              <w:right w:val="single" w:sz="4" w:space="0" w:color="auto"/>
            </w:tcBorders>
          </w:tcPr>
          <w:p w14:paraId="2844CADC" w14:textId="36669F06" w:rsidR="0050448E" w:rsidRPr="00DB0E5D" w:rsidRDefault="0050448E" w:rsidP="00FB0D02">
            <w:pPr>
              <w:spacing w:before="60" w:after="60" w:line="240" w:lineRule="auto"/>
              <w:rPr>
                <w:rFonts w:ascii="Arial" w:hAnsi="Arial"/>
                <w:sz w:val="16"/>
                <w:szCs w:val="16"/>
              </w:rPr>
            </w:pPr>
            <w:r w:rsidRPr="008D55A3">
              <w:rPr>
                <w:rFonts w:ascii="Arial" w:eastAsia="Calibri" w:hAnsi="Arial" w:cs="Arial"/>
                <w:sz w:val="16"/>
                <w:szCs w:val="16"/>
                <w:lang w:eastAsia="en-US"/>
              </w:rPr>
              <w:t xml:space="preserve">Budget </w:t>
            </w:r>
            <w:r>
              <w:rPr>
                <w:rFonts w:ascii="Arial" w:eastAsia="Calibri" w:hAnsi="Arial" w:cs="Arial"/>
                <w:sz w:val="16"/>
                <w:szCs w:val="16"/>
                <w:lang w:eastAsia="en-US"/>
              </w:rPr>
              <w:t>year</w:t>
            </w:r>
            <w:r>
              <w:rPr>
                <w:rFonts w:ascii="Arial" w:eastAsia="Calibri" w:hAnsi="Arial" w:cs="Arial"/>
                <w:sz w:val="16"/>
                <w:szCs w:val="16"/>
                <w:lang w:eastAsia="en-US"/>
              </w:rPr>
              <w:br/>
            </w:r>
            <w:r w:rsidRPr="008D55A3">
              <w:rPr>
                <w:rFonts w:ascii="Arial" w:eastAsia="Calibri" w:hAnsi="Arial" w:cs="Arial"/>
                <w:sz w:val="16"/>
                <w:szCs w:val="16"/>
                <w:lang w:eastAsia="en-US"/>
              </w:rPr>
              <w:t>202</w:t>
            </w:r>
            <w:r>
              <w:rPr>
                <w:rFonts w:ascii="Arial" w:eastAsia="Calibri" w:hAnsi="Arial" w:cs="Arial"/>
                <w:sz w:val="16"/>
                <w:szCs w:val="16"/>
                <w:lang w:eastAsia="en-US"/>
              </w:rPr>
              <w:t>3</w:t>
            </w:r>
            <w:r w:rsidRPr="008D55A3">
              <w:rPr>
                <w:rFonts w:ascii="Arial" w:eastAsia="Calibri" w:hAnsi="Arial" w:cs="Arial"/>
                <w:sz w:val="16"/>
                <w:szCs w:val="16"/>
                <w:lang w:eastAsia="en-US"/>
              </w:rPr>
              <w:t>–2</w:t>
            </w:r>
            <w:r>
              <w:rPr>
                <w:rFonts w:ascii="Arial" w:eastAsia="Calibri" w:hAnsi="Arial" w:cs="Arial"/>
                <w:sz w:val="16"/>
                <w:szCs w:val="16"/>
                <w:lang w:eastAsia="en-US"/>
              </w:rPr>
              <w:t>4</w:t>
            </w:r>
          </w:p>
        </w:tc>
        <w:tc>
          <w:tcPr>
            <w:tcW w:w="1656" w:type="pct"/>
            <w:tcBorders>
              <w:top w:val="single" w:sz="4" w:space="0" w:color="auto"/>
              <w:left w:val="single" w:sz="4" w:space="0" w:color="auto"/>
              <w:bottom w:val="single" w:sz="4" w:space="0" w:color="auto"/>
              <w:right w:val="single" w:sz="4" w:space="0" w:color="auto"/>
            </w:tcBorders>
          </w:tcPr>
          <w:p w14:paraId="72272CF1" w14:textId="51D1DEC2" w:rsidR="0050448E" w:rsidRPr="00AE5E33" w:rsidRDefault="0050448E" w:rsidP="00FB0D02">
            <w:pPr>
              <w:spacing w:before="60" w:after="60" w:line="240" w:lineRule="auto"/>
              <w:rPr>
                <w:rFonts w:asciiTheme="minorHAnsi" w:eastAsiaTheme="minorHAnsi" w:hAnsiTheme="minorHAnsi" w:cstheme="minorBidi"/>
                <w:b/>
                <w:sz w:val="22"/>
                <w:szCs w:val="22"/>
                <w:lang w:val="en-US" w:eastAsia="en-US"/>
              </w:rPr>
            </w:pPr>
            <w:r w:rsidRPr="00AE5E33">
              <w:rPr>
                <w:rFonts w:ascii="Arial" w:eastAsia="Calibri" w:hAnsi="Arial" w:cs="Arial"/>
                <w:sz w:val="16"/>
                <w:szCs w:val="16"/>
                <w:lang w:eastAsia="en-US"/>
              </w:rPr>
              <w:t>Delivery of City and Regional Deal commitments is measured against the objectives and timelines set out in Implementation Plans and funding agreements as reported by Delivery Partners</w:t>
            </w:r>
            <w:r w:rsidRPr="00AE5E33">
              <w:rPr>
                <w:rFonts w:ascii="Arial" w:eastAsia="Calibri" w:hAnsi="Arial" w:cs="Arial"/>
                <w:sz w:val="16"/>
                <w:szCs w:val="16"/>
                <w:vertAlign w:val="superscript"/>
                <w:lang w:eastAsia="en-US"/>
              </w:rPr>
              <w:t>(a)</w:t>
            </w:r>
          </w:p>
        </w:tc>
        <w:tc>
          <w:tcPr>
            <w:tcW w:w="2334" w:type="pct"/>
            <w:tcBorders>
              <w:top w:val="single" w:sz="4" w:space="0" w:color="auto"/>
              <w:left w:val="single" w:sz="4" w:space="0" w:color="auto"/>
              <w:bottom w:val="single" w:sz="4" w:space="0" w:color="auto"/>
            </w:tcBorders>
          </w:tcPr>
          <w:p w14:paraId="63F3FD47" w14:textId="522A440A" w:rsidR="0050448E" w:rsidRPr="008E07F1" w:rsidRDefault="0050448E" w:rsidP="00FB0D02">
            <w:pPr>
              <w:spacing w:before="60" w:after="60" w:line="240" w:lineRule="auto"/>
              <w:rPr>
                <w:rFonts w:ascii="Arial" w:eastAsia="Calibri" w:hAnsi="Arial" w:cs="Arial"/>
                <w:sz w:val="16"/>
                <w:szCs w:val="16"/>
                <w:lang w:eastAsia="en-US"/>
              </w:rPr>
            </w:pPr>
            <w:r w:rsidRPr="00AE5E33">
              <w:rPr>
                <w:rFonts w:ascii="Arial" w:eastAsia="Calibri" w:hAnsi="Arial" w:cs="Arial"/>
                <w:sz w:val="16"/>
                <w:szCs w:val="16"/>
                <w:lang w:eastAsia="en-US"/>
              </w:rPr>
              <w:t>Projects are delivered according to agreed timeframes.</w:t>
            </w:r>
          </w:p>
        </w:tc>
      </w:tr>
      <w:tr w:rsidR="0050448E" w:rsidRPr="008E07F1" w14:paraId="5EF4FE98" w14:textId="77777777" w:rsidTr="003263A6">
        <w:trPr>
          <w:trHeight w:val="642"/>
        </w:trPr>
        <w:tc>
          <w:tcPr>
            <w:tcW w:w="1010" w:type="pct"/>
            <w:vMerge/>
            <w:tcBorders>
              <w:right w:val="single" w:sz="4" w:space="0" w:color="auto"/>
            </w:tcBorders>
          </w:tcPr>
          <w:p w14:paraId="646E03C5" w14:textId="77777777" w:rsidR="0050448E" w:rsidRPr="008D55A3" w:rsidRDefault="0050448E" w:rsidP="00FB0D02">
            <w:pPr>
              <w:spacing w:before="60" w:after="60" w:line="240" w:lineRule="auto"/>
              <w:rPr>
                <w:rFonts w:ascii="Arial" w:eastAsia="Calibri" w:hAnsi="Arial" w:cs="Arial"/>
                <w:sz w:val="16"/>
                <w:szCs w:val="16"/>
                <w:lang w:eastAsia="en-US"/>
              </w:rPr>
            </w:pPr>
          </w:p>
        </w:tc>
        <w:tc>
          <w:tcPr>
            <w:tcW w:w="1656" w:type="pct"/>
            <w:tcBorders>
              <w:top w:val="single" w:sz="4" w:space="0" w:color="auto"/>
              <w:left w:val="single" w:sz="4" w:space="0" w:color="auto"/>
              <w:bottom w:val="single" w:sz="4" w:space="0" w:color="auto"/>
              <w:right w:val="single" w:sz="4" w:space="0" w:color="auto"/>
            </w:tcBorders>
          </w:tcPr>
          <w:p w14:paraId="6B93841D" w14:textId="4F22E4F6" w:rsidR="0050448E" w:rsidRPr="008E07F1" w:rsidRDefault="0050448E" w:rsidP="00FB0D02">
            <w:pPr>
              <w:spacing w:before="60" w:after="60" w:line="240" w:lineRule="auto"/>
              <w:rPr>
                <w:rFonts w:ascii="Arial" w:eastAsia="Calibri" w:hAnsi="Arial" w:cs="Arial"/>
                <w:i/>
                <w:sz w:val="16"/>
                <w:szCs w:val="16"/>
                <w:lang w:eastAsia="en-US"/>
              </w:rPr>
            </w:pPr>
            <w:r w:rsidRPr="00AE5E33">
              <w:rPr>
                <w:rFonts w:ascii="Arial" w:eastAsia="Calibri" w:hAnsi="Arial" w:cs="Arial"/>
                <w:sz w:val="16"/>
                <w:szCs w:val="16"/>
                <w:lang w:eastAsia="en-US"/>
              </w:rPr>
              <w:t>Establishment and implementation of</w:t>
            </w:r>
            <w:r>
              <w:rPr>
                <w:rFonts w:ascii="Arial" w:eastAsia="Calibri" w:hAnsi="Arial" w:cs="Arial"/>
                <w:sz w:val="16"/>
                <w:szCs w:val="16"/>
                <w:lang w:eastAsia="en-US"/>
              </w:rPr>
              <w:t xml:space="preserve"> urban </w:t>
            </w:r>
            <w:r w:rsidRPr="00AE5E33">
              <w:rPr>
                <w:rFonts w:ascii="Arial" w:eastAsia="Calibri" w:hAnsi="Arial" w:cs="Arial"/>
                <w:sz w:val="16"/>
                <w:szCs w:val="16"/>
                <w:lang w:eastAsia="en-US"/>
              </w:rPr>
              <w:t>Precincts and Partnerships Program (</w:t>
            </w:r>
            <w:proofErr w:type="spellStart"/>
            <w:r>
              <w:rPr>
                <w:rFonts w:ascii="Arial" w:eastAsia="Calibri" w:hAnsi="Arial" w:cs="Arial"/>
                <w:sz w:val="16"/>
                <w:szCs w:val="16"/>
                <w:lang w:eastAsia="en-US"/>
              </w:rPr>
              <w:t>u</w:t>
            </w:r>
            <w:r w:rsidRPr="00AE5E33">
              <w:rPr>
                <w:rFonts w:ascii="Arial" w:eastAsia="Calibri" w:hAnsi="Arial" w:cs="Arial"/>
                <w:sz w:val="16"/>
                <w:szCs w:val="16"/>
                <w:lang w:eastAsia="en-US"/>
              </w:rPr>
              <w:t>PPP</w:t>
            </w:r>
            <w:proofErr w:type="spellEnd"/>
            <w:r w:rsidRPr="00AE5E33">
              <w:rPr>
                <w:rFonts w:ascii="Arial" w:eastAsia="Calibri" w:hAnsi="Arial" w:cs="Arial"/>
                <w:sz w:val="16"/>
                <w:szCs w:val="16"/>
                <w:lang w:eastAsia="en-US"/>
              </w:rPr>
              <w:t>)</w:t>
            </w:r>
            <w:r w:rsidRPr="00934BC0">
              <w:rPr>
                <w:rFonts w:ascii="Arial" w:eastAsia="Calibri" w:hAnsi="Arial" w:cs="Arial"/>
                <w:sz w:val="16"/>
                <w:szCs w:val="16"/>
                <w:vertAlign w:val="superscript"/>
                <w:lang w:eastAsia="en-US"/>
              </w:rPr>
              <w:t xml:space="preserve">(b) </w:t>
            </w:r>
            <w:r>
              <w:rPr>
                <w:rFonts w:ascii="Arial" w:eastAsia="Calibri" w:hAnsi="Arial" w:cs="Arial"/>
                <w:sz w:val="16"/>
                <w:szCs w:val="16"/>
                <w:lang w:eastAsia="en-US"/>
              </w:rPr>
              <w:t>and</w:t>
            </w:r>
            <w:r w:rsidRPr="00AE5E33">
              <w:rPr>
                <w:rFonts w:ascii="Arial" w:eastAsia="Calibri" w:hAnsi="Arial" w:cs="Arial"/>
                <w:sz w:val="16"/>
                <w:szCs w:val="16"/>
                <w:lang w:eastAsia="en-US"/>
              </w:rPr>
              <w:t xml:space="preserve"> </w:t>
            </w:r>
            <w:r>
              <w:rPr>
                <w:rFonts w:ascii="Arial" w:eastAsia="Calibri" w:hAnsi="Arial" w:cs="Arial"/>
                <w:sz w:val="16"/>
                <w:szCs w:val="16"/>
                <w:lang w:eastAsia="en-US"/>
              </w:rPr>
              <w:t>r</w:t>
            </w:r>
            <w:r w:rsidRPr="00AE5E33">
              <w:rPr>
                <w:rFonts w:ascii="Arial" w:eastAsia="Calibri" w:hAnsi="Arial" w:cs="Arial"/>
                <w:sz w:val="16"/>
                <w:szCs w:val="16"/>
                <w:lang w:eastAsia="en-US"/>
              </w:rPr>
              <w:t>egional Precincts and Partnerships Program (</w:t>
            </w:r>
            <w:proofErr w:type="spellStart"/>
            <w:r w:rsidRPr="00AE5E33">
              <w:rPr>
                <w:rFonts w:ascii="Arial" w:eastAsia="Calibri" w:hAnsi="Arial" w:cs="Arial"/>
                <w:sz w:val="16"/>
                <w:szCs w:val="16"/>
                <w:lang w:eastAsia="en-US"/>
              </w:rPr>
              <w:t>rPPP</w:t>
            </w:r>
            <w:proofErr w:type="spellEnd"/>
            <w:r w:rsidRPr="00AE5E33">
              <w:rPr>
                <w:rFonts w:ascii="Arial" w:eastAsia="Calibri" w:hAnsi="Arial" w:cs="Arial"/>
                <w:sz w:val="16"/>
                <w:szCs w:val="16"/>
                <w:lang w:eastAsia="en-US"/>
              </w:rPr>
              <w:t>), following consultation on program design, within agreed timeframes</w:t>
            </w:r>
          </w:p>
        </w:tc>
        <w:tc>
          <w:tcPr>
            <w:tcW w:w="2334" w:type="pct"/>
            <w:tcBorders>
              <w:top w:val="single" w:sz="4" w:space="0" w:color="auto"/>
              <w:left w:val="single" w:sz="4" w:space="0" w:color="auto"/>
              <w:bottom w:val="single" w:sz="4" w:space="0" w:color="auto"/>
            </w:tcBorders>
          </w:tcPr>
          <w:p w14:paraId="15404DCA" w14:textId="3761FD5A" w:rsidR="0050448E" w:rsidRPr="00AE5E33" w:rsidRDefault="0050448E" w:rsidP="00FB0D02">
            <w:pPr>
              <w:spacing w:before="60" w:after="60" w:line="240" w:lineRule="auto"/>
              <w:rPr>
                <w:rFonts w:ascii="Arial" w:eastAsia="Calibri" w:hAnsi="Arial" w:cs="Arial"/>
                <w:sz w:val="16"/>
                <w:szCs w:val="16"/>
                <w:lang w:eastAsia="en-US"/>
              </w:rPr>
            </w:pPr>
            <w:r w:rsidRPr="00AE5E33">
              <w:rPr>
                <w:rFonts w:ascii="Arial" w:hAnsi="Arial" w:cs="Arial"/>
                <w:noProof/>
                <w:sz w:val="16"/>
                <w:szCs w:val="16"/>
              </w:rPr>
              <w:t>Funding committed and expended under the</w:t>
            </w:r>
            <w:r>
              <w:rPr>
                <w:rFonts w:ascii="Arial" w:hAnsi="Arial" w:cs="Arial"/>
                <w:noProof/>
                <w:sz w:val="16"/>
                <w:szCs w:val="16"/>
              </w:rPr>
              <w:t xml:space="preserve"> uPPP an</w:t>
            </w:r>
            <w:r w:rsidR="000A6FAE">
              <w:rPr>
                <w:rFonts w:ascii="Arial" w:hAnsi="Arial" w:cs="Arial"/>
                <w:noProof/>
                <w:sz w:val="16"/>
                <w:szCs w:val="16"/>
              </w:rPr>
              <w:t>d</w:t>
            </w:r>
            <w:r w:rsidRPr="00AE5E33">
              <w:rPr>
                <w:rFonts w:ascii="Arial" w:hAnsi="Arial" w:cs="Arial"/>
                <w:noProof/>
                <w:sz w:val="16"/>
                <w:szCs w:val="16"/>
              </w:rPr>
              <w:t xml:space="preserve"> rPPP within agreed timeframes.</w:t>
            </w:r>
          </w:p>
        </w:tc>
      </w:tr>
      <w:tr w:rsidR="0050448E" w:rsidRPr="008E07F1" w14:paraId="6E4839FD" w14:textId="77777777" w:rsidTr="007406E2">
        <w:trPr>
          <w:trHeight w:val="642"/>
        </w:trPr>
        <w:tc>
          <w:tcPr>
            <w:tcW w:w="1010" w:type="pct"/>
            <w:vMerge/>
            <w:tcBorders>
              <w:bottom w:val="single" w:sz="4" w:space="0" w:color="auto"/>
              <w:right w:val="single" w:sz="4" w:space="0" w:color="auto"/>
            </w:tcBorders>
          </w:tcPr>
          <w:p w14:paraId="1786F7DC" w14:textId="77777777" w:rsidR="0050448E" w:rsidRPr="008D55A3" w:rsidRDefault="0050448E" w:rsidP="00FB0D02">
            <w:pPr>
              <w:spacing w:before="60" w:after="60" w:line="240" w:lineRule="auto"/>
              <w:rPr>
                <w:rFonts w:ascii="Arial" w:eastAsia="Calibri" w:hAnsi="Arial" w:cs="Arial"/>
                <w:sz w:val="16"/>
                <w:szCs w:val="16"/>
                <w:lang w:eastAsia="en-US"/>
              </w:rPr>
            </w:pPr>
          </w:p>
        </w:tc>
        <w:tc>
          <w:tcPr>
            <w:tcW w:w="1656" w:type="pct"/>
            <w:tcBorders>
              <w:top w:val="single" w:sz="4" w:space="0" w:color="auto"/>
              <w:left w:val="single" w:sz="4" w:space="0" w:color="auto"/>
              <w:bottom w:val="single" w:sz="4" w:space="0" w:color="auto"/>
              <w:right w:val="single" w:sz="4" w:space="0" w:color="auto"/>
            </w:tcBorders>
          </w:tcPr>
          <w:p w14:paraId="2FDF62F4" w14:textId="271073F6" w:rsidR="0050448E" w:rsidRPr="0050448E" w:rsidRDefault="0050448E" w:rsidP="00FB0D02">
            <w:pPr>
              <w:spacing w:before="60" w:after="60" w:line="240" w:lineRule="auto"/>
              <w:rPr>
                <w:rFonts w:ascii="Arial" w:eastAsia="Calibri" w:hAnsi="Arial" w:cs="Arial"/>
                <w:i/>
                <w:sz w:val="16"/>
                <w:szCs w:val="16"/>
                <w:lang w:eastAsia="en-US"/>
              </w:rPr>
            </w:pPr>
            <w:r>
              <w:rPr>
                <w:rFonts w:ascii="Arial" w:eastAsia="Calibri" w:hAnsi="Arial" w:cs="Arial"/>
                <w:i/>
                <w:sz w:val="16"/>
                <w:szCs w:val="16"/>
                <w:lang w:eastAsia="en-US"/>
              </w:rPr>
              <w:t>Establishment of the Thriving Suburbs program, to complement the existing Growing Regions program to support investment in community infrastructure</w:t>
            </w:r>
          </w:p>
        </w:tc>
        <w:tc>
          <w:tcPr>
            <w:tcW w:w="2334" w:type="pct"/>
            <w:tcBorders>
              <w:top w:val="single" w:sz="4" w:space="0" w:color="auto"/>
              <w:left w:val="single" w:sz="4" w:space="0" w:color="auto"/>
              <w:bottom w:val="single" w:sz="4" w:space="0" w:color="auto"/>
            </w:tcBorders>
          </w:tcPr>
          <w:p w14:paraId="27E3EEAD" w14:textId="4446683E" w:rsidR="0050448E" w:rsidRPr="0050448E" w:rsidRDefault="0050448E" w:rsidP="00FB0D02">
            <w:pPr>
              <w:spacing w:before="60" w:after="60" w:line="240" w:lineRule="auto"/>
              <w:rPr>
                <w:rFonts w:ascii="Arial" w:hAnsi="Arial" w:cs="Arial"/>
                <w:i/>
                <w:noProof/>
                <w:sz w:val="16"/>
                <w:szCs w:val="16"/>
              </w:rPr>
            </w:pPr>
            <w:r w:rsidRPr="0050448E">
              <w:rPr>
                <w:rFonts w:ascii="Arial" w:eastAsia="Calibri" w:hAnsi="Arial" w:cs="Arial"/>
                <w:i/>
                <w:sz w:val="16"/>
                <w:szCs w:val="16"/>
                <w:lang w:eastAsia="en-US"/>
              </w:rPr>
              <w:t>Projects are delivered according to agreed timeframes.</w:t>
            </w:r>
          </w:p>
        </w:tc>
      </w:tr>
      <w:tr w:rsidR="00AE5E33" w:rsidRPr="008E07F1" w14:paraId="3A450F9A" w14:textId="77777777" w:rsidTr="00AE5E33">
        <w:trPr>
          <w:trHeight w:val="434"/>
        </w:trPr>
        <w:tc>
          <w:tcPr>
            <w:tcW w:w="1010" w:type="pct"/>
            <w:tcBorders>
              <w:top w:val="single" w:sz="4" w:space="0" w:color="auto"/>
              <w:right w:val="single" w:sz="4" w:space="0" w:color="auto"/>
            </w:tcBorders>
          </w:tcPr>
          <w:p w14:paraId="52FCF3D4" w14:textId="028BC7BC" w:rsidR="00AE5E33" w:rsidRPr="008D55A3" w:rsidRDefault="00AE5E33" w:rsidP="00FB0D02">
            <w:pPr>
              <w:spacing w:before="60" w:after="60" w:line="240" w:lineRule="auto"/>
              <w:rPr>
                <w:rFonts w:ascii="Arial" w:eastAsia="Calibri" w:hAnsi="Arial" w:cs="Arial"/>
                <w:sz w:val="16"/>
                <w:szCs w:val="16"/>
                <w:lang w:eastAsia="en-US"/>
              </w:rPr>
            </w:pPr>
            <w:r w:rsidRPr="008D55A3">
              <w:rPr>
                <w:rFonts w:ascii="Arial" w:eastAsia="Calibri" w:hAnsi="Arial" w:cs="Arial"/>
                <w:sz w:val="16"/>
                <w:szCs w:val="16"/>
                <w:lang w:eastAsia="en-US"/>
              </w:rPr>
              <w:t>Forward Estimates</w:t>
            </w:r>
            <w:r w:rsidRPr="008D55A3">
              <w:rPr>
                <w:rFonts w:ascii="Arial" w:eastAsia="Calibri" w:hAnsi="Arial" w:cs="Arial"/>
                <w:sz w:val="16"/>
                <w:szCs w:val="16"/>
                <w:lang w:eastAsia="en-US"/>
              </w:rPr>
              <w:br/>
              <w:t>202</w:t>
            </w:r>
            <w:r>
              <w:rPr>
                <w:rFonts w:ascii="Arial" w:eastAsia="Calibri" w:hAnsi="Arial" w:cs="Arial"/>
                <w:sz w:val="16"/>
                <w:szCs w:val="16"/>
                <w:lang w:eastAsia="en-US"/>
              </w:rPr>
              <w:t>4</w:t>
            </w:r>
            <w:r w:rsidRPr="008D55A3">
              <w:rPr>
                <w:rFonts w:ascii="Arial" w:eastAsia="Calibri" w:hAnsi="Arial" w:cs="Arial"/>
                <w:sz w:val="16"/>
                <w:szCs w:val="16"/>
                <w:lang w:eastAsia="en-US"/>
              </w:rPr>
              <w:t>–2</w:t>
            </w:r>
            <w:r>
              <w:rPr>
                <w:rFonts w:ascii="Arial" w:eastAsia="Calibri" w:hAnsi="Arial" w:cs="Arial"/>
                <w:sz w:val="16"/>
                <w:szCs w:val="16"/>
                <w:lang w:eastAsia="en-US"/>
              </w:rPr>
              <w:t>7</w:t>
            </w:r>
          </w:p>
        </w:tc>
        <w:tc>
          <w:tcPr>
            <w:tcW w:w="1656" w:type="pct"/>
            <w:tcBorders>
              <w:top w:val="single" w:sz="4" w:space="0" w:color="auto"/>
              <w:left w:val="single" w:sz="4" w:space="0" w:color="auto"/>
              <w:bottom w:val="single" w:sz="4" w:space="0" w:color="auto"/>
              <w:right w:val="single" w:sz="4" w:space="0" w:color="auto"/>
            </w:tcBorders>
          </w:tcPr>
          <w:p w14:paraId="4D22E135" w14:textId="3E661FEB" w:rsidR="00AE5E33" w:rsidRPr="00AE5E33" w:rsidRDefault="00AE5E33" w:rsidP="00FB0D02">
            <w:pPr>
              <w:spacing w:before="60" w:after="60" w:line="240" w:lineRule="auto"/>
              <w:rPr>
                <w:rFonts w:ascii="Arial" w:eastAsiaTheme="minorHAnsi" w:hAnsi="Arial" w:cs="Arial"/>
                <w:b/>
                <w:sz w:val="22"/>
                <w:szCs w:val="22"/>
                <w:lang w:val="en-US" w:eastAsia="en-US"/>
              </w:rPr>
            </w:pPr>
            <w:r w:rsidRPr="00AE5E33">
              <w:rPr>
                <w:rFonts w:ascii="Arial" w:eastAsia="Calibri" w:hAnsi="Arial" w:cs="Arial"/>
                <w:sz w:val="16"/>
                <w:szCs w:val="16"/>
              </w:rPr>
              <w:t>As per 2023–24</w:t>
            </w:r>
          </w:p>
        </w:tc>
        <w:tc>
          <w:tcPr>
            <w:tcW w:w="2334" w:type="pct"/>
            <w:tcBorders>
              <w:top w:val="single" w:sz="4" w:space="0" w:color="auto"/>
              <w:left w:val="single" w:sz="4" w:space="0" w:color="auto"/>
              <w:bottom w:val="single" w:sz="4" w:space="0" w:color="auto"/>
            </w:tcBorders>
          </w:tcPr>
          <w:p w14:paraId="4E269C40" w14:textId="630396CA" w:rsidR="00AE5E33" w:rsidRPr="008E07F1" w:rsidDel="008E1A6E" w:rsidRDefault="00AE5E33" w:rsidP="00FB0D02">
            <w:pPr>
              <w:spacing w:before="60" w:after="60" w:line="240" w:lineRule="auto"/>
              <w:rPr>
                <w:rFonts w:ascii="Arial" w:eastAsia="Calibri" w:hAnsi="Arial" w:cs="Arial"/>
                <w:b/>
                <w:sz w:val="16"/>
                <w:szCs w:val="16"/>
                <w:lang w:eastAsia="en-US"/>
              </w:rPr>
            </w:pPr>
            <w:r w:rsidRPr="00AE5E33">
              <w:rPr>
                <w:rFonts w:ascii="Arial" w:eastAsia="Calibri" w:hAnsi="Arial" w:cs="Arial"/>
                <w:sz w:val="16"/>
                <w:szCs w:val="16"/>
                <w:lang w:eastAsia="en-US"/>
              </w:rPr>
              <w:t>As per 2023–24.</w:t>
            </w:r>
          </w:p>
        </w:tc>
      </w:tr>
    </w:tbl>
    <w:p w14:paraId="208431CE" w14:textId="77777777" w:rsidR="0050448E" w:rsidRPr="003D46F4" w:rsidRDefault="0050448E" w:rsidP="009D1D35">
      <w:pPr>
        <w:spacing w:before="60" w:after="0" w:line="240" w:lineRule="auto"/>
        <w:rPr>
          <w:rFonts w:ascii="Arial" w:hAnsi="Arial" w:cs="Arial"/>
          <w:sz w:val="16"/>
        </w:rPr>
      </w:pPr>
      <w:r w:rsidRPr="0016575D">
        <w:rPr>
          <w:rFonts w:ascii="Arial" w:hAnsi="Arial" w:cs="Arial"/>
          <w:sz w:val="16"/>
        </w:rPr>
        <w:t>New or modified performance measures that reflect new or materially changed programs are shown in</w:t>
      </w:r>
      <w:r>
        <w:rPr>
          <w:rFonts w:ascii="Arial" w:hAnsi="Arial" w:cs="Arial"/>
          <w:sz w:val="16"/>
        </w:rPr>
        <w:t xml:space="preserve"> </w:t>
      </w:r>
      <w:r w:rsidRPr="008D55A3">
        <w:rPr>
          <w:rFonts w:ascii="Arial" w:hAnsi="Arial" w:cs="Arial"/>
          <w:i/>
          <w:sz w:val="16"/>
        </w:rPr>
        <w:t>i</w:t>
      </w:r>
      <w:r w:rsidRPr="0016575D">
        <w:rPr>
          <w:rFonts w:ascii="Arial" w:hAnsi="Arial" w:cs="Arial"/>
          <w:i/>
          <w:sz w:val="16"/>
        </w:rPr>
        <w:t>talics.</w:t>
      </w:r>
      <w:r w:rsidRPr="0016575D">
        <w:rPr>
          <w:rFonts w:ascii="Arial" w:hAnsi="Arial" w:cs="Arial"/>
          <w:sz w:val="16"/>
        </w:rPr>
        <w:t xml:space="preserve"> </w:t>
      </w:r>
    </w:p>
    <w:p w14:paraId="3A38EA9D" w14:textId="079483D3" w:rsidR="00115843" w:rsidRDefault="00AE5E33" w:rsidP="00977C28">
      <w:pPr>
        <w:pStyle w:val="ListParagraph"/>
        <w:numPr>
          <w:ilvl w:val="0"/>
          <w:numId w:val="164"/>
        </w:numPr>
        <w:spacing w:before="30" w:after="0" w:line="240" w:lineRule="auto"/>
        <w:ind w:left="426" w:right="470" w:hanging="426"/>
        <w:rPr>
          <w:rFonts w:ascii="Arial" w:hAnsi="Arial" w:cs="Arial"/>
          <w:sz w:val="16"/>
        </w:rPr>
      </w:pPr>
      <w:r>
        <w:rPr>
          <w:rFonts w:ascii="Arial" w:hAnsi="Arial" w:cs="Arial"/>
          <w:sz w:val="16"/>
        </w:rPr>
        <w:t>This measure is linked to Program 3.1 Regional Development, and Program 3.3</w:t>
      </w:r>
      <w:r>
        <w:rPr>
          <w:rFonts w:ascii="Arial" w:hAnsi="Arial" w:cs="Arial"/>
        </w:rPr>
        <w:t xml:space="preserve"> </w:t>
      </w:r>
      <w:r>
        <w:rPr>
          <w:rFonts w:ascii="Arial" w:hAnsi="Arial" w:cs="Arial"/>
          <w:sz w:val="16"/>
        </w:rPr>
        <w:t>Cities.</w:t>
      </w:r>
    </w:p>
    <w:p w14:paraId="132F0064" w14:textId="2D115915" w:rsidR="00934BC0" w:rsidRDefault="00934BC0" w:rsidP="00977C28">
      <w:pPr>
        <w:pStyle w:val="ListParagraph"/>
        <w:numPr>
          <w:ilvl w:val="0"/>
          <w:numId w:val="164"/>
        </w:numPr>
        <w:spacing w:before="30" w:after="120" w:line="240" w:lineRule="auto"/>
        <w:ind w:left="426" w:right="470" w:hanging="426"/>
        <w:rPr>
          <w:rFonts w:ascii="Arial" w:hAnsi="Arial" w:cs="Arial"/>
          <w:sz w:val="16"/>
        </w:rPr>
      </w:pPr>
      <w:r>
        <w:rPr>
          <w:rFonts w:ascii="Arial" w:hAnsi="Arial" w:cs="Arial"/>
          <w:sz w:val="16"/>
        </w:rPr>
        <w:t xml:space="preserve">Only Departmental funding will be committed under the </w:t>
      </w:r>
      <w:proofErr w:type="spellStart"/>
      <w:r>
        <w:rPr>
          <w:rFonts w:ascii="Arial" w:hAnsi="Arial" w:cs="Arial"/>
          <w:sz w:val="16"/>
        </w:rPr>
        <w:t>uPPP</w:t>
      </w:r>
      <w:proofErr w:type="spellEnd"/>
      <w:r>
        <w:rPr>
          <w:rFonts w:ascii="Arial" w:hAnsi="Arial" w:cs="Arial"/>
          <w:sz w:val="16"/>
        </w:rPr>
        <w:t xml:space="preserve"> in 2023</w:t>
      </w:r>
      <w:r w:rsidR="00557DDF" w:rsidRPr="00557DDF">
        <w:rPr>
          <w:rFonts w:ascii="Arial" w:hAnsi="Arial" w:cs="Arial"/>
          <w:sz w:val="16"/>
          <w:szCs w:val="16"/>
        </w:rPr>
        <w:t>–</w:t>
      </w:r>
      <w:r>
        <w:rPr>
          <w:rFonts w:ascii="Arial" w:hAnsi="Arial" w:cs="Arial"/>
          <w:sz w:val="16"/>
        </w:rPr>
        <w:t>24.</w:t>
      </w:r>
    </w:p>
    <w:p w14:paraId="3D8C9BD3" w14:textId="783C82A7" w:rsidR="00557DDF" w:rsidRPr="00557DDF" w:rsidRDefault="00557DDF" w:rsidP="00557DDF">
      <w:pPr>
        <w:spacing w:before="30" w:after="0" w:line="240" w:lineRule="auto"/>
        <w:ind w:right="55"/>
        <w:rPr>
          <w:rFonts w:ascii="Arial" w:hAnsi="Arial" w:cs="Arial"/>
          <w:sz w:val="16"/>
        </w:rPr>
      </w:pPr>
      <w:r w:rsidRPr="004E26ED">
        <w:rPr>
          <w:rFonts w:ascii="Arial" w:hAnsi="Arial" w:cs="Arial"/>
          <w:color w:val="000000"/>
          <w:sz w:val="16"/>
          <w:szCs w:val="16"/>
        </w:rPr>
        <w:t xml:space="preserve">The </w:t>
      </w:r>
      <w:r w:rsidR="00E17F15">
        <w:rPr>
          <w:rFonts w:ascii="Arial" w:hAnsi="Arial" w:cs="Arial"/>
          <w:color w:val="000000"/>
          <w:sz w:val="16"/>
          <w:szCs w:val="16"/>
        </w:rPr>
        <w:t>Department</w:t>
      </w:r>
      <w:r w:rsidRPr="004E26ED">
        <w:rPr>
          <w:rFonts w:ascii="Arial" w:hAnsi="Arial" w:cs="Arial"/>
          <w:color w:val="000000"/>
          <w:sz w:val="16"/>
          <w:szCs w:val="16"/>
        </w:rPr>
        <w:t xml:space="preserve"> has undertaken a suite of assessment and assurance activities regarding performance measures since </w:t>
      </w:r>
      <w:r w:rsidRPr="00557DDF">
        <w:rPr>
          <w:rFonts w:ascii="Arial" w:hAnsi="Arial" w:cs="Arial"/>
          <w:color w:val="000000"/>
          <w:sz w:val="16"/>
          <w:szCs w:val="16"/>
        </w:rPr>
        <w:t>the 2022</w:t>
      </w:r>
      <w:r w:rsidRPr="00557DDF">
        <w:rPr>
          <w:rFonts w:ascii="Arial" w:hAnsi="Arial" w:cs="Arial"/>
          <w:sz w:val="16"/>
          <w:szCs w:val="16"/>
        </w:rPr>
        <w:t>–</w:t>
      </w:r>
      <w:r w:rsidRPr="00557DDF">
        <w:rPr>
          <w:rFonts w:ascii="Arial" w:hAnsi="Arial" w:cs="Arial"/>
          <w:color w:val="000000"/>
          <w:sz w:val="16"/>
          <w:szCs w:val="16"/>
        </w:rPr>
        <w:t>23 Budget. As a result, a number of measures have been added, removed, or amended in the 2023</w:t>
      </w:r>
      <w:r w:rsidRPr="00557DDF">
        <w:rPr>
          <w:rFonts w:ascii="Arial" w:hAnsi="Arial" w:cs="Arial"/>
          <w:sz w:val="16"/>
          <w:szCs w:val="16"/>
        </w:rPr>
        <w:t>–</w:t>
      </w:r>
      <w:r w:rsidRPr="00557DDF">
        <w:rPr>
          <w:rFonts w:ascii="Arial" w:hAnsi="Arial" w:cs="Arial"/>
          <w:color w:val="000000"/>
          <w:sz w:val="16"/>
          <w:szCs w:val="16"/>
        </w:rPr>
        <w:t>24 Portfolio</w:t>
      </w:r>
      <w:r w:rsidRPr="004E26ED">
        <w:rPr>
          <w:rFonts w:ascii="Arial" w:hAnsi="Arial" w:cs="Arial"/>
          <w:color w:val="000000"/>
          <w:sz w:val="16"/>
          <w:szCs w:val="16"/>
        </w:rPr>
        <w:t xml:space="preserve"> Budget Statements. Further details will be provided in the </w:t>
      </w:r>
      <w:r w:rsidR="0000369A">
        <w:rPr>
          <w:rFonts w:ascii="Arial" w:hAnsi="Arial" w:cs="Arial"/>
          <w:color w:val="000000"/>
          <w:sz w:val="16"/>
          <w:szCs w:val="16"/>
        </w:rPr>
        <w:t>Department’s</w:t>
      </w:r>
      <w:r w:rsidRPr="004E26ED">
        <w:rPr>
          <w:rFonts w:ascii="Arial" w:hAnsi="Arial" w:cs="Arial"/>
          <w:color w:val="000000"/>
          <w:sz w:val="16"/>
          <w:szCs w:val="16"/>
        </w:rPr>
        <w:t xml:space="preserve"> Corporate Plan 2023</w:t>
      </w:r>
      <w:r w:rsidRPr="00557DDF">
        <w:rPr>
          <w:rFonts w:ascii="Arial" w:hAnsi="Arial" w:cs="Arial"/>
          <w:sz w:val="16"/>
          <w:szCs w:val="16"/>
        </w:rPr>
        <w:t>–</w:t>
      </w:r>
      <w:r w:rsidRPr="004E26ED">
        <w:rPr>
          <w:rFonts w:ascii="Arial" w:hAnsi="Arial" w:cs="Arial"/>
          <w:color w:val="000000"/>
          <w:sz w:val="16"/>
          <w:szCs w:val="16"/>
        </w:rPr>
        <w:t>24.  </w:t>
      </w:r>
    </w:p>
    <w:p w14:paraId="456FBC23" w14:textId="38024B97" w:rsidR="00115843" w:rsidRDefault="00115843" w:rsidP="00115843">
      <w:pPr>
        <w:spacing w:after="0" w:line="240" w:lineRule="auto"/>
        <w:rPr>
          <w:rFonts w:ascii="Arial" w:hAnsi="Arial" w:cs="Arial"/>
          <w:sz w:val="16"/>
        </w:rPr>
      </w:pPr>
      <w:r>
        <w:rPr>
          <w:rFonts w:ascii="Arial" w:hAnsi="Arial" w:cs="Arial"/>
          <w:sz w:val="16"/>
        </w:rPr>
        <w:br w:type="page"/>
      </w:r>
    </w:p>
    <w:p w14:paraId="4B1AC083" w14:textId="77777777" w:rsidR="009D1D35" w:rsidRDefault="009D1D35" w:rsidP="00115843">
      <w:pPr>
        <w:spacing w:after="0" w:line="240" w:lineRule="auto"/>
        <w:rPr>
          <w:rFonts w:ascii="Arial" w:hAnsi="Arial" w:cs="Arial"/>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478"/>
        <w:gridCol w:w="3667"/>
      </w:tblGrid>
      <w:tr w:rsidR="00115843" w:rsidRPr="00EC4F85" w14:paraId="28BAE448" w14:textId="77777777" w:rsidTr="002F3AAF">
        <w:trPr>
          <w:trHeight w:val="522"/>
          <w:tblHeader/>
        </w:trPr>
        <w:tc>
          <w:tcPr>
            <w:tcW w:w="5000" w:type="pct"/>
            <w:gridSpan w:val="3"/>
            <w:shd w:val="clear" w:color="auto" w:fill="E6E6E6"/>
          </w:tcPr>
          <w:p w14:paraId="6A9173B0" w14:textId="072F68C0" w:rsidR="00115843" w:rsidRPr="00EC4F85" w:rsidRDefault="00115843" w:rsidP="00FB0D02">
            <w:pPr>
              <w:spacing w:before="60" w:after="120" w:line="240" w:lineRule="auto"/>
              <w:rPr>
                <w:rFonts w:ascii="Arial" w:eastAsia="Calibri" w:hAnsi="Arial" w:cs="Arial"/>
                <w:sz w:val="18"/>
                <w:szCs w:val="18"/>
              </w:rPr>
            </w:pPr>
            <w:bookmarkStart w:id="29" w:name="NorthernAustralia3_4"/>
            <w:r w:rsidRPr="00EC4F85">
              <w:rPr>
                <w:rFonts w:ascii="Arial" w:eastAsia="Calibri" w:hAnsi="Arial" w:cs="Arial"/>
                <w:b/>
                <w:sz w:val="18"/>
                <w:szCs w:val="18"/>
              </w:rPr>
              <w:t>Program 3.4 – Growing a Stronger Northern Australia</w:t>
            </w:r>
            <w:r w:rsidR="00CA175C">
              <w:rPr>
                <w:rFonts w:ascii="Arial" w:eastAsia="Calibri" w:hAnsi="Arial" w:cs="Arial"/>
                <w:b/>
                <w:sz w:val="18"/>
                <w:szCs w:val="18"/>
              </w:rPr>
              <w:t>n</w:t>
            </w:r>
            <w:r w:rsidRPr="00EC4F85">
              <w:rPr>
                <w:rFonts w:ascii="Arial" w:eastAsia="Calibri" w:hAnsi="Arial" w:cs="Arial"/>
                <w:b/>
                <w:sz w:val="18"/>
                <w:szCs w:val="18"/>
              </w:rPr>
              <w:t xml:space="preserve"> Economy</w:t>
            </w:r>
            <w:bookmarkEnd w:id="29"/>
          </w:p>
          <w:p w14:paraId="69101322" w14:textId="77777777" w:rsidR="00115843" w:rsidRPr="00EC4F85" w:rsidRDefault="00115843" w:rsidP="00FB0D02">
            <w:pPr>
              <w:pStyle w:val="TableTextLeft"/>
              <w:rPr>
                <w:highlight w:val="yellow"/>
              </w:rPr>
            </w:pPr>
            <w:r w:rsidRPr="00EC4F85">
              <w:rPr>
                <w:rFonts w:eastAsia="Calibri" w:cs="Arial"/>
                <w:i/>
                <w:szCs w:val="18"/>
                <w:lang w:eastAsia="en-US"/>
              </w:rPr>
              <w:t>Our North, Our Future: 2021-2026 – Targeted Growth</w:t>
            </w:r>
            <w:r w:rsidRPr="00EC4F85">
              <w:rPr>
                <w:rFonts w:eastAsia="Calibri" w:cs="Arial"/>
                <w:szCs w:val="18"/>
                <w:lang w:eastAsia="en-US"/>
              </w:rPr>
              <w:t xml:space="preserve"> is the Government's next five-year strategic plan for developing Northern Australia. From 2021-2026 the Government will invest in transformational and enabling projects through a whole-of-government approach, in partnership with state and territory governments.</w:t>
            </w:r>
          </w:p>
        </w:tc>
      </w:tr>
      <w:tr w:rsidR="00115843" w:rsidRPr="00160C23" w14:paraId="53031F91" w14:textId="77777777" w:rsidTr="00FB0D02">
        <w:trPr>
          <w:trHeight w:val="174"/>
        </w:trPr>
        <w:tc>
          <w:tcPr>
            <w:tcW w:w="1010" w:type="pct"/>
            <w:tcBorders>
              <w:bottom w:val="double" w:sz="4" w:space="0" w:color="auto"/>
            </w:tcBorders>
          </w:tcPr>
          <w:p w14:paraId="24D46B56" w14:textId="77777777" w:rsidR="00115843" w:rsidRPr="00160C23" w:rsidRDefault="00115843" w:rsidP="00FB0D02">
            <w:pPr>
              <w:tabs>
                <w:tab w:val="left" w:pos="709"/>
              </w:tabs>
              <w:spacing w:before="60" w:after="60"/>
              <w:rPr>
                <w:rFonts w:ascii="Arial" w:hAnsi="Arial" w:cs="Arial"/>
                <w:b/>
                <w:sz w:val="16"/>
                <w:szCs w:val="16"/>
              </w:rPr>
            </w:pPr>
            <w:r w:rsidRPr="00BE08C4">
              <w:rPr>
                <w:rFonts w:ascii="Arial" w:eastAsia="Calibri" w:hAnsi="Arial" w:cs="Arial"/>
                <w:b/>
                <w:sz w:val="16"/>
                <w:szCs w:val="16"/>
              </w:rPr>
              <w:t>Key Activities</w:t>
            </w:r>
          </w:p>
        </w:tc>
        <w:tc>
          <w:tcPr>
            <w:tcW w:w="3990" w:type="pct"/>
            <w:gridSpan w:val="2"/>
            <w:tcBorders>
              <w:bottom w:val="double" w:sz="4" w:space="0" w:color="auto"/>
            </w:tcBorders>
          </w:tcPr>
          <w:p w14:paraId="0426792B" w14:textId="76F51F2D" w:rsidR="00115843" w:rsidRPr="001F7463" w:rsidRDefault="00115843" w:rsidP="00977C28">
            <w:pPr>
              <w:numPr>
                <w:ilvl w:val="0"/>
                <w:numId w:val="9"/>
              </w:numPr>
              <w:spacing w:before="60" w:after="60" w:line="240" w:lineRule="auto"/>
              <w:ind w:left="321"/>
              <w:rPr>
                <w:rFonts w:ascii="Arial" w:eastAsia="Calibri" w:hAnsi="Arial" w:cs="Arial"/>
                <w:sz w:val="16"/>
                <w:szCs w:val="16"/>
              </w:rPr>
            </w:pPr>
            <w:r w:rsidRPr="00A46594">
              <w:rPr>
                <w:rFonts w:ascii="Arial" w:eastAsia="Calibri" w:hAnsi="Arial" w:cs="Arial"/>
                <w:sz w:val="16"/>
                <w:szCs w:val="16"/>
              </w:rPr>
              <w:t>Progress key initiatives and monitor whole</w:t>
            </w:r>
            <w:r>
              <w:rPr>
                <w:rFonts w:ascii="Arial" w:eastAsia="Calibri" w:hAnsi="Arial" w:cs="Arial"/>
                <w:sz w:val="16"/>
                <w:szCs w:val="16"/>
              </w:rPr>
              <w:t>-</w:t>
            </w:r>
            <w:r w:rsidRPr="00A46594">
              <w:rPr>
                <w:rFonts w:ascii="Arial" w:eastAsia="Calibri" w:hAnsi="Arial" w:cs="Arial"/>
                <w:sz w:val="16"/>
                <w:szCs w:val="16"/>
              </w:rPr>
              <w:t>of</w:t>
            </w:r>
            <w:r>
              <w:rPr>
                <w:rFonts w:ascii="Arial" w:eastAsia="Calibri" w:hAnsi="Arial" w:cs="Arial"/>
                <w:sz w:val="16"/>
                <w:szCs w:val="16"/>
              </w:rPr>
              <w:t>-</w:t>
            </w:r>
            <w:r w:rsidRPr="00A46594">
              <w:rPr>
                <w:rFonts w:ascii="Arial" w:eastAsia="Calibri" w:hAnsi="Arial" w:cs="Arial"/>
                <w:sz w:val="16"/>
                <w:szCs w:val="16"/>
              </w:rPr>
              <w:t xml:space="preserve">government implementation </w:t>
            </w:r>
            <w:r w:rsidRPr="00F85863">
              <w:rPr>
                <w:rFonts w:ascii="Arial" w:eastAsia="Calibri" w:hAnsi="Arial" w:cs="Arial"/>
                <w:sz w:val="16"/>
                <w:szCs w:val="16"/>
              </w:rPr>
              <w:t>of</w:t>
            </w:r>
            <w:r w:rsidRPr="00A46594">
              <w:rPr>
                <w:rFonts w:ascii="Arial" w:eastAsia="Calibri" w:hAnsi="Arial" w:cs="Arial"/>
                <w:sz w:val="16"/>
                <w:szCs w:val="16"/>
              </w:rPr>
              <w:t xml:space="preserve"> </w:t>
            </w:r>
            <w:r>
              <w:rPr>
                <w:rFonts w:ascii="Arial" w:eastAsia="Calibri" w:hAnsi="Arial" w:cs="Arial"/>
                <w:sz w:val="16"/>
                <w:szCs w:val="16"/>
              </w:rPr>
              <w:t>the northern Australia agenda</w:t>
            </w:r>
            <w:r w:rsidR="00934BC0">
              <w:rPr>
                <w:rFonts w:ascii="Arial" w:eastAsia="Calibri" w:hAnsi="Arial" w:cs="Arial"/>
                <w:sz w:val="16"/>
                <w:szCs w:val="16"/>
              </w:rPr>
              <w:t>.</w:t>
            </w:r>
          </w:p>
        </w:tc>
      </w:tr>
      <w:tr w:rsidR="00115843" w:rsidRPr="00160C23" w14:paraId="30DA160C" w14:textId="77777777" w:rsidTr="00FB0D02">
        <w:trPr>
          <w:trHeight w:val="258"/>
        </w:trPr>
        <w:tc>
          <w:tcPr>
            <w:tcW w:w="1010" w:type="pct"/>
            <w:tcBorders>
              <w:top w:val="double" w:sz="4" w:space="0" w:color="auto"/>
              <w:bottom w:val="single" w:sz="4" w:space="0" w:color="auto"/>
              <w:right w:val="single" w:sz="4" w:space="0" w:color="auto"/>
            </w:tcBorders>
          </w:tcPr>
          <w:p w14:paraId="39DED950" w14:textId="77777777" w:rsidR="00115843" w:rsidRPr="00CD1CF1" w:rsidRDefault="00115843" w:rsidP="00FB0D02">
            <w:pPr>
              <w:pStyle w:val="TableTextBase"/>
              <w:rPr>
                <w:b/>
                <w:sz w:val="16"/>
                <w:szCs w:val="16"/>
              </w:rPr>
            </w:pPr>
            <w:r w:rsidRPr="00CD1CF1">
              <w:rPr>
                <w:b/>
                <w:sz w:val="16"/>
                <w:szCs w:val="16"/>
              </w:rPr>
              <w:t>Year</w:t>
            </w:r>
          </w:p>
        </w:tc>
        <w:tc>
          <w:tcPr>
            <w:tcW w:w="1609" w:type="pct"/>
            <w:tcBorders>
              <w:top w:val="double" w:sz="4" w:space="0" w:color="auto"/>
              <w:left w:val="single" w:sz="4" w:space="0" w:color="auto"/>
              <w:bottom w:val="single" w:sz="4" w:space="0" w:color="auto"/>
              <w:right w:val="single" w:sz="4" w:space="0" w:color="auto"/>
            </w:tcBorders>
          </w:tcPr>
          <w:p w14:paraId="3543B186" w14:textId="77777777" w:rsidR="00115843" w:rsidRPr="00CD1CF1" w:rsidRDefault="00115843" w:rsidP="00FB0D02">
            <w:pPr>
              <w:pStyle w:val="TableTextBase"/>
              <w:rPr>
                <w:rFonts w:cs="Arial"/>
                <w:b/>
                <w:sz w:val="16"/>
                <w:szCs w:val="16"/>
              </w:rPr>
            </w:pPr>
            <w:r w:rsidRPr="00CD1CF1">
              <w:rPr>
                <w:rFonts w:cs="Arial"/>
                <w:b/>
                <w:sz w:val="16"/>
                <w:szCs w:val="16"/>
              </w:rPr>
              <w:t>Performance measures</w:t>
            </w:r>
          </w:p>
        </w:tc>
        <w:tc>
          <w:tcPr>
            <w:tcW w:w="2381" w:type="pct"/>
            <w:tcBorders>
              <w:top w:val="double" w:sz="4" w:space="0" w:color="auto"/>
              <w:left w:val="single" w:sz="4" w:space="0" w:color="auto"/>
              <w:bottom w:val="single" w:sz="4" w:space="0" w:color="auto"/>
            </w:tcBorders>
          </w:tcPr>
          <w:p w14:paraId="00FE24E5" w14:textId="77777777" w:rsidR="00115843" w:rsidRPr="00CD1CF1" w:rsidRDefault="00115843" w:rsidP="00FB0D02">
            <w:pPr>
              <w:pStyle w:val="TableTextBase"/>
              <w:rPr>
                <w:rFonts w:cs="Arial"/>
                <w:b/>
                <w:sz w:val="16"/>
                <w:szCs w:val="16"/>
              </w:rPr>
            </w:pPr>
            <w:r w:rsidRPr="00CD1CF1">
              <w:rPr>
                <w:rFonts w:cs="Arial"/>
                <w:b/>
                <w:sz w:val="16"/>
                <w:szCs w:val="16"/>
              </w:rPr>
              <w:t>Expected Performance Results</w:t>
            </w:r>
          </w:p>
        </w:tc>
      </w:tr>
      <w:tr w:rsidR="00115843" w:rsidRPr="005307EA" w14:paraId="04D2C653" w14:textId="77777777" w:rsidTr="00FB0D02">
        <w:trPr>
          <w:cantSplit/>
          <w:trHeight w:val="642"/>
        </w:trPr>
        <w:tc>
          <w:tcPr>
            <w:tcW w:w="1010" w:type="pct"/>
            <w:tcBorders>
              <w:top w:val="single" w:sz="4" w:space="0" w:color="auto"/>
              <w:bottom w:val="nil"/>
              <w:right w:val="single" w:sz="4" w:space="0" w:color="auto"/>
            </w:tcBorders>
          </w:tcPr>
          <w:p w14:paraId="398C8E52" w14:textId="3AC6B183" w:rsidR="00115843" w:rsidRPr="00FD292C" w:rsidRDefault="00AE5E33" w:rsidP="00FB0D02">
            <w:pPr>
              <w:pStyle w:val="TableTextBase"/>
              <w:rPr>
                <w:sz w:val="16"/>
                <w:szCs w:val="16"/>
              </w:rPr>
            </w:pPr>
            <w:r>
              <w:rPr>
                <w:sz w:val="16"/>
                <w:szCs w:val="16"/>
              </w:rPr>
              <w:t>Current</w:t>
            </w:r>
            <w:r w:rsidR="00115843" w:rsidRPr="00FD292C">
              <w:rPr>
                <w:sz w:val="16"/>
                <w:szCs w:val="16"/>
              </w:rPr>
              <w:t xml:space="preserve"> year </w:t>
            </w:r>
            <w:r w:rsidR="00115843" w:rsidRPr="00FD292C">
              <w:rPr>
                <w:sz w:val="16"/>
                <w:szCs w:val="16"/>
              </w:rPr>
              <w:br/>
              <w:t>202</w:t>
            </w:r>
            <w:r>
              <w:rPr>
                <w:sz w:val="16"/>
                <w:szCs w:val="16"/>
              </w:rPr>
              <w:t>2</w:t>
            </w:r>
            <w:r w:rsidR="00115843" w:rsidRPr="00FD292C">
              <w:rPr>
                <w:sz w:val="16"/>
                <w:szCs w:val="16"/>
              </w:rPr>
              <w:t>–2</w:t>
            </w:r>
            <w:r>
              <w:rPr>
                <w:sz w:val="16"/>
                <w:szCs w:val="16"/>
              </w:rPr>
              <w:t>3</w:t>
            </w:r>
          </w:p>
        </w:tc>
        <w:tc>
          <w:tcPr>
            <w:tcW w:w="1609" w:type="pct"/>
            <w:tcBorders>
              <w:top w:val="single" w:sz="4" w:space="0" w:color="auto"/>
              <w:left w:val="single" w:sz="4" w:space="0" w:color="auto"/>
              <w:bottom w:val="single" w:sz="4" w:space="0" w:color="auto"/>
              <w:right w:val="single" w:sz="4" w:space="0" w:color="auto"/>
            </w:tcBorders>
          </w:tcPr>
          <w:p w14:paraId="603CBB76" w14:textId="4D522C88" w:rsidR="00115843" w:rsidRPr="00FD292C" w:rsidRDefault="00AE5E33" w:rsidP="00FB0D02">
            <w:pPr>
              <w:spacing w:before="60" w:after="60" w:line="240" w:lineRule="auto"/>
              <w:contextualSpacing/>
              <w:rPr>
                <w:b/>
                <w:sz w:val="16"/>
                <w:szCs w:val="16"/>
                <w:lang w:val="en-US"/>
              </w:rPr>
            </w:pPr>
            <w:r w:rsidRPr="00AE5E33">
              <w:rPr>
                <w:rFonts w:ascii="Arial" w:eastAsia="Calibri" w:hAnsi="Arial" w:cs="Arial"/>
                <w:sz w:val="16"/>
                <w:szCs w:val="16"/>
              </w:rPr>
              <w:t>Implementing key initiatives of the northern Australia agenda</w:t>
            </w:r>
            <w:r w:rsidR="00926A6A" w:rsidRPr="00926A6A">
              <w:rPr>
                <w:rFonts w:ascii="Arial" w:eastAsia="Calibri" w:hAnsi="Arial" w:cs="Arial"/>
                <w:sz w:val="16"/>
                <w:szCs w:val="16"/>
                <w:vertAlign w:val="superscript"/>
              </w:rPr>
              <w:t>(a)</w:t>
            </w:r>
          </w:p>
        </w:tc>
        <w:tc>
          <w:tcPr>
            <w:tcW w:w="2381" w:type="pct"/>
            <w:tcBorders>
              <w:top w:val="single" w:sz="4" w:space="0" w:color="auto"/>
              <w:left w:val="single" w:sz="4" w:space="0" w:color="auto"/>
              <w:bottom w:val="single" w:sz="4" w:space="0" w:color="auto"/>
            </w:tcBorders>
          </w:tcPr>
          <w:p w14:paraId="394EC75B" w14:textId="5262AFEA" w:rsidR="00934BC0" w:rsidRDefault="00934BC0" w:rsidP="00AE5E33">
            <w:pPr>
              <w:spacing w:before="60" w:after="60" w:line="240" w:lineRule="auto"/>
              <w:ind w:right="-12"/>
              <w:rPr>
                <w:rFonts w:ascii="Arial" w:eastAsia="Calibri" w:hAnsi="Arial" w:cs="Arial"/>
                <w:sz w:val="16"/>
                <w:szCs w:val="16"/>
              </w:rPr>
            </w:pPr>
            <w:r>
              <w:rPr>
                <w:rFonts w:ascii="Arial" w:eastAsia="Calibri" w:hAnsi="Arial" w:cs="Arial"/>
                <w:sz w:val="16"/>
                <w:szCs w:val="16"/>
              </w:rPr>
              <w:t xml:space="preserve">Target: </w:t>
            </w:r>
            <w:r w:rsidRPr="008D55A3">
              <w:rPr>
                <w:rFonts w:ascii="Arial" w:eastAsia="Calibri" w:hAnsi="Arial" w:cs="Arial"/>
                <w:sz w:val="16"/>
                <w:szCs w:val="16"/>
              </w:rPr>
              <w:t>Progress implementation of key initiatives according to agreed milestones</w:t>
            </w:r>
            <w:r w:rsidR="001066C8">
              <w:rPr>
                <w:rFonts w:ascii="Arial" w:eastAsia="Calibri" w:hAnsi="Arial" w:cs="Arial"/>
                <w:sz w:val="16"/>
                <w:szCs w:val="16"/>
              </w:rPr>
              <w:t>.</w:t>
            </w:r>
          </w:p>
          <w:p w14:paraId="776F205A" w14:textId="39B6EA7E" w:rsidR="00AE5E33" w:rsidRPr="00AE5E33" w:rsidRDefault="00AE5E33" w:rsidP="00934BC0">
            <w:pPr>
              <w:spacing w:before="120" w:after="60" w:line="240" w:lineRule="auto"/>
              <w:ind w:right="-12"/>
              <w:rPr>
                <w:rFonts w:ascii="Arial" w:eastAsia="Calibri" w:hAnsi="Arial" w:cs="Arial"/>
                <w:sz w:val="16"/>
                <w:szCs w:val="16"/>
              </w:rPr>
            </w:pPr>
            <w:r w:rsidRPr="00AE5E33">
              <w:rPr>
                <w:rFonts w:ascii="Arial" w:eastAsia="Calibri" w:hAnsi="Arial" w:cs="Arial"/>
                <w:sz w:val="16"/>
                <w:szCs w:val="16"/>
              </w:rPr>
              <w:t>Target expected to be met.</w:t>
            </w:r>
          </w:p>
          <w:p w14:paraId="1DF616BB" w14:textId="7D39225D" w:rsidR="00115843" w:rsidRPr="00FD292C" w:rsidRDefault="00AE5E33" w:rsidP="00934BC0">
            <w:pPr>
              <w:spacing w:before="120" w:after="60" w:line="240" w:lineRule="auto"/>
              <w:rPr>
                <w:rFonts w:ascii="Arial" w:eastAsia="Calibri" w:hAnsi="Arial" w:cs="Arial"/>
                <w:sz w:val="16"/>
                <w:szCs w:val="16"/>
              </w:rPr>
            </w:pPr>
            <w:r w:rsidRPr="00AE5E33">
              <w:rPr>
                <w:rFonts w:ascii="Arial" w:eastAsia="Calibri" w:hAnsi="Arial" w:cs="Arial"/>
                <w:sz w:val="16"/>
                <w:szCs w:val="16"/>
              </w:rPr>
              <w:t>Final reporting period for this measure. Further details will be included in the 2023–24 Corporate Plan.</w:t>
            </w:r>
          </w:p>
        </w:tc>
      </w:tr>
      <w:tr w:rsidR="00115843" w:rsidRPr="005307EA" w14:paraId="500C377E" w14:textId="77777777" w:rsidTr="009C035D">
        <w:trPr>
          <w:cantSplit/>
          <w:trHeight w:val="1581"/>
        </w:trPr>
        <w:tc>
          <w:tcPr>
            <w:tcW w:w="1010" w:type="pct"/>
            <w:tcBorders>
              <w:top w:val="nil"/>
              <w:bottom w:val="double" w:sz="4" w:space="0" w:color="auto"/>
              <w:right w:val="single" w:sz="4" w:space="0" w:color="auto"/>
            </w:tcBorders>
          </w:tcPr>
          <w:p w14:paraId="250F0F15" w14:textId="77777777" w:rsidR="00115843" w:rsidRPr="00FD292C" w:rsidRDefault="00115843" w:rsidP="00FB0D02">
            <w:pPr>
              <w:pStyle w:val="TableTextBase"/>
              <w:rPr>
                <w:sz w:val="16"/>
                <w:szCs w:val="16"/>
              </w:rPr>
            </w:pPr>
          </w:p>
        </w:tc>
        <w:tc>
          <w:tcPr>
            <w:tcW w:w="1609" w:type="pct"/>
            <w:tcBorders>
              <w:top w:val="single" w:sz="4" w:space="0" w:color="auto"/>
              <w:left w:val="single" w:sz="4" w:space="0" w:color="auto"/>
              <w:bottom w:val="double" w:sz="4" w:space="0" w:color="auto"/>
              <w:right w:val="single" w:sz="4" w:space="0" w:color="auto"/>
            </w:tcBorders>
          </w:tcPr>
          <w:p w14:paraId="4DC2638F" w14:textId="7D2410FA" w:rsidR="00115843" w:rsidRPr="00FD292C" w:rsidRDefault="00115843"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Impacts of projects supported by the NAIF during the financial year, indicated through:</w:t>
            </w:r>
          </w:p>
          <w:p w14:paraId="35723101" w14:textId="77777777" w:rsidR="00115843" w:rsidRPr="00FD292C" w:rsidRDefault="00115843" w:rsidP="00977C28">
            <w:pPr>
              <w:numPr>
                <w:ilvl w:val="0"/>
                <w:numId w:val="111"/>
              </w:numPr>
              <w:spacing w:before="60" w:after="60" w:line="240" w:lineRule="auto"/>
              <w:contextualSpacing/>
              <w:rPr>
                <w:rFonts w:ascii="Arial" w:eastAsia="Calibri" w:hAnsi="Arial" w:cs="Arial"/>
                <w:sz w:val="16"/>
                <w:szCs w:val="16"/>
              </w:rPr>
            </w:pPr>
            <w:r w:rsidRPr="00FD292C">
              <w:rPr>
                <w:rFonts w:ascii="Arial" w:eastAsia="Calibri" w:hAnsi="Arial" w:cs="Arial"/>
                <w:sz w:val="16"/>
                <w:szCs w:val="16"/>
              </w:rPr>
              <w:t>Total number of new jobs created</w:t>
            </w:r>
          </w:p>
          <w:p w14:paraId="78CEB4D9" w14:textId="33B56A94" w:rsidR="00115843" w:rsidRPr="00FD292C" w:rsidRDefault="00115843" w:rsidP="00977C28">
            <w:pPr>
              <w:numPr>
                <w:ilvl w:val="0"/>
                <w:numId w:val="111"/>
              </w:numPr>
              <w:spacing w:before="60" w:after="60" w:line="240" w:lineRule="auto"/>
              <w:contextualSpacing/>
              <w:rPr>
                <w:b/>
                <w:sz w:val="16"/>
                <w:szCs w:val="16"/>
                <w:lang w:val="en-US"/>
              </w:rPr>
            </w:pPr>
            <w:r w:rsidRPr="00FD292C">
              <w:rPr>
                <w:rFonts w:ascii="Arial" w:eastAsia="Calibri" w:hAnsi="Arial" w:cs="Arial"/>
                <w:sz w:val="16"/>
                <w:szCs w:val="16"/>
              </w:rPr>
              <w:t>Total number of new Indigenous jobs created</w:t>
            </w:r>
            <w:r w:rsidR="00926A6A" w:rsidRPr="00926A6A">
              <w:rPr>
                <w:rFonts w:ascii="Arial" w:eastAsia="Calibri" w:hAnsi="Arial" w:cs="Arial"/>
                <w:sz w:val="16"/>
                <w:szCs w:val="16"/>
                <w:vertAlign w:val="superscript"/>
              </w:rPr>
              <w:t>(a)</w:t>
            </w:r>
          </w:p>
        </w:tc>
        <w:tc>
          <w:tcPr>
            <w:tcW w:w="2381" w:type="pct"/>
            <w:tcBorders>
              <w:top w:val="single" w:sz="4" w:space="0" w:color="auto"/>
              <w:left w:val="single" w:sz="4" w:space="0" w:color="auto"/>
              <w:bottom w:val="double" w:sz="4" w:space="0" w:color="auto"/>
            </w:tcBorders>
          </w:tcPr>
          <w:p w14:paraId="370FFF04" w14:textId="6F9FEFB4" w:rsidR="00934BC0" w:rsidRDefault="00934BC0" w:rsidP="00AE5E33">
            <w:pPr>
              <w:pStyle w:val="TableParagraph"/>
              <w:spacing w:before="20"/>
              <w:ind w:right="309"/>
              <w:rPr>
                <w:rFonts w:eastAsia="Calibri"/>
                <w:sz w:val="16"/>
                <w:szCs w:val="16"/>
              </w:rPr>
            </w:pPr>
            <w:r>
              <w:rPr>
                <w:rFonts w:eastAsia="Calibri"/>
                <w:sz w:val="16"/>
                <w:szCs w:val="16"/>
              </w:rPr>
              <w:t xml:space="preserve">Target: </w:t>
            </w:r>
            <w:r w:rsidRPr="00A46594">
              <w:rPr>
                <w:rFonts w:eastAsia="Calibri"/>
                <w:sz w:val="16"/>
                <w:szCs w:val="16"/>
              </w:rPr>
              <w:t>Year-on-year increase</w:t>
            </w:r>
            <w:r w:rsidR="001066C8">
              <w:rPr>
                <w:rFonts w:eastAsia="Calibri"/>
                <w:sz w:val="16"/>
                <w:szCs w:val="16"/>
              </w:rPr>
              <w:t>.</w:t>
            </w:r>
          </w:p>
          <w:p w14:paraId="36704F39" w14:textId="4CAB500A" w:rsidR="00AE5E33" w:rsidRDefault="00AE5E33" w:rsidP="00934BC0">
            <w:pPr>
              <w:pStyle w:val="TableParagraph"/>
              <w:spacing w:before="120"/>
              <w:ind w:right="309"/>
              <w:rPr>
                <w:rFonts w:eastAsia="Calibri"/>
                <w:sz w:val="16"/>
                <w:szCs w:val="16"/>
              </w:rPr>
            </w:pPr>
            <w:r>
              <w:rPr>
                <w:rFonts w:eastAsia="Calibri"/>
                <w:sz w:val="16"/>
                <w:szCs w:val="16"/>
              </w:rPr>
              <w:t>Result</w:t>
            </w:r>
            <w:r w:rsidR="00934BC0">
              <w:rPr>
                <w:rFonts w:eastAsia="Calibri"/>
                <w:sz w:val="16"/>
                <w:szCs w:val="16"/>
              </w:rPr>
              <w:t>s</w:t>
            </w:r>
            <w:r>
              <w:rPr>
                <w:rFonts w:eastAsia="Calibri"/>
                <w:sz w:val="16"/>
                <w:szCs w:val="16"/>
              </w:rPr>
              <w:t xml:space="preserve"> rely on data not yet available. </w:t>
            </w:r>
          </w:p>
          <w:p w14:paraId="5A537DC1" w14:textId="2AC43517" w:rsidR="00115843" w:rsidRPr="001066C8" w:rsidRDefault="00AE5E33" w:rsidP="00934BC0">
            <w:pPr>
              <w:pStyle w:val="TableTextBase"/>
              <w:spacing w:before="120"/>
              <w:rPr>
                <w:rFonts w:eastAsia="Calibri"/>
                <w:sz w:val="16"/>
                <w:szCs w:val="16"/>
              </w:rPr>
            </w:pPr>
            <w:r>
              <w:rPr>
                <w:rFonts w:eastAsia="Calibri"/>
                <w:sz w:val="16"/>
                <w:szCs w:val="16"/>
              </w:rPr>
              <w:t>Final reporting period for this measure. Further details will be included in the 2023–24 Corporate Plan.</w:t>
            </w:r>
          </w:p>
        </w:tc>
      </w:tr>
      <w:tr w:rsidR="00115843" w:rsidRPr="00160C23" w14:paraId="0D4D97D7" w14:textId="77777777" w:rsidTr="00FB0D02">
        <w:trPr>
          <w:trHeight w:val="258"/>
        </w:trPr>
        <w:tc>
          <w:tcPr>
            <w:tcW w:w="1010" w:type="pct"/>
            <w:tcBorders>
              <w:top w:val="double" w:sz="4" w:space="0" w:color="auto"/>
              <w:bottom w:val="single" w:sz="4" w:space="0" w:color="auto"/>
              <w:right w:val="single" w:sz="4" w:space="0" w:color="auto"/>
            </w:tcBorders>
          </w:tcPr>
          <w:p w14:paraId="7FB9C991" w14:textId="77777777" w:rsidR="00115843" w:rsidRPr="00CD1CF1" w:rsidRDefault="00115843" w:rsidP="00FB0D02">
            <w:pPr>
              <w:pStyle w:val="TableTextBase"/>
              <w:rPr>
                <w:b/>
                <w:sz w:val="16"/>
                <w:szCs w:val="16"/>
              </w:rPr>
            </w:pPr>
            <w:r w:rsidRPr="00CD1CF1">
              <w:rPr>
                <w:b/>
                <w:sz w:val="16"/>
                <w:szCs w:val="16"/>
              </w:rPr>
              <w:t>Year</w:t>
            </w:r>
          </w:p>
        </w:tc>
        <w:tc>
          <w:tcPr>
            <w:tcW w:w="1609" w:type="pct"/>
            <w:tcBorders>
              <w:top w:val="double" w:sz="4" w:space="0" w:color="auto"/>
              <w:left w:val="single" w:sz="4" w:space="0" w:color="auto"/>
              <w:bottom w:val="single" w:sz="4" w:space="0" w:color="auto"/>
              <w:right w:val="single" w:sz="4" w:space="0" w:color="auto"/>
            </w:tcBorders>
          </w:tcPr>
          <w:p w14:paraId="1576B5FE" w14:textId="77777777" w:rsidR="00115843" w:rsidRPr="00CD1CF1" w:rsidRDefault="00115843" w:rsidP="00FB0D02">
            <w:pPr>
              <w:pStyle w:val="TableTextBase"/>
              <w:rPr>
                <w:rFonts w:cs="Arial"/>
                <w:b/>
                <w:sz w:val="16"/>
                <w:szCs w:val="16"/>
              </w:rPr>
            </w:pPr>
            <w:r w:rsidRPr="00CD1CF1">
              <w:rPr>
                <w:rFonts w:cs="Arial"/>
                <w:b/>
                <w:sz w:val="16"/>
                <w:szCs w:val="16"/>
              </w:rPr>
              <w:t>Performance measures</w:t>
            </w:r>
          </w:p>
        </w:tc>
        <w:tc>
          <w:tcPr>
            <w:tcW w:w="2381" w:type="pct"/>
            <w:tcBorders>
              <w:top w:val="double" w:sz="4" w:space="0" w:color="auto"/>
              <w:left w:val="single" w:sz="4" w:space="0" w:color="auto"/>
              <w:bottom w:val="single" w:sz="4" w:space="0" w:color="auto"/>
            </w:tcBorders>
          </w:tcPr>
          <w:p w14:paraId="06307D8F" w14:textId="77777777" w:rsidR="00115843" w:rsidRPr="00CD1CF1" w:rsidRDefault="00115843" w:rsidP="00FB0D02">
            <w:pPr>
              <w:pStyle w:val="TableTextBase"/>
              <w:rPr>
                <w:rFonts w:cs="Arial"/>
                <w:b/>
                <w:sz w:val="16"/>
                <w:szCs w:val="16"/>
              </w:rPr>
            </w:pPr>
            <w:r w:rsidRPr="00CD1CF1">
              <w:rPr>
                <w:rFonts w:cs="Arial"/>
                <w:b/>
                <w:sz w:val="16"/>
                <w:szCs w:val="16"/>
              </w:rPr>
              <w:t>Planned Performance Results</w:t>
            </w:r>
          </w:p>
        </w:tc>
      </w:tr>
      <w:tr w:rsidR="00115843" w14:paraId="0DEAC3BD" w14:textId="77777777" w:rsidTr="00CA175C">
        <w:trPr>
          <w:cantSplit/>
          <w:trHeight w:val="419"/>
        </w:trPr>
        <w:tc>
          <w:tcPr>
            <w:tcW w:w="1010" w:type="pct"/>
            <w:tcBorders>
              <w:top w:val="single" w:sz="4" w:space="0" w:color="auto"/>
              <w:right w:val="single" w:sz="4" w:space="0" w:color="auto"/>
            </w:tcBorders>
          </w:tcPr>
          <w:p w14:paraId="74C6D21E" w14:textId="20820C20" w:rsidR="00115843" w:rsidRPr="00DB0E5D" w:rsidRDefault="00115843" w:rsidP="00FB0D02">
            <w:pPr>
              <w:spacing w:before="60" w:after="60" w:line="240" w:lineRule="auto"/>
              <w:rPr>
                <w:sz w:val="16"/>
                <w:szCs w:val="16"/>
              </w:rPr>
            </w:pPr>
            <w:r w:rsidRPr="008D55A3">
              <w:rPr>
                <w:rFonts w:ascii="Arial" w:eastAsia="Calibri" w:hAnsi="Arial" w:cs="Arial"/>
                <w:sz w:val="16"/>
                <w:szCs w:val="16"/>
              </w:rPr>
              <w:t xml:space="preserve">Budget </w:t>
            </w:r>
            <w:r>
              <w:rPr>
                <w:rFonts w:ascii="Arial" w:eastAsia="Calibri" w:hAnsi="Arial" w:cs="Arial"/>
                <w:sz w:val="16"/>
                <w:szCs w:val="16"/>
              </w:rPr>
              <w:t>year</w:t>
            </w:r>
            <w:r>
              <w:rPr>
                <w:rFonts w:ascii="Arial" w:eastAsia="Calibri" w:hAnsi="Arial" w:cs="Arial"/>
                <w:sz w:val="16"/>
                <w:szCs w:val="16"/>
              </w:rPr>
              <w:br/>
            </w:r>
            <w:r w:rsidRPr="008D55A3">
              <w:rPr>
                <w:rFonts w:ascii="Arial" w:eastAsia="Calibri" w:hAnsi="Arial" w:cs="Arial"/>
                <w:sz w:val="16"/>
                <w:szCs w:val="16"/>
              </w:rPr>
              <w:t>202</w:t>
            </w:r>
            <w:r w:rsidR="00AE5E33">
              <w:rPr>
                <w:rFonts w:ascii="Arial" w:eastAsia="Calibri" w:hAnsi="Arial" w:cs="Arial"/>
                <w:sz w:val="16"/>
                <w:szCs w:val="16"/>
              </w:rPr>
              <w:t>3</w:t>
            </w:r>
            <w:r w:rsidRPr="008D55A3">
              <w:rPr>
                <w:rFonts w:ascii="Arial" w:eastAsia="Calibri" w:hAnsi="Arial" w:cs="Arial"/>
                <w:sz w:val="16"/>
                <w:szCs w:val="16"/>
              </w:rPr>
              <w:t>–2</w:t>
            </w:r>
            <w:r w:rsidR="00AE5E33">
              <w:rPr>
                <w:rFonts w:ascii="Arial" w:eastAsia="Calibri" w:hAnsi="Arial" w:cs="Arial"/>
                <w:sz w:val="16"/>
                <w:szCs w:val="16"/>
              </w:rPr>
              <w:t>4</w:t>
            </w:r>
            <w:r w:rsidRPr="00DB0E5D">
              <w:rPr>
                <w:rFonts w:eastAsia="Calibri" w:cs="Arial"/>
                <w:sz w:val="16"/>
                <w:szCs w:val="16"/>
                <w:lang w:eastAsia="en-US"/>
              </w:rPr>
              <w:t xml:space="preserve"> </w:t>
            </w:r>
          </w:p>
        </w:tc>
        <w:tc>
          <w:tcPr>
            <w:tcW w:w="1609" w:type="pct"/>
            <w:tcBorders>
              <w:top w:val="single" w:sz="4" w:space="0" w:color="auto"/>
              <w:left w:val="single" w:sz="4" w:space="0" w:color="auto"/>
              <w:bottom w:val="single" w:sz="4" w:space="0" w:color="auto"/>
              <w:right w:val="single" w:sz="4" w:space="0" w:color="auto"/>
            </w:tcBorders>
            <w:shd w:val="clear" w:color="auto" w:fill="auto"/>
          </w:tcPr>
          <w:p w14:paraId="0A77BFE3" w14:textId="0A993E6A" w:rsidR="00115843" w:rsidRPr="00295564" w:rsidRDefault="00AE5E33" w:rsidP="00FB0D02">
            <w:pPr>
              <w:spacing w:before="60" w:after="60" w:line="240" w:lineRule="auto"/>
              <w:rPr>
                <w:b/>
                <w:lang w:val="en-US"/>
              </w:rPr>
            </w:pPr>
            <w:r w:rsidRPr="00AE5E33">
              <w:rPr>
                <w:rFonts w:ascii="Arial" w:eastAsia="Calibri" w:hAnsi="Arial" w:cs="Arial"/>
                <w:i/>
                <w:sz w:val="16"/>
                <w:szCs w:val="16"/>
              </w:rPr>
              <w:t>Percentage of Northern Australia Infrastructure Facility (NAIF) proposal notices processed for Ministerial consideration within statutory timeframes</w:t>
            </w:r>
          </w:p>
        </w:tc>
        <w:tc>
          <w:tcPr>
            <w:tcW w:w="2381" w:type="pct"/>
            <w:tcBorders>
              <w:top w:val="single" w:sz="4" w:space="0" w:color="auto"/>
              <w:left w:val="single" w:sz="4" w:space="0" w:color="auto"/>
              <w:bottom w:val="single" w:sz="4" w:space="0" w:color="auto"/>
            </w:tcBorders>
            <w:shd w:val="clear" w:color="auto" w:fill="auto"/>
          </w:tcPr>
          <w:p w14:paraId="2F092C07" w14:textId="4C0E0034" w:rsidR="00115843" w:rsidRPr="00D36C35" w:rsidRDefault="00AE5E33" w:rsidP="00FB0D02">
            <w:pPr>
              <w:spacing w:before="60" w:after="60" w:line="240" w:lineRule="auto"/>
              <w:rPr>
                <w:rFonts w:eastAsia="Calibri" w:cs="Arial"/>
                <w:szCs w:val="16"/>
                <w:lang w:eastAsia="en-US"/>
              </w:rPr>
            </w:pPr>
            <w:r w:rsidRPr="00AE5E33">
              <w:rPr>
                <w:rFonts w:ascii="Arial" w:eastAsia="Calibri" w:hAnsi="Arial" w:cs="Arial"/>
                <w:i/>
                <w:sz w:val="16"/>
                <w:szCs w:val="16"/>
              </w:rPr>
              <w:t>100% in each financial year.</w:t>
            </w:r>
          </w:p>
        </w:tc>
      </w:tr>
      <w:tr w:rsidR="00115843" w14:paraId="3E7F0A3E" w14:textId="77777777" w:rsidTr="00FD292C">
        <w:trPr>
          <w:cantSplit/>
          <w:trHeight w:val="1513"/>
        </w:trPr>
        <w:tc>
          <w:tcPr>
            <w:tcW w:w="1010" w:type="pct"/>
            <w:tcBorders>
              <w:bottom w:val="single" w:sz="4" w:space="0" w:color="auto"/>
              <w:right w:val="single" w:sz="4" w:space="0" w:color="auto"/>
            </w:tcBorders>
          </w:tcPr>
          <w:p w14:paraId="4214CA0E" w14:textId="77777777" w:rsidR="00115843" w:rsidRDefault="00AE5E33" w:rsidP="00AE5E33">
            <w:pPr>
              <w:spacing w:before="60" w:after="0" w:line="240" w:lineRule="auto"/>
              <w:rPr>
                <w:rFonts w:ascii="Arial" w:eastAsia="Calibri" w:hAnsi="Arial" w:cs="Arial"/>
                <w:sz w:val="16"/>
                <w:szCs w:val="16"/>
              </w:rPr>
            </w:pPr>
            <w:r>
              <w:rPr>
                <w:rFonts w:ascii="Arial" w:eastAsia="Calibri" w:hAnsi="Arial" w:cs="Arial"/>
                <w:sz w:val="16"/>
                <w:szCs w:val="16"/>
              </w:rPr>
              <w:t>Forward Estimates</w:t>
            </w:r>
          </w:p>
          <w:p w14:paraId="0E651557" w14:textId="2BC2B57E" w:rsidR="00AE5E33" w:rsidRDefault="00AE5E33" w:rsidP="00AE5E33">
            <w:pPr>
              <w:spacing w:after="0" w:line="240" w:lineRule="auto"/>
              <w:rPr>
                <w:rFonts w:ascii="Arial" w:eastAsia="Calibri" w:hAnsi="Arial" w:cs="Arial"/>
                <w:sz w:val="16"/>
                <w:szCs w:val="16"/>
              </w:rPr>
            </w:pPr>
            <w:r>
              <w:rPr>
                <w:rFonts w:ascii="Arial" w:eastAsia="Calibri" w:hAnsi="Arial" w:cs="Arial"/>
                <w:sz w:val="16"/>
                <w:szCs w:val="16"/>
              </w:rPr>
              <w:t xml:space="preserve">2024-27 </w:t>
            </w:r>
          </w:p>
        </w:tc>
        <w:tc>
          <w:tcPr>
            <w:tcW w:w="1609" w:type="pct"/>
            <w:tcBorders>
              <w:top w:val="single" w:sz="4" w:space="0" w:color="auto"/>
              <w:left w:val="single" w:sz="4" w:space="0" w:color="auto"/>
              <w:bottom w:val="single" w:sz="4" w:space="0" w:color="auto"/>
              <w:right w:val="single" w:sz="4" w:space="0" w:color="auto"/>
            </w:tcBorders>
            <w:shd w:val="clear" w:color="auto" w:fill="auto"/>
          </w:tcPr>
          <w:p w14:paraId="17339078" w14:textId="2A8A01C4" w:rsidR="00115843" w:rsidRPr="00AE5E33" w:rsidRDefault="00AE5E33" w:rsidP="00AE5E33">
            <w:pPr>
              <w:spacing w:before="60" w:after="60" w:line="240" w:lineRule="auto"/>
              <w:rPr>
                <w:rFonts w:ascii="Arial" w:hAnsi="Arial" w:cs="Arial"/>
                <w:b/>
                <w:lang w:val="en-US"/>
              </w:rPr>
            </w:pPr>
            <w:r w:rsidRPr="00AE5E33">
              <w:rPr>
                <w:rFonts w:ascii="Arial" w:eastAsia="Calibri" w:hAnsi="Arial" w:cs="Arial"/>
                <w:sz w:val="16"/>
                <w:szCs w:val="16"/>
              </w:rPr>
              <w:t>As per 2023–24</w:t>
            </w:r>
          </w:p>
        </w:tc>
        <w:tc>
          <w:tcPr>
            <w:tcW w:w="2381" w:type="pct"/>
            <w:tcBorders>
              <w:top w:val="single" w:sz="4" w:space="0" w:color="auto"/>
              <w:left w:val="single" w:sz="4" w:space="0" w:color="auto"/>
              <w:bottom w:val="single" w:sz="4" w:space="0" w:color="auto"/>
            </w:tcBorders>
            <w:shd w:val="clear" w:color="auto" w:fill="auto"/>
          </w:tcPr>
          <w:p w14:paraId="303A0FDB" w14:textId="17001FD5" w:rsidR="00115843" w:rsidRPr="0016575D" w:rsidRDefault="00AE5E33" w:rsidP="00FB0D02">
            <w:pPr>
              <w:spacing w:before="60" w:after="60" w:line="240" w:lineRule="auto"/>
              <w:ind w:right="-12"/>
              <w:rPr>
                <w:rFonts w:eastAsia="Calibri" w:cs="Arial"/>
                <w:szCs w:val="16"/>
                <w:lang w:eastAsia="en-US"/>
              </w:rPr>
            </w:pPr>
            <w:r w:rsidRPr="00AE5E33">
              <w:rPr>
                <w:rFonts w:ascii="Arial" w:eastAsia="Calibri" w:hAnsi="Arial" w:cs="Arial"/>
                <w:sz w:val="16"/>
                <w:szCs w:val="16"/>
              </w:rPr>
              <w:t>As per 2023–24.</w:t>
            </w:r>
          </w:p>
        </w:tc>
      </w:tr>
    </w:tbl>
    <w:p w14:paraId="2AB8C384" w14:textId="2519C3BF" w:rsidR="00115843" w:rsidRPr="00926A6A" w:rsidRDefault="00115843" w:rsidP="00926A6A">
      <w:pPr>
        <w:pStyle w:val="ChartandTableFootnoteAlpha"/>
        <w:numPr>
          <w:ilvl w:val="0"/>
          <w:numId w:val="0"/>
        </w:numPr>
        <w:spacing w:before="60"/>
        <w:rPr>
          <w:rFonts w:cs="Arial"/>
          <w:szCs w:val="16"/>
        </w:rPr>
      </w:pPr>
      <w:r w:rsidRPr="00926A6A">
        <w:rPr>
          <w:rFonts w:cs="Arial"/>
          <w:szCs w:val="16"/>
        </w:rPr>
        <w:t xml:space="preserve">New or modified performance measures that reflect new or materially changed programs are shown in </w:t>
      </w:r>
      <w:r w:rsidRPr="00926A6A">
        <w:rPr>
          <w:rFonts w:cs="Arial"/>
          <w:i/>
          <w:szCs w:val="16"/>
        </w:rPr>
        <w:t>italics.</w:t>
      </w:r>
      <w:r w:rsidRPr="00926A6A">
        <w:rPr>
          <w:rFonts w:cs="Arial"/>
          <w:szCs w:val="16"/>
        </w:rPr>
        <w:t xml:space="preserve"> </w:t>
      </w:r>
    </w:p>
    <w:p w14:paraId="68773C11" w14:textId="3CF5BC1B" w:rsidR="00926A6A" w:rsidRPr="00926A6A" w:rsidRDefault="00926A6A" w:rsidP="00977C28">
      <w:pPr>
        <w:pStyle w:val="ListParagraph"/>
        <w:numPr>
          <w:ilvl w:val="0"/>
          <w:numId w:val="263"/>
        </w:numPr>
        <w:spacing w:before="60" w:after="120" w:line="240" w:lineRule="auto"/>
        <w:ind w:left="425" w:hanging="425"/>
        <w:rPr>
          <w:rFonts w:ascii="Arial" w:hAnsi="Arial" w:cs="Arial"/>
          <w:sz w:val="16"/>
          <w:szCs w:val="16"/>
        </w:rPr>
      </w:pPr>
      <w:r w:rsidRPr="00926A6A">
        <w:rPr>
          <w:rFonts w:ascii="Arial" w:hAnsi="Arial" w:cs="Arial"/>
          <w:sz w:val="16"/>
          <w:szCs w:val="16"/>
        </w:rPr>
        <w:t xml:space="preserve">This measure has been removed for 2023-24 and will be replaced with a proxy output measurer, with work underway to develop an improved measure. Further explanation will be provided in the 2023-24 Corporate Plan. </w:t>
      </w:r>
    </w:p>
    <w:p w14:paraId="2606E505" w14:textId="0BCBADB1" w:rsidR="00557DDF" w:rsidRPr="00557DDF" w:rsidRDefault="00557DDF" w:rsidP="00557DDF">
      <w:pPr>
        <w:spacing w:before="30" w:after="0" w:line="240" w:lineRule="auto"/>
        <w:ind w:right="55"/>
        <w:rPr>
          <w:rFonts w:ascii="Arial" w:hAnsi="Arial" w:cs="Arial"/>
          <w:sz w:val="16"/>
        </w:rPr>
      </w:pPr>
      <w:r w:rsidRPr="004E26ED">
        <w:rPr>
          <w:rFonts w:ascii="Arial" w:hAnsi="Arial" w:cs="Arial"/>
          <w:color w:val="000000"/>
          <w:sz w:val="16"/>
          <w:szCs w:val="16"/>
        </w:rPr>
        <w:t xml:space="preserve">The </w:t>
      </w:r>
      <w:r w:rsidR="00E17F15">
        <w:rPr>
          <w:rFonts w:ascii="Arial" w:hAnsi="Arial" w:cs="Arial"/>
          <w:color w:val="000000"/>
          <w:sz w:val="16"/>
          <w:szCs w:val="16"/>
        </w:rPr>
        <w:t>Department</w:t>
      </w:r>
      <w:r w:rsidRPr="004E26ED">
        <w:rPr>
          <w:rFonts w:ascii="Arial" w:hAnsi="Arial" w:cs="Arial"/>
          <w:color w:val="000000"/>
          <w:sz w:val="16"/>
          <w:szCs w:val="16"/>
        </w:rPr>
        <w:t xml:space="preserve"> has undertaken a suite of assessment and assurance activities regarding performance measures since </w:t>
      </w:r>
      <w:r w:rsidRPr="00557DDF">
        <w:rPr>
          <w:rFonts w:ascii="Arial" w:hAnsi="Arial" w:cs="Arial"/>
          <w:color w:val="000000"/>
          <w:sz w:val="16"/>
          <w:szCs w:val="16"/>
        </w:rPr>
        <w:t>the 2022</w:t>
      </w:r>
      <w:r w:rsidRPr="00557DDF">
        <w:rPr>
          <w:rFonts w:ascii="Arial" w:hAnsi="Arial" w:cs="Arial"/>
          <w:sz w:val="16"/>
          <w:szCs w:val="16"/>
        </w:rPr>
        <w:t>–</w:t>
      </w:r>
      <w:r w:rsidRPr="00557DDF">
        <w:rPr>
          <w:rFonts w:ascii="Arial" w:hAnsi="Arial" w:cs="Arial"/>
          <w:color w:val="000000"/>
          <w:sz w:val="16"/>
          <w:szCs w:val="16"/>
        </w:rPr>
        <w:t>23 Budget. As a result, a number of measures have been added, removed, or amended in the 2023</w:t>
      </w:r>
      <w:r w:rsidRPr="00557DDF">
        <w:rPr>
          <w:rFonts w:ascii="Arial" w:hAnsi="Arial" w:cs="Arial"/>
          <w:sz w:val="16"/>
          <w:szCs w:val="16"/>
        </w:rPr>
        <w:t>–</w:t>
      </w:r>
      <w:r w:rsidRPr="00557DDF">
        <w:rPr>
          <w:rFonts w:ascii="Arial" w:hAnsi="Arial" w:cs="Arial"/>
          <w:color w:val="000000"/>
          <w:sz w:val="16"/>
          <w:szCs w:val="16"/>
        </w:rPr>
        <w:t>24 Portfolio</w:t>
      </w:r>
      <w:r w:rsidRPr="004E26ED">
        <w:rPr>
          <w:rFonts w:ascii="Arial" w:hAnsi="Arial" w:cs="Arial"/>
          <w:color w:val="000000"/>
          <w:sz w:val="16"/>
          <w:szCs w:val="16"/>
        </w:rPr>
        <w:t xml:space="preserve"> Budget Statements. Further details will be provided in the </w:t>
      </w:r>
      <w:r w:rsidR="0000369A">
        <w:rPr>
          <w:rFonts w:ascii="Arial" w:hAnsi="Arial" w:cs="Arial"/>
          <w:color w:val="000000"/>
          <w:sz w:val="16"/>
          <w:szCs w:val="16"/>
        </w:rPr>
        <w:t>Department’s</w:t>
      </w:r>
      <w:r w:rsidRPr="004E26ED">
        <w:rPr>
          <w:rFonts w:ascii="Arial" w:hAnsi="Arial" w:cs="Arial"/>
          <w:color w:val="000000"/>
          <w:sz w:val="16"/>
          <w:szCs w:val="16"/>
        </w:rPr>
        <w:t xml:space="preserve"> Corporate Plan 2023</w:t>
      </w:r>
      <w:r w:rsidRPr="00557DDF">
        <w:rPr>
          <w:rFonts w:ascii="Arial" w:hAnsi="Arial" w:cs="Arial"/>
          <w:sz w:val="16"/>
          <w:szCs w:val="16"/>
        </w:rPr>
        <w:t>–</w:t>
      </w:r>
      <w:r w:rsidRPr="004E26ED">
        <w:rPr>
          <w:rFonts w:ascii="Arial" w:hAnsi="Arial" w:cs="Arial"/>
          <w:color w:val="000000"/>
          <w:sz w:val="16"/>
          <w:szCs w:val="16"/>
        </w:rPr>
        <w:t>24.  </w:t>
      </w:r>
    </w:p>
    <w:p w14:paraId="3D4A3D0C" w14:textId="77777777" w:rsidR="00115843" w:rsidRDefault="00115843" w:rsidP="00115843">
      <w:pPr>
        <w:spacing w:after="0" w:line="240" w:lineRule="auto"/>
        <w:rPr>
          <w:rFonts w:ascii="Arial" w:hAnsi="Arial" w:cs="Arial"/>
          <w:sz w:val="16"/>
        </w:rPr>
      </w:pPr>
      <w:r>
        <w:rPr>
          <w:rFonts w:ascii="Arial" w:hAnsi="Arial" w:cs="Arial"/>
          <w:sz w:val="16"/>
        </w:rPr>
        <w:br w:type="page"/>
      </w:r>
    </w:p>
    <w:p w14:paraId="6414DBB6" w14:textId="77777777" w:rsidR="00115843" w:rsidRPr="00C000B8" w:rsidRDefault="00115843" w:rsidP="00115843">
      <w:pPr>
        <w:pStyle w:val="Heading3-ITRDCA"/>
      </w:pPr>
      <w:bookmarkStart w:id="30" w:name="_Toc99295951"/>
      <w:bookmarkStart w:id="31" w:name="_Toc117242350"/>
      <w:r w:rsidRPr="00C000B8">
        <w:lastRenderedPageBreak/>
        <w:t xml:space="preserve">2.4 </w:t>
      </w:r>
      <w:r w:rsidRPr="00C000B8">
        <w:tab/>
        <w:t>Budgeted expenses and performance for Outcome 4</w:t>
      </w:r>
      <w:bookmarkEnd w:id="30"/>
      <w:bookmarkEnd w:id="3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677"/>
      </w:tblGrid>
      <w:tr w:rsidR="00115843" w:rsidRPr="00C00405" w14:paraId="4D1FF6A8" w14:textId="77777777" w:rsidTr="00FB0D02">
        <w:tc>
          <w:tcPr>
            <w:tcW w:w="7677" w:type="dxa"/>
            <w:shd w:val="clear" w:color="auto" w:fill="E6E6E6"/>
          </w:tcPr>
          <w:p w14:paraId="0F3DB39B" w14:textId="77777777" w:rsidR="00115843" w:rsidRPr="00CD1CF1" w:rsidRDefault="00115843" w:rsidP="00FB0D02">
            <w:pPr>
              <w:pStyle w:val="TableColumnHeadingLeft"/>
              <w:rPr>
                <w:szCs w:val="19"/>
              </w:rPr>
            </w:pPr>
            <w:r w:rsidRPr="00CD1CF1">
              <w:rPr>
                <w:szCs w:val="19"/>
              </w:rPr>
              <w:t>Outcome 4: Good governance and service delivery in the Australian territories including through the maintenance and improvement of the laws and services for non-self-governing territories, and the overarching legislative framework for self-governing territories</w:t>
            </w:r>
          </w:p>
        </w:tc>
      </w:tr>
    </w:tbl>
    <w:p w14:paraId="5E467175" w14:textId="77777777" w:rsidR="00115843" w:rsidRPr="005E6F2B" w:rsidRDefault="00115843" w:rsidP="00115843">
      <w:pPr>
        <w:pStyle w:val="NoSpacing"/>
      </w:pPr>
    </w:p>
    <w:p w14:paraId="4F7B7AF5" w14:textId="77777777" w:rsidR="00115843" w:rsidRPr="00C00405" w:rsidRDefault="00115843" w:rsidP="00115843">
      <w:pPr>
        <w:pStyle w:val="Heading5"/>
        <w:rPr>
          <w:b/>
        </w:rPr>
      </w:pPr>
      <w:r w:rsidRPr="00C00405">
        <w:rPr>
          <w:b/>
        </w:rPr>
        <w:t>Budgeted expenses for Outcome 4</w:t>
      </w:r>
    </w:p>
    <w:p w14:paraId="4F28E098" w14:textId="77777777" w:rsidR="00115843" w:rsidRPr="00C141F6" w:rsidRDefault="00115843" w:rsidP="00115843">
      <w:r w:rsidRPr="00C141F6">
        <w:t>This table shows how much the Department intends to spend (on an accrual basis) on achieving the outcome, broken down by program, as well as by administered and departmental funding sources.</w:t>
      </w:r>
    </w:p>
    <w:p w14:paraId="6E3D0E05" w14:textId="77777777" w:rsidR="00115843" w:rsidRDefault="00115843" w:rsidP="00115843">
      <w:pPr>
        <w:pStyle w:val="TableHeading"/>
      </w:pPr>
      <w:r w:rsidRPr="00C141F6">
        <w:t>Table 2.</w:t>
      </w:r>
      <w:r>
        <w:t>4</w:t>
      </w:r>
      <w:r w:rsidRPr="00C141F6">
        <w:t>.1: Budgeted expenses for Outcome 4</w:t>
      </w:r>
    </w:p>
    <w:tbl>
      <w:tblPr>
        <w:tblW w:w="5000" w:type="pct"/>
        <w:tblLook w:val="04A0" w:firstRow="1" w:lastRow="0" w:firstColumn="1" w:lastColumn="0" w:noHBand="0" w:noVBand="1"/>
      </w:tblPr>
      <w:tblGrid>
        <w:gridCol w:w="3223"/>
        <w:gridCol w:w="17"/>
        <w:gridCol w:w="928"/>
        <w:gridCol w:w="8"/>
        <w:gridCol w:w="899"/>
        <w:gridCol w:w="879"/>
        <w:gridCol w:w="19"/>
        <w:gridCol w:w="831"/>
        <w:gridCol w:w="29"/>
        <w:gridCol w:w="868"/>
        <w:gridCol w:w="9"/>
      </w:tblGrid>
      <w:tr w:rsidR="00001811" w:rsidRPr="00001811" w14:paraId="401A78FC" w14:textId="77777777" w:rsidTr="00595948">
        <w:trPr>
          <w:trHeight w:val="204"/>
        </w:trPr>
        <w:tc>
          <w:tcPr>
            <w:tcW w:w="2101" w:type="pct"/>
            <w:gridSpan w:val="2"/>
            <w:tcBorders>
              <w:top w:val="single" w:sz="4" w:space="0" w:color="auto"/>
              <w:left w:val="nil"/>
              <w:bottom w:val="nil"/>
              <w:right w:val="nil"/>
            </w:tcBorders>
            <w:shd w:val="clear" w:color="auto" w:fill="auto"/>
            <w:noWrap/>
            <w:vAlign w:val="bottom"/>
            <w:hideMark/>
          </w:tcPr>
          <w:p w14:paraId="08956217" w14:textId="77777777" w:rsidR="00001811" w:rsidRPr="00001811" w:rsidRDefault="00001811" w:rsidP="00001811">
            <w:pPr>
              <w:spacing w:after="0" w:line="240" w:lineRule="auto"/>
              <w:rPr>
                <w:rFonts w:ascii="Arial" w:hAnsi="Arial" w:cs="Arial"/>
                <w:sz w:val="16"/>
                <w:szCs w:val="16"/>
              </w:rPr>
            </w:pPr>
            <w:r w:rsidRPr="00001811">
              <w:rPr>
                <w:rFonts w:ascii="Arial" w:hAnsi="Arial" w:cs="Arial"/>
                <w:sz w:val="16"/>
                <w:szCs w:val="16"/>
              </w:rPr>
              <w:t> </w:t>
            </w:r>
          </w:p>
        </w:tc>
        <w:tc>
          <w:tcPr>
            <w:tcW w:w="602" w:type="pct"/>
            <w:tcBorders>
              <w:top w:val="single" w:sz="4" w:space="0" w:color="auto"/>
              <w:left w:val="nil"/>
              <w:bottom w:val="nil"/>
              <w:right w:val="nil"/>
            </w:tcBorders>
            <w:shd w:val="clear" w:color="auto" w:fill="auto"/>
            <w:vAlign w:val="bottom"/>
            <w:hideMark/>
          </w:tcPr>
          <w:p w14:paraId="65E0B56A" w14:textId="77777777"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2022-23</w:t>
            </w:r>
            <w:r w:rsidRPr="00001811">
              <w:rPr>
                <w:rFonts w:ascii="Arial" w:hAnsi="Arial" w:cs="Arial"/>
                <w:sz w:val="16"/>
                <w:szCs w:val="16"/>
              </w:rPr>
              <w:br/>
              <w:t>Estimated  actual</w:t>
            </w:r>
            <w:r w:rsidRPr="00001811">
              <w:rPr>
                <w:rFonts w:ascii="Arial" w:hAnsi="Arial" w:cs="Arial"/>
                <w:sz w:val="16"/>
                <w:szCs w:val="16"/>
              </w:rPr>
              <w:br/>
              <w:t>$'000</w:t>
            </w:r>
          </w:p>
        </w:tc>
        <w:tc>
          <w:tcPr>
            <w:tcW w:w="588" w:type="pct"/>
            <w:gridSpan w:val="2"/>
            <w:tcBorders>
              <w:top w:val="single" w:sz="4" w:space="0" w:color="auto"/>
              <w:left w:val="nil"/>
              <w:bottom w:val="nil"/>
              <w:right w:val="nil"/>
            </w:tcBorders>
            <w:shd w:val="clear" w:color="000000" w:fill="E6E6E6"/>
            <w:vAlign w:val="bottom"/>
            <w:hideMark/>
          </w:tcPr>
          <w:p w14:paraId="789C9206" w14:textId="77777777"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2023-24</w:t>
            </w:r>
            <w:r w:rsidRPr="00001811">
              <w:rPr>
                <w:rFonts w:ascii="Arial" w:hAnsi="Arial" w:cs="Arial"/>
                <w:sz w:val="16"/>
                <w:szCs w:val="16"/>
              </w:rPr>
              <w:br/>
              <w:t xml:space="preserve"> Budget</w:t>
            </w:r>
            <w:r w:rsidRPr="00001811">
              <w:rPr>
                <w:rFonts w:ascii="Arial" w:hAnsi="Arial" w:cs="Arial"/>
                <w:sz w:val="16"/>
                <w:szCs w:val="16"/>
              </w:rPr>
              <w:br/>
              <w:t xml:space="preserve">                                      $'000</w:t>
            </w:r>
          </w:p>
        </w:tc>
        <w:tc>
          <w:tcPr>
            <w:tcW w:w="570" w:type="pct"/>
            <w:tcBorders>
              <w:top w:val="single" w:sz="4" w:space="0" w:color="auto"/>
              <w:left w:val="nil"/>
              <w:bottom w:val="nil"/>
              <w:right w:val="nil"/>
            </w:tcBorders>
            <w:shd w:val="clear" w:color="auto" w:fill="auto"/>
            <w:vAlign w:val="bottom"/>
            <w:hideMark/>
          </w:tcPr>
          <w:p w14:paraId="299AED50" w14:textId="77777777"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2024-25</w:t>
            </w:r>
            <w:r w:rsidRPr="00001811">
              <w:rPr>
                <w:rFonts w:ascii="Arial" w:hAnsi="Arial" w:cs="Arial"/>
                <w:sz w:val="16"/>
                <w:szCs w:val="16"/>
              </w:rPr>
              <w:br/>
              <w:t>Forward estimate</w:t>
            </w:r>
            <w:r w:rsidRPr="00001811">
              <w:rPr>
                <w:rFonts w:ascii="Arial" w:hAnsi="Arial" w:cs="Arial"/>
                <w:sz w:val="16"/>
                <w:szCs w:val="16"/>
              </w:rPr>
              <w:br/>
              <w:t>$'000</w:t>
            </w:r>
          </w:p>
        </w:tc>
        <w:tc>
          <w:tcPr>
            <w:tcW w:w="570" w:type="pct"/>
            <w:gridSpan w:val="3"/>
            <w:tcBorders>
              <w:top w:val="single" w:sz="4" w:space="0" w:color="auto"/>
              <w:left w:val="nil"/>
              <w:bottom w:val="nil"/>
              <w:right w:val="nil"/>
            </w:tcBorders>
            <w:shd w:val="clear" w:color="auto" w:fill="auto"/>
            <w:vAlign w:val="bottom"/>
            <w:hideMark/>
          </w:tcPr>
          <w:p w14:paraId="378ED6BA" w14:textId="77777777"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2025-26</w:t>
            </w:r>
            <w:r w:rsidRPr="00001811">
              <w:rPr>
                <w:rFonts w:ascii="Arial" w:hAnsi="Arial" w:cs="Arial"/>
                <w:sz w:val="16"/>
                <w:szCs w:val="16"/>
              </w:rPr>
              <w:br/>
              <w:t>Forward estimate</w:t>
            </w:r>
            <w:r w:rsidRPr="00001811">
              <w:rPr>
                <w:rFonts w:ascii="Arial" w:hAnsi="Arial" w:cs="Arial"/>
                <w:sz w:val="16"/>
                <w:szCs w:val="16"/>
              </w:rPr>
              <w:br/>
              <w:t>$'000</w:t>
            </w:r>
          </w:p>
        </w:tc>
        <w:tc>
          <w:tcPr>
            <w:tcW w:w="569" w:type="pct"/>
            <w:gridSpan w:val="2"/>
            <w:tcBorders>
              <w:top w:val="single" w:sz="4" w:space="0" w:color="auto"/>
              <w:left w:val="nil"/>
              <w:bottom w:val="nil"/>
              <w:right w:val="nil"/>
            </w:tcBorders>
            <w:shd w:val="clear" w:color="auto" w:fill="auto"/>
            <w:vAlign w:val="bottom"/>
            <w:hideMark/>
          </w:tcPr>
          <w:p w14:paraId="7DD06E0A" w14:textId="77777777"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2026-27</w:t>
            </w:r>
            <w:r w:rsidRPr="00001811">
              <w:rPr>
                <w:rFonts w:ascii="Arial" w:hAnsi="Arial" w:cs="Arial"/>
                <w:sz w:val="16"/>
                <w:szCs w:val="16"/>
              </w:rPr>
              <w:br/>
              <w:t>Forward estimate</w:t>
            </w:r>
            <w:r w:rsidRPr="00001811">
              <w:rPr>
                <w:rFonts w:ascii="Arial" w:hAnsi="Arial" w:cs="Arial"/>
                <w:sz w:val="16"/>
                <w:szCs w:val="16"/>
              </w:rPr>
              <w:br/>
              <w:t>$'000</w:t>
            </w:r>
          </w:p>
        </w:tc>
      </w:tr>
      <w:tr w:rsidR="00001811" w:rsidRPr="00001811" w14:paraId="4322E0D5" w14:textId="77777777" w:rsidTr="00595948">
        <w:trPr>
          <w:trHeight w:val="204"/>
        </w:trPr>
        <w:tc>
          <w:tcPr>
            <w:tcW w:w="2101" w:type="pct"/>
            <w:gridSpan w:val="2"/>
            <w:tcBorders>
              <w:top w:val="single" w:sz="4" w:space="0" w:color="auto"/>
              <w:left w:val="nil"/>
              <w:bottom w:val="single" w:sz="4" w:space="0" w:color="auto"/>
              <w:right w:val="nil"/>
            </w:tcBorders>
            <w:shd w:val="clear" w:color="000000" w:fill="E6E6E6"/>
            <w:noWrap/>
            <w:vAlign w:val="bottom"/>
            <w:hideMark/>
          </w:tcPr>
          <w:p w14:paraId="52A01F0E" w14:textId="77777777" w:rsidR="00001811" w:rsidRPr="00001811" w:rsidRDefault="00001811" w:rsidP="00001811">
            <w:pPr>
              <w:spacing w:after="0" w:line="240" w:lineRule="auto"/>
              <w:rPr>
                <w:rFonts w:ascii="Arial" w:hAnsi="Arial" w:cs="Arial"/>
                <w:b/>
                <w:bCs/>
                <w:sz w:val="16"/>
                <w:szCs w:val="16"/>
              </w:rPr>
            </w:pPr>
            <w:r w:rsidRPr="00001811">
              <w:rPr>
                <w:rFonts w:ascii="Arial" w:hAnsi="Arial" w:cs="Arial"/>
                <w:b/>
                <w:bCs/>
                <w:sz w:val="16"/>
                <w:szCs w:val="16"/>
              </w:rPr>
              <w:t>Program 4.1: Services to territories</w:t>
            </w:r>
          </w:p>
        </w:tc>
        <w:tc>
          <w:tcPr>
            <w:tcW w:w="602" w:type="pct"/>
            <w:tcBorders>
              <w:top w:val="single" w:sz="4" w:space="0" w:color="auto"/>
              <w:left w:val="nil"/>
              <w:bottom w:val="single" w:sz="4" w:space="0" w:color="auto"/>
              <w:right w:val="nil"/>
            </w:tcBorders>
            <w:shd w:val="clear" w:color="000000" w:fill="E6E6E6"/>
            <w:noWrap/>
            <w:vAlign w:val="bottom"/>
            <w:hideMark/>
          </w:tcPr>
          <w:p w14:paraId="63D44F2D" w14:textId="77777777"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 </w:t>
            </w:r>
          </w:p>
        </w:tc>
        <w:tc>
          <w:tcPr>
            <w:tcW w:w="588" w:type="pct"/>
            <w:gridSpan w:val="2"/>
            <w:tcBorders>
              <w:top w:val="single" w:sz="4" w:space="0" w:color="auto"/>
              <w:left w:val="nil"/>
              <w:bottom w:val="single" w:sz="4" w:space="0" w:color="auto"/>
              <w:right w:val="nil"/>
            </w:tcBorders>
            <w:shd w:val="clear" w:color="000000" w:fill="E6E6E6"/>
            <w:noWrap/>
            <w:vAlign w:val="bottom"/>
            <w:hideMark/>
          </w:tcPr>
          <w:p w14:paraId="62EE4B2F" w14:textId="77777777"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 </w:t>
            </w:r>
          </w:p>
        </w:tc>
        <w:tc>
          <w:tcPr>
            <w:tcW w:w="570" w:type="pct"/>
            <w:tcBorders>
              <w:top w:val="single" w:sz="4" w:space="0" w:color="auto"/>
              <w:left w:val="nil"/>
              <w:bottom w:val="single" w:sz="4" w:space="0" w:color="auto"/>
              <w:right w:val="nil"/>
            </w:tcBorders>
            <w:shd w:val="clear" w:color="000000" w:fill="E6E6E6"/>
            <w:noWrap/>
            <w:vAlign w:val="bottom"/>
            <w:hideMark/>
          </w:tcPr>
          <w:p w14:paraId="6AC7421B" w14:textId="77777777"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 </w:t>
            </w:r>
          </w:p>
        </w:tc>
        <w:tc>
          <w:tcPr>
            <w:tcW w:w="570" w:type="pct"/>
            <w:gridSpan w:val="3"/>
            <w:tcBorders>
              <w:top w:val="single" w:sz="4" w:space="0" w:color="auto"/>
              <w:left w:val="nil"/>
              <w:bottom w:val="single" w:sz="4" w:space="0" w:color="auto"/>
              <w:right w:val="nil"/>
            </w:tcBorders>
            <w:shd w:val="clear" w:color="000000" w:fill="E6E6E6"/>
            <w:noWrap/>
            <w:vAlign w:val="bottom"/>
            <w:hideMark/>
          </w:tcPr>
          <w:p w14:paraId="7940058F" w14:textId="77777777"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 </w:t>
            </w:r>
          </w:p>
        </w:tc>
        <w:tc>
          <w:tcPr>
            <w:tcW w:w="569" w:type="pct"/>
            <w:gridSpan w:val="2"/>
            <w:tcBorders>
              <w:top w:val="single" w:sz="4" w:space="0" w:color="auto"/>
              <w:left w:val="nil"/>
              <w:bottom w:val="single" w:sz="4" w:space="0" w:color="auto"/>
              <w:right w:val="nil"/>
            </w:tcBorders>
            <w:shd w:val="clear" w:color="000000" w:fill="E6E6E6"/>
            <w:noWrap/>
            <w:vAlign w:val="bottom"/>
            <w:hideMark/>
          </w:tcPr>
          <w:p w14:paraId="2822339D" w14:textId="77777777"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 </w:t>
            </w:r>
          </w:p>
        </w:tc>
      </w:tr>
      <w:tr w:rsidR="00001811" w:rsidRPr="00001811" w14:paraId="6199D402" w14:textId="77777777" w:rsidTr="00595948">
        <w:trPr>
          <w:trHeight w:val="204"/>
        </w:trPr>
        <w:tc>
          <w:tcPr>
            <w:tcW w:w="2101" w:type="pct"/>
            <w:gridSpan w:val="2"/>
            <w:tcBorders>
              <w:top w:val="nil"/>
              <w:left w:val="nil"/>
              <w:bottom w:val="nil"/>
              <w:right w:val="nil"/>
            </w:tcBorders>
            <w:shd w:val="clear" w:color="auto" w:fill="auto"/>
            <w:noWrap/>
            <w:vAlign w:val="bottom"/>
            <w:hideMark/>
          </w:tcPr>
          <w:p w14:paraId="2C181A34" w14:textId="77777777" w:rsidR="00001811" w:rsidRPr="00001811" w:rsidRDefault="00001811" w:rsidP="00001811">
            <w:pPr>
              <w:spacing w:after="0" w:line="240" w:lineRule="auto"/>
              <w:rPr>
                <w:rFonts w:ascii="Arial" w:hAnsi="Arial" w:cs="Arial"/>
                <w:sz w:val="16"/>
                <w:szCs w:val="16"/>
              </w:rPr>
            </w:pPr>
            <w:r w:rsidRPr="00001811">
              <w:rPr>
                <w:rFonts w:ascii="Arial" w:hAnsi="Arial" w:cs="Arial"/>
                <w:sz w:val="16"/>
                <w:szCs w:val="16"/>
              </w:rPr>
              <w:t>Administered expenses</w:t>
            </w:r>
          </w:p>
        </w:tc>
        <w:tc>
          <w:tcPr>
            <w:tcW w:w="602" w:type="pct"/>
            <w:tcBorders>
              <w:top w:val="nil"/>
              <w:left w:val="nil"/>
              <w:bottom w:val="nil"/>
              <w:right w:val="nil"/>
            </w:tcBorders>
            <w:shd w:val="clear" w:color="auto" w:fill="auto"/>
            <w:noWrap/>
            <w:vAlign w:val="bottom"/>
            <w:hideMark/>
          </w:tcPr>
          <w:p w14:paraId="33B21A07" w14:textId="77777777" w:rsidR="00001811" w:rsidRPr="00001811" w:rsidRDefault="00001811" w:rsidP="00001811">
            <w:pPr>
              <w:spacing w:after="0" w:line="240" w:lineRule="auto"/>
              <w:jc w:val="right"/>
              <w:rPr>
                <w:rFonts w:ascii="Arial" w:hAnsi="Arial" w:cs="Arial"/>
                <w:sz w:val="16"/>
                <w:szCs w:val="16"/>
              </w:rPr>
            </w:pPr>
          </w:p>
        </w:tc>
        <w:tc>
          <w:tcPr>
            <w:tcW w:w="588" w:type="pct"/>
            <w:gridSpan w:val="2"/>
            <w:tcBorders>
              <w:top w:val="nil"/>
              <w:left w:val="nil"/>
              <w:bottom w:val="nil"/>
              <w:right w:val="nil"/>
            </w:tcBorders>
            <w:shd w:val="clear" w:color="000000" w:fill="E6E6E6"/>
            <w:noWrap/>
            <w:vAlign w:val="bottom"/>
            <w:hideMark/>
          </w:tcPr>
          <w:p w14:paraId="529D4FEA" w14:textId="3627BB07" w:rsidR="00001811" w:rsidRPr="00001811" w:rsidRDefault="00001811" w:rsidP="00001811">
            <w:pPr>
              <w:spacing w:after="0" w:line="240" w:lineRule="auto"/>
              <w:jc w:val="right"/>
              <w:rPr>
                <w:rFonts w:ascii="Arial" w:hAnsi="Arial" w:cs="Arial"/>
                <w:sz w:val="16"/>
                <w:szCs w:val="16"/>
              </w:rPr>
            </w:pPr>
          </w:p>
        </w:tc>
        <w:tc>
          <w:tcPr>
            <w:tcW w:w="570" w:type="pct"/>
            <w:tcBorders>
              <w:top w:val="nil"/>
              <w:left w:val="nil"/>
              <w:bottom w:val="nil"/>
              <w:right w:val="nil"/>
            </w:tcBorders>
            <w:shd w:val="clear" w:color="auto" w:fill="auto"/>
            <w:noWrap/>
            <w:vAlign w:val="bottom"/>
            <w:hideMark/>
          </w:tcPr>
          <w:p w14:paraId="780FA7E2" w14:textId="77777777" w:rsidR="00001811" w:rsidRPr="00001811" w:rsidRDefault="00001811" w:rsidP="00001811">
            <w:pPr>
              <w:spacing w:after="0" w:line="240" w:lineRule="auto"/>
              <w:jc w:val="right"/>
              <w:rPr>
                <w:rFonts w:ascii="Arial" w:hAnsi="Arial" w:cs="Arial"/>
                <w:sz w:val="16"/>
                <w:szCs w:val="16"/>
              </w:rPr>
            </w:pPr>
          </w:p>
        </w:tc>
        <w:tc>
          <w:tcPr>
            <w:tcW w:w="570" w:type="pct"/>
            <w:gridSpan w:val="3"/>
            <w:tcBorders>
              <w:top w:val="nil"/>
              <w:left w:val="nil"/>
              <w:bottom w:val="nil"/>
              <w:right w:val="nil"/>
            </w:tcBorders>
            <w:shd w:val="clear" w:color="auto" w:fill="auto"/>
            <w:noWrap/>
            <w:vAlign w:val="bottom"/>
            <w:hideMark/>
          </w:tcPr>
          <w:p w14:paraId="0BA88E2D" w14:textId="77777777" w:rsidR="00001811" w:rsidRPr="00001811" w:rsidRDefault="00001811" w:rsidP="00001811">
            <w:pPr>
              <w:spacing w:after="0" w:line="240" w:lineRule="auto"/>
              <w:jc w:val="right"/>
              <w:rPr>
                <w:rFonts w:ascii="Times New Roman" w:hAnsi="Times New Roman"/>
              </w:rPr>
            </w:pPr>
          </w:p>
        </w:tc>
        <w:tc>
          <w:tcPr>
            <w:tcW w:w="569" w:type="pct"/>
            <w:gridSpan w:val="2"/>
            <w:tcBorders>
              <w:top w:val="nil"/>
              <w:left w:val="nil"/>
              <w:bottom w:val="nil"/>
              <w:right w:val="nil"/>
            </w:tcBorders>
            <w:shd w:val="clear" w:color="auto" w:fill="auto"/>
            <w:noWrap/>
            <w:vAlign w:val="bottom"/>
            <w:hideMark/>
          </w:tcPr>
          <w:p w14:paraId="5C631E9A" w14:textId="77777777" w:rsidR="00001811" w:rsidRPr="00001811" w:rsidRDefault="00001811" w:rsidP="00001811">
            <w:pPr>
              <w:spacing w:after="0" w:line="240" w:lineRule="auto"/>
              <w:jc w:val="right"/>
              <w:rPr>
                <w:rFonts w:ascii="Times New Roman" w:hAnsi="Times New Roman"/>
              </w:rPr>
            </w:pPr>
          </w:p>
        </w:tc>
      </w:tr>
      <w:tr w:rsidR="00001811" w:rsidRPr="00001811" w14:paraId="27284E51" w14:textId="77777777" w:rsidTr="00595948">
        <w:trPr>
          <w:trHeight w:val="204"/>
        </w:trPr>
        <w:tc>
          <w:tcPr>
            <w:tcW w:w="2101" w:type="pct"/>
            <w:gridSpan w:val="2"/>
            <w:tcBorders>
              <w:top w:val="nil"/>
              <w:left w:val="nil"/>
              <w:bottom w:val="nil"/>
              <w:right w:val="nil"/>
            </w:tcBorders>
            <w:shd w:val="clear" w:color="auto" w:fill="auto"/>
            <w:vAlign w:val="bottom"/>
            <w:hideMark/>
          </w:tcPr>
          <w:p w14:paraId="6567374D" w14:textId="0B3D5F2C" w:rsidR="00001811" w:rsidRPr="00001811" w:rsidRDefault="00001811" w:rsidP="00595948">
            <w:pPr>
              <w:spacing w:after="0" w:line="240" w:lineRule="auto"/>
              <w:ind w:left="113"/>
              <w:rPr>
                <w:rFonts w:ascii="Arial" w:hAnsi="Arial" w:cs="Arial"/>
                <w:sz w:val="16"/>
                <w:szCs w:val="16"/>
              </w:rPr>
            </w:pPr>
            <w:r w:rsidRPr="00001811">
              <w:rPr>
                <w:rFonts w:ascii="Arial" w:hAnsi="Arial" w:cs="Arial"/>
                <w:sz w:val="16"/>
                <w:szCs w:val="16"/>
              </w:rPr>
              <w:t>Ordinary annual services (Appropriation Bill No. 1)</w:t>
            </w:r>
          </w:p>
        </w:tc>
        <w:tc>
          <w:tcPr>
            <w:tcW w:w="602" w:type="pct"/>
            <w:tcBorders>
              <w:top w:val="nil"/>
              <w:left w:val="nil"/>
              <w:bottom w:val="nil"/>
              <w:right w:val="nil"/>
            </w:tcBorders>
            <w:shd w:val="clear" w:color="auto" w:fill="auto"/>
            <w:noWrap/>
            <w:vAlign w:val="bottom"/>
            <w:hideMark/>
          </w:tcPr>
          <w:p w14:paraId="43C1785D" w14:textId="2D3EDE00"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246,767</w:t>
            </w:r>
          </w:p>
        </w:tc>
        <w:tc>
          <w:tcPr>
            <w:tcW w:w="588" w:type="pct"/>
            <w:gridSpan w:val="2"/>
            <w:tcBorders>
              <w:top w:val="nil"/>
              <w:left w:val="nil"/>
              <w:bottom w:val="nil"/>
              <w:right w:val="nil"/>
            </w:tcBorders>
            <w:shd w:val="clear" w:color="000000" w:fill="E6E6E6"/>
            <w:noWrap/>
            <w:vAlign w:val="bottom"/>
            <w:hideMark/>
          </w:tcPr>
          <w:p w14:paraId="70335722" w14:textId="5FD77366"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192,954</w:t>
            </w:r>
          </w:p>
        </w:tc>
        <w:tc>
          <w:tcPr>
            <w:tcW w:w="570" w:type="pct"/>
            <w:tcBorders>
              <w:top w:val="nil"/>
              <w:left w:val="nil"/>
              <w:bottom w:val="nil"/>
              <w:right w:val="nil"/>
            </w:tcBorders>
            <w:shd w:val="clear" w:color="auto" w:fill="auto"/>
            <w:noWrap/>
            <w:vAlign w:val="bottom"/>
            <w:hideMark/>
          </w:tcPr>
          <w:p w14:paraId="7CA29AE6" w14:textId="6773023E"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193,724</w:t>
            </w:r>
          </w:p>
        </w:tc>
        <w:tc>
          <w:tcPr>
            <w:tcW w:w="570" w:type="pct"/>
            <w:gridSpan w:val="3"/>
            <w:tcBorders>
              <w:top w:val="nil"/>
              <w:left w:val="nil"/>
              <w:bottom w:val="nil"/>
              <w:right w:val="nil"/>
            </w:tcBorders>
            <w:shd w:val="clear" w:color="auto" w:fill="auto"/>
            <w:noWrap/>
            <w:vAlign w:val="bottom"/>
            <w:hideMark/>
          </w:tcPr>
          <w:p w14:paraId="051D6AF6" w14:textId="4229FDD5"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186,109</w:t>
            </w:r>
          </w:p>
        </w:tc>
        <w:tc>
          <w:tcPr>
            <w:tcW w:w="569" w:type="pct"/>
            <w:gridSpan w:val="2"/>
            <w:tcBorders>
              <w:top w:val="nil"/>
              <w:left w:val="nil"/>
              <w:bottom w:val="nil"/>
              <w:right w:val="nil"/>
            </w:tcBorders>
            <w:shd w:val="clear" w:color="auto" w:fill="auto"/>
            <w:noWrap/>
            <w:vAlign w:val="bottom"/>
            <w:hideMark/>
          </w:tcPr>
          <w:p w14:paraId="549D0727" w14:textId="5FFBB123"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170,193</w:t>
            </w:r>
          </w:p>
        </w:tc>
      </w:tr>
      <w:tr w:rsidR="00001811" w:rsidRPr="00001811" w14:paraId="0935D5CF" w14:textId="77777777" w:rsidTr="00595948">
        <w:trPr>
          <w:trHeight w:val="204"/>
        </w:trPr>
        <w:tc>
          <w:tcPr>
            <w:tcW w:w="2101" w:type="pct"/>
            <w:gridSpan w:val="2"/>
            <w:tcBorders>
              <w:top w:val="nil"/>
              <w:left w:val="nil"/>
              <w:bottom w:val="nil"/>
              <w:right w:val="nil"/>
            </w:tcBorders>
            <w:shd w:val="clear" w:color="auto" w:fill="auto"/>
            <w:noWrap/>
            <w:vAlign w:val="bottom"/>
            <w:hideMark/>
          </w:tcPr>
          <w:p w14:paraId="50514986" w14:textId="77777777" w:rsidR="00001811" w:rsidRPr="00001811" w:rsidRDefault="00001811" w:rsidP="00595948">
            <w:pPr>
              <w:spacing w:after="0" w:line="240" w:lineRule="auto"/>
              <w:ind w:left="113"/>
              <w:rPr>
                <w:rFonts w:ascii="Arial" w:hAnsi="Arial" w:cs="Arial"/>
                <w:sz w:val="16"/>
                <w:szCs w:val="16"/>
              </w:rPr>
            </w:pPr>
            <w:r w:rsidRPr="00001811">
              <w:rPr>
                <w:rFonts w:ascii="Arial" w:hAnsi="Arial" w:cs="Arial"/>
                <w:sz w:val="16"/>
                <w:szCs w:val="16"/>
              </w:rPr>
              <w:t>Special Accounts</w:t>
            </w:r>
          </w:p>
        </w:tc>
        <w:tc>
          <w:tcPr>
            <w:tcW w:w="602" w:type="pct"/>
            <w:tcBorders>
              <w:top w:val="nil"/>
              <w:left w:val="nil"/>
              <w:bottom w:val="nil"/>
              <w:right w:val="nil"/>
            </w:tcBorders>
            <w:shd w:val="clear" w:color="auto" w:fill="auto"/>
            <w:noWrap/>
            <w:vAlign w:val="bottom"/>
            <w:hideMark/>
          </w:tcPr>
          <w:p w14:paraId="597E7A30" w14:textId="77777777" w:rsidR="00001811" w:rsidRPr="00001811" w:rsidRDefault="00001811" w:rsidP="00001811">
            <w:pPr>
              <w:spacing w:after="0" w:line="240" w:lineRule="auto"/>
              <w:ind w:firstLineChars="100" w:firstLine="160"/>
              <w:jc w:val="right"/>
              <w:rPr>
                <w:rFonts w:ascii="Arial" w:hAnsi="Arial" w:cs="Arial"/>
                <w:sz w:val="16"/>
                <w:szCs w:val="16"/>
              </w:rPr>
            </w:pPr>
          </w:p>
        </w:tc>
        <w:tc>
          <w:tcPr>
            <w:tcW w:w="588" w:type="pct"/>
            <w:gridSpan w:val="2"/>
            <w:tcBorders>
              <w:top w:val="nil"/>
              <w:left w:val="nil"/>
              <w:bottom w:val="nil"/>
              <w:right w:val="nil"/>
            </w:tcBorders>
            <w:shd w:val="clear" w:color="000000" w:fill="E6E6E6"/>
            <w:noWrap/>
            <w:vAlign w:val="bottom"/>
            <w:hideMark/>
          </w:tcPr>
          <w:p w14:paraId="64225B7A" w14:textId="55C786F9" w:rsidR="00001811" w:rsidRPr="00001811" w:rsidRDefault="00001811" w:rsidP="00001811">
            <w:pPr>
              <w:spacing w:after="0" w:line="240" w:lineRule="auto"/>
              <w:jc w:val="right"/>
              <w:rPr>
                <w:rFonts w:ascii="Arial" w:hAnsi="Arial" w:cs="Arial"/>
                <w:sz w:val="16"/>
                <w:szCs w:val="16"/>
              </w:rPr>
            </w:pPr>
          </w:p>
        </w:tc>
        <w:tc>
          <w:tcPr>
            <w:tcW w:w="570" w:type="pct"/>
            <w:tcBorders>
              <w:top w:val="nil"/>
              <w:left w:val="nil"/>
              <w:bottom w:val="nil"/>
              <w:right w:val="nil"/>
            </w:tcBorders>
            <w:shd w:val="clear" w:color="auto" w:fill="auto"/>
            <w:noWrap/>
            <w:vAlign w:val="bottom"/>
            <w:hideMark/>
          </w:tcPr>
          <w:p w14:paraId="151C4192" w14:textId="77777777" w:rsidR="00001811" w:rsidRPr="00001811" w:rsidRDefault="00001811" w:rsidP="00001811">
            <w:pPr>
              <w:spacing w:after="0" w:line="240" w:lineRule="auto"/>
              <w:jc w:val="right"/>
              <w:rPr>
                <w:rFonts w:ascii="Arial" w:hAnsi="Arial" w:cs="Arial"/>
                <w:sz w:val="16"/>
                <w:szCs w:val="16"/>
              </w:rPr>
            </w:pPr>
          </w:p>
        </w:tc>
        <w:tc>
          <w:tcPr>
            <w:tcW w:w="570" w:type="pct"/>
            <w:gridSpan w:val="3"/>
            <w:tcBorders>
              <w:top w:val="nil"/>
              <w:left w:val="nil"/>
              <w:bottom w:val="nil"/>
              <w:right w:val="nil"/>
            </w:tcBorders>
            <w:shd w:val="clear" w:color="auto" w:fill="auto"/>
            <w:noWrap/>
            <w:vAlign w:val="bottom"/>
            <w:hideMark/>
          </w:tcPr>
          <w:p w14:paraId="780C473E" w14:textId="77777777" w:rsidR="00001811" w:rsidRPr="00001811" w:rsidRDefault="00001811" w:rsidP="00001811">
            <w:pPr>
              <w:spacing w:after="0" w:line="240" w:lineRule="auto"/>
              <w:jc w:val="right"/>
              <w:rPr>
                <w:rFonts w:ascii="Times New Roman" w:hAnsi="Times New Roman"/>
              </w:rPr>
            </w:pPr>
          </w:p>
        </w:tc>
        <w:tc>
          <w:tcPr>
            <w:tcW w:w="569" w:type="pct"/>
            <w:gridSpan w:val="2"/>
            <w:tcBorders>
              <w:top w:val="nil"/>
              <w:left w:val="nil"/>
              <w:bottom w:val="nil"/>
              <w:right w:val="nil"/>
            </w:tcBorders>
            <w:shd w:val="clear" w:color="auto" w:fill="auto"/>
            <w:noWrap/>
            <w:vAlign w:val="bottom"/>
            <w:hideMark/>
          </w:tcPr>
          <w:p w14:paraId="0A160120" w14:textId="77777777" w:rsidR="00001811" w:rsidRPr="00001811" w:rsidRDefault="00001811" w:rsidP="00001811">
            <w:pPr>
              <w:spacing w:after="0" w:line="240" w:lineRule="auto"/>
              <w:jc w:val="right"/>
              <w:rPr>
                <w:rFonts w:ascii="Times New Roman" w:hAnsi="Times New Roman"/>
              </w:rPr>
            </w:pPr>
          </w:p>
        </w:tc>
      </w:tr>
      <w:tr w:rsidR="00001811" w:rsidRPr="00001811" w14:paraId="56C35B5E" w14:textId="77777777" w:rsidTr="00595948">
        <w:trPr>
          <w:trHeight w:val="204"/>
        </w:trPr>
        <w:tc>
          <w:tcPr>
            <w:tcW w:w="2101" w:type="pct"/>
            <w:gridSpan w:val="2"/>
            <w:tcBorders>
              <w:top w:val="nil"/>
              <w:left w:val="nil"/>
              <w:bottom w:val="nil"/>
              <w:right w:val="nil"/>
            </w:tcBorders>
            <w:shd w:val="clear" w:color="auto" w:fill="auto"/>
            <w:vAlign w:val="bottom"/>
            <w:hideMark/>
          </w:tcPr>
          <w:p w14:paraId="71582DFA" w14:textId="77777777" w:rsidR="00001811" w:rsidRPr="00001811" w:rsidRDefault="00001811" w:rsidP="00595948">
            <w:pPr>
              <w:spacing w:after="0" w:line="240" w:lineRule="auto"/>
              <w:ind w:left="227"/>
              <w:rPr>
                <w:rFonts w:ascii="Arial" w:hAnsi="Arial" w:cs="Arial"/>
                <w:sz w:val="16"/>
                <w:szCs w:val="16"/>
              </w:rPr>
            </w:pPr>
            <w:r w:rsidRPr="00001811">
              <w:rPr>
                <w:rFonts w:ascii="Arial" w:hAnsi="Arial" w:cs="Arial"/>
                <w:sz w:val="16"/>
                <w:szCs w:val="16"/>
              </w:rPr>
              <w:t>Christmas Island Phosphate Mining Rehabilitation Special Account 2016</w:t>
            </w:r>
          </w:p>
        </w:tc>
        <w:tc>
          <w:tcPr>
            <w:tcW w:w="602" w:type="pct"/>
            <w:tcBorders>
              <w:top w:val="nil"/>
              <w:left w:val="nil"/>
              <w:bottom w:val="nil"/>
              <w:right w:val="nil"/>
            </w:tcBorders>
            <w:shd w:val="clear" w:color="auto" w:fill="auto"/>
            <w:noWrap/>
            <w:vAlign w:val="bottom"/>
            <w:hideMark/>
          </w:tcPr>
          <w:p w14:paraId="5EE8D078" w14:textId="6291D094"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1,200</w:t>
            </w:r>
          </w:p>
        </w:tc>
        <w:tc>
          <w:tcPr>
            <w:tcW w:w="588" w:type="pct"/>
            <w:gridSpan w:val="2"/>
            <w:tcBorders>
              <w:top w:val="nil"/>
              <w:left w:val="nil"/>
              <w:bottom w:val="nil"/>
              <w:right w:val="nil"/>
            </w:tcBorders>
            <w:shd w:val="clear" w:color="000000" w:fill="E6E6E6"/>
            <w:noWrap/>
            <w:vAlign w:val="bottom"/>
            <w:hideMark/>
          </w:tcPr>
          <w:p w14:paraId="24928727" w14:textId="0EFB9A9B"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1,200</w:t>
            </w:r>
          </w:p>
        </w:tc>
        <w:tc>
          <w:tcPr>
            <w:tcW w:w="570" w:type="pct"/>
            <w:tcBorders>
              <w:top w:val="nil"/>
              <w:left w:val="nil"/>
              <w:bottom w:val="nil"/>
              <w:right w:val="nil"/>
            </w:tcBorders>
            <w:shd w:val="clear" w:color="auto" w:fill="auto"/>
            <w:noWrap/>
            <w:vAlign w:val="bottom"/>
            <w:hideMark/>
          </w:tcPr>
          <w:p w14:paraId="2457AACD" w14:textId="6566E1CE"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1,200</w:t>
            </w:r>
          </w:p>
        </w:tc>
        <w:tc>
          <w:tcPr>
            <w:tcW w:w="570" w:type="pct"/>
            <w:gridSpan w:val="3"/>
            <w:tcBorders>
              <w:top w:val="nil"/>
              <w:left w:val="nil"/>
              <w:bottom w:val="nil"/>
              <w:right w:val="nil"/>
            </w:tcBorders>
            <w:shd w:val="clear" w:color="auto" w:fill="auto"/>
            <w:noWrap/>
            <w:vAlign w:val="bottom"/>
            <w:hideMark/>
          </w:tcPr>
          <w:p w14:paraId="524046D3" w14:textId="36F19033"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1,200</w:t>
            </w:r>
          </w:p>
        </w:tc>
        <w:tc>
          <w:tcPr>
            <w:tcW w:w="569" w:type="pct"/>
            <w:gridSpan w:val="2"/>
            <w:tcBorders>
              <w:top w:val="nil"/>
              <w:left w:val="nil"/>
              <w:bottom w:val="nil"/>
              <w:right w:val="nil"/>
            </w:tcBorders>
            <w:shd w:val="clear" w:color="auto" w:fill="auto"/>
            <w:noWrap/>
            <w:vAlign w:val="bottom"/>
            <w:hideMark/>
          </w:tcPr>
          <w:p w14:paraId="06E9EA04" w14:textId="6C35D1BC"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1,200</w:t>
            </w:r>
          </w:p>
        </w:tc>
      </w:tr>
      <w:tr w:rsidR="00001811" w:rsidRPr="00001811" w14:paraId="6CC483EC" w14:textId="77777777" w:rsidTr="00595948">
        <w:trPr>
          <w:trHeight w:val="204"/>
        </w:trPr>
        <w:tc>
          <w:tcPr>
            <w:tcW w:w="2101" w:type="pct"/>
            <w:gridSpan w:val="2"/>
            <w:tcBorders>
              <w:top w:val="nil"/>
              <w:left w:val="nil"/>
              <w:bottom w:val="nil"/>
              <w:right w:val="nil"/>
            </w:tcBorders>
            <w:shd w:val="clear" w:color="auto" w:fill="auto"/>
            <w:vAlign w:val="bottom"/>
            <w:hideMark/>
          </w:tcPr>
          <w:p w14:paraId="1F94FCAB" w14:textId="77777777" w:rsidR="00001811" w:rsidRPr="00001811" w:rsidRDefault="00001811" w:rsidP="00595948">
            <w:pPr>
              <w:spacing w:after="0" w:line="240" w:lineRule="auto"/>
              <w:ind w:left="227"/>
              <w:rPr>
                <w:rFonts w:ascii="Arial" w:hAnsi="Arial" w:cs="Arial"/>
                <w:sz w:val="16"/>
                <w:szCs w:val="16"/>
              </w:rPr>
            </w:pPr>
            <w:r w:rsidRPr="00001811">
              <w:rPr>
                <w:rFonts w:ascii="Arial" w:hAnsi="Arial" w:cs="Arial"/>
                <w:sz w:val="16"/>
                <w:szCs w:val="16"/>
              </w:rPr>
              <w:t>Indian Ocean Territories Special Account 2014</w:t>
            </w:r>
          </w:p>
        </w:tc>
        <w:tc>
          <w:tcPr>
            <w:tcW w:w="602" w:type="pct"/>
            <w:tcBorders>
              <w:top w:val="nil"/>
              <w:left w:val="nil"/>
              <w:bottom w:val="nil"/>
              <w:right w:val="nil"/>
            </w:tcBorders>
            <w:shd w:val="clear" w:color="auto" w:fill="auto"/>
            <w:noWrap/>
            <w:vAlign w:val="bottom"/>
            <w:hideMark/>
          </w:tcPr>
          <w:p w14:paraId="31ADE598" w14:textId="67BC1800"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17,515</w:t>
            </w:r>
          </w:p>
        </w:tc>
        <w:tc>
          <w:tcPr>
            <w:tcW w:w="588" w:type="pct"/>
            <w:gridSpan w:val="2"/>
            <w:tcBorders>
              <w:top w:val="nil"/>
              <w:left w:val="nil"/>
              <w:bottom w:val="nil"/>
              <w:right w:val="nil"/>
            </w:tcBorders>
            <w:shd w:val="clear" w:color="000000" w:fill="E6E6E6"/>
            <w:noWrap/>
            <w:vAlign w:val="bottom"/>
            <w:hideMark/>
          </w:tcPr>
          <w:p w14:paraId="774DB7E8" w14:textId="35F197D6"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17,769</w:t>
            </w:r>
          </w:p>
        </w:tc>
        <w:tc>
          <w:tcPr>
            <w:tcW w:w="570" w:type="pct"/>
            <w:tcBorders>
              <w:top w:val="nil"/>
              <w:left w:val="nil"/>
              <w:bottom w:val="nil"/>
              <w:right w:val="nil"/>
            </w:tcBorders>
            <w:shd w:val="clear" w:color="auto" w:fill="auto"/>
            <w:noWrap/>
            <w:vAlign w:val="bottom"/>
            <w:hideMark/>
          </w:tcPr>
          <w:p w14:paraId="7B952841" w14:textId="105AAC6F"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17,915</w:t>
            </w:r>
          </w:p>
        </w:tc>
        <w:tc>
          <w:tcPr>
            <w:tcW w:w="570" w:type="pct"/>
            <w:gridSpan w:val="3"/>
            <w:tcBorders>
              <w:top w:val="nil"/>
              <w:left w:val="nil"/>
              <w:bottom w:val="nil"/>
              <w:right w:val="nil"/>
            </w:tcBorders>
            <w:shd w:val="clear" w:color="auto" w:fill="auto"/>
            <w:noWrap/>
            <w:vAlign w:val="bottom"/>
            <w:hideMark/>
          </w:tcPr>
          <w:p w14:paraId="243631E3" w14:textId="0195E0F1"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18,454</w:t>
            </w:r>
          </w:p>
        </w:tc>
        <w:tc>
          <w:tcPr>
            <w:tcW w:w="569" w:type="pct"/>
            <w:gridSpan w:val="2"/>
            <w:tcBorders>
              <w:top w:val="nil"/>
              <w:left w:val="nil"/>
              <w:bottom w:val="nil"/>
              <w:right w:val="nil"/>
            </w:tcBorders>
            <w:shd w:val="clear" w:color="auto" w:fill="auto"/>
            <w:noWrap/>
            <w:vAlign w:val="bottom"/>
            <w:hideMark/>
          </w:tcPr>
          <w:p w14:paraId="4E249713" w14:textId="6DE31D05"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18,454</w:t>
            </w:r>
          </w:p>
        </w:tc>
      </w:tr>
      <w:tr w:rsidR="00001811" w:rsidRPr="00001811" w14:paraId="1A2E360D" w14:textId="77777777" w:rsidTr="00595948">
        <w:trPr>
          <w:trHeight w:val="204"/>
        </w:trPr>
        <w:tc>
          <w:tcPr>
            <w:tcW w:w="2101" w:type="pct"/>
            <w:gridSpan w:val="2"/>
            <w:tcBorders>
              <w:top w:val="nil"/>
              <w:left w:val="nil"/>
              <w:bottom w:val="nil"/>
              <w:right w:val="nil"/>
            </w:tcBorders>
            <w:shd w:val="clear" w:color="auto" w:fill="auto"/>
            <w:vAlign w:val="bottom"/>
            <w:hideMark/>
          </w:tcPr>
          <w:p w14:paraId="4A05F4A3" w14:textId="77777777" w:rsidR="00001811" w:rsidRPr="00001811" w:rsidRDefault="00001811" w:rsidP="00595948">
            <w:pPr>
              <w:spacing w:after="0" w:line="240" w:lineRule="auto"/>
              <w:ind w:left="227"/>
              <w:rPr>
                <w:rFonts w:ascii="Arial" w:hAnsi="Arial" w:cs="Arial"/>
                <w:sz w:val="16"/>
                <w:szCs w:val="16"/>
              </w:rPr>
            </w:pPr>
            <w:r w:rsidRPr="00001811">
              <w:rPr>
                <w:rFonts w:ascii="Arial" w:hAnsi="Arial" w:cs="Arial"/>
                <w:sz w:val="16"/>
                <w:szCs w:val="16"/>
              </w:rPr>
              <w:t>Jervis Bay Territory Special Account 2014</w:t>
            </w:r>
          </w:p>
        </w:tc>
        <w:tc>
          <w:tcPr>
            <w:tcW w:w="602" w:type="pct"/>
            <w:tcBorders>
              <w:top w:val="nil"/>
              <w:left w:val="nil"/>
              <w:bottom w:val="nil"/>
              <w:right w:val="nil"/>
            </w:tcBorders>
            <w:shd w:val="clear" w:color="auto" w:fill="auto"/>
            <w:noWrap/>
            <w:vAlign w:val="bottom"/>
            <w:hideMark/>
          </w:tcPr>
          <w:p w14:paraId="6186ED73" w14:textId="3CDD2DBF"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1,219</w:t>
            </w:r>
          </w:p>
        </w:tc>
        <w:tc>
          <w:tcPr>
            <w:tcW w:w="588" w:type="pct"/>
            <w:gridSpan w:val="2"/>
            <w:tcBorders>
              <w:top w:val="nil"/>
              <w:left w:val="nil"/>
              <w:bottom w:val="nil"/>
              <w:right w:val="nil"/>
            </w:tcBorders>
            <w:shd w:val="clear" w:color="000000" w:fill="E6E6E6"/>
            <w:noWrap/>
            <w:vAlign w:val="bottom"/>
            <w:hideMark/>
          </w:tcPr>
          <w:p w14:paraId="1050459F" w14:textId="0C30D12E"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1,219</w:t>
            </w:r>
          </w:p>
        </w:tc>
        <w:tc>
          <w:tcPr>
            <w:tcW w:w="570" w:type="pct"/>
            <w:tcBorders>
              <w:top w:val="nil"/>
              <w:left w:val="nil"/>
              <w:bottom w:val="nil"/>
              <w:right w:val="nil"/>
            </w:tcBorders>
            <w:shd w:val="clear" w:color="auto" w:fill="auto"/>
            <w:noWrap/>
            <w:vAlign w:val="bottom"/>
            <w:hideMark/>
          </w:tcPr>
          <w:p w14:paraId="728BAD5D" w14:textId="47D58E8D"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1,219</w:t>
            </w:r>
          </w:p>
        </w:tc>
        <w:tc>
          <w:tcPr>
            <w:tcW w:w="570" w:type="pct"/>
            <w:gridSpan w:val="3"/>
            <w:tcBorders>
              <w:top w:val="nil"/>
              <w:left w:val="nil"/>
              <w:bottom w:val="nil"/>
              <w:right w:val="nil"/>
            </w:tcBorders>
            <w:shd w:val="clear" w:color="auto" w:fill="auto"/>
            <w:noWrap/>
            <w:vAlign w:val="bottom"/>
            <w:hideMark/>
          </w:tcPr>
          <w:p w14:paraId="7386C95C" w14:textId="66CAA3F1"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1,219</w:t>
            </w:r>
          </w:p>
        </w:tc>
        <w:tc>
          <w:tcPr>
            <w:tcW w:w="569" w:type="pct"/>
            <w:gridSpan w:val="2"/>
            <w:tcBorders>
              <w:top w:val="nil"/>
              <w:left w:val="nil"/>
              <w:bottom w:val="nil"/>
              <w:right w:val="nil"/>
            </w:tcBorders>
            <w:shd w:val="clear" w:color="auto" w:fill="auto"/>
            <w:noWrap/>
            <w:vAlign w:val="bottom"/>
            <w:hideMark/>
          </w:tcPr>
          <w:p w14:paraId="14E7C2F0" w14:textId="070043E6"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1,219</w:t>
            </w:r>
          </w:p>
        </w:tc>
      </w:tr>
      <w:tr w:rsidR="00001811" w:rsidRPr="00001811" w14:paraId="58E212C0" w14:textId="77777777" w:rsidTr="00595948">
        <w:trPr>
          <w:trHeight w:val="204"/>
        </w:trPr>
        <w:tc>
          <w:tcPr>
            <w:tcW w:w="2101" w:type="pct"/>
            <w:gridSpan w:val="2"/>
            <w:tcBorders>
              <w:top w:val="nil"/>
              <w:left w:val="nil"/>
              <w:bottom w:val="nil"/>
              <w:right w:val="nil"/>
            </w:tcBorders>
            <w:shd w:val="clear" w:color="auto" w:fill="auto"/>
            <w:vAlign w:val="bottom"/>
            <w:hideMark/>
          </w:tcPr>
          <w:p w14:paraId="79DC416C" w14:textId="53075182" w:rsidR="00001811" w:rsidRPr="00001811" w:rsidRDefault="00001811" w:rsidP="00595948">
            <w:pPr>
              <w:spacing w:after="0" w:line="240" w:lineRule="auto"/>
              <w:ind w:left="113"/>
              <w:rPr>
                <w:rFonts w:ascii="Arial" w:hAnsi="Arial" w:cs="Arial"/>
                <w:sz w:val="16"/>
                <w:szCs w:val="16"/>
              </w:rPr>
            </w:pPr>
            <w:r w:rsidRPr="00001811">
              <w:rPr>
                <w:rFonts w:ascii="Arial" w:hAnsi="Arial" w:cs="Arial"/>
                <w:sz w:val="16"/>
                <w:szCs w:val="16"/>
              </w:rPr>
              <w:t>Expenses not requiring appropriation in the Budget year</w:t>
            </w:r>
            <w:r w:rsidRPr="00001811">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11C6CEFD" w14:textId="30397EE2"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41,922</w:t>
            </w:r>
          </w:p>
        </w:tc>
        <w:tc>
          <w:tcPr>
            <w:tcW w:w="588" w:type="pct"/>
            <w:gridSpan w:val="2"/>
            <w:tcBorders>
              <w:top w:val="nil"/>
              <w:left w:val="nil"/>
              <w:bottom w:val="nil"/>
              <w:right w:val="nil"/>
            </w:tcBorders>
            <w:shd w:val="clear" w:color="000000" w:fill="E6E6E6"/>
            <w:noWrap/>
            <w:vAlign w:val="bottom"/>
            <w:hideMark/>
          </w:tcPr>
          <w:p w14:paraId="12FF720A" w14:textId="28C58403"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49,398</w:t>
            </w:r>
          </w:p>
        </w:tc>
        <w:tc>
          <w:tcPr>
            <w:tcW w:w="570" w:type="pct"/>
            <w:tcBorders>
              <w:top w:val="nil"/>
              <w:left w:val="nil"/>
              <w:bottom w:val="nil"/>
              <w:right w:val="nil"/>
            </w:tcBorders>
            <w:shd w:val="clear" w:color="auto" w:fill="auto"/>
            <w:noWrap/>
            <w:vAlign w:val="bottom"/>
            <w:hideMark/>
          </w:tcPr>
          <w:p w14:paraId="6CC6B0F6" w14:textId="3C662DBF"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36,859</w:t>
            </w:r>
          </w:p>
        </w:tc>
        <w:tc>
          <w:tcPr>
            <w:tcW w:w="570" w:type="pct"/>
            <w:gridSpan w:val="3"/>
            <w:tcBorders>
              <w:top w:val="nil"/>
              <w:left w:val="nil"/>
              <w:bottom w:val="nil"/>
              <w:right w:val="nil"/>
            </w:tcBorders>
            <w:shd w:val="clear" w:color="auto" w:fill="auto"/>
            <w:noWrap/>
            <w:vAlign w:val="bottom"/>
            <w:hideMark/>
          </w:tcPr>
          <w:p w14:paraId="1D7FCA93" w14:textId="36F5DD3E"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36,859</w:t>
            </w:r>
          </w:p>
        </w:tc>
        <w:tc>
          <w:tcPr>
            <w:tcW w:w="569" w:type="pct"/>
            <w:gridSpan w:val="2"/>
            <w:tcBorders>
              <w:top w:val="nil"/>
              <w:left w:val="nil"/>
              <w:bottom w:val="nil"/>
              <w:right w:val="nil"/>
            </w:tcBorders>
            <w:shd w:val="clear" w:color="auto" w:fill="auto"/>
            <w:noWrap/>
            <w:vAlign w:val="bottom"/>
            <w:hideMark/>
          </w:tcPr>
          <w:p w14:paraId="4A8B30F5" w14:textId="113559BC"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57,732</w:t>
            </w:r>
          </w:p>
        </w:tc>
      </w:tr>
      <w:tr w:rsidR="00001811" w:rsidRPr="00001811" w14:paraId="7A5F57BE" w14:textId="77777777" w:rsidTr="00595948">
        <w:trPr>
          <w:trHeight w:val="204"/>
        </w:trPr>
        <w:tc>
          <w:tcPr>
            <w:tcW w:w="2101" w:type="pct"/>
            <w:gridSpan w:val="2"/>
            <w:tcBorders>
              <w:top w:val="nil"/>
              <w:left w:val="nil"/>
              <w:bottom w:val="single" w:sz="4" w:space="0" w:color="auto"/>
              <w:right w:val="nil"/>
            </w:tcBorders>
            <w:shd w:val="clear" w:color="auto" w:fill="auto"/>
            <w:noWrap/>
            <w:vAlign w:val="bottom"/>
            <w:hideMark/>
          </w:tcPr>
          <w:p w14:paraId="73F6313B" w14:textId="77777777" w:rsidR="00001811" w:rsidRPr="00001811" w:rsidRDefault="00001811" w:rsidP="00001811">
            <w:pPr>
              <w:spacing w:after="0" w:line="240" w:lineRule="auto"/>
              <w:rPr>
                <w:rFonts w:ascii="Arial" w:hAnsi="Arial" w:cs="Arial"/>
                <w:b/>
                <w:bCs/>
                <w:sz w:val="16"/>
                <w:szCs w:val="16"/>
              </w:rPr>
            </w:pPr>
            <w:r w:rsidRPr="00001811">
              <w:rPr>
                <w:rFonts w:ascii="Arial" w:hAnsi="Arial" w:cs="Arial"/>
                <w:b/>
                <w:bCs/>
                <w:sz w:val="16"/>
                <w:szCs w:val="16"/>
              </w:rPr>
              <w:t>Total expenses for Program 4.1</w:t>
            </w:r>
          </w:p>
        </w:tc>
        <w:tc>
          <w:tcPr>
            <w:tcW w:w="602" w:type="pct"/>
            <w:tcBorders>
              <w:top w:val="single" w:sz="4" w:space="0" w:color="auto"/>
              <w:left w:val="nil"/>
              <w:bottom w:val="single" w:sz="4" w:space="0" w:color="auto"/>
              <w:right w:val="nil"/>
            </w:tcBorders>
            <w:shd w:val="clear" w:color="auto" w:fill="auto"/>
            <w:noWrap/>
            <w:vAlign w:val="bottom"/>
            <w:hideMark/>
          </w:tcPr>
          <w:p w14:paraId="46CB8A56" w14:textId="46C03C57" w:rsidR="00001811" w:rsidRPr="00001811" w:rsidRDefault="00001811" w:rsidP="00001811">
            <w:pPr>
              <w:spacing w:after="0" w:line="240" w:lineRule="auto"/>
              <w:jc w:val="right"/>
              <w:rPr>
                <w:rFonts w:ascii="Arial" w:hAnsi="Arial" w:cs="Arial"/>
                <w:b/>
                <w:bCs/>
                <w:sz w:val="16"/>
                <w:szCs w:val="16"/>
              </w:rPr>
            </w:pPr>
            <w:r w:rsidRPr="00001811">
              <w:rPr>
                <w:rFonts w:ascii="Arial" w:hAnsi="Arial" w:cs="Arial"/>
                <w:b/>
                <w:bCs/>
                <w:sz w:val="16"/>
                <w:szCs w:val="16"/>
              </w:rPr>
              <w:t>308,623</w:t>
            </w:r>
          </w:p>
        </w:tc>
        <w:tc>
          <w:tcPr>
            <w:tcW w:w="588" w:type="pct"/>
            <w:gridSpan w:val="2"/>
            <w:tcBorders>
              <w:top w:val="single" w:sz="4" w:space="0" w:color="auto"/>
              <w:left w:val="nil"/>
              <w:bottom w:val="single" w:sz="4" w:space="0" w:color="auto"/>
              <w:right w:val="nil"/>
            </w:tcBorders>
            <w:shd w:val="clear" w:color="000000" w:fill="E6E6E6"/>
            <w:noWrap/>
            <w:vAlign w:val="bottom"/>
            <w:hideMark/>
          </w:tcPr>
          <w:p w14:paraId="0986E049" w14:textId="57D7B48A" w:rsidR="00001811" w:rsidRPr="00001811" w:rsidRDefault="00001811" w:rsidP="00001811">
            <w:pPr>
              <w:spacing w:after="0" w:line="240" w:lineRule="auto"/>
              <w:jc w:val="right"/>
              <w:rPr>
                <w:rFonts w:ascii="Arial" w:hAnsi="Arial" w:cs="Arial"/>
                <w:b/>
                <w:bCs/>
                <w:sz w:val="16"/>
                <w:szCs w:val="16"/>
              </w:rPr>
            </w:pPr>
            <w:r w:rsidRPr="00001811">
              <w:rPr>
                <w:rFonts w:ascii="Arial" w:hAnsi="Arial" w:cs="Arial"/>
                <w:b/>
                <w:bCs/>
                <w:sz w:val="16"/>
                <w:szCs w:val="16"/>
              </w:rPr>
              <w:t>262,540</w:t>
            </w:r>
          </w:p>
        </w:tc>
        <w:tc>
          <w:tcPr>
            <w:tcW w:w="570" w:type="pct"/>
            <w:tcBorders>
              <w:top w:val="single" w:sz="4" w:space="0" w:color="auto"/>
              <w:left w:val="nil"/>
              <w:bottom w:val="single" w:sz="4" w:space="0" w:color="auto"/>
              <w:right w:val="nil"/>
            </w:tcBorders>
            <w:shd w:val="clear" w:color="auto" w:fill="auto"/>
            <w:noWrap/>
            <w:vAlign w:val="bottom"/>
            <w:hideMark/>
          </w:tcPr>
          <w:p w14:paraId="1656F83C" w14:textId="0935F14C" w:rsidR="00001811" w:rsidRPr="00001811" w:rsidRDefault="00001811" w:rsidP="00001811">
            <w:pPr>
              <w:spacing w:after="0" w:line="240" w:lineRule="auto"/>
              <w:jc w:val="right"/>
              <w:rPr>
                <w:rFonts w:ascii="Arial" w:hAnsi="Arial" w:cs="Arial"/>
                <w:b/>
                <w:bCs/>
                <w:sz w:val="16"/>
                <w:szCs w:val="16"/>
              </w:rPr>
            </w:pPr>
            <w:r w:rsidRPr="00001811">
              <w:rPr>
                <w:rFonts w:ascii="Arial" w:hAnsi="Arial" w:cs="Arial"/>
                <w:b/>
                <w:bCs/>
                <w:sz w:val="16"/>
                <w:szCs w:val="16"/>
              </w:rPr>
              <w:t>250,917</w:t>
            </w:r>
          </w:p>
        </w:tc>
        <w:tc>
          <w:tcPr>
            <w:tcW w:w="570" w:type="pct"/>
            <w:gridSpan w:val="3"/>
            <w:tcBorders>
              <w:top w:val="single" w:sz="4" w:space="0" w:color="auto"/>
              <w:left w:val="nil"/>
              <w:bottom w:val="single" w:sz="4" w:space="0" w:color="auto"/>
              <w:right w:val="nil"/>
            </w:tcBorders>
            <w:shd w:val="clear" w:color="auto" w:fill="auto"/>
            <w:noWrap/>
            <w:vAlign w:val="bottom"/>
            <w:hideMark/>
          </w:tcPr>
          <w:p w14:paraId="217DD39D" w14:textId="757697F2" w:rsidR="00001811" w:rsidRPr="00001811" w:rsidRDefault="00001811" w:rsidP="00001811">
            <w:pPr>
              <w:spacing w:after="0" w:line="240" w:lineRule="auto"/>
              <w:jc w:val="right"/>
              <w:rPr>
                <w:rFonts w:ascii="Arial" w:hAnsi="Arial" w:cs="Arial"/>
                <w:b/>
                <w:bCs/>
                <w:sz w:val="16"/>
                <w:szCs w:val="16"/>
              </w:rPr>
            </w:pPr>
            <w:r w:rsidRPr="00001811">
              <w:rPr>
                <w:rFonts w:ascii="Arial" w:hAnsi="Arial" w:cs="Arial"/>
                <w:b/>
                <w:bCs/>
                <w:sz w:val="16"/>
                <w:szCs w:val="16"/>
              </w:rPr>
              <w:t>243,841</w:t>
            </w:r>
          </w:p>
        </w:tc>
        <w:tc>
          <w:tcPr>
            <w:tcW w:w="569" w:type="pct"/>
            <w:gridSpan w:val="2"/>
            <w:tcBorders>
              <w:top w:val="single" w:sz="4" w:space="0" w:color="auto"/>
              <w:left w:val="nil"/>
              <w:bottom w:val="single" w:sz="4" w:space="0" w:color="auto"/>
              <w:right w:val="nil"/>
            </w:tcBorders>
            <w:shd w:val="clear" w:color="auto" w:fill="auto"/>
            <w:noWrap/>
            <w:vAlign w:val="bottom"/>
            <w:hideMark/>
          </w:tcPr>
          <w:p w14:paraId="732C0240" w14:textId="61B0069D" w:rsidR="00001811" w:rsidRPr="00001811" w:rsidRDefault="00001811" w:rsidP="00001811">
            <w:pPr>
              <w:spacing w:after="0" w:line="240" w:lineRule="auto"/>
              <w:jc w:val="right"/>
              <w:rPr>
                <w:rFonts w:ascii="Arial" w:hAnsi="Arial" w:cs="Arial"/>
                <w:b/>
                <w:bCs/>
                <w:sz w:val="16"/>
                <w:szCs w:val="16"/>
              </w:rPr>
            </w:pPr>
            <w:r w:rsidRPr="00001811">
              <w:rPr>
                <w:rFonts w:ascii="Arial" w:hAnsi="Arial" w:cs="Arial"/>
                <w:b/>
                <w:bCs/>
                <w:sz w:val="16"/>
                <w:szCs w:val="16"/>
              </w:rPr>
              <w:t>248,798</w:t>
            </w:r>
          </w:p>
        </w:tc>
      </w:tr>
      <w:tr w:rsidR="00001811" w:rsidRPr="00001811" w14:paraId="1571BBC2" w14:textId="77777777" w:rsidTr="00595948">
        <w:trPr>
          <w:gridAfter w:val="1"/>
          <w:wAfter w:w="6" w:type="pct"/>
          <w:trHeight w:val="204"/>
        </w:trPr>
        <w:tc>
          <w:tcPr>
            <w:tcW w:w="2708" w:type="pct"/>
            <w:gridSpan w:val="4"/>
            <w:tcBorders>
              <w:top w:val="single" w:sz="4" w:space="0" w:color="auto"/>
              <w:left w:val="nil"/>
              <w:bottom w:val="single" w:sz="4" w:space="0" w:color="auto"/>
              <w:right w:val="nil"/>
            </w:tcBorders>
            <w:shd w:val="clear" w:color="000000" w:fill="E6E6E6"/>
            <w:noWrap/>
            <w:vAlign w:val="bottom"/>
            <w:hideMark/>
          </w:tcPr>
          <w:p w14:paraId="3B440604" w14:textId="77777777" w:rsidR="00001811" w:rsidRPr="00001811" w:rsidRDefault="00001811" w:rsidP="00001811">
            <w:pPr>
              <w:spacing w:after="0" w:line="240" w:lineRule="auto"/>
              <w:rPr>
                <w:rFonts w:ascii="Arial" w:hAnsi="Arial" w:cs="Arial"/>
                <w:b/>
                <w:bCs/>
                <w:sz w:val="16"/>
                <w:szCs w:val="16"/>
              </w:rPr>
            </w:pPr>
            <w:r w:rsidRPr="00001811">
              <w:rPr>
                <w:rFonts w:ascii="Arial" w:hAnsi="Arial" w:cs="Arial"/>
                <w:b/>
                <w:bCs/>
                <w:sz w:val="16"/>
                <w:szCs w:val="16"/>
              </w:rPr>
              <w:t>Program 4.2 Program Support for Outcome 4</w:t>
            </w:r>
          </w:p>
        </w:tc>
        <w:tc>
          <w:tcPr>
            <w:tcW w:w="583" w:type="pct"/>
            <w:tcBorders>
              <w:top w:val="single" w:sz="4" w:space="0" w:color="auto"/>
              <w:left w:val="nil"/>
              <w:bottom w:val="single" w:sz="4" w:space="0" w:color="auto"/>
              <w:right w:val="nil"/>
            </w:tcBorders>
            <w:shd w:val="clear" w:color="000000" w:fill="E6E6E6"/>
            <w:noWrap/>
            <w:vAlign w:val="bottom"/>
            <w:hideMark/>
          </w:tcPr>
          <w:p w14:paraId="3BA79887" w14:textId="77777777"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 </w:t>
            </w:r>
          </w:p>
        </w:tc>
        <w:tc>
          <w:tcPr>
            <w:tcW w:w="582" w:type="pct"/>
            <w:gridSpan w:val="2"/>
            <w:tcBorders>
              <w:top w:val="single" w:sz="4" w:space="0" w:color="auto"/>
              <w:left w:val="nil"/>
              <w:bottom w:val="single" w:sz="4" w:space="0" w:color="auto"/>
              <w:right w:val="nil"/>
            </w:tcBorders>
            <w:shd w:val="clear" w:color="000000" w:fill="E6E6E6"/>
            <w:noWrap/>
            <w:vAlign w:val="bottom"/>
            <w:hideMark/>
          </w:tcPr>
          <w:p w14:paraId="27933B0D" w14:textId="77777777"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 </w:t>
            </w:r>
          </w:p>
        </w:tc>
        <w:tc>
          <w:tcPr>
            <w:tcW w:w="539" w:type="pct"/>
            <w:tcBorders>
              <w:top w:val="single" w:sz="4" w:space="0" w:color="auto"/>
              <w:left w:val="nil"/>
              <w:bottom w:val="single" w:sz="4" w:space="0" w:color="auto"/>
              <w:right w:val="nil"/>
            </w:tcBorders>
            <w:shd w:val="clear" w:color="000000" w:fill="E6E6E6"/>
            <w:noWrap/>
            <w:vAlign w:val="bottom"/>
            <w:hideMark/>
          </w:tcPr>
          <w:p w14:paraId="564D2A8D" w14:textId="77777777"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 </w:t>
            </w:r>
          </w:p>
        </w:tc>
        <w:tc>
          <w:tcPr>
            <w:tcW w:w="582" w:type="pct"/>
            <w:gridSpan w:val="2"/>
            <w:tcBorders>
              <w:top w:val="single" w:sz="4" w:space="0" w:color="auto"/>
              <w:left w:val="nil"/>
              <w:bottom w:val="single" w:sz="4" w:space="0" w:color="auto"/>
              <w:right w:val="nil"/>
            </w:tcBorders>
            <w:shd w:val="clear" w:color="000000" w:fill="E6E6E6"/>
            <w:noWrap/>
            <w:vAlign w:val="bottom"/>
            <w:hideMark/>
          </w:tcPr>
          <w:p w14:paraId="69665257" w14:textId="77777777"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 </w:t>
            </w:r>
          </w:p>
        </w:tc>
      </w:tr>
      <w:tr w:rsidR="00001811" w:rsidRPr="00001811" w14:paraId="6AEC9680" w14:textId="77777777" w:rsidTr="00595948">
        <w:trPr>
          <w:gridAfter w:val="1"/>
          <w:wAfter w:w="6" w:type="pct"/>
          <w:trHeight w:val="204"/>
        </w:trPr>
        <w:tc>
          <w:tcPr>
            <w:tcW w:w="2090" w:type="pct"/>
            <w:tcBorders>
              <w:top w:val="nil"/>
              <w:left w:val="nil"/>
              <w:bottom w:val="nil"/>
              <w:right w:val="nil"/>
            </w:tcBorders>
            <w:shd w:val="clear" w:color="auto" w:fill="auto"/>
            <w:noWrap/>
            <w:vAlign w:val="bottom"/>
            <w:hideMark/>
          </w:tcPr>
          <w:p w14:paraId="473CC762" w14:textId="77777777" w:rsidR="00001811" w:rsidRPr="00001811" w:rsidRDefault="00001811" w:rsidP="00001811">
            <w:pPr>
              <w:spacing w:after="0" w:line="240" w:lineRule="auto"/>
              <w:rPr>
                <w:rFonts w:ascii="Arial" w:hAnsi="Arial" w:cs="Arial"/>
                <w:sz w:val="16"/>
                <w:szCs w:val="16"/>
              </w:rPr>
            </w:pPr>
            <w:r w:rsidRPr="00001811">
              <w:rPr>
                <w:rFonts w:ascii="Arial" w:hAnsi="Arial" w:cs="Arial"/>
                <w:sz w:val="16"/>
                <w:szCs w:val="16"/>
              </w:rPr>
              <w:t>Departmental expenses</w:t>
            </w:r>
          </w:p>
        </w:tc>
        <w:tc>
          <w:tcPr>
            <w:tcW w:w="617" w:type="pct"/>
            <w:gridSpan w:val="3"/>
            <w:tcBorders>
              <w:top w:val="nil"/>
              <w:left w:val="nil"/>
              <w:bottom w:val="nil"/>
              <w:right w:val="nil"/>
            </w:tcBorders>
            <w:shd w:val="clear" w:color="auto" w:fill="auto"/>
            <w:noWrap/>
            <w:vAlign w:val="bottom"/>
            <w:hideMark/>
          </w:tcPr>
          <w:p w14:paraId="01B9E681" w14:textId="77777777" w:rsidR="00001811" w:rsidRPr="00001811" w:rsidRDefault="00001811" w:rsidP="00001811">
            <w:pPr>
              <w:spacing w:after="0" w:line="240" w:lineRule="auto"/>
              <w:jc w:val="right"/>
              <w:rPr>
                <w:rFonts w:ascii="Arial" w:hAnsi="Arial" w:cs="Arial"/>
                <w:sz w:val="16"/>
                <w:szCs w:val="16"/>
              </w:rPr>
            </w:pPr>
          </w:p>
        </w:tc>
        <w:tc>
          <w:tcPr>
            <w:tcW w:w="583" w:type="pct"/>
            <w:tcBorders>
              <w:top w:val="nil"/>
              <w:left w:val="nil"/>
              <w:bottom w:val="nil"/>
              <w:right w:val="nil"/>
            </w:tcBorders>
            <w:shd w:val="clear" w:color="000000" w:fill="E6E6E6"/>
            <w:noWrap/>
            <w:vAlign w:val="bottom"/>
            <w:hideMark/>
          </w:tcPr>
          <w:p w14:paraId="53CC858E" w14:textId="58AF3657" w:rsidR="00001811" w:rsidRPr="00001811" w:rsidRDefault="00001811" w:rsidP="00001811">
            <w:pPr>
              <w:spacing w:after="0" w:line="240" w:lineRule="auto"/>
              <w:jc w:val="right"/>
              <w:rPr>
                <w:rFonts w:ascii="Arial" w:hAnsi="Arial" w:cs="Arial"/>
                <w:sz w:val="16"/>
                <w:szCs w:val="16"/>
              </w:rPr>
            </w:pPr>
          </w:p>
        </w:tc>
        <w:tc>
          <w:tcPr>
            <w:tcW w:w="582" w:type="pct"/>
            <w:gridSpan w:val="2"/>
            <w:tcBorders>
              <w:top w:val="nil"/>
              <w:left w:val="nil"/>
              <w:bottom w:val="nil"/>
              <w:right w:val="nil"/>
            </w:tcBorders>
            <w:shd w:val="clear" w:color="auto" w:fill="auto"/>
            <w:noWrap/>
            <w:vAlign w:val="bottom"/>
            <w:hideMark/>
          </w:tcPr>
          <w:p w14:paraId="682C763F" w14:textId="77777777" w:rsidR="00001811" w:rsidRPr="00001811" w:rsidRDefault="00001811" w:rsidP="00001811">
            <w:pPr>
              <w:spacing w:after="0" w:line="240" w:lineRule="auto"/>
              <w:jc w:val="right"/>
              <w:rPr>
                <w:rFonts w:ascii="Arial" w:hAnsi="Arial" w:cs="Arial"/>
                <w:sz w:val="16"/>
                <w:szCs w:val="16"/>
              </w:rPr>
            </w:pPr>
          </w:p>
        </w:tc>
        <w:tc>
          <w:tcPr>
            <w:tcW w:w="539" w:type="pct"/>
            <w:tcBorders>
              <w:top w:val="nil"/>
              <w:left w:val="nil"/>
              <w:bottom w:val="nil"/>
              <w:right w:val="nil"/>
            </w:tcBorders>
            <w:shd w:val="clear" w:color="auto" w:fill="auto"/>
            <w:noWrap/>
            <w:vAlign w:val="bottom"/>
            <w:hideMark/>
          </w:tcPr>
          <w:p w14:paraId="0CC141AE" w14:textId="77777777" w:rsidR="00001811" w:rsidRPr="00001811" w:rsidRDefault="00001811" w:rsidP="00001811">
            <w:pPr>
              <w:spacing w:after="0" w:line="240" w:lineRule="auto"/>
              <w:jc w:val="right"/>
              <w:rPr>
                <w:rFonts w:ascii="Times New Roman" w:hAnsi="Times New Roman"/>
              </w:rPr>
            </w:pPr>
          </w:p>
        </w:tc>
        <w:tc>
          <w:tcPr>
            <w:tcW w:w="582" w:type="pct"/>
            <w:gridSpan w:val="2"/>
            <w:tcBorders>
              <w:top w:val="nil"/>
              <w:left w:val="nil"/>
              <w:bottom w:val="nil"/>
              <w:right w:val="nil"/>
            </w:tcBorders>
            <w:shd w:val="clear" w:color="auto" w:fill="auto"/>
            <w:noWrap/>
            <w:vAlign w:val="bottom"/>
            <w:hideMark/>
          </w:tcPr>
          <w:p w14:paraId="6D016E2D" w14:textId="77777777" w:rsidR="00001811" w:rsidRPr="00001811" w:rsidRDefault="00001811" w:rsidP="00001811">
            <w:pPr>
              <w:spacing w:after="0" w:line="240" w:lineRule="auto"/>
              <w:jc w:val="right"/>
              <w:rPr>
                <w:rFonts w:ascii="Times New Roman" w:hAnsi="Times New Roman"/>
              </w:rPr>
            </w:pPr>
          </w:p>
        </w:tc>
      </w:tr>
      <w:tr w:rsidR="00001811" w:rsidRPr="00001811" w14:paraId="1FDACEEB" w14:textId="77777777" w:rsidTr="00595948">
        <w:trPr>
          <w:gridAfter w:val="1"/>
          <w:wAfter w:w="6" w:type="pct"/>
          <w:trHeight w:val="204"/>
        </w:trPr>
        <w:tc>
          <w:tcPr>
            <w:tcW w:w="2090" w:type="pct"/>
            <w:tcBorders>
              <w:top w:val="nil"/>
              <w:left w:val="nil"/>
              <w:bottom w:val="nil"/>
              <w:right w:val="nil"/>
            </w:tcBorders>
            <w:shd w:val="clear" w:color="auto" w:fill="auto"/>
            <w:vAlign w:val="bottom"/>
            <w:hideMark/>
          </w:tcPr>
          <w:p w14:paraId="1156AAE8" w14:textId="77777777" w:rsidR="00001811" w:rsidRPr="00001811" w:rsidRDefault="00001811" w:rsidP="00595948">
            <w:pPr>
              <w:spacing w:after="0" w:line="240" w:lineRule="auto"/>
              <w:ind w:left="113"/>
              <w:rPr>
                <w:rFonts w:ascii="Arial" w:hAnsi="Arial" w:cs="Arial"/>
                <w:sz w:val="16"/>
                <w:szCs w:val="16"/>
              </w:rPr>
            </w:pPr>
            <w:r w:rsidRPr="00001811">
              <w:rPr>
                <w:rFonts w:ascii="Arial" w:hAnsi="Arial" w:cs="Arial"/>
                <w:sz w:val="16"/>
                <w:szCs w:val="16"/>
              </w:rPr>
              <w:t>Departmental appropriation</w:t>
            </w:r>
          </w:p>
        </w:tc>
        <w:tc>
          <w:tcPr>
            <w:tcW w:w="617" w:type="pct"/>
            <w:gridSpan w:val="3"/>
            <w:tcBorders>
              <w:top w:val="nil"/>
              <w:left w:val="nil"/>
              <w:bottom w:val="nil"/>
              <w:right w:val="nil"/>
            </w:tcBorders>
            <w:shd w:val="clear" w:color="auto" w:fill="auto"/>
            <w:noWrap/>
            <w:vAlign w:val="bottom"/>
            <w:hideMark/>
          </w:tcPr>
          <w:p w14:paraId="44E74A3E" w14:textId="54C4893C"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32,599</w:t>
            </w:r>
          </w:p>
        </w:tc>
        <w:tc>
          <w:tcPr>
            <w:tcW w:w="583" w:type="pct"/>
            <w:tcBorders>
              <w:top w:val="nil"/>
              <w:left w:val="nil"/>
              <w:bottom w:val="nil"/>
              <w:right w:val="nil"/>
            </w:tcBorders>
            <w:shd w:val="clear" w:color="000000" w:fill="E6E6E6"/>
            <w:noWrap/>
            <w:vAlign w:val="bottom"/>
            <w:hideMark/>
          </w:tcPr>
          <w:p w14:paraId="7817FCB2" w14:textId="12D1B6A4"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35,169</w:t>
            </w:r>
          </w:p>
        </w:tc>
        <w:tc>
          <w:tcPr>
            <w:tcW w:w="582" w:type="pct"/>
            <w:gridSpan w:val="2"/>
            <w:tcBorders>
              <w:top w:val="nil"/>
              <w:left w:val="nil"/>
              <w:bottom w:val="nil"/>
              <w:right w:val="nil"/>
            </w:tcBorders>
            <w:shd w:val="clear" w:color="auto" w:fill="auto"/>
            <w:noWrap/>
            <w:vAlign w:val="bottom"/>
            <w:hideMark/>
          </w:tcPr>
          <w:p w14:paraId="4B462024" w14:textId="12585E04"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30,892</w:t>
            </w:r>
          </w:p>
        </w:tc>
        <w:tc>
          <w:tcPr>
            <w:tcW w:w="539" w:type="pct"/>
            <w:tcBorders>
              <w:top w:val="nil"/>
              <w:left w:val="nil"/>
              <w:bottom w:val="nil"/>
              <w:right w:val="nil"/>
            </w:tcBorders>
            <w:shd w:val="clear" w:color="auto" w:fill="auto"/>
            <w:noWrap/>
            <w:vAlign w:val="bottom"/>
            <w:hideMark/>
          </w:tcPr>
          <w:p w14:paraId="5C4BD912" w14:textId="631B67EA"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30,622</w:t>
            </w:r>
          </w:p>
        </w:tc>
        <w:tc>
          <w:tcPr>
            <w:tcW w:w="582" w:type="pct"/>
            <w:gridSpan w:val="2"/>
            <w:tcBorders>
              <w:top w:val="nil"/>
              <w:left w:val="nil"/>
              <w:bottom w:val="nil"/>
              <w:right w:val="nil"/>
            </w:tcBorders>
            <w:shd w:val="clear" w:color="auto" w:fill="auto"/>
            <w:noWrap/>
            <w:vAlign w:val="bottom"/>
            <w:hideMark/>
          </w:tcPr>
          <w:p w14:paraId="64D37921" w14:textId="2D6E5925"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29,763</w:t>
            </w:r>
          </w:p>
        </w:tc>
      </w:tr>
      <w:tr w:rsidR="00001811" w:rsidRPr="00001811" w14:paraId="5718A9E7" w14:textId="77777777" w:rsidTr="00595948">
        <w:trPr>
          <w:gridAfter w:val="1"/>
          <w:wAfter w:w="6" w:type="pct"/>
          <w:trHeight w:val="204"/>
        </w:trPr>
        <w:tc>
          <w:tcPr>
            <w:tcW w:w="2090" w:type="pct"/>
            <w:tcBorders>
              <w:top w:val="nil"/>
              <w:left w:val="nil"/>
              <w:bottom w:val="nil"/>
              <w:right w:val="nil"/>
            </w:tcBorders>
            <w:shd w:val="clear" w:color="auto" w:fill="auto"/>
            <w:vAlign w:val="bottom"/>
            <w:hideMark/>
          </w:tcPr>
          <w:p w14:paraId="233DABBF" w14:textId="19F161AC" w:rsidR="00001811" w:rsidRPr="00001811" w:rsidRDefault="00001811" w:rsidP="00595948">
            <w:pPr>
              <w:spacing w:after="0" w:line="240" w:lineRule="auto"/>
              <w:ind w:left="113"/>
              <w:rPr>
                <w:rFonts w:ascii="Arial" w:hAnsi="Arial" w:cs="Arial"/>
                <w:sz w:val="16"/>
                <w:szCs w:val="16"/>
              </w:rPr>
            </w:pPr>
            <w:r w:rsidRPr="00001811">
              <w:rPr>
                <w:rFonts w:ascii="Arial" w:hAnsi="Arial" w:cs="Arial"/>
                <w:sz w:val="16"/>
                <w:szCs w:val="16"/>
              </w:rPr>
              <w:t>Expenses not requiring appropriation in the Budget year</w:t>
            </w:r>
            <w:r w:rsidRPr="00001811">
              <w:rPr>
                <w:rFonts w:ascii="Arial" w:hAnsi="Arial" w:cs="Arial"/>
                <w:sz w:val="16"/>
                <w:szCs w:val="16"/>
                <w:vertAlign w:val="superscript"/>
              </w:rPr>
              <w:t>(b)</w:t>
            </w:r>
          </w:p>
        </w:tc>
        <w:tc>
          <w:tcPr>
            <w:tcW w:w="617" w:type="pct"/>
            <w:gridSpan w:val="3"/>
            <w:tcBorders>
              <w:top w:val="nil"/>
              <w:left w:val="nil"/>
              <w:bottom w:val="nil"/>
              <w:right w:val="nil"/>
            </w:tcBorders>
            <w:shd w:val="clear" w:color="auto" w:fill="auto"/>
            <w:noWrap/>
            <w:vAlign w:val="bottom"/>
            <w:hideMark/>
          </w:tcPr>
          <w:p w14:paraId="0FF285A6" w14:textId="71F4116F"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1,214</w:t>
            </w:r>
          </w:p>
        </w:tc>
        <w:tc>
          <w:tcPr>
            <w:tcW w:w="583" w:type="pct"/>
            <w:tcBorders>
              <w:top w:val="nil"/>
              <w:left w:val="nil"/>
              <w:bottom w:val="nil"/>
              <w:right w:val="nil"/>
            </w:tcBorders>
            <w:shd w:val="clear" w:color="000000" w:fill="E6E6E6"/>
            <w:noWrap/>
            <w:vAlign w:val="bottom"/>
            <w:hideMark/>
          </w:tcPr>
          <w:p w14:paraId="65FDDAD0" w14:textId="3B4DBF31"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w:t>
            </w:r>
          </w:p>
        </w:tc>
        <w:tc>
          <w:tcPr>
            <w:tcW w:w="582" w:type="pct"/>
            <w:gridSpan w:val="2"/>
            <w:tcBorders>
              <w:top w:val="nil"/>
              <w:left w:val="nil"/>
              <w:bottom w:val="nil"/>
              <w:right w:val="nil"/>
            </w:tcBorders>
            <w:shd w:val="clear" w:color="auto" w:fill="auto"/>
            <w:noWrap/>
            <w:vAlign w:val="bottom"/>
            <w:hideMark/>
          </w:tcPr>
          <w:p w14:paraId="56C04F87" w14:textId="30AC9BFC"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w:t>
            </w:r>
          </w:p>
        </w:tc>
        <w:tc>
          <w:tcPr>
            <w:tcW w:w="539" w:type="pct"/>
            <w:tcBorders>
              <w:top w:val="nil"/>
              <w:left w:val="nil"/>
              <w:bottom w:val="nil"/>
              <w:right w:val="nil"/>
            </w:tcBorders>
            <w:shd w:val="clear" w:color="auto" w:fill="auto"/>
            <w:noWrap/>
            <w:vAlign w:val="bottom"/>
            <w:hideMark/>
          </w:tcPr>
          <w:p w14:paraId="2AB7D273" w14:textId="68E8DC93"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w:t>
            </w:r>
          </w:p>
        </w:tc>
        <w:tc>
          <w:tcPr>
            <w:tcW w:w="582" w:type="pct"/>
            <w:gridSpan w:val="2"/>
            <w:tcBorders>
              <w:top w:val="nil"/>
              <w:left w:val="nil"/>
              <w:bottom w:val="nil"/>
              <w:right w:val="nil"/>
            </w:tcBorders>
            <w:shd w:val="clear" w:color="auto" w:fill="auto"/>
            <w:noWrap/>
            <w:vAlign w:val="bottom"/>
            <w:hideMark/>
          </w:tcPr>
          <w:p w14:paraId="69114889" w14:textId="4862DEED"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w:t>
            </w:r>
          </w:p>
        </w:tc>
      </w:tr>
      <w:tr w:rsidR="00001811" w:rsidRPr="00001811" w14:paraId="175B90D8" w14:textId="77777777" w:rsidTr="00595948">
        <w:trPr>
          <w:gridAfter w:val="1"/>
          <w:wAfter w:w="6" w:type="pct"/>
          <w:trHeight w:val="204"/>
        </w:trPr>
        <w:tc>
          <w:tcPr>
            <w:tcW w:w="2090" w:type="pct"/>
            <w:tcBorders>
              <w:top w:val="nil"/>
              <w:left w:val="nil"/>
              <w:bottom w:val="single" w:sz="4" w:space="0" w:color="auto"/>
              <w:right w:val="nil"/>
            </w:tcBorders>
            <w:shd w:val="clear" w:color="auto" w:fill="auto"/>
            <w:noWrap/>
            <w:vAlign w:val="bottom"/>
            <w:hideMark/>
          </w:tcPr>
          <w:p w14:paraId="683ADF9A" w14:textId="77777777" w:rsidR="00001811" w:rsidRPr="00001811" w:rsidRDefault="00001811" w:rsidP="00001811">
            <w:pPr>
              <w:spacing w:after="0" w:line="240" w:lineRule="auto"/>
              <w:rPr>
                <w:rFonts w:ascii="Arial" w:hAnsi="Arial" w:cs="Arial"/>
                <w:b/>
                <w:bCs/>
                <w:sz w:val="16"/>
                <w:szCs w:val="16"/>
              </w:rPr>
            </w:pPr>
            <w:r w:rsidRPr="00001811">
              <w:rPr>
                <w:rFonts w:ascii="Arial" w:hAnsi="Arial" w:cs="Arial"/>
                <w:b/>
                <w:bCs/>
                <w:sz w:val="16"/>
                <w:szCs w:val="16"/>
              </w:rPr>
              <w:t>Total expenses for Program 4.2</w:t>
            </w:r>
          </w:p>
        </w:tc>
        <w:tc>
          <w:tcPr>
            <w:tcW w:w="617" w:type="pct"/>
            <w:gridSpan w:val="3"/>
            <w:tcBorders>
              <w:top w:val="single" w:sz="4" w:space="0" w:color="auto"/>
              <w:left w:val="nil"/>
              <w:bottom w:val="single" w:sz="4" w:space="0" w:color="auto"/>
              <w:right w:val="nil"/>
            </w:tcBorders>
            <w:shd w:val="clear" w:color="auto" w:fill="auto"/>
            <w:noWrap/>
            <w:vAlign w:val="bottom"/>
            <w:hideMark/>
          </w:tcPr>
          <w:p w14:paraId="35A10B3C" w14:textId="140EF6AD" w:rsidR="00001811" w:rsidRPr="00001811" w:rsidRDefault="00001811" w:rsidP="00001811">
            <w:pPr>
              <w:spacing w:after="0" w:line="240" w:lineRule="auto"/>
              <w:jc w:val="right"/>
              <w:rPr>
                <w:rFonts w:ascii="Arial" w:hAnsi="Arial" w:cs="Arial"/>
                <w:b/>
                <w:bCs/>
                <w:sz w:val="16"/>
                <w:szCs w:val="16"/>
              </w:rPr>
            </w:pPr>
            <w:r w:rsidRPr="00001811">
              <w:rPr>
                <w:rFonts w:ascii="Arial" w:hAnsi="Arial" w:cs="Arial"/>
                <w:b/>
                <w:bCs/>
                <w:sz w:val="16"/>
                <w:szCs w:val="16"/>
              </w:rPr>
              <w:t>33,813</w:t>
            </w:r>
          </w:p>
        </w:tc>
        <w:tc>
          <w:tcPr>
            <w:tcW w:w="583" w:type="pct"/>
            <w:tcBorders>
              <w:top w:val="single" w:sz="4" w:space="0" w:color="auto"/>
              <w:left w:val="nil"/>
              <w:bottom w:val="single" w:sz="4" w:space="0" w:color="auto"/>
              <w:right w:val="nil"/>
            </w:tcBorders>
            <w:shd w:val="clear" w:color="000000" w:fill="E6E6E6"/>
            <w:noWrap/>
            <w:vAlign w:val="bottom"/>
            <w:hideMark/>
          </w:tcPr>
          <w:p w14:paraId="7E38D309" w14:textId="1D1A16C1" w:rsidR="00001811" w:rsidRPr="00001811" w:rsidRDefault="00001811" w:rsidP="00001811">
            <w:pPr>
              <w:spacing w:after="0" w:line="240" w:lineRule="auto"/>
              <w:jc w:val="right"/>
              <w:rPr>
                <w:rFonts w:ascii="Arial" w:hAnsi="Arial" w:cs="Arial"/>
                <w:b/>
                <w:bCs/>
                <w:sz w:val="16"/>
                <w:szCs w:val="16"/>
              </w:rPr>
            </w:pPr>
            <w:r w:rsidRPr="00001811">
              <w:rPr>
                <w:rFonts w:ascii="Arial" w:hAnsi="Arial" w:cs="Arial"/>
                <w:b/>
                <w:bCs/>
                <w:sz w:val="16"/>
                <w:szCs w:val="16"/>
              </w:rPr>
              <w:t>35,169</w:t>
            </w:r>
          </w:p>
        </w:tc>
        <w:tc>
          <w:tcPr>
            <w:tcW w:w="582" w:type="pct"/>
            <w:gridSpan w:val="2"/>
            <w:tcBorders>
              <w:top w:val="single" w:sz="4" w:space="0" w:color="auto"/>
              <w:left w:val="nil"/>
              <w:bottom w:val="single" w:sz="4" w:space="0" w:color="auto"/>
              <w:right w:val="nil"/>
            </w:tcBorders>
            <w:shd w:val="clear" w:color="auto" w:fill="auto"/>
            <w:noWrap/>
            <w:vAlign w:val="bottom"/>
            <w:hideMark/>
          </w:tcPr>
          <w:p w14:paraId="65050318" w14:textId="0CE79DAB" w:rsidR="00001811" w:rsidRPr="00001811" w:rsidRDefault="00001811" w:rsidP="00001811">
            <w:pPr>
              <w:spacing w:after="0" w:line="240" w:lineRule="auto"/>
              <w:jc w:val="right"/>
              <w:rPr>
                <w:rFonts w:ascii="Arial" w:hAnsi="Arial" w:cs="Arial"/>
                <w:b/>
                <w:bCs/>
                <w:sz w:val="16"/>
                <w:szCs w:val="16"/>
              </w:rPr>
            </w:pPr>
            <w:r w:rsidRPr="00001811">
              <w:rPr>
                <w:rFonts w:ascii="Arial" w:hAnsi="Arial" w:cs="Arial"/>
                <w:b/>
                <w:bCs/>
                <w:sz w:val="16"/>
                <w:szCs w:val="16"/>
              </w:rPr>
              <w:t>30,892</w:t>
            </w:r>
          </w:p>
        </w:tc>
        <w:tc>
          <w:tcPr>
            <w:tcW w:w="539" w:type="pct"/>
            <w:tcBorders>
              <w:top w:val="single" w:sz="4" w:space="0" w:color="auto"/>
              <w:left w:val="nil"/>
              <w:bottom w:val="single" w:sz="4" w:space="0" w:color="auto"/>
              <w:right w:val="nil"/>
            </w:tcBorders>
            <w:shd w:val="clear" w:color="auto" w:fill="auto"/>
            <w:noWrap/>
            <w:vAlign w:val="bottom"/>
            <w:hideMark/>
          </w:tcPr>
          <w:p w14:paraId="0C548F41" w14:textId="2C985B66" w:rsidR="00001811" w:rsidRPr="00001811" w:rsidRDefault="00001811" w:rsidP="00001811">
            <w:pPr>
              <w:spacing w:after="0" w:line="240" w:lineRule="auto"/>
              <w:jc w:val="right"/>
              <w:rPr>
                <w:rFonts w:ascii="Arial" w:hAnsi="Arial" w:cs="Arial"/>
                <w:b/>
                <w:bCs/>
                <w:sz w:val="16"/>
                <w:szCs w:val="16"/>
              </w:rPr>
            </w:pPr>
            <w:r w:rsidRPr="00001811">
              <w:rPr>
                <w:rFonts w:ascii="Arial" w:hAnsi="Arial" w:cs="Arial"/>
                <w:b/>
                <w:bCs/>
                <w:sz w:val="16"/>
                <w:szCs w:val="16"/>
              </w:rPr>
              <w:t>30,622</w:t>
            </w:r>
          </w:p>
        </w:tc>
        <w:tc>
          <w:tcPr>
            <w:tcW w:w="582" w:type="pct"/>
            <w:gridSpan w:val="2"/>
            <w:tcBorders>
              <w:top w:val="single" w:sz="4" w:space="0" w:color="auto"/>
              <w:left w:val="nil"/>
              <w:bottom w:val="single" w:sz="4" w:space="0" w:color="auto"/>
              <w:right w:val="nil"/>
            </w:tcBorders>
            <w:shd w:val="clear" w:color="auto" w:fill="auto"/>
            <w:noWrap/>
            <w:vAlign w:val="bottom"/>
            <w:hideMark/>
          </w:tcPr>
          <w:p w14:paraId="23087ACB" w14:textId="6BF72D52" w:rsidR="00001811" w:rsidRPr="00001811" w:rsidRDefault="00001811" w:rsidP="00001811">
            <w:pPr>
              <w:spacing w:after="0" w:line="240" w:lineRule="auto"/>
              <w:jc w:val="right"/>
              <w:rPr>
                <w:rFonts w:ascii="Arial" w:hAnsi="Arial" w:cs="Arial"/>
                <w:b/>
                <w:bCs/>
                <w:sz w:val="16"/>
                <w:szCs w:val="16"/>
              </w:rPr>
            </w:pPr>
            <w:r w:rsidRPr="00001811">
              <w:rPr>
                <w:rFonts w:ascii="Arial" w:hAnsi="Arial" w:cs="Arial"/>
                <w:b/>
                <w:bCs/>
                <w:sz w:val="16"/>
                <w:szCs w:val="16"/>
              </w:rPr>
              <w:t>29,763</w:t>
            </w:r>
          </w:p>
        </w:tc>
      </w:tr>
    </w:tbl>
    <w:p w14:paraId="085CD546" w14:textId="3940CE45" w:rsidR="00581F55" w:rsidRDefault="00581F55">
      <w:pPr>
        <w:spacing w:after="0" w:line="240" w:lineRule="auto"/>
      </w:pPr>
      <w:r>
        <w:br w:type="page"/>
      </w:r>
    </w:p>
    <w:p w14:paraId="0636064F" w14:textId="77777777" w:rsidR="009D1D35" w:rsidRDefault="009D1D35">
      <w:pPr>
        <w:spacing w:after="0" w:line="240" w:lineRule="auto"/>
      </w:pPr>
    </w:p>
    <w:p w14:paraId="29CEC180" w14:textId="77777777" w:rsidR="00581F55" w:rsidRDefault="00581F55" w:rsidP="00581F55">
      <w:pPr>
        <w:pStyle w:val="TableHeading"/>
      </w:pPr>
      <w:r w:rsidRPr="00C141F6">
        <w:t>Table 2.</w:t>
      </w:r>
      <w:r>
        <w:t>4</w:t>
      </w:r>
      <w:r w:rsidRPr="00C141F6">
        <w:t>.1: Budgeted expenses for Outcome 4</w:t>
      </w:r>
      <w:r>
        <w:t xml:space="preserve"> (continued)</w:t>
      </w:r>
    </w:p>
    <w:tbl>
      <w:tblPr>
        <w:tblW w:w="7682" w:type="dxa"/>
        <w:tblLook w:val="04A0" w:firstRow="1" w:lastRow="0" w:firstColumn="1" w:lastColumn="0" w:noHBand="0" w:noVBand="1"/>
      </w:tblPr>
      <w:tblGrid>
        <w:gridCol w:w="3221"/>
        <w:gridCol w:w="928"/>
        <w:gridCol w:w="24"/>
        <w:gridCol w:w="834"/>
        <w:gridCol w:w="34"/>
        <w:gridCol w:w="837"/>
        <w:gridCol w:w="43"/>
        <w:gridCol w:w="828"/>
        <w:gridCol w:w="52"/>
        <w:gridCol w:w="819"/>
        <w:gridCol w:w="62"/>
      </w:tblGrid>
      <w:tr w:rsidR="00581F55" w:rsidRPr="00581F55" w14:paraId="0B6E36BD" w14:textId="77777777" w:rsidTr="007B5C33">
        <w:trPr>
          <w:gridAfter w:val="1"/>
          <w:wAfter w:w="62" w:type="dxa"/>
          <w:trHeight w:val="204"/>
        </w:trPr>
        <w:tc>
          <w:tcPr>
            <w:tcW w:w="3221" w:type="dxa"/>
            <w:tcBorders>
              <w:top w:val="single" w:sz="4" w:space="0" w:color="auto"/>
              <w:left w:val="nil"/>
              <w:bottom w:val="nil"/>
              <w:right w:val="nil"/>
            </w:tcBorders>
            <w:shd w:val="clear" w:color="auto" w:fill="auto"/>
            <w:noWrap/>
            <w:vAlign w:val="bottom"/>
            <w:hideMark/>
          </w:tcPr>
          <w:p w14:paraId="7957006A" w14:textId="77777777" w:rsidR="00581F55" w:rsidRPr="00581F55" w:rsidRDefault="00581F55" w:rsidP="00581F55">
            <w:pPr>
              <w:spacing w:after="0" w:line="240" w:lineRule="auto"/>
              <w:rPr>
                <w:rFonts w:ascii="Arial" w:hAnsi="Arial" w:cs="Arial"/>
                <w:sz w:val="16"/>
                <w:szCs w:val="16"/>
              </w:rPr>
            </w:pPr>
            <w:r w:rsidRPr="00581F55">
              <w:rPr>
                <w:rFonts w:ascii="Arial" w:hAnsi="Arial" w:cs="Arial"/>
                <w:sz w:val="16"/>
                <w:szCs w:val="16"/>
              </w:rPr>
              <w:t> </w:t>
            </w:r>
          </w:p>
        </w:tc>
        <w:tc>
          <w:tcPr>
            <w:tcW w:w="928" w:type="dxa"/>
            <w:tcBorders>
              <w:top w:val="single" w:sz="4" w:space="0" w:color="auto"/>
              <w:left w:val="nil"/>
              <w:bottom w:val="nil"/>
              <w:right w:val="nil"/>
            </w:tcBorders>
            <w:shd w:val="clear" w:color="auto" w:fill="auto"/>
            <w:vAlign w:val="bottom"/>
            <w:hideMark/>
          </w:tcPr>
          <w:p w14:paraId="19B7E2B6" w14:textId="451C7C09" w:rsidR="00581F55" w:rsidRPr="00581F55" w:rsidRDefault="00581F55" w:rsidP="00581F55">
            <w:pPr>
              <w:spacing w:after="0" w:line="240" w:lineRule="auto"/>
              <w:jc w:val="right"/>
              <w:rPr>
                <w:rFonts w:ascii="Arial" w:hAnsi="Arial" w:cs="Arial"/>
                <w:sz w:val="16"/>
                <w:szCs w:val="16"/>
              </w:rPr>
            </w:pPr>
            <w:r w:rsidRPr="00581F55">
              <w:rPr>
                <w:rFonts w:ascii="Arial" w:hAnsi="Arial" w:cs="Arial"/>
                <w:sz w:val="16"/>
                <w:szCs w:val="16"/>
              </w:rPr>
              <w:t>2022-23</w:t>
            </w:r>
            <w:r w:rsidRPr="00581F55">
              <w:rPr>
                <w:rFonts w:ascii="Arial" w:hAnsi="Arial" w:cs="Arial"/>
                <w:sz w:val="16"/>
                <w:szCs w:val="16"/>
              </w:rPr>
              <w:br/>
              <w:t>Estimated actual</w:t>
            </w:r>
            <w:r w:rsidRPr="00581F55">
              <w:rPr>
                <w:rFonts w:ascii="Arial" w:hAnsi="Arial" w:cs="Arial"/>
                <w:sz w:val="16"/>
                <w:szCs w:val="16"/>
              </w:rPr>
              <w:br/>
              <w:t>$'000</w:t>
            </w:r>
          </w:p>
        </w:tc>
        <w:tc>
          <w:tcPr>
            <w:tcW w:w="858" w:type="dxa"/>
            <w:gridSpan w:val="2"/>
            <w:tcBorders>
              <w:top w:val="single" w:sz="4" w:space="0" w:color="auto"/>
              <w:left w:val="nil"/>
              <w:bottom w:val="nil"/>
              <w:right w:val="nil"/>
            </w:tcBorders>
            <w:shd w:val="clear" w:color="000000" w:fill="E6E6E6"/>
            <w:vAlign w:val="bottom"/>
            <w:hideMark/>
          </w:tcPr>
          <w:p w14:paraId="3E8131DD" w14:textId="77777777" w:rsidR="00581F55" w:rsidRPr="00581F55" w:rsidRDefault="00581F55" w:rsidP="00581F55">
            <w:pPr>
              <w:spacing w:after="0" w:line="240" w:lineRule="auto"/>
              <w:jc w:val="right"/>
              <w:rPr>
                <w:rFonts w:ascii="Arial" w:hAnsi="Arial" w:cs="Arial"/>
                <w:sz w:val="16"/>
                <w:szCs w:val="16"/>
              </w:rPr>
            </w:pPr>
            <w:r w:rsidRPr="00581F55">
              <w:rPr>
                <w:rFonts w:ascii="Arial" w:hAnsi="Arial" w:cs="Arial"/>
                <w:sz w:val="16"/>
                <w:szCs w:val="16"/>
              </w:rPr>
              <w:t>2023-24</w:t>
            </w:r>
            <w:r w:rsidRPr="00581F55">
              <w:rPr>
                <w:rFonts w:ascii="Arial" w:hAnsi="Arial" w:cs="Arial"/>
                <w:sz w:val="16"/>
                <w:szCs w:val="16"/>
              </w:rPr>
              <w:br/>
              <w:t xml:space="preserve"> Budget</w:t>
            </w:r>
            <w:r w:rsidRPr="00581F55">
              <w:rPr>
                <w:rFonts w:ascii="Arial" w:hAnsi="Arial" w:cs="Arial"/>
                <w:sz w:val="16"/>
                <w:szCs w:val="16"/>
              </w:rPr>
              <w:br/>
              <w:t xml:space="preserve">                                      $'000</w:t>
            </w:r>
          </w:p>
        </w:tc>
        <w:tc>
          <w:tcPr>
            <w:tcW w:w="871" w:type="dxa"/>
            <w:gridSpan w:val="2"/>
            <w:tcBorders>
              <w:top w:val="single" w:sz="4" w:space="0" w:color="auto"/>
              <w:left w:val="nil"/>
              <w:bottom w:val="nil"/>
              <w:right w:val="nil"/>
            </w:tcBorders>
            <w:shd w:val="clear" w:color="auto" w:fill="auto"/>
            <w:vAlign w:val="bottom"/>
            <w:hideMark/>
          </w:tcPr>
          <w:p w14:paraId="7D62CBA4" w14:textId="77777777" w:rsidR="00581F55" w:rsidRPr="00581F55" w:rsidRDefault="00581F55" w:rsidP="00581F55">
            <w:pPr>
              <w:spacing w:after="0" w:line="240" w:lineRule="auto"/>
              <w:jc w:val="right"/>
              <w:rPr>
                <w:rFonts w:ascii="Arial" w:hAnsi="Arial" w:cs="Arial"/>
                <w:sz w:val="16"/>
                <w:szCs w:val="16"/>
              </w:rPr>
            </w:pPr>
            <w:r w:rsidRPr="00581F55">
              <w:rPr>
                <w:rFonts w:ascii="Arial" w:hAnsi="Arial" w:cs="Arial"/>
                <w:sz w:val="16"/>
                <w:szCs w:val="16"/>
              </w:rPr>
              <w:t>2024-25</w:t>
            </w:r>
            <w:r w:rsidRPr="00581F55">
              <w:rPr>
                <w:rFonts w:ascii="Arial" w:hAnsi="Arial" w:cs="Arial"/>
                <w:sz w:val="16"/>
                <w:szCs w:val="16"/>
              </w:rPr>
              <w:br/>
              <w:t>Forward estimate</w:t>
            </w:r>
            <w:r w:rsidRPr="00581F55">
              <w:rPr>
                <w:rFonts w:ascii="Arial" w:hAnsi="Arial" w:cs="Arial"/>
                <w:sz w:val="16"/>
                <w:szCs w:val="16"/>
              </w:rPr>
              <w:br/>
              <w:t>$'000</w:t>
            </w:r>
          </w:p>
        </w:tc>
        <w:tc>
          <w:tcPr>
            <w:tcW w:w="871" w:type="dxa"/>
            <w:gridSpan w:val="2"/>
            <w:tcBorders>
              <w:top w:val="single" w:sz="4" w:space="0" w:color="auto"/>
              <w:left w:val="nil"/>
              <w:bottom w:val="nil"/>
              <w:right w:val="nil"/>
            </w:tcBorders>
            <w:shd w:val="clear" w:color="auto" w:fill="auto"/>
            <w:vAlign w:val="bottom"/>
            <w:hideMark/>
          </w:tcPr>
          <w:p w14:paraId="522B430B" w14:textId="77777777" w:rsidR="00581F55" w:rsidRPr="00581F55" w:rsidRDefault="00581F55" w:rsidP="00581F55">
            <w:pPr>
              <w:spacing w:after="0" w:line="240" w:lineRule="auto"/>
              <w:jc w:val="right"/>
              <w:rPr>
                <w:rFonts w:ascii="Arial" w:hAnsi="Arial" w:cs="Arial"/>
                <w:sz w:val="16"/>
                <w:szCs w:val="16"/>
              </w:rPr>
            </w:pPr>
            <w:r w:rsidRPr="00581F55">
              <w:rPr>
                <w:rFonts w:ascii="Arial" w:hAnsi="Arial" w:cs="Arial"/>
                <w:sz w:val="16"/>
                <w:szCs w:val="16"/>
              </w:rPr>
              <w:t>2025-26</w:t>
            </w:r>
            <w:r w:rsidRPr="00581F55">
              <w:rPr>
                <w:rFonts w:ascii="Arial" w:hAnsi="Arial" w:cs="Arial"/>
                <w:sz w:val="16"/>
                <w:szCs w:val="16"/>
              </w:rPr>
              <w:br/>
              <w:t>Forward estimate</w:t>
            </w:r>
            <w:r w:rsidRPr="00581F55">
              <w:rPr>
                <w:rFonts w:ascii="Arial" w:hAnsi="Arial" w:cs="Arial"/>
                <w:sz w:val="16"/>
                <w:szCs w:val="16"/>
              </w:rPr>
              <w:br/>
              <w:t>$'000</w:t>
            </w:r>
          </w:p>
        </w:tc>
        <w:tc>
          <w:tcPr>
            <w:tcW w:w="871" w:type="dxa"/>
            <w:gridSpan w:val="2"/>
            <w:tcBorders>
              <w:top w:val="single" w:sz="4" w:space="0" w:color="auto"/>
              <w:left w:val="nil"/>
              <w:bottom w:val="nil"/>
              <w:right w:val="nil"/>
            </w:tcBorders>
            <w:shd w:val="clear" w:color="auto" w:fill="auto"/>
            <w:vAlign w:val="bottom"/>
            <w:hideMark/>
          </w:tcPr>
          <w:p w14:paraId="60B7EF8F" w14:textId="77777777" w:rsidR="00581F55" w:rsidRPr="00581F55" w:rsidRDefault="00581F55" w:rsidP="00581F55">
            <w:pPr>
              <w:spacing w:after="0" w:line="240" w:lineRule="auto"/>
              <w:jc w:val="right"/>
              <w:rPr>
                <w:rFonts w:ascii="Arial" w:hAnsi="Arial" w:cs="Arial"/>
                <w:sz w:val="16"/>
                <w:szCs w:val="16"/>
              </w:rPr>
            </w:pPr>
            <w:r w:rsidRPr="00581F55">
              <w:rPr>
                <w:rFonts w:ascii="Arial" w:hAnsi="Arial" w:cs="Arial"/>
                <w:sz w:val="16"/>
                <w:szCs w:val="16"/>
              </w:rPr>
              <w:t>2026-27</w:t>
            </w:r>
            <w:r w:rsidRPr="00581F55">
              <w:rPr>
                <w:rFonts w:ascii="Arial" w:hAnsi="Arial" w:cs="Arial"/>
                <w:sz w:val="16"/>
                <w:szCs w:val="16"/>
              </w:rPr>
              <w:br/>
              <w:t>Forward estimate</w:t>
            </w:r>
            <w:r w:rsidRPr="00581F55">
              <w:rPr>
                <w:rFonts w:ascii="Arial" w:hAnsi="Arial" w:cs="Arial"/>
                <w:sz w:val="16"/>
                <w:szCs w:val="16"/>
              </w:rPr>
              <w:br/>
              <w:t>$'000</w:t>
            </w:r>
          </w:p>
        </w:tc>
      </w:tr>
      <w:tr w:rsidR="00581F55" w:rsidRPr="00581F55" w14:paraId="4ACCAF29" w14:textId="77777777" w:rsidTr="007B5C33">
        <w:trPr>
          <w:trHeight w:val="204"/>
        </w:trPr>
        <w:tc>
          <w:tcPr>
            <w:tcW w:w="4173" w:type="dxa"/>
            <w:gridSpan w:val="3"/>
            <w:tcBorders>
              <w:top w:val="single" w:sz="4" w:space="0" w:color="auto"/>
              <w:left w:val="nil"/>
              <w:bottom w:val="single" w:sz="4" w:space="0" w:color="auto"/>
              <w:right w:val="nil"/>
            </w:tcBorders>
            <w:shd w:val="clear" w:color="000000" w:fill="E6E6E6"/>
            <w:noWrap/>
            <w:vAlign w:val="bottom"/>
            <w:hideMark/>
          </w:tcPr>
          <w:p w14:paraId="61B08BB7" w14:textId="77777777" w:rsidR="00581F55" w:rsidRPr="00581F55" w:rsidRDefault="00581F55" w:rsidP="00581F55">
            <w:pPr>
              <w:spacing w:after="0" w:line="240" w:lineRule="auto"/>
              <w:rPr>
                <w:rFonts w:ascii="Arial" w:hAnsi="Arial" w:cs="Arial"/>
                <w:b/>
                <w:bCs/>
                <w:sz w:val="16"/>
                <w:szCs w:val="16"/>
              </w:rPr>
            </w:pPr>
            <w:r w:rsidRPr="00581F55">
              <w:rPr>
                <w:rFonts w:ascii="Arial" w:hAnsi="Arial" w:cs="Arial"/>
                <w:b/>
                <w:bCs/>
                <w:sz w:val="16"/>
                <w:szCs w:val="16"/>
              </w:rPr>
              <w:t>Outcome 4 Totals by appropriation type</w:t>
            </w:r>
          </w:p>
        </w:tc>
        <w:tc>
          <w:tcPr>
            <w:tcW w:w="868" w:type="dxa"/>
            <w:gridSpan w:val="2"/>
            <w:tcBorders>
              <w:top w:val="single" w:sz="4" w:space="0" w:color="auto"/>
              <w:left w:val="nil"/>
              <w:bottom w:val="single" w:sz="4" w:space="0" w:color="auto"/>
              <w:right w:val="nil"/>
            </w:tcBorders>
            <w:shd w:val="clear" w:color="000000" w:fill="E6E6E6"/>
            <w:noWrap/>
            <w:vAlign w:val="bottom"/>
            <w:hideMark/>
          </w:tcPr>
          <w:p w14:paraId="4CECDF9E" w14:textId="77777777" w:rsidR="00581F55" w:rsidRPr="00581F55" w:rsidRDefault="00581F55" w:rsidP="007B5C33">
            <w:pPr>
              <w:spacing w:after="0" w:line="240" w:lineRule="auto"/>
              <w:jc w:val="right"/>
              <w:rPr>
                <w:rFonts w:ascii="Arial" w:hAnsi="Arial" w:cs="Arial"/>
                <w:sz w:val="16"/>
                <w:szCs w:val="16"/>
              </w:rPr>
            </w:pPr>
            <w:r w:rsidRPr="00581F55">
              <w:rPr>
                <w:rFonts w:ascii="Arial" w:hAnsi="Arial" w:cs="Arial"/>
                <w:sz w:val="16"/>
                <w:szCs w:val="16"/>
              </w:rPr>
              <w:t> </w:t>
            </w:r>
          </w:p>
        </w:tc>
        <w:tc>
          <w:tcPr>
            <w:tcW w:w="880" w:type="dxa"/>
            <w:gridSpan w:val="2"/>
            <w:tcBorders>
              <w:top w:val="single" w:sz="4" w:space="0" w:color="auto"/>
              <w:left w:val="nil"/>
              <w:bottom w:val="single" w:sz="4" w:space="0" w:color="auto"/>
              <w:right w:val="nil"/>
            </w:tcBorders>
            <w:shd w:val="clear" w:color="000000" w:fill="E6E6E6"/>
            <w:noWrap/>
            <w:vAlign w:val="bottom"/>
            <w:hideMark/>
          </w:tcPr>
          <w:p w14:paraId="364B9F12" w14:textId="77777777" w:rsidR="00581F55" w:rsidRPr="00581F55" w:rsidRDefault="00581F55" w:rsidP="007B5C33">
            <w:pPr>
              <w:spacing w:after="0" w:line="240" w:lineRule="auto"/>
              <w:jc w:val="right"/>
              <w:rPr>
                <w:rFonts w:ascii="Arial" w:hAnsi="Arial" w:cs="Arial"/>
                <w:sz w:val="16"/>
                <w:szCs w:val="16"/>
              </w:rPr>
            </w:pPr>
            <w:r w:rsidRPr="00581F55">
              <w:rPr>
                <w:rFonts w:ascii="Arial" w:hAnsi="Arial" w:cs="Arial"/>
                <w:sz w:val="16"/>
                <w:szCs w:val="16"/>
              </w:rPr>
              <w:t> </w:t>
            </w:r>
          </w:p>
        </w:tc>
        <w:tc>
          <w:tcPr>
            <w:tcW w:w="880" w:type="dxa"/>
            <w:gridSpan w:val="2"/>
            <w:tcBorders>
              <w:top w:val="single" w:sz="4" w:space="0" w:color="auto"/>
              <w:left w:val="nil"/>
              <w:bottom w:val="single" w:sz="4" w:space="0" w:color="auto"/>
              <w:right w:val="nil"/>
            </w:tcBorders>
            <w:shd w:val="clear" w:color="000000" w:fill="E6E6E6"/>
            <w:noWrap/>
            <w:vAlign w:val="bottom"/>
            <w:hideMark/>
          </w:tcPr>
          <w:p w14:paraId="0E2233E2" w14:textId="77777777" w:rsidR="00581F55" w:rsidRPr="00581F55" w:rsidRDefault="00581F55" w:rsidP="007B5C33">
            <w:pPr>
              <w:spacing w:after="0" w:line="240" w:lineRule="auto"/>
              <w:jc w:val="right"/>
              <w:rPr>
                <w:rFonts w:ascii="Arial" w:hAnsi="Arial" w:cs="Arial"/>
                <w:sz w:val="16"/>
                <w:szCs w:val="16"/>
              </w:rPr>
            </w:pPr>
            <w:r w:rsidRPr="00581F55">
              <w:rPr>
                <w:rFonts w:ascii="Arial" w:hAnsi="Arial" w:cs="Arial"/>
                <w:sz w:val="16"/>
                <w:szCs w:val="16"/>
              </w:rPr>
              <w:t> </w:t>
            </w:r>
          </w:p>
        </w:tc>
        <w:tc>
          <w:tcPr>
            <w:tcW w:w="881" w:type="dxa"/>
            <w:gridSpan w:val="2"/>
            <w:tcBorders>
              <w:top w:val="single" w:sz="4" w:space="0" w:color="auto"/>
              <w:left w:val="nil"/>
              <w:bottom w:val="single" w:sz="4" w:space="0" w:color="auto"/>
              <w:right w:val="nil"/>
            </w:tcBorders>
            <w:shd w:val="clear" w:color="000000" w:fill="E6E6E6"/>
            <w:noWrap/>
            <w:vAlign w:val="bottom"/>
            <w:hideMark/>
          </w:tcPr>
          <w:p w14:paraId="512D1D5F" w14:textId="77777777" w:rsidR="00581F55" w:rsidRPr="00581F55" w:rsidRDefault="00581F55" w:rsidP="007B5C33">
            <w:pPr>
              <w:spacing w:after="0" w:line="240" w:lineRule="auto"/>
              <w:jc w:val="right"/>
              <w:rPr>
                <w:rFonts w:ascii="Arial" w:hAnsi="Arial" w:cs="Arial"/>
                <w:sz w:val="16"/>
                <w:szCs w:val="16"/>
              </w:rPr>
            </w:pPr>
            <w:r w:rsidRPr="00581F55">
              <w:rPr>
                <w:rFonts w:ascii="Arial" w:hAnsi="Arial" w:cs="Arial"/>
                <w:sz w:val="16"/>
                <w:szCs w:val="16"/>
              </w:rPr>
              <w:t> </w:t>
            </w:r>
          </w:p>
        </w:tc>
      </w:tr>
      <w:tr w:rsidR="00581F55" w:rsidRPr="00581F55" w14:paraId="735E6058" w14:textId="77777777" w:rsidTr="007B5C33">
        <w:trPr>
          <w:trHeight w:val="204"/>
        </w:trPr>
        <w:tc>
          <w:tcPr>
            <w:tcW w:w="3221" w:type="dxa"/>
            <w:tcBorders>
              <w:top w:val="nil"/>
              <w:left w:val="nil"/>
              <w:bottom w:val="nil"/>
              <w:right w:val="nil"/>
            </w:tcBorders>
            <w:shd w:val="clear" w:color="auto" w:fill="auto"/>
            <w:noWrap/>
            <w:vAlign w:val="bottom"/>
            <w:hideMark/>
          </w:tcPr>
          <w:p w14:paraId="29689615" w14:textId="77777777" w:rsidR="00581F55" w:rsidRPr="00581F55" w:rsidRDefault="00581F55" w:rsidP="00581F55">
            <w:pPr>
              <w:spacing w:after="0" w:line="240" w:lineRule="auto"/>
              <w:rPr>
                <w:rFonts w:ascii="Arial" w:hAnsi="Arial" w:cs="Arial"/>
                <w:sz w:val="16"/>
                <w:szCs w:val="16"/>
              </w:rPr>
            </w:pPr>
            <w:r w:rsidRPr="00581F55">
              <w:rPr>
                <w:rFonts w:ascii="Arial" w:hAnsi="Arial" w:cs="Arial"/>
                <w:sz w:val="16"/>
                <w:szCs w:val="16"/>
              </w:rPr>
              <w:t>Administered expenses</w:t>
            </w:r>
          </w:p>
        </w:tc>
        <w:tc>
          <w:tcPr>
            <w:tcW w:w="952" w:type="dxa"/>
            <w:gridSpan w:val="2"/>
            <w:tcBorders>
              <w:top w:val="nil"/>
              <w:left w:val="nil"/>
              <w:bottom w:val="nil"/>
              <w:right w:val="nil"/>
            </w:tcBorders>
            <w:shd w:val="clear" w:color="auto" w:fill="auto"/>
            <w:noWrap/>
            <w:vAlign w:val="bottom"/>
            <w:hideMark/>
          </w:tcPr>
          <w:p w14:paraId="2C526378" w14:textId="77777777" w:rsidR="00581F55" w:rsidRPr="00581F55" w:rsidRDefault="00581F55" w:rsidP="00581F55">
            <w:pPr>
              <w:spacing w:after="0" w:line="240" w:lineRule="auto"/>
              <w:jc w:val="right"/>
              <w:rPr>
                <w:rFonts w:ascii="Arial" w:hAnsi="Arial" w:cs="Arial"/>
                <w:sz w:val="16"/>
                <w:szCs w:val="16"/>
              </w:rPr>
            </w:pPr>
          </w:p>
        </w:tc>
        <w:tc>
          <w:tcPr>
            <w:tcW w:w="868" w:type="dxa"/>
            <w:gridSpan w:val="2"/>
            <w:tcBorders>
              <w:top w:val="nil"/>
              <w:left w:val="nil"/>
              <w:bottom w:val="nil"/>
              <w:right w:val="nil"/>
            </w:tcBorders>
            <w:shd w:val="clear" w:color="000000" w:fill="E6E6E6"/>
            <w:noWrap/>
            <w:vAlign w:val="bottom"/>
            <w:hideMark/>
          </w:tcPr>
          <w:p w14:paraId="6FBEC324" w14:textId="5260C0EC" w:rsidR="00581F55" w:rsidRPr="00581F55" w:rsidRDefault="00581F55" w:rsidP="007B5C33">
            <w:pPr>
              <w:spacing w:after="0" w:line="240" w:lineRule="auto"/>
              <w:jc w:val="right"/>
              <w:rPr>
                <w:rFonts w:ascii="Arial" w:hAnsi="Arial" w:cs="Arial"/>
                <w:sz w:val="16"/>
                <w:szCs w:val="16"/>
              </w:rPr>
            </w:pPr>
          </w:p>
        </w:tc>
        <w:tc>
          <w:tcPr>
            <w:tcW w:w="880" w:type="dxa"/>
            <w:gridSpan w:val="2"/>
            <w:tcBorders>
              <w:top w:val="nil"/>
              <w:left w:val="nil"/>
              <w:bottom w:val="nil"/>
              <w:right w:val="nil"/>
            </w:tcBorders>
            <w:shd w:val="clear" w:color="auto" w:fill="auto"/>
            <w:noWrap/>
            <w:vAlign w:val="bottom"/>
            <w:hideMark/>
          </w:tcPr>
          <w:p w14:paraId="04512009" w14:textId="77777777" w:rsidR="00581F55" w:rsidRPr="00581F55" w:rsidRDefault="00581F55" w:rsidP="007B5C33">
            <w:pPr>
              <w:spacing w:after="0" w:line="240" w:lineRule="auto"/>
              <w:jc w:val="right"/>
              <w:rPr>
                <w:rFonts w:ascii="Arial" w:hAnsi="Arial" w:cs="Arial"/>
                <w:sz w:val="16"/>
                <w:szCs w:val="16"/>
              </w:rPr>
            </w:pPr>
          </w:p>
        </w:tc>
        <w:tc>
          <w:tcPr>
            <w:tcW w:w="880" w:type="dxa"/>
            <w:gridSpan w:val="2"/>
            <w:tcBorders>
              <w:top w:val="nil"/>
              <w:left w:val="nil"/>
              <w:bottom w:val="nil"/>
              <w:right w:val="nil"/>
            </w:tcBorders>
            <w:shd w:val="clear" w:color="auto" w:fill="auto"/>
            <w:noWrap/>
            <w:vAlign w:val="bottom"/>
            <w:hideMark/>
          </w:tcPr>
          <w:p w14:paraId="3746B8BC" w14:textId="77777777" w:rsidR="00581F55" w:rsidRPr="00581F55" w:rsidRDefault="00581F55" w:rsidP="007B5C33">
            <w:pPr>
              <w:spacing w:after="0" w:line="240" w:lineRule="auto"/>
              <w:jc w:val="right"/>
              <w:rPr>
                <w:rFonts w:ascii="Times New Roman" w:hAnsi="Times New Roman"/>
              </w:rPr>
            </w:pPr>
          </w:p>
        </w:tc>
        <w:tc>
          <w:tcPr>
            <w:tcW w:w="881" w:type="dxa"/>
            <w:gridSpan w:val="2"/>
            <w:tcBorders>
              <w:top w:val="nil"/>
              <w:left w:val="nil"/>
              <w:bottom w:val="nil"/>
              <w:right w:val="nil"/>
            </w:tcBorders>
            <w:shd w:val="clear" w:color="auto" w:fill="auto"/>
            <w:noWrap/>
            <w:vAlign w:val="bottom"/>
            <w:hideMark/>
          </w:tcPr>
          <w:p w14:paraId="2F29D85E" w14:textId="77777777" w:rsidR="00581F55" w:rsidRPr="00581F55" w:rsidRDefault="00581F55" w:rsidP="007B5C33">
            <w:pPr>
              <w:spacing w:after="0" w:line="240" w:lineRule="auto"/>
              <w:jc w:val="right"/>
              <w:rPr>
                <w:rFonts w:ascii="Times New Roman" w:hAnsi="Times New Roman"/>
              </w:rPr>
            </w:pPr>
          </w:p>
        </w:tc>
      </w:tr>
      <w:tr w:rsidR="007B5C33" w:rsidRPr="00581F55" w14:paraId="0E06E202" w14:textId="77777777" w:rsidTr="007B5C33">
        <w:trPr>
          <w:trHeight w:val="204"/>
        </w:trPr>
        <w:tc>
          <w:tcPr>
            <w:tcW w:w="3221" w:type="dxa"/>
            <w:tcBorders>
              <w:top w:val="nil"/>
              <w:left w:val="nil"/>
              <w:bottom w:val="nil"/>
              <w:right w:val="nil"/>
            </w:tcBorders>
            <w:shd w:val="clear" w:color="auto" w:fill="auto"/>
            <w:vAlign w:val="bottom"/>
            <w:hideMark/>
          </w:tcPr>
          <w:p w14:paraId="06A2F3C7" w14:textId="23ADC4D1" w:rsidR="007B5C33" w:rsidRPr="00581F55" w:rsidRDefault="007B5C33" w:rsidP="007B5C33">
            <w:pPr>
              <w:spacing w:after="0" w:line="240" w:lineRule="auto"/>
              <w:ind w:left="113"/>
              <w:rPr>
                <w:rFonts w:ascii="Arial" w:hAnsi="Arial" w:cs="Arial"/>
                <w:sz w:val="16"/>
                <w:szCs w:val="16"/>
              </w:rPr>
            </w:pPr>
            <w:r w:rsidRPr="00581F55">
              <w:rPr>
                <w:rFonts w:ascii="Arial" w:hAnsi="Arial" w:cs="Arial"/>
                <w:sz w:val="16"/>
                <w:szCs w:val="16"/>
              </w:rPr>
              <w:t>Ordinary annual services (Appropriation Bill No. 1)</w:t>
            </w:r>
          </w:p>
        </w:tc>
        <w:tc>
          <w:tcPr>
            <w:tcW w:w="952" w:type="dxa"/>
            <w:gridSpan w:val="2"/>
            <w:tcBorders>
              <w:top w:val="nil"/>
              <w:left w:val="nil"/>
              <w:bottom w:val="nil"/>
              <w:right w:val="nil"/>
            </w:tcBorders>
            <w:shd w:val="clear" w:color="auto" w:fill="auto"/>
            <w:noWrap/>
            <w:vAlign w:val="bottom"/>
            <w:hideMark/>
          </w:tcPr>
          <w:p w14:paraId="346ECAAC" w14:textId="62E23D87" w:rsidR="007B5C33" w:rsidRPr="00581F55" w:rsidRDefault="007B5C33" w:rsidP="007B5C33">
            <w:pPr>
              <w:spacing w:after="0" w:line="240" w:lineRule="auto"/>
              <w:jc w:val="right"/>
              <w:rPr>
                <w:rFonts w:ascii="Arial" w:hAnsi="Arial" w:cs="Arial"/>
                <w:sz w:val="16"/>
                <w:szCs w:val="16"/>
              </w:rPr>
            </w:pPr>
            <w:r>
              <w:rPr>
                <w:rFonts w:ascii="Arial" w:hAnsi="Arial" w:cs="Arial"/>
                <w:sz w:val="16"/>
                <w:szCs w:val="16"/>
              </w:rPr>
              <w:t>246,767</w:t>
            </w:r>
          </w:p>
        </w:tc>
        <w:tc>
          <w:tcPr>
            <w:tcW w:w="868" w:type="dxa"/>
            <w:gridSpan w:val="2"/>
            <w:tcBorders>
              <w:top w:val="nil"/>
              <w:left w:val="nil"/>
              <w:bottom w:val="nil"/>
              <w:right w:val="nil"/>
            </w:tcBorders>
            <w:shd w:val="clear" w:color="000000" w:fill="E6E6E6"/>
            <w:noWrap/>
            <w:vAlign w:val="bottom"/>
            <w:hideMark/>
          </w:tcPr>
          <w:p w14:paraId="1961F6DD" w14:textId="1C5F42AE" w:rsidR="007B5C33" w:rsidRPr="00581F55" w:rsidRDefault="007B5C33" w:rsidP="007B5C33">
            <w:pPr>
              <w:spacing w:after="0" w:line="240" w:lineRule="auto"/>
              <w:jc w:val="right"/>
              <w:rPr>
                <w:rFonts w:ascii="Arial" w:hAnsi="Arial" w:cs="Arial"/>
                <w:sz w:val="16"/>
                <w:szCs w:val="16"/>
              </w:rPr>
            </w:pPr>
            <w:r>
              <w:rPr>
                <w:rFonts w:ascii="Arial" w:hAnsi="Arial" w:cs="Arial"/>
                <w:sz w:val="16"/>
                <w:szCs w:val="16"/>
              </w:rPr>
              <w:t>192,954</w:t>
            </w:r>
          </w:p>
        </w:tc>
        <w:tc>
          <w:tcPr>
            <w:tcW w:w="880" w:type="dxa"/>
            <w:gridSpan w:val="2"/>
            <w:tcBorders>
              <w:top w:val="nil"/>
              <w:left w:val="nil"/>
              <w:bottom w:val="nil"/>
              <w:right w:val="nil"/>
            </w:tcBorders>
            <w:shd w:val="clear" w:color="auto" w:fill="auto"/>
            <w:noWrap/>
            <w:vAlign w:val="bottom"/>
            <w:hideMark/>
          </w:tcPr>
          <w:p w14:paraId="5E482F9C" w14:textId="0D8DD080" w:rsidR="007B5C33" w:rsidRPr="00581F55" w:rsidRDefault="007B5C33" w:rsidP="007B5C33">
            <w:pPr>
              <w:spacing w:after="0" w:line="240" w:lineRule="auto"/>
              <w:jc w:val="right"/>
              <w:rPr>
                <w:rFonts w:ascii="Arial" w:hAnsi="Arial" w:cs="Arial"/>
                <w:sz w:val="16"/>
                <w:szCs w:val="16"/>
              </w:rPr>
            </w:pPr>
            <w:r>
              <w:rPr>
                <w:rFonts w:ascii="Arial" w:hAnsi="Arial" w:cs="Arial"/>
                <w:sz w:val="16"/>
                <w:szCs w:val="16"/>
              </w:rPr>
              <w:t>193,724</w:t>
            </w:r>
          </w:p>
        </w:tc>
        <w:tc>
          <w:tcPr>
            <w:tcW w:w="880" w:type="dxa"/>
            <w:gridSpan w:val="2"/>
            <w:tcBorders>
              <w:top w:val="nil"/>
              <w:left w:val="nil"/>
              <w:bottom w:val="nil"/>
              <w:right w:val="nil"/>
            </w:tcBorders>
            <w:shd w:val="clear" w:color="auto" w:fill="auto"/>
            <w:noWrap/>
            <w:vAlign w:val="bottom"/>
            <w:hideMark/>
          </w:tcPr>
          <w:p w14:paraId="12575DC6" w14:textId="14847653" w:rsidR="007B5C33" w:rsidRPr="00581F55" w:rsidRDefault="007B5C33" w:rsidP="007B5C33">
            <w:pPr>
              <w:spacing w:after="0" w:line="240" w:lineRule="auto"/>
              <w:jc w:val="right"/>
              <w:rPr>
                <w:rFonts w:ascii="Arial" w:hAnsi="Arial" w:cs="Arial"/>
                <w:sz w:val="16"/>
                <w:szCs w:val="16"/>
              </w:rPr>
            </w:pPr>
            <w:r>
              <w:rPr>
                <w:rFonts w:ascii="Arial" w:hAnsi="Arial" w:cs="Arial"/>
                <w:sz w:val="16"/>
                <w:szCs w:val="16"/>
              </w:rPr>
              <w:t>186,109</w:t>
            </w:r>
          </w:p>
        </w:tc>
        <w:tc>
          <w:tcPr>
            <w:tcW w:w="881" w:type="dxa"/>
            <w:gridSpan w:val="2"/>
            <w:tcBorders>
              <w:top w:val="nil"/>
              <w:left w:val="nil"/>
              <w:bottom w:val="nil"/>
              <w:right w:val="nil"/>
            </w:tcBorders>
            <w:shd w:val="clear" w:color="auto" w:fill="auto"/>
            <w:noWrap/>
            <w:vAlign w:val="bottom"/>
            <w:hideMark/>
          </w:tcPr>
          <w:p w14:paraId="3CB53033" w14:textId="38BC0DFE" w:rsidR="007B5C33" w:rsidRPr="00581F55" w:rsidRDefault="007B5C33" w:rsidP="007B5C33">
            <w:pPr>
              <w:spacing w:after="0" w:line="240" w:lineRule="auto"/>
              <w:jc w:val="right"/>
              <w:rPr>
                <w:rFonts w:ascii="Arial" w:hAnsi="Arial" w:cs="Arial"/>
                <w:sz w:val="16"/>
                <w:szCs w:val="16"/>
              </w:rPr>
            </w:pPr>
            <w:r>
              <w:rPr>
                <w:rFonts w:ascii="Arial" w:hAnsi="Arial" w:cs="Arial"/>
                <w:sz w:val="16"/>
                <w:szCs w:val="16"/>
              </w:rPr>
              <w:t>170,193</w:t>
            </w:r>
          </w:p>
        </w:tc>
      </w:tr>
      <w:tr w:rsidR="007B5C33" w:rsidRPr="00581F55" w14:paraId="7FF648CD" w14:textId="77777777" w:rsidTr="007B5C33">
        <w:trPr>
          <w:trHeight w:val="204"/>
        </w:trPr>
        <w:tc>
          <w:tcPr>
            <w:tcW w:w="3221" w:type="dxa"/>
            <w:tcBorders>
              <w:top w:val="nil"/>
              <w:left w:val="nil"/>
              <w:bottom w:val="nil"/>
              <w:right w:val="nil"/>
            </w:tcBorders>
            <w:shd w:val="clear" w:color="auto" w:fill="auto"/>
            <w:noWrap/>
            <w:vAlign w:val="bottom"/>
            <w:hideMark/>
          </w:tcPr>
          <w:p w14:paraId="39191329" w14:textId="77777777" w:rsidR="007B5C33" w:rsidRPr="00581F55" w:rsidRDefault="007B5C33" w:rsidP="007B5C33">
            <w:pPr>
              <w:spacing w:after="0" w:line="240" w:lineRule="auto"/>
              <w:ind w:left="113"/>
              <w:rPr>
                <w:rFonts w:ascii="Arial" w:hAnsi="Arial" w:cs="Arial"/>
                <w:sz w:val="16"/>
                <w:szCs w:val="16"/>
              </w:rPr>
            </w:pPr>
            <w:r w:rsidRPr="00581F55">
              <w:rPr>
                <w:rFonts w:ascii="Arial" w:hAnsi="Arial" w:cs="Arial"/>
                <w:sz w:val="16"/>
                <w:szCs w:val="16"/>
              </w:rPr>
              <w:t>Special Accounts</w:t>
            </w:r>
          </w:p>
        </w:tc>
        <w:tc>
          <w:tcPr>
            <w:tcW w:w="952" w:type="dxa"/>
            <w:gridSpan w:val="2"/>
            <w:tcBorders>
              <w:top w:val="nil"/>
              <w:left w:val="nil"/>
              <w:bottom w:val="nil"/>
              <w:right w:val="nil"/>
            </w:tcBorders>
            <w:shd w:val="clear" w:color="auto" w:fill="auto"/>
            <w:noWrap/>
            <w:vAlign w:val="bottom"/>
            <w:hideMark/>
          </w:tcPr>
          <w:p w14:paraId="1200DAB9" w14:textId="217199D3" w:rsidR="007B5C33" w:rsidRPr="00581F55" w:rsidRDefault="007B5C33" w:rsidP="007B5C33">
            <w:pPr>
              <w:spacing w:after="0" w:line="240" w:lineRule="auto"/>
              <w:jc w:val="right"/>
              <w:rPr>
                <w:rFonts w:ascii="Arial" w:hAnsi="Arial" w:cs="Arial"/>
                <w:sz w:val="16"/>
                <w:szCs w:val="16"/>
              </w:rPr>
            </w:pPr>
            <w:r>
              <w:rPr>
                <w:rFonts w:ascii="Arial" w:hAnsi="Arial" w:cs="Arial"/>
                <w:sz w:val="16"/>
                <w:szCs w:val="16"/>
              </w:rPr>
              <w:t>19,934</w:t>
            </w:r>
          </w:p>
        </w:tc>
        <w:tc>
          <w:tcPr>
            <w:tcW w:w="868" w:type="dxa"/>
            <w:gridSpan w:val="2"/>
            <w:tcBorders>
              <w:top w:val="nil"/>
              <w:left w:val="nil"/>
              <w:bottom w:val="nil"/>
              <w:right w:val="nil"/>
            </w:tcBorders>
            <w:shd w:val="clear" w:color="000000" w:fill="E6E6E6"/>
            <w:noWrap/>
            <w:vAlign w:val="bottom"/>
            <w:hideMark/>
          </w:tcPr>
          <w:p w14:paraId="45D3A1FB" w14:textId="1E26F13F" w:rsidR="007B5C33" w:rsidRPr="00581F55" w:rsidRDefault="007B5C33" w:rsidP="007B5C33">
            <w:pPr>
              <w:spacing w:after="0" w:line="240" w:lineRule="auto"/>
              <w:jc w:val="right"/>
              <w:rPr>
                <w:rFonts w:ascii="Arial" w:hAnsi="Arial" w:cs="Arial"/>
                <w:sz w:val="16"/>
                <w:szCs w:val="16"/>
              </w:rPr>
            </w:pPr>
            <w:r>
              <w:rPr>
                <w:rFonts w:ascii="Arial" w:hAnsi="Arial" w:cs="Arial"/>
                <w:sz w:val="16"/>
                <w:szCs w:val="16"/>
              </w:rPr>
              <w:t>20,188</w:t>
            </w:r>
          </w:p>
        </w:tc>
        <w:tc>
          <w:tcPr>
            <w:tcW w:w="880" w:type="dxa"/>
            <w:gridSpan w:val="2"/>
            <w:tcBorders>
              <w:top w:val="nil"/>
              <w:left w:val="nil"/>
              <w:bottom w:val="nil"/>
              <w:right w:val="nil"/>
            </w:tcBorders>
            <w:shd w:val="clear" w:color="auto" w:fill="auto"/>
            <w:noWrap/>
            <w:vAlign w:val="bottom"/>
            <w:hideMark/>
          </w:tcPr>
          <w:p w14:paraId="62F9EB8E" w14:textId="5701BD33" w:rsidR="007B5C33" w:rsidRPr="00581F55" w:rsidRDefault="007B5C33" w:rsidP="007B5C33">
            <w:pPr>
              <w:spacing w:after="0" w:line="240" w:lineRule="auto"/>
              <w:jc w:val="right"/>
              <w:rPr>
                <w:rFonts w:ascii="Arial" w:hAnsi="Arial" w:cs="Arial"/>
                <w:sz w:val="16"/>
                <w:szCs w:val="16"/>
              </w:rPr>
            </w:pPr>
            <w:r>
              <w:rPr>
                <w:rFonts w:ascii="Arial" w:hAnsi="Arial" w:cs="Arial"/>
                <w:sz w:val="16"/>
                <w:szCs w:val="16"/>
              </w:rPr>
              <w:t>20,334</w:t>
            </w:r>
          </w:p>
        </w:tc>
        <w:tc>
          <w:tcPr>
            <w:tcW w:w="880" w:type="dxa"/>
            <w:gridSpan w:val="2"/>
            <w:tcBorders>
              <w:top w:val="nil"/>
              <w:left w:val="nil"/>
              <w:bottom w:val="nil"/>
              <w:right w:val="nil"/>
            </w:tcBorders>
            <w:shd w:val="clear" w:color="auto" w:fill="auto"/>
            <w:noWrap/>
            <w:vAlign w:val="bottom"/>
            <w:hideMark/>
          </w:tcPr>
          <w:p w14:paraId="28CE8A78" w14:textId="78C43A05" w:rsidR="007B5C33" w:rsidRPr="00581F55" w:rsidRDefault="007B5C33" w:rsidP="007B5C33">
            <w:pPr>
              <w:spacing w:after="0" w:line="240" w:lineRule="auto"/>
              <w:jc w:val="right"/>
              <w:rPr>
                <w:rFonts w:ascii="Arial" w:hAnsi="Arial" w:cs="Arial"/>
                <w:sz w:val="16"/>
                <w:szCs w:val="16"/>
              </w:rPr>
            </w:pPr>
            <w:r>
              <w:rPr>
                <w:rFonts w:ascii="Arial" w:hAnsi="Arial" w:cs="Arial"/>
                <w:sz w:val="16"/>
                <w:szCs w:val="16"/>
              </w:rPr>
              <w:t>20,873</w:t>
            </w:r>
          </w:p>
        </w:tc>
        <w:tc>
          <w:tcPr>
            <w:tcW w:w="881" w:type="dxa"/>
            <w:gridSpan w:val="2"/>
            <w:tcBorders>
              <w:top w:val="nil"/>
              <w:left w:val="nil"/>
              <w:bottom w:val="nil"/>
              <w:right w:val="nil"/>
            </w:tcBorders>
            <w:shd w:val="clear" w:color="auto" w:fill="auto"/>
            <w:noWrap/>
            <w:vAlign w:val="bottom"/>
            <w:hideMark/>
          </w:tcPr>
          <w:p w14:paraId="16A2D5F1" w14:textId="1AF2D29F" w:rsidR="007B5C33" w:rsidRPr="00581F55" w:rsidRDefault="007B5C33" w:rsidP="007B5C33">
            <w:pPr>
              <w:spacing w:after="0" w:line="240" w:lineRule="auto"/>
              <w:jc w:val="right"/>
              <w:rPr>
                <w:rFonts w:ascii="Arial" w:hAnsi="Arial" w:cs="Arial"/>
                <w:sz w:val="16"/>
                <w:szCs w:val="16"/>
              </w:rPr>
            </w:pPr>
            <w:r>
              <w:rPr>
                <w:rFonts w:ascii="Arial" w:hAnsi="Arial" w:cs="Arial"/>
                <w:sz w:val="16"/>
                <w:szCs w:val="16"/>
              </w:rPr>
              <w:t>20,873</w:t>
            </w:r>
          </w:p>
        </w:tc>
      </w:tr>
      <w:tr w:rsidR="007B5C33" w:rsidRPr="00581F55" w14:paraId="2F14EFD3" w14:textId="77777777" w:rsidTr="007B5C33">
        <w:trPr>
          <w:trHeight w:val="204"/>
        </w:trPr>
        <w:tc>
          <w:tcPr>
            <w:tcW w:w="3221" w:type="dxa"/>
            <w:tcBorders>
              <w:top w:val="nil"/>
              <w:left w:val="nil"/>
              <w:bottom w:val="nil"/>
              <w:right w:val="nil"/>
            </w:tcBorders>
            <w:shd w:val="clear" w:color="auto" w:fill="auto"/>
            <w:vAlign w:val="bottom"/>
            <w:hideMark/>
          </w:tcPr>
          <w:p w14:paraId="2653E0E7" w14:textId="1F0C1232" w:rsidR="007B5C33" w:rsidRPr="00581F55" w:rsidRDefault="007B5C33" w:rsidP="007B5C33">
            <w:pPr>
              <w:spacing w:after="0" w:line="240" w:lineRule="auto"/>
              <w:ind w:left="113"/>
              <w:rPr>
                <w:rFonts w:ascii="Arial" w:hAnsi="Arial" w:cs="Arial"/>
                <w:sz w:val="16"/>
                <w:szCs w:val="16"/>
              </w:rPr>
            </w:pPr>
            <w:r w:rsidRPr="00581F55">
              <w:rPr>
                <w:rFonts w:ascii="Arial" w:hAnsi="Arial" w:cs="Arial"/>
                <w:sz w:val="16"/>
                <w:szCs w:val="16"/>
              </w:rPr>
              <w:t>Expenses not requiring appropriation in the Budget year</w:t>
            </w:r>
            <w:r w:rsidRPr="00581F55">
              <w:rPr>
                <w:rFonts w:ascii="Arial" w:hAnsi="Arial" w:cs="Arial"/>
                <w:sz w:val="16"/>
                <w:szCs w:val="16"/>
                <w:vertAlign w:val="superscript"/>
              </w:rPr>
              <w:t>(a)</w:t>
            </w:r>
          </w:p>
        </w:tc>
        <w:tc>
          <w:tcPr>
            <w:tcW w:w="952" w:type="dxa"/>
            <w:gridSpan w:val="2"/>
            <w:tcBorders>
              <w:top w:val="nil"/>
              <w:left w:val="nil"/>
              <w:bottom w:val="nil"/>
              <w:right w:val="nil"/>
            </w:tcBorders>
            <w:shd w:val="clear" w:color="auto" w:fill="auto"/>
            <w:noWrap/>
            <w:vAlign w:val="bottom"/>
            <w:hideMark/>
          </w:tcPr>
          <w:p w14:paraId="7AE7BE47" w14:textId="7086DA87" w:rsidR="007B5C33" w:rsidRPr="00581F55" w:rsidRDefault="007B5C33" w:rsidP="007B5C33">
            <w:pPr>
              <w:spacing w:after="0" w:line="240" w:lineRule="auto"/>
              <w:jc w:val="right"/>
              <w:rPr>
                <w:rFonts w:ascii="Arial" w:hAnsi="Arial" w:cs="Arial"/>
                <w:sz w:val="16"/>
                <w:szCs w:val="16"/>
              </w:rPr>
            </w:pPr>
            <w:r>
              <w:rPr>
                <w:rFonts w:ascii="Arial" w:hAnsi="Arial" w:cs="Arial"/>
                <w:sz w:val="16"/>
                <w:szCs w:val="16"/>
              </w:rPr>
              <w:t>41,922</w:t>
            </w:r>
          </w:p>
        </w:tc>
        <w:tc>
          <w:tcPr>
            <w:tcW w:w="868" w:type="dxa"/>
            <w:gridSpan w:val="2"/>
            <w:tcBorders>
              <w:top w:val="nil"/>
              <w:left w:val="nil"/>
              <w:bottom w:val="nil"/>
              <w:right w:val="nil"/>
            </w:tcBorders>
            <w:shd w:val="clear" w:color="000000" w:fill="E6E6E6"/>
            <w:noWrap/>
            <w:vAlign w:val="bottom"/>
            <w:hideMark/>
          </w:tcPr>
          <w:p w14:paraId="277BAB1F" w14:textId="007A52CD" w:rsidR="007B5C33" w:rsidRPr="00581F55" w:rsidRDefault="007B5C33" w:rsidP="007B5C33">
            <w:pPr>
              <w:spacing w:after="0" w:line="240" w:lineRule="auto"/>
              <w:jc w:val="right"/>
              <w:rPr>
                <w:rFonts w:ascii="Arial" w:hAnsi="Arial" w:cs="Arial"/>
                <w:sz w:val="16"/>
                <w:szCs w:val="16"/>
              </w:rPr>
            </w:pPr>
            <w:r>
              <w:rPr>
                <w:rFonts w:ascii="Arial" w:hAnsi="Arial" w:cs="Arial"/>
                <w:sz w:val="16"/>
                <w:szCs w:val="16"/>
              </w:rPr>
              <w:t>49,398</w:t>
            </w:r>
          </w:p>
        </w:tc>
        <w:tc>
          <w:tcPr>
            <w:tcW w:w="880" w:type="dxa"/>
            <w:gridSpan w:val="2"/>
            <w:tcBorders>
              <w:top w:val="nil"/>
              <w:left w:val="nil"/>
              <w:bottom w:val="nil"/>
              <w:right w:val="nil"/>
            </w:tcBorders>
            <w:shd w:val="clear" w:color="auto" w:fill="auto"/>
            <w:noWrap/>
            <w:vAlign w:val="bottom"/>
            <w:hideMark/>
          </w:tcPr>
          <w:p w14:paraId="4E608B85" w14:textId="6FC7295C" w:rsidR="007B5C33" w:rsidRPr="00581F55" w:rsidRDefault="007B5C33" w:rsidP="007B5C33">
            <w:pPr>
              <w:spacing w:after="0" w:line="240" w:lineRule="auto"/>
              <w:jc w:val="right"/>
              <w:rPr>
                <w:rFonts w:ascii="Arial" w:hAnsi="Arial" w:cs="Arial"/>
                <w:sz w:val="16"/>
                <w:szCs w:val="16"/>
              </w:rPr>
            </w:pPr>
            <w:r>
              <w:rPr>
                <w:rFonts w:ascii="Arial" w:hAnsi="Arial" w:cs="Arial"/>
                <w:sz w:val="16"/>
                <w:szCs w:val="16"/>
              </w:rPr>
              <w:t>36,859</w:t>
            </w:r>
          </w:p>
        </w:tc>
        <w:tc>
          <w:tcPr>
            <w:tcW w:w="880" w:type="dxa"/>
            <w:gridSpan w:val="2"/>
            <w:tcBorders>
              <w:top w:val="nil"/>
              <w:left w:val="nil"/>
              <w:bottom w:val="nil"/>
              <w:right w:val="nil"/>
            </w:tcBorders>
            <w:shd w:val="clear" w:color="auto" w:fill="auto"/>
            <w:noWrap/>
            <w:vAlign w:val="bottom"/>
            <w:hideMark/>
          </w:tcPr>
          <w:p w14:paraId="68D53D30" w14:textId="468A92AD" w:rsidR="007B5C33" w:rsidRPr="00581F55" w:rsidRDefault="007B5C33" w:rsidP="007B5C33">
            <w:pPr>
              <w:spacing w:after="0" w:line="240" w:lineRule="auto"/>
              <w:jc w:val="right"/>
              <w:rPr>
                <w:rFonts w:ascii="Arial" w:hAnsi="Arial" w:cs="Arial"/>
                <w:sz w:val="16"/>
                <w:szCs w:val="16"/>
              </w:rPr>
            </w:pPr>
            <w:r>
              <w:rPr>
                <w:rFonts w:ascii="Arial" w:hAnsi="Arial" w:cs="Arial"/>
                <w:sz w:val="16"/>
                <w:szCs w:val="16"/>
              </w:rPr>
              <w:t>36,859</w:t>
            </w:r>
          </w:p>
        </w:tc>
        <w:tc>
          <w:tcPr>
            <w:tcW w:w="881" w:type="dxa"/>
            <w:gridSpan w:val="2"/>
            <w:tcBorders>
              <w:top w:val="nil"/>
              <w:left w:val="nil"/>
              <w:bottom w:val="nil"/>
              <w:right w:val="nil"/>
            </w:tcBorders>
            <w:shd w:val="clear" w:color="auto" w:fill="auto"/>
            <w:noWrap/>
            <w:vAlign w:val="bottom"/>
            <w:hideMark/>
          </w:tcPr>
          <w:p w14:paraId="57994C67" w14:textId="4D29DD93" w:rsidR="007B5C33" w:rsidRPr="00581F55" w:rsidRDefault="007B5C33" w:rsidP="007B5C33">
            <w:pPr>
              <w:spacing w:after="0" w:line="240" w:lineRule="auto"/>
              <w:jc w:val="right"/>
              <w:rPr>
                <w:rFonts w:ascii="Arial" w:hAnsi="Arial" w:cs="Arial"/>
                <w:sz w:val="16"/>
                <w:szCs w:val="16"/>
              </w:rPr>
            </w:pPr>
            <w:r>
              <w:rPr>
                <w:rFonts w:ascii="Arial" w:hAnsi="Arial" w:cs="Arial"/>
                <w:sz w:val="16"/>
                <w:szCs w:val="16"/>
              </w:rPr>
              <w:t>57,732</w:t>
            </w:r>
          </w:p>
        </w:tc>
      </w:tr>
      <w:tr w:rsidR="007B5C33" w:rsidRPr="00581F55" w14:paraId="340897FB" w14:textId="77777777" w:rsidTr="007B5C33">
        <w:trPr>
          <w:trHeight w:val="204"/>
        </w:trPr>
        <w:tc>
          <w:tcPr>
            <w:tcW w:w="3221" w:type="dxa"/>
            <w:tcBorders>
              <w:top w:val="nil"/>
              <w:left w:val="nil"/>
              <w:bottom w:val="nil"/>
              <w:right w:val="nil"/>
            </w:tcBorders>
            <w:shd w:val="clear" w:color="auto" w:fill="auto"/>
            <w:vAlign w:val="bottom"/>
            <w:hideMark/>
          </w:tcPr>
          <w:p w14:paraId="5141346A" w14:textId="6AF96D01" w:rsidR="007B5C33" w:rsidRPr="00581F55" w:rsidRDefault="0000369A" w:rsidP="007B5C33">
            <w:pPr>
              <w:spacing w:after="0" w:line="240" w:lineRule="auto"/>
              <w:jc w:val="right"/>
              <w:rPr>
                <w:rFonts w:ascii="Arial" w:hAnsi="Arial" w:cs="Arial"/>
                <w:b/>
                <w:bCs/>
                <w:sz w:val="16"/>
                <w:szCs w:val="16"/>
              </w:rPr>
            </w:pPr>
            <w:r>
              <w:rPr>
                <w:rFonts w:ascii="Arial" w:hAnsi="Arial" w:cs="Arial"/>
                <w:b/>
                <w:bCs/>
                <w:sz w:val="16"/>
                <w:szCs w:val="16"/>
              </w:rPr>
              <w:t>Total administered expenses</w:t>
            </w:r>
          </w:p>
        </w:tc>
        <w:tc>
          <w:tcPr>
            <w:tcW w:w="952" w:type="dxa"/>
            <w:gridSpan w:val="2"/>
            <w:tcBorders>
              <w:top w:val="single" w:sz="4" w:space="0" w:color="auto"/>
              <w:left w:val="nil"/>
              <w:bottom w:val="single" w:sz="4" w:space="0" w:color="auto"/>
              <w:right w:val="nil"/>
            </w:tcBorders>
            <w:shd w:val="clear" w:color="auto" w:fill="auto"/>
            <w:noWrap/>
            <w:vAlign w:val="bottom"/>
            <w:hideMark/>
          </w:tcPr>
          <w:p w14:paraId="4D849A47" w14:textId="5A262B5D" w:rsidR="007B5C33" w:rsidRPr="00581F55" w:rsidRDefault="007B5C33" w:rsidP="007B5C33">
            <w:pPr>
              <w:spacing w:after="0" w:line="240" w:lineRule="auto"/>
              <w:jc w:val="right"/>
              <w:rPr>
                <w:rFonts w:ascii="Arial" w:hAnsi="Arial" w:cs="Arial"/>
                <w:b/>
                <w:bCs/>
                <w:sz w:val="16"/>
                <w:szCs w:val="16"/>
              </w:rPr>
            </w:pPr>
            <w:r>
              <w:rPr>
                <w:rFonts w:ascii="Arial" w:hAnsi="Arial" w:cs="Arial"/>
                <w:b/>
                <w:bCs/>
                <w:sz w:val="16"/>
                <w:szCs w:val="16"/>
              </w:rPr>
              <w:t>308,623</w:t>
            </w:r>
          </w:p>
        </w:tc>
        <w:tc>
          <w:tcPr>
            <w:tcW w:w="868" w:type="dxa"/>
            <w:gridSpan w:val="2"/>
            <w:tcBorders>
              <w:top w:val="single" w:sz="4" w:space="0" w:color="auto"/>
              <w:left w:val="nil"/>
              <w:bottom w:val="single" w:sz="4" w:space="0" w:color="auto"/>
              <w:right w:val="nil"/>
            </w:tcBorders>
            <w:shd w:val="clear" w:color="000000" w:fill="E6E6E6"/>
            <w:noWrap/>
            <w:vAlign w:val="bottom"/>
            <w:hideMark/>
          </w:tcPr>
          <w:p w14:paraId="731F727A" w14:textId="055A7C42" w:rsidR="007B5C33" w:rsidRPr="00581F55" w:rsidRDefault="007B5C33" w:rsidP="007B5C33">
            <w:pPr>
              <w:spacing w:after="0" w:line="240" w:lineRule="auto"/>
              <w:jc w:val="right"/>
              <w:rPr>
                <w:rFonts w:ascii="Arial" w:hAnsi="Arial" w:cs="Arial"/>
                <w:b/>
                <w:bCs/>
                <w:sz w:val="16"/>
                <w:szCs w:val="16"/>
              </w:rPr>
            </w:pPr>
            <w:r>
              <w:rPr>
                <w:rFonts w:ascii="Arial" w:hAnsi="Arial" w:cs="Arial"/>
                <w:b/>
                <w:bCs/>
                <w:sz w:val="16"/>
                <w:szCs w:val="16"/>
              </w:rPr>
              <w:t>262,540</w:t>
            </w:r>
          </w:p>
        </w:tc>
        <w:tc>
          <w:tcPr>
            <w:tcW w:w="880" w:type="dxa"/>
            <w:gridSpan w:val="2"/>
            <w:tcBorders>
              <w:top w:val="single" w:sz="4" w:space="0" w:color="auto"/>
              <w:left w:val="nil"/>
              <w:bottom w:val="single" w:sz="4" w:space="0" w:color="auto"/>
              <w:right w:val="nil"/>
            </w:tcBorders>
            <w:shd w:val="clear" w:color="auto" w:fill="auto"/>
            <w:noWrap/>
            <w:vAlign w:val="bottom"/>
            <w:hideMark/>
          </w:tcPr>
          <w:p w14:paraId="1877A69D" w14:textId="7B5DB1E9" w:rsidR="007B5C33" w:rsidRPr="00581F55" w:rsidRDefault="007B5C33" w:rsidP="007B5C33">
            <w:pPr>
              <w:spacing w:after="0" w:line="240" w:lineRule="auto"/>
              <w:jc w:val="right"/>
              <w:rPr>
                <w:rFonts w:ascii="Arial" w:hAnsi="Arial" w:cs="Arial"/>
                <w:b/>
                <w:bCs/>
                <w:sz w:val="16"/>
                <w:szCs w:val="16"/>
              </w:rPr>
            </w:pPr>
            <w:r>
              <w:rPr>
                <w:rFonts w:ascii="Arial" w:hAnsi="Arial" w:cs="Arial"/>
                <w:b/>
                <w:bCs/>
                <w:sz w:val="16"/>
                <w:szCs w:val="16"/>
              </w:rPr>
              <w:t>250,917</w:t>
            </w:r>
          </w:p>
        </w:tc>
        <w:tc>
          <w:tcPr>
            <w:tcW w:w="880" w:type="dxa"/>
            <w:gridSpan w:val="2"/>
            <w:tcBorders>
              <w:top w:val="single" w:sz="4" w:space="0" w:color="auto"/>
              <w:left w:val="nil"/>
              <w:bottom w:val="single" w:sz="4" w:space="0" w:color="auto"/>
              <w:right w:val="nil"/>
            </w:tcBorders>
            <w:shd w:val="clear" w:color="auto" w:fill="auto"/>
            <w:noWrap/>
            <w:vAlign w:val="bottom"/>
            <w:hideMark/>
          </w:tcPr>
          <w:p w14:paraId="413F84EA" w14:textId="547F31DA" w:rsidR="007B5C33" w:rsidRPr="00581F55" w:rsidRDefault="007B5C33" w:rsidP="007B5C33">
            <w:pPr>
              <w:spacing w:after="0" w:line="240" w:lineRule="auto"/>
              <w:jc w:val="right"/>
              <w:rPr>
                <w:rFonts w:ascii="Arial" w:hAnsi="Arial" w:cs="Arial"/>
                <w:b/>
                <w:bCs/>
                <w:sz w:val="16"/>
                <w:szCs w:val="16"/>
              </w:rPr>
            </w:pPr>
            <w:r>
              <w:rPr>
                <w:rFonts w:ascii="Arial" w:hAnsi="Arial" w:cs="Arial"/>
                <w:b/>
                <w:bCs/>
                <w:sz w:val="16"/>
                <w:szCs w:val="16"/>
              </w:rPr>
              <w:t>243,841</w:t>
            </w:r>
          </w:p>
        </w:tc>
        <w:tc>
          <w:tcPr>
            <w:tcW w:w="881" w:type="dxa"/>
            <w:gridSpan w:val="2"/>
            <w:tcBorders>
              <w:top w:val="single" w:sz="4" w:space="0" w:color="auto"/>
              <w:left w:val="nil"/>
              <w:bottom w:val="single" w:sz="4" w:space="0" w:color="auto"/>
              <w:right w:val="nil"/>
            </w:tcBorders>
            <w:shd w:val="clear" w:color="auto" w:fill="auto"/>
            <w:noWrap/>
            <w:vAlign w:val="bottom"/>
            <w:hideMark/>
          </w:tcPr>
          <w:p w14:paraId="3CDAE178" w14:textId="2EA85BED" w:rsidR="007B5C33" w:rsidRPr="00581F55" w:rsidRDefault="007B5C33" w:rsidP="007B5C33">
            <w:pPr>
              <w:spacing w:after="0" w:line="240" w:lineRule="auto"/>
              <w:jc w:val="right"/>
              <w:rPr>
                <w:rFonts w:ascii="Arial" w:hAnsi="Arial" w:cs="Arial"/>
                <w:b/>
                <w:bCs/>
                <w:sz w:val="16"/>
                <w:szCs w:val="16"/>
              </w:rPr>
            </w:pPr>
            <w:r>
              <w:rPr>
                <w:rFonts w:ascii="Arial" w:hAnsi="Arial" w:cs="Arial"/>
                <w:b/>
                <w:bCs/>
                <w:sz w:val="16"/>
                <w:szCs w:val="16"/>
              </w:rPr>
              <w:t>248,798</w:t>
            </w:r>
          </w:p>
        </w:tc>
      </w:tr>
      <w:tr w:rsidR="007B5C33" w:rsidRPr="00581F55" w14:paraId="74DC6DE5" w14:textId="77777777" w:rsidTr="007B5C33">
        <w:trPr>
          <w:trHeight w:val="204"/>
        </w:trPr>
        <w:tc>
          <w:tcPr>
            <w:tcW w:w="3221" w:type="dxa"/>
            <w:tcBorders>
              <w:top w:val="nil"/>
              <w:left w:val="nil"/>
              <w:bottom w:val="nil"/>
              <w:right w:val="nil"/>
            </w:tcBorders>
            <w:shd w:val="clear" w:color="auto" w:fill="auto"/>
            <w:noWrap/>
            <w:vAlign w:val="bottom"/>
            <w:hideMark/>
          </w:tcPr>
          <w:p w14:paraId="48BB346D" w14:textId="77777777" w:rsidR="007B5C33" w:rsidRPr="00581F55" w:rsidRDefault="007B5C33" w:rsidP="007B5C33">
            <w:pPr>
              <w:spacing w:after="0" w:line="240" w:lineRule="auto"/>
              <w:rPr>
                <w:rFonts w:ascii="Arial" w:hAnsi="Arial" w:cs="Arial"/>
                <w:sz w:val="16"/>
                <w:szCs w:val="16"/>
              </w:rPr>
            </w:pPr>
            <w:r w:rsidRPr="00581F55">
              <w:rPr>
                <w:rFonts w:ascii="Arial" w:hAnsi="Arial" w:cs="Arial"/>
                <w:sz w:val="16"/>
                <w:szCs w:val="16"/>
              </w:rPr>
              <w:t>Departmental expenses</w:t>
            </w:r>
          </w:p>
        </w:tc>
        <w:tc>
          <w:tcPr>
            <w:tcW w:w="952" w:type="dxa"/>
            <w:gridSpan w:val="2"/>
            <w:tcBorders>
              <w:top w:val="nil"/>
              <w:left w:val="nil"/>
              <w:bottom w:val="nil"/>
              <w:right w:val="nil"/>
            </w:tcBorders>
            <w:shd w:val="clear" w:color="auto" w:fill="auto"/>
            <w:noWrap/>
            <w:vAlign w:val="bottom"/>
            <w:hideMark/>
          </w:tcPr>
          <w:p w14:paraId="50D714EF" w14:textId="77777777" w:rsidR="007B5C33" w:rsidRPr="00581F55" w:rsidRDefault="007B5C33" w:rsidP="007B5C33">
            <w:pPr>
              <w:spacing w:after="0" w:line="240" w:lineRule="auto"/>
              <w:jc w:val="right"/>
              <w:rPr>
                <w:rFonts w:ascii="Arial" w:hAnsi="Arial" w:cs="Arial"/>
                <w:sz w:val="16"/>
                <w:szCs w:val="16"/>
              </w:rPr>
            </w:pPr>
          </w:p>
        </w:tc>
        <w:tc>
          <w:tcPr>
            <w:tcW w:w="868" w:type="dxa"/>
            <w:gridSpan w:val="2"/>
            <w:tcBorders>
              <w:top w:val="nil"/>
              <w:left w:val="nil"/>
              <w:bottom w:val="nil"/>
              <w:right w:val="nil"/>
            </w:tcBorders>
            <w:shd w:val="clear" w:color="000000" w:fill="E6E6E6"/>
            <w:noWrap/>
            <w:vAlign w:val="bottom"/>
            <w:hideMark/>
          </w:tcPr>
          <w:p w14:paraId="664AFEC5" w14:textId="0BDB63E0" w:rsidR="007B5C33" w:rsidRPr="00581F55" w:rsidRDefault="007B5C33" w:rsidP="007B5C33">
            <w:pPr>
              <w:spacing w:after="0" w:line="240" w:lineRule="auto"/>
              <w:jc w:val="right"/>
              <w:rPr>
                <w:rFonts w:ascii="Arial" w:hAnsi="Arial" w:cs="Arial"/>
                <w:sz w:val="16"/>
                <w:szCs w:val="16"/>
              </w:rPr>
            </w:pPr>
          </w:p>
        </w:tc>
        <w:tc>
          <w:tcPr>
            <w:tcW w:w="880" w:type="dxa"/>
            <w:gridSpan w:val="2"/>
            <w:tcBorders>
              <w:top w:val="nil"/>
              <w:left w:val="nil"/>
              <w:bottom w:val="nil"/>
              <w:right w:val="nil"/>
            </w:tcBorders>
            <w:shd w:val="clear" w:color="auto" w:fill="auto"/>
            <w:noWrap/>
            <w:vAlign w:val="bottom"/>
            <w:hideMark/>
          </w:tcPr>
          <w:p w14:paraId="661CC59F" w14:textId="77777777" w:rsidR="007B5C33" w:rsidRPr="00581F55" w:rsidRDefault="007B5C33" w:rsidP="007B5C33">
            <w:pPr>
              <w:spacing w:after="0" w:line="240" w:lineRule="auto"/>
              <w:jc w:val="right"/>
              <w:rPr>
                <w:rFonts w:ascii="Arial" w:hAnsi="Arial" w:cs="Arial"/>
                <w:sz w:val="16"/>
                <w:szCs w:val="16"/>
              </w:rPr>
            </w:pPr>
          </w:p>
        </w:tc>
        <w:tc>
          <w:tcPr>
            <w:tcW w:w="880" w:type="dxa"/>
            <w:gridSpan w:val="2"/>
            <w:tcBorders>
              <w:top w:val="nil"/>
              <w:left w:val="nil"/>
              <w:bottom w:val="nil"/>
              <w:right w:val="nil"/>
            </w:tcBorders>
            <w:shd w:val="clear" w:color="auto" w:fill="auto"/>
            <w:noWrap/>
            <w:vAlign w:val="bottom"/>
            <w:hideMark/>
          </w:tcPr>
          <w:p w14:paraId="78D660D7" w14:textId="77777777" w:rsidR="007B5C33" w:rsidRPr="00581F55" w:rsidRDefault="007B5C33" w:rsidP="007B5C33">
            <w:pPr>
              <w:spacing w:after="0" w:line="240" w:lineRule="auto"/>
              <w:jc w:val="right"/>
              <w:rPr>
                <w:rFonts w:ascii="Times New Roman" w:hAnsi="Times New Roman"/>
              </w:rPr>
            </w:pPr>
          </w:p>
        </w:tc>
        <w:tc>
          <w:tcPr>
            <w:tcW w:w="881" w:type="dxa"/>
            <w:gridSpan w:val="2"/>
            <w:tcBorders>
              <w:top w:val="nil"/>
              <w:left w:val="nil"/>
              <w:bottom w:val="nil"/>
              <w:right w:val="nil"/>
            </w:tcBorders>
            <w:shd w:val="clear" w:color="auto" w:fill="auto"/>
            <w:noWrap/>
            <w:vAlign w:val="bottom"/>
            <w:hideMark/>
          </w:tcPr>
          <w:p w14:paraId="534E1084" w14:textId="77777777" w:rsidR="007B5C33" w:rsidRPr="00581F55" w:rsidRDefault="007B5C33" w:rsidP="007B5C33">
            <w:pPr>
              <w:spacing w:after="0" w:line="240" w:lineRule="auto"/>
              <w:jc w:val="right"/>
              <w:rPr>
                <w:rFonts w:ascii="Times New Roman" w:hAnsi="Times New Roman"/>
              </w:rPr>
            </w:pPr>
          </w:p>
        </w:tc>
      </w:tr>
      <w:tr w:rsidR="007B5C33" w:rsidRPr="00581F55" w14:paraId="1F86F7C3" w14:textId="77777777" w:rsidTr="007B5C33">
        <w:trPr>
          <w:trHeight w:val="204"/>
        </w:trPr>
        <w:tc>
          <w:tcPr>
            <w:tcW w:w="3221" w:type="dxa"/>
            <w:tcBorders>
              <w:top w:val="nil"/>
              <w:left w:val="nil"/>
              <w:bottom w:val="nil"/>
              <w:right w:val="nil"/>
            </w:tcBorders>
            <w:shd w:val="clear" w:color="auto" w:fill="auto"/>
            <w:vAlign w:val="bottom"/>
            <w:hideMark/>
          </w:tcPr>
          <w:p w14:paraId="4770D125" w14:textId="77777777" w:rsidR="007B5C33" w:rsidRPr="00581F55" w:rsidRDefault="007B5C33" w:rsidP="007B5C33">
            <w:pPr>
              <w:spacing w:after="0" w:line="240" w:lineRule="auto"/>
              <w:ind w:left="113"/>
              <w:rPr>
                <w:rFonts w:ascii="Arial" w:hAnsi="Arial" w:cs="Arial"/>
                <w:sz w:val="16"/>
                <w:szCs w:val="16"/>
              </w:rPr>
            </w:pPr>
            <w:r w:rsidRPr="00581F55">
              <w:rPr>
                <w:rFonts w:ascii="Arial" w:hAnsi="Arial" w:cs="Arial"/>
                <w:sz w:val="16"/>
                <w:szCs w:val="16"/>
              </w:rPr>
              <w:t>Departmental appropriation</w:t>
            </w:r>
          </w:p>
        </w:tc>
        <w:tc>
          <w:tcPr>
            <w:tcW w:w="952" w:type="dxa"/>
            <w:gridSpan w:val="2"/>
            <w:tcBorders>
              <w:top w:val="nil"/>
              <w:left w:val="nil"/>
              <w:bottom w:val="nil"/>
              <w:right w:val="nil"/>
            </w:tcBorders>
            <w:shd w:val="clear" w:color="auto" w:fill="auto"/>
            <w:noWrap/>
            <w:vAlign w:val="bottom"/>
            <w:hideMark/>
          </w:tcPr>
          <w:p w14:paraId="4E144218" w14:textId="7A933481" w:rsidR="007B5C33" w:rsidRPr="00581F55" w:rsidRDefault="007B5C33" w:rsidP="007B5C33">
            <w:pPr>
              <w:spacing w:after="0" w:line="240" w:lineRule="auto"/>
              <w:jc w:val="right"/>
              <w:rPr>
                <w:rFonts w:ascii="Arial" w:hAnsi="Arial" w:cs="Arial"/>
                <w:sz w:val="16"/>
                <w:szCs w:val="16"/>
              </w:rPr>
            </w:pPr>
            <w:r>
              <w:rPr>
                <w:rFonts w:ascii="Arial" w:hAnsi="Arial" w:cs="Arial"/>
                <w:sz w:val="16"/>
                <w:szCs w:val="16"/>
              </w:rPr>
              <w:t>32,599</w:t>
            </w:r>
          </w:p>
        </w:tc>
        <w:tc>
          <w:tcPr>
            <w:tcW w:w="868" w:type="dxa"/>
            <w:gridSpan w:val="2"/>
            <w:tcBorders>
              <w:top w:val="nil"/>
              <w:left w:val="nil"/>
              <w:bottom w:val="nil"/>
              <w:right w:val="nil"/>
            </w:tcBorders>
            <w:shd w:val="clear" w:color="000000" w:fill="E6E6E6"/>
            <w:noWrap/>
            <w:vAlign w:val="bottom"/>
            <w:hideMark/>
          </w:tcPr>
          <w:p w14:paraId="7A3881C2" w14:textId="7C52388A" w:rsidR="007B5C33" w:rsidRPr="00581F55" w:rsidRDefault="007B5C33" w:rsidP="007B5C33">
            <w:pPr>
              <w:spacing w:after="0" w:line="240" w:lineRule="auto"/>
              <w:jc w:val="right"/>
              <w:rPr>
                <w:rFonts w:ascii="Arial" w:hAnsi="Arial" w:cs="Arial"/>
                <w:sz w:val="16"/>
                <w:szCs w:val="16"/>
              </w:rPr>
            </w:pPr>
            <w:r>
              <w:rPr>
                <w:rFonts w:ascii="Arial" w:hAnsi="Arial" w:cs="Arial"/>
                <w:sz w:val="16"/>
                <w:szCs w:val="16"/>
              </w:rPr>
              <w:t>35,169</w:t>
            </w:r>
          </w:p>
        </w:tc>
        <w:tc>
          <w:tcPr>
            <w:tcW w:w="880" w:type="dxa"/>
            <w:gridSpan w:val="2"/>
            <w:tcBorders>
              <w:top w:val="nil"/>
              <w:left w:val="nil"/>
              <w:bottom w:val="nil"/>
              <w:right w:val="nil"/>
            </w:tcBorders>
            <w:shd w:val="clear" w:color="auto" w:fill="auto"/>
            <w:noWrap/>
            <w:vAlign w:val="bottom"/>
            <w:hideMark/>
          </w:tcPr>
          <w:p w14:paraId="64D6F705" w14:textId="794FF3C0" w:rsidR="007B5C33" w:rsidRPr="00581F55" w:rsidRDefault="007B5C33" w:rsidP="007B5C33">
            <w:pPr>
              <w:spacing w:after="0" w:line="240" w:lineRule="auto"/>
              <w:jc w:val="right"/>
              <w:rPr>
                <w:rFonts w:ascii="Arial" w:hAnsi="Arial" w:cs="Arial"/>
                <w:sz w:val="16"/>
                <w:szCs w:val="16"/>
              </w:rPr>
            </w:pPr>
            <w:r>
              <w:rPr>
                <w:rFonts w:ascii="Arial" w:hAnsi="Arial" w:cs="Arial"/>
                <w:sz w:val="16"/>
                <w:szCs w:val="16"/>
              </w:rPr>
              <w:t>30,892</w:t>
            </w:r>
          </w:p>
        </w:tc>
        <w:tc>
          <w:tcPr>
            <w:tcW w:w="880" w:type="dxa"/>
            <w:gridSpan w:val="2"/>
            <w:tcBorders>
              <w:top w:val="nil"/>
              <w:left w:val="nil"/>
              <w:bottom w:val="nil"/>
              <w:right w:val="nil"/>
            </w:tcBorders>
            <w:shd w:val="clear" w:color="auto" w:fill="auto"/>
            <w:noWrap/>
            <w:vAlign w:val="bottom"/>
            <w:hideMark/>
          </w:tcPr>
          <w:p w14:paraId="25CF6B49" w14:textId="0B470311" w:rsidR="007B5C33" w:rsidRPr="00581F55" w:rsidRDefault="007B5C33" w:rsidP="007B5C33">
            <w:pPr>
              <w:spacing w:after="0" w:line="240" w:lineRule="auto"/>
              <w:jc w:val="right"/>
              <w:rPr>
                <w:rFonts w:ascii="Arial" w:hAnsi="Arial" w:cs="Arial"/>
                <w:sz w:val="16"/>
                <w:szCs w:val="16"/>
              </w:rPr>
            </w:pPr>
            <w:r>
              <w:rPr>
                <w:rFonts w:ascii="Arial" w:hAnsi="Arial" w:cs="Arial"/>
                <w:sz w:val="16"/>
                <w:szCs w:val="16"/>
              </w:rPr>
              <w:t>30,622</w:t>
            </w:r>
          </w:p>
        </w:tc>
        <w:tc>
          <w:tcPr>
            <w:tcW w:w="881" w:type="dxa"/>
            <w:gridSpan w:val="2"/>
            <w:tcBorders>
              <w:top w:val="nil"/>
              <w:left w:val="nil"/>
              <w:bottom w:val="nil"/>
              <w:right w:val="nil"/>
            </w:tcBorders>
            <w:shd w:val="clear" w:color="auto" w:fill="auto"/>
            <w:noWrap/>
            <w:vAlign w:val="bottom"/>
            <w:hideMark/>
          </w:tcPr>
          <w:p w14:paraId="21539BA6" w14:textId="3E4D4F75" w:rsidR="007B5C33" w:rsidRPr="00581F55" w:rsidRDefault="007B5C33" w:rsidP="007B5C33">
            <w:pPr>
              <w:spacing w:after="0" w:line="240" w:lineRule="auto"/>
              <w:jc w:val="right"/>
              <w:rPr>
                <w:rFonts w:ascii="Arial" w:hAnsi="Arial" w:cs="Arial"/>
                <w:sz w:val="16"/>
                <w:szCs w:val="16"/>
              </w:rPr>
            </w:pPr>
            <w:r>
              <w:rPr>
                <w:rFonts w:ascii="Arial" w:hAnsi="Arial" w:cs="Arial"/>
                <w:sz w:val="16"/>
                <w:szCs w:val="16"/>
              </w:rPr>
              <w:t>29,763</w:t>
            </w:r>
          </w:p>
        </w:tc>
      </w:tr>
      <w:tr w:rsidR="007B5C33" w:rsidRPr="00581F55" w14:paraId="28048135" w14:textId="77777777" w:rsidTr="007B5C33">
        <w:trPr>
          <w:trHeight w:val="204"/>
        </w:trPr>
        <w:tc>
          <w:tcPr>
            <w:tcW w:w="3221" w:type="dxa"/>
            <w:tcBorders>
              <w:top w:val="nil"/>
              <w:left w:val="nil"/>
              <w:bottom w:val="nil"/>
              <w:right w:val="nil"/>
            </w:tcBorders>
            <w:shd w:val="clear" w:color="auto" w:fill="auto"/>
            <w:vAlign w:val="bottom"/>
            <w:hideMark/>
          </w:tcPr>
          <w:p w14:paraId="465B7B99" w14:textId="02C26C51" w:rsidR="007B5C33" w:rsidRPr="00581F55" w:rsidRDefault="007B5C33" w:rsidP="007B5C33">
            <w:pPr>
              <w:spacing w:after="0" w:line="240" w:lineRule="auto"/>
              <w:ind w:left="113"/>
              <w:rPr>
                <w:rFonts w:ascii="Arial" w:hAnsi="Arial" w:cs="Arial"/>
                <w:sz w:val="16"/>
                <w:szCs w:val="16"/>
              </w:rPr>
            </w:pPr>
            <w:r w:rsidRPr="00581F55">
              <w:rPr>
                <w:rFonts w:ascii="Arial" w:hAnsi="Arial" w:cs="Arial"/>
                <w:sz w:val="16"/>
                <w:szCs w:val="16"/>
              </w:rPr>
              <w:t>Expenses not requiring appropriation in the Budget year</w:t>
            </w:r>
            <w:r w:rsidRPr="00581F55">
              <w:rPr>
                <w:rFonts w:ascii="Arial" w:hAnsi="Arial" w:cs="Arial"/>
                <w:sz w:val="16"/>
                <w:szCs w:val="16"/>
                <w:vertAlign w:val="superscript"/>
              </w:rPr>
              <w:t>(</w:t>
            </w:r>
            <w:r>
              <w:rPr>
                <w:rFonts w:ascii="Arial" w:hAnsi="Arial" w:cs="Arial"/>
                <w:sz w:val="16"/>
                <w:szCs w:val="16"/>
                <w:vertAlign w:val="superscript"/>
              </w:rPr>
              <w:t>b</w:t>
            </w:r>
            <w:r w:rsidRPr="00581F55">
              <w:rPr>
                <w:rFonts w:ascii="Arial" w:hAnsi="Arial" w:cs="Arial"/>
                <w:sz w:val="16"/>
                <w:szCs w:val="16"/>
                <w:vertAlign w:val="superscript"/>
              </w:rPr>
              <w:t>)</w:t>
            </w:r>
          </w:p>
        </w:tc>
        <w:tc>
          <w:tcPr>
            <w:tcW w:w="952" w:type="dxa"/>
            <w:gridSpan w:val="2"/>
            <w:tcBorders>
              <w:top w:val="nil"/>
              <w:left w:val="nil"/>
              <w:bottom w:val="nil"/>
              <w:right w:val="nil"/>
            </w:tcBorders>
            <w:shd w:val="clear" w:color="auto" w:fill="auto"/>
            <w:noWrap/>
            <w:vAlign w:val="bottom"/>
            <w:hideMark/>
          </w:tcPr>
          <w:p w14:paraId="3EA17573" w14:textId="08C5FFAD" w:rsidR="007B5C33" w:rsidRPr="00581F55" w:rsidRDefault="007B5C33" w:rsidP="007B5C33">
            <w:pPr>
              <w:spacing w:after="0" w:line="240" w:lineRule="auto"/>
              <w:jc w:val="right"/>
              <w:rPr>
                <w:rFonts w:ascii="Arial" w:hAnsi="Arial" w:cs="Arial"/>
                <w:sz w:val="16"/>
                <w:szCs w:val="16"/>
              </w:rPr>
            </w:pPr>
            <w:r>
              <w:rPr>
                <w:rFonts w:ascii="Arial" w:hAnsi="Arial" w:cs="Arial"/>
                <w:sz w:val="16"/>
                <w:szCs w:val="16"/>
              </w:rPr>
              <w:t>1,214</w:t>
            </w:r>
          </w:p>
        </w:tc>
        <w:tc>
          <w:tcPr>
            <w:tcW w:w="868" w:type="dxa"/>
            <w:gridSpan w:val="2"/>
            <w:tcBorders>
              <w:top w:val="nil"/>
              <w:left w:val="nil"/>
              <w:bottom w:val="nil"/>
              <w:right w:val="nil"/>
            </w:tcBorders>
            <w:shd w:val="clear" w:color="000000" w:fill="E6E6E6"/>
            <w:noWrap/>
            <w:vAlign w:val="bottom"/>
            <w:hideMark/>
          </w:tcPr>
          <w:p w14:paraId="53238096" w14:textId="2EEE4353" w:rsidR="007B5C33" w:rsidRPr="00581F55" w:rsidRDefault="007B5C33" w:rsidP="007B5C33">
            <w:pPr>
              <w:spacing w:after="0" w:line="240" w:lineRule="auto"/>
              <w:jc w:val="right"/>
              <w:rPr>
                <w:rFonts w:ascii="Arial" w:hAnsi="Arial" w:cs="Arial"/>
                <w:sz w:val="16"/>
                <w:szCs w:val="16"/>
              </w:rPr>
            </w:pPr>
            <w:r>
              <w:rPr>
                <w:rFonts w:ascii="Arial" w:hAnsi="Arial" w:cs="Arial"/>
                <w:sz w:val="16"/>
                <w:szCs w:val="16"/>
              </w:rPr>
              <w:t>-</w:t>
            </w:r>
          </w:p>
        </w:tc>
        <w:tc>
          <w:tcPr>
            <w:tcW w:w="880" w:type="dxa"/>
            <w:gridSpan w:val="2"/>
            <w:tcBorders>
              <w:top w:val="nil"/>
              <w:left w:val="nil"/>
              <w:bottom w:val="nil"/>
              <w:right w:val="nil"/>
            </w:tcBorders>
            <w:shd w:val="clear" w:color="auto" w:fill="auto"/>
            <w:noWrap/>
            <w:vAlign w:val="bottom"/>
            <w:hideMark/>
          </w:tcPr>
          <w:p w14:paraId="1408E318" w14:textId="059998D4" w:rsidR="007B5C33" w:rsidRPr="00581F55" w:rsidRDefault="007B5C33" w:rsidP="007B5C33">
            <w:pPr>
              <w:spacing w:after="0" w:line="240" w:lineRule="auto"/>
              <w:jc w:val="right"/>
              <w:rPr>
                <w:rFonts w:ascii="Arial" w:hAnsi="Arial" w:cs="Arial"/>
                <w:sz w:val="16"/>
                <w:szCs w:val="16"/>
              </w:rPr>
            </w:pPr>
            <w:r>
              <w:rPr>
                <w:rFonts w:ascii="Arial" w:hAnsi="Arial" w:cs="Arial"/>
                <w:sz w:val="16"/>
                <w:szCs w:val="16"/>
              </w:rPr>
              <w:t>-</w:t>
            </w:r>
          </w:p>
        </w:tc>
        <w:tc>
          <w:tcPr>
            <w:tcW w:w="880" w:type="dxa"/>
            <w:gridSpan w:val="2"/>
            <w:tcBorders>
              <w:top w:val="nil"/>
              <w:left w:val="nil"/>
              <w:bottom w:val="nil"/>
              <w:right w:val="nil"/>
            </w:tcBorders>
            <w:shd w:val="clear" w:color="auto" w:fill="auto"/>
            <w:noWrap/>
            <w:vAlign w:val="bottom"/>
            <w:hideMark/>
          </w:tcPr>
          <w:p w14:paraId="33FCD913" w14:textId="7088B00A" w:rsidR="007B5C33" w:rsidRPr="00581F55" w:rsidRDefault="007B5C33" w:rsidP="007B5C33">
            <w:pPr>
              <w:spacing w:after="0" w:line="240" w:lineRule="auto"/>
              <w:jc w:val="right"/>
              <w:rPr>
                <w:rFonts w:ascii="Arial" w:hAnsi="Arial" w:cs="Arial"/>
                <w:sz w:val="16"/>
                <w:szCs w:val="16"/>
              </w:rPr>
            </w:pPr>
            <w:r>
              <w:rPr>
                <w:rFonts w:ascii="Arial" w:hAnsi="Arial" w:cs="Arial"/>
                <w:sz w:val="16"/>
                <w:szCs w:val="16"/>
              </w:rPr>
              <w:t>-</w:t>
            </w:r>
          </w:p>
        </w:tc>
        <w:tc>
          <w:tcPr>
            <w:tcW w:w="881" w:type="dxa"/>
            <w:gridSpan w:val="2"/>
            <w:tcBorders>
              <w:top w:val="nil"/>
              <w:left w:val="nil"/>
              <w:bottom w:val="nil"/>
              <w:right w:val="nil"/>
            </w:tcBorders>
            <w:shd w:val="clear" w:color="auto" w:fill="auto"/>
            <w:noWrap/>
            <w:vAlign w:val="bottom"/>
            <w:hideMark/>
          </w:tcPr>
          <w:p w14:paraId="06208114" w14:textId="46D66439" w:rsidR="007B5C33" w:rsidRPr="00581F55" w:rsidRDefault="007B5C33" w:rsidP="007B5C33">
            <w:pPr>
              <w:spacing w:after="0" w:line="240" w:lineRule="auto"/>
              <w:jc w:val="right"/>
              <w:rPr>
                <w:rFonts w:ascii="Arial" w:hAnsi="Arial" w:cs="Arial"/>
                <w:sz w:val="16"/>
                <w:szCs w:val="16"/>
              </w:rPr>
            </w:pPr>
            <w:r>
              <w:rPr>
                <w:rFonts w:ascii="Arial" w:hAnsi="Arial" w:cs="Arial"/>
                <w:sz w:val="16"/>
                <w:szCs w:val="16"/>
              </w:rPr>
              <w:t>-</w:t>
            </w:r>
          </w:p>
        </w:tc>
      </w:tr>
      <w:tr w:rsidR="007B5C33" w:rsidRPr="00581F55" w14:paraId="343B8B58" w14:textId="77777777" w:rsidTr="007B5C33">
        <w:trPr>
          <w:trHeight w:val="204"/>
        </w:trPr>
        <w:tc>
          <w:tcPr>
            <w:tcW w:w="3221" w:type="dxa"/>
            <w:tcBorders>
              <w:top w:val="nil"/>
              <w:left w:val="nil"/>
              <w:bottom w:val="nil"/>
              <w:right w:val="nil"/>
            </w:tcBorders>
            <w:shd w:val="clear" w:color="auto" w:fill="auto"/>
            <w:vAlign w:val="bottom"/>
            <w:hideMark/>
          </w:tcPr>
          <w:p w14:paraId="4FDD96C9" w14:textId="1204454D" w:rsidR="007B5C33" w:rsidRPr="00581F55" w:rsidRDefault="0000369A" w:rsidP="007B5C33">
            <w:pPr>
              <w:spacing w:after="0" w:line="240" w:lineRule="auto"/>
              <w:jc w:val="right"/>
              <w:rPr>
                <w:rFonts w:ascii="Arial" w:hAnsi="Arial" w:cs="Arial"/>
                <w:b/>
                <w:bCs/>
                <w:sz w:val="16"/>
                <w:szCs w:val="16"/>
              </w:rPr>
            </w:pPr>
            <w:r>
              <w:rPr>
                <w:rFonts w:ascii="Arial" w:hAnsi="Arial" w:cs="Arial"/>
                <w:b/>
                <w:bCs/>
                <w:sz w:val="16"/>
                <w:szCs w:val="16"/>
              </w:rPr>
              <w:t>Total departmental expenses</w:t>
            </w:r>
          </w:p>
        </w:tc>
        <w:tc>
          <w:tcPr>
            <w:tcW w:w="952" w:type="dxa"/>
            <w:gridSpan w:val="2"/>
            <w:tcBorders>
              <w:top w:val="single" w:sz="4" w:space="0" w:color="auto"/>
              <w:left w:val="nil"/>
              <w:bottom w:val="single" w:sz="4" w:space="0" w:color="auto"/>
              <w:right w:val="nil"/>
            </w:tcBorders>
            <w:shd w:val="clear" w:color="auto" w:fill="auto"/>
            <w:noWrap/>
            <w:vAlign w:val="bottom"/>
            <w:hideMark/>
          </w:tcPr>
          <w:p w14:paraId="02EE7045" w14:textId="29CFAA76" w:rsidR="007B5C33" w:rsidRPr="00581F55" w:rsidRDefault="007B5C33" w:rsidP="007B5C33">
            <w:pPr>
              <w:spacing w:after="0" w:line="240" w:lineRule="auto"/>
              <w:jc w:val="right"/>
              <w:rPr>
                <w:rFonts w:ascii="Arial" w:hAnsi="Arial" w:cs="Arial"/>
                <w:b/>
                <w:bCs/>
                <w:sz w:val="16"/>
                <w:szCs w:val="16"/>
              </w:rPr>
            </w:pPr>
            <w:r>
              <w:rPr>
                <w:rFonts w:ascii="Arial" w:hAnsi="Arial" w:cs="Arial"/>
                <w:b/>
                <w:bCs/>
                <w:sz w:val="16"/>
                <w:szCs w:val="16"/>
              </w:rPr>
              <w:t>33,813</w:t>
            </w:r>
          </w:p>
        </w:tc>
        <w:tc>
          <w:tcPr>
            <w:tcW w:w="868" w:type="dxa"/>
            <w:gridSpan w:val="2"/>
            <w:tcBorders>
              <w:top w:val="single" w:sz="4" w:space="0" w:color="auto"/>
              <w:left w:val="nil"/>
              <w:bottom w:val="single" w:sz="4" w:space="0" w:color="auto"/>
              <w:right w:val="nil"/>
            </w:tcBorders>
            <w:shd w:val="clear" w:color="000000" w:fill="E6E6E6"/>
            <w:noWrap/>
            <w:vAlign w:val="bottom"/>
            <w:hideMark/>
          </w:tcPr>
          <w:p w14:paraId="1055B2FA" w14:textId="1ECB3CD9" w:rsidR="007B5C33" w:rsidRPr="00581F55" w:rsidRDefault="007B5C33" w:rsidP="007B5C33">
            <w:pPr>
              <w:spacing w:after="0" w:line="240" w:lineRule="auto"/>
              <w:jc w:val="right"/>
              <w:rPr>
                <w:rFonts w:ascii="Arial" w:hAnsi="Arial" w:cs="Arial"/>
                <w:b/>
                <w:bCs/>
                <w:sz w:val="16"/>
                <w:szCs w:val="16"/>
              </w:rPr>
            </w:pPr>
            <w:r>
              <w:rPr>
                <w:rFonts w:ascii="Arial" w:hAnsi="Arial" w:cs="Arial"/>
                <w:b/>
                <w:bCs/>
                <w:sz w:val="16"/>
                <w:szCs w:val="16"/>
              </w:rPr>
              <w:t>35,169</w:t>
            </w:r>
          </w:p>
        </w:tc>
        <w:tc>
          <w:tcPr>
            <w:tcW w:w="880" w:type="dxa"/>
            <w:gridSpan w:val="2"/>
            <w:tcBorders>
              <w:top w:val="single" w:sz="4" w:space="0" w:color="auto"/>
              <w:left w:val="nil"/>
              <w:bottom w:val="single" w:sz="4" w:space="0" w:color="auto"/>
              <w:right w:val="nil"/>
            </w:tcBorders>
            <w:shd w:val="clear" w:color="auto" w:fill="auto"/>
            <w:noWrap/>
            <w:vAlign w:val="bottom"/>
            <w:hideMark/>
          </w:tcPr>
          <w:p w14:paraId="42BFE53B" w14:textId="75EA0B59" w:rsidR="007B5C33" w:rsidRPr="00581F55" w:rsidRDefault="007B5C33" w:rsidP="007B5C33">
            <w:pPr>
              <w:spacing w:after="0" w:line="240" w:lineRule="auto"/>
              <w:jc w:val="right"/>
              <w:rPr>
                <w:rFonts w:ascii="Arial" w:hAnsi="Arial" w:cs="Arial"/>
                <w:b/>
                <w:bCs/>
                <w:sz w:val="16"/>
                <w:szCs w:val="16"/>
              </w:rPr>
            </w:pPr>
            <w:r>
              <w:rPr>
                <w:rFonts w:ascii="Arial" w:hAnsi="Arial" w:cs="Arial"/>
                <w:b/>
                <w:bCs/>
                <w:sz w:val="16"/>
                <w:szCs w:val="16"/>
              </w:rPr>
              <w:t>30,892</w:t>
            </w:r>
          </w:p>
        </w:tc>
        <w:tc>
          <w:tcPr>
            <w:tcW w:w="880" w:type="dxa"/>
            <w:gridSpan w:val="2"/>
            <w:tcBorders>
              <w:top w:val="single" w:sz="4" w:space="0" w:color="auto"/>
              <w:left w:val="nil"/>
              <w:bottom w:val="single" w:sz="4" w:space="0" w:color="auto"/>
              <w:right w:val="nil"/>
            </w:tcBorders>
            <w:shd w:val="clear" w:color="auto" w:fill="auto"/>
            <w:noWrap/>
            <w:vAlign w:val="bottom"/>
            <w:hideMark/>
          </w:tcPr>
          <w:p w14:paraId="56C9F30E" w14:textId="2EC25037" w:rsidR="007B5C33" w:rsidRPr="00581F55" w:rsidRDefault="007B5C33" w:rsidP="007B5C33">
            <w:pPr>
              <w:spacing w:after="0" w:line="240" w:lineRule="auto"/>
              <w:jc w:val="right"/>
              <w:rPr>
                <w:rFonts w:ascii="Arial" w:hAnsi="Arial" w:cs="Arial"/>
                <w:b/>
                <w:bCs/>
                <w:sz w:val="16"/>
                <w:szCs w:val="16"/>
              </w:rPr>
            </w:pPr>
            <w:r>
              <w:rPr>
                <w:rFonts w:ascii="Arial" w:hAnsi="Arial" w:cs="Arial"/>
                <w:b/>
                <w:bCs/>
                <w:sz w:val="16"/>
                <w:szCs w:val="16"/>
              </w:rPr>
              <w:t>30,622</w:t>
            </w:r>
          </w:p>
        </w:tc>
        <w:tc>
          <w:tcPr>
            <w:tcW w:w="881" w:type="dxa"/>
            <w:gridSpan w:val="2"/>
            <w:tcBorders>
              <w:top w:val="single" w:sz="4" w:space="0" w:color="auto"/>
              <w:left w:val="nil"/>
              <w:bottom w:val="single" w:sz="4" w:space="0" w:color="auto"/>
              <w:right w:val="nil"/>
            </w:tcBorders>
            <w:shd w:val="clear" w:color="auto" w:fill="auto"/>
            <w:noWrap/>
            <w:vAlign w:val="bottom"/>
            <w:hideMark/>
          </w:tcPr>
          <w:p w14:paraId="1C7E4C23" w14:textId="6F8C239F" w:rsidR="007B5C33" w:rsidRPr="00581F55" w:rsidRDefault="007B5C33" w:rsidP="007B5C33">
            <w:pPr>
              <w:spacing w:after="0" w:line="240" w:lineRule="auto"/>
              <w:jc w:val="right"/>
              <w:rPr>
                <w:rFonts w:ascii="Arial" w:hAnsi="Arial" w:cs="Arial"/>
                <w:b/>
                <w:bCs/>
                <w:sz w:val="16"/>
                <w:szCs w:val="16"/>
              </w:rPr>
            </w:pPr>
            <w:r>
              <w:rPr>
                <w:rFonts w:ascii="Arial" w:hAnsi="Arial" w:cs="Arial"/>
                <w:b/>
                <w:bCs/>
                <w:sz w:val="16"/>
                <w:szCs w:val="16"/>
              </w:rPr>
              <w:t>29,763</w:t>
            </w:r>
          </w:p>
        </w:tc>
      </w:tr>
      <w:tr w:rsidR="007B5C33" w:rsidRPr="00581F55" w14:paraId="5ACD72EB" w14:textId="77777777" w:rsidTr="007B5C33">
        <w:trPr>
          <w:trHeight w:val="204"/>
        </w:trPr>
        <w:tc>
          <w:tcPr>
            <w:tcW w:w="3221" w:type="dxa"/>
            <w:tcBorders>
              <w:top w:val="nil"/>
              <w:left w:val="nil"/>
              <w:bottom w:val="single" w:sz="4" w:space="0" w:color="auto"/>
              <w:right w:val="nil"/>
            </w:tcBorders>
            <w:shd w:val="clear" w:color="auto" w:fill="auto"/>
            <w:noWrap/>
            <w:vAlign w:val="bottom"/>
            <w:hideMark/>
          </w:tcPr>
          <w:p w14:paraId="6B5D8462" w14:textId="77777777" w:rsidR="007B5C33" w:rsidRPr="00581F55" w:rsidRDefault="007B5C33" w:rsidP="007B5C33">
            <w:pPr>
              <w:spacing w:after="0" w:line="240" w:lineRule="auto"/>
              <w:rPr>
                <w:rFonts w:ascii="Arial" w:hAnsi="Arial" w:cs="Arial"/>
                <w:b/>
                <w:bCs/>
                <w:sz w:val="16"/>
                <w:szCs w:val="16"/>
              </w:rPr>
            </w:pPr>
            <w:r w:rsidRPr="00581F55">
              <w:rPr>
                <w:rFonts w:ascii="Arial" w:hAnsi="Arial" w:cs="Arial"/>
                <w:b/>
                <w:bCs/>
                <w:sz w:val="16"/>
                <w:szCs w:val="16"/>
              </w:rPr>
              <w:t>Total expenses for Outcome 4</w:t>
            </w:r>
          </w:p>
        </w:tc>
        <w:tc>
          <w:tcPr>
            <w:tcW w:w="952" w:type="dxa"/>
            <w:gridSpan w:val="2"/>
            <w:tcBorders>
              <w:top w:val="nil"/>
              <w:left w:val="nil"/>
              <w:bottom w:val="single" w:sz="4" w:space="0" w:color="auto"/>
              <w:right w:val="nil"/>
            </w:tcBorders>
            <w:shd w:val="clear" w:color="auto" w:fill="auto"/>
            <w:noWrap/>
            <w:vAlign w:val="bottom"/>
            <w:hideMark/>
          </w:tcPr>
          <w:p w14:paraId="7DACA67F" w14:textId="6E3F7C33" w:rsidR="007B5C33" w:rsidRPr="00581F55" w:rsidRDefault="007B5C33" w:rsidP="007B5C33">
            <w:pPr>
              <w:spacing w:after="0" w:line="240" w:lineRule="auto"/>
              <w:jc w:val="right"/>
              <w:rPr>
                <w:rFonts w:ascii="Arial" w:hAnsi="Arial" w:cs="Arial"/>
                <w:b/>
                <w:bCs/>
                <w:sz w:val="16"/>
                <w:szCs w:val="16"/>
              </w:rPr>
            </w:pPr>
            <w:r>
              <w:rPr>
                <w:rFonts w:ascii="Arial" w:hAnsi="Arial" w:cs="Arial"/>
                <w:b/>
                <w:bCs/>
                <w:sz w:val="16"/>
                <w:szCs w:val="16"/>
              </w:rPr>
              <w:t>342,436</w:t>
            </w:r>
          </w:p>
        </w:tc>
        <w:tc>
          <w:tcPr>
            <w:tcW w:w="868" w:type="dxa"/>
            <w:gridSpan w:val="2"/>
            <w:tcBorders>
              <w:top w:val="nil"/>
              <w:left w:val="nil"/>
              <w:bottom w:val="single" w:sz="4" w:space="0" w:color="auto"/>
              <w:right w:val="nil"/>
            </w:tcBorders>
            <w:shd w:val="clear" w:color="000000" w:fill="E6E6E6"/>
            <w:noWrap/>
            <w:vAlign w:val="bottom"/>
            <w:hideMark/>
          </w:tcPr>
          <w:p w14:paraId="637C62ED" w14:textId="148CB108" w:rsidR="007B5C33" w:rsidRPr="00581F55" w:rsidRDefault="007B5C33" w:rsidP="007B5C33">
            <w:pPr>
              <w:spacing w:after="0" w:line="240" w:lineRule="auto"/>
              <w:jc w:val="right"/>
              <w:rPr>
                <w:rFonts w:ascii="Arial" w:hAnsi="Arial" w:cs="Arial"/>
                <w:b/>
                <w:bCs/>
                <w:sz w:val="16"/>
                <w:szCs w:val="16"/>
              </w:rPr>
            </w:pPr>
            <w:r>
              <w:rPr>
                <w:rFonts w:ascii="Arial" w:hAnsi="Arial" w:cs="Arial"/>
                <w:b/>
                <w:bCs/>
                <w:sz w:val="16"/>
                <w:szCs w:val="16"/>
              </w:rPr>
              <w:t>297,709</w:t>
            </w:r>
          </w:p>
        </w:tc>
        <w:tc>
          <w:tcPr>
            <w:tcW w:w="880" w:type="dxa"/>
            <w:gridSpan w:val="2"/>
            <w:tcBorders>
              <w:top w:val="nil"/>
              <w:left w:val="nil"/>
              <w:bottom w:val="single" w:sz="4" w:space="0" w:color="auto"/>
              <w:right w:val="nil"/>
            </w:tcBorders>
            <w:shd w:val="clear" w:color="auto" w:fill="auto"/>
            <w:noWrap/>
            <w:vAlign w:val="bottom"/>
            <w:hideMark/>
          </w:tcPr>
          <w:p w14:paraId="35EC03A0" w14:textId="74704729" w:rsidR="007B5C33" w:rsidRPr="00581F55" w:rsidRDefault="007B5C33" w:rsidP="007B5C33">
            <w:pPr>
              <w:spacing w:after="0" w:line="240" w:lineRule="auto"/>
              <w:jc w:val="right"/>
              <w:rPr>
                <w:rFonts w:ascii="Arial" w:hAnsi="Arial" w:cs="Arial"/>
                <w:b/>
                <w:bCs/>
                <w:sz w:val="16"/>
                <w:szCs w:val="16"/>
              </w:rPr>
            </w:pPr>
            <w:r>
              <w:rPr>
                <w:rFonts w:ascii="Arial" w:hAnsi="Arial" w:cs="Arial"/>
                <w:b/>
                <w:bCs/>
                <w:sz w:val="16"/>
                <w:szCs w:val="16"/>
              </w:rPr>
              <w:t>281,809</w:t>
            </w:r>
          </w:p>
        </w:tc>
        <w:tc>
          <w:tcPr>
            <w:tcW w:w="880" w:type="dxa"/>
            <w:gridSpan w:val="2"/>
            <w:tcBorders>
              <w:top w:val="nil"/>
              <w:left w:val="nil"/>
              <w:bottom w:val="single" w:sz="4" w:space="0" w:color="auto"/>
              <w:right w:val="nil"/>
            </w:tcBorders>
            <w:shd w:val="clear" w:color="auto" w:fill="auto"/>
            <w:noWrap/>
            <w:vAlign w:val="bottom"/>
            <w:hideMark/>
          </w:tcPr>
          <w:p w14:paraId="3A53EFAF" w14:textId="1266E622" w:rsidR="007B5C33" w:rsidRPr="00581F55" w:rsidRDefault="007B5C33" w:rsidP="007B5C33">
            <w:pPr>
              <w:spacing w:after="0" w:line="240" w:lineRule="auto"/>
              <w:jc w:val="right"/>
              <w:rPr>
                <w:rFonts w:ascii="Arial" w:hAnsi="Arial" w:cs="Arial"/>
                <w:b/>
                <w:bCs/>
                <w:sz w:val="16"/>
                <w:szCs w:val="16"/>
              </w:rPr>
            </w:pPr>
            <w:r>
              <w:rPr>
                <w:rFonts w:ascii="Arial" w:hAnsi="Arial" w:cs="Arial"/>
                <w:b/>
                <w:bCs/>
                <w:sz w:val="16"/>
                <w:szCs w:val="16"/>
              </w:rPr>
              <w:t>274,463</w:t>
            </w:r>
          </w:p>
        </w:tc>
        <w:tc>
          <w:tcPr>
            <w:tcW w:w="881" w:type="dxa"/>
            <w:gridSpan w:val="2"/>
            <w:tcBorders>
              <w:top w:val="nil"/>
              <w:left w:val="nil"/>
              <w:bottom w:val="single" w:sz="4" w:space="0" w:color="auto"/>
              <w:right w:val="nil"/>
            </w:tcBorders>
            <w:shd w:val="clear" w:color="auto" w:fill="auto"/>
            <w:noWrap/>
            <w:vAlign w:val="bottom"/>
            <w:hideMark/>
          </w:tcPr>
          <w:p w14:paraId="411EEF41" w14:textId="1097721B" w:rsidR="007B5C33" w:rsidRPr="00581F55" w:rsidRDefault="007B5C33" w:rsidP="007B5C33">
            <w:pPr>
              <w:spacing w:after="0" w:line="240" w:lineRule="auto"/>
              <w:jc w:val="right"/>
              <w:rPr>
                <w:rFonts w:ascii="Arial" w:hAnsi="Arial" w:cs="Arial"/>
                <w:b/>
                <w:bCs/>
                <w:sz w:val="16"/>
                <w:szCs w:val="16"/>
              </w:rPr>
            </w:pPr>
            <w:r>
              <w:rPr>
                <w:rFonts w:ascii="Arial" w:hAnsi="Arial" w:cs="Arial"/>
                <w:b/>
                <w:bCs/>
                <w:sz w:val="16"/>
                <w:szCs w:val="16"/>
              </w:rPr>
              <w:t>278,561</w:t>
            </w:r>
          </w:p>
        </w:tc>
      </w:tr>
    </w:tbl>
    <w:p w14:paraId="1D258766" w14:textId="77777777" w:rsidR="00D556D9" w:rsidRPr="00BD51F9" w:rsidRDefault="00D556D9" w:rsidP="007B5C33">
      <w:pPr>
        <w:spacing w:after="0" w:line="240" w:lineRule="auto"/>
        <w:rPr>
          <w:rFonts w:ascii="Arial" w:hAnsi="Arial" w:cs="Arial"/>
          <w:sz w:val="16"/>
        </w:rPr>
      </w:pPr>
    </w:p>
    <w:tbl>
      <w:tblPr>
        <w:tblW w:w="7669" w:type="dxa"/>
        <w:tblLook w:val="04A0" w:firstRow="1" w:lastRow="0" w:firstColumn="1" w:lastColumn="0" w:noHBand="0" w:noVBand="1"/>
      </w:tblPr>
      <w:tblGrid>
        <w:gridCol w:w="3221"/>
        <w:gridCol w:w="928"/>
        <w:gridCol w:w="880"/>
        <w:gridCol w:w="880"/>
        <w:gridCol w:w="880"/>
        <w:gridCol w:w="880"/>
      </w:tblGrid>
      <w:tr w:rsidR="009C035D" w:rsidRPr="00581F55" w14:paraId="730C6469" w14:textId="77777777" w:rsidTr="007B34E6">
        <w:trPr>
          <w:trHeight w:val="204"/>
        </w:trPr>
        <w:tc>
          <w:tcPr>
            <w:tcW w:w="3221" w:type="dxa"/>
            <w:tcBorders>
              <w:top w:val="single" w:sz="4" w:space="0" w:color="auto"/>
              <w:left w:val="nil"/>
              <w:bottom w:val="nil"/>
              <w:right w:val="nil"/>
            </w:tcBorders>
            <w:shd w:val="clear" w:color="auto" w:fill="auto"/>
            <w:vAlign w:val="bottom"/>
            <w:hideMark/>
          </w:tcPr>
          <w:p w14:paraId="795201CF" w14:textId="4F37688A" w:rsidR="009C035D" w:rsidRPr="00581F55" w:rsidRDefault="009C035D" w:rsidP="009C035D">
            <w:pPr>
              <w:spacing w:after="0" w:line="240" w:lineRule="auto"/>
              <w:rPr>
                <w:rFonts w:ascii="Arial" w:hAnsi="Arial" w:cs="Arial"/>
                <w:b/>
                <w:bCs/>
                <w:color w:val="000000"/>
                <w:sz w:val="16"/>
                <w:szCs w:val="16"/>
              </w:rPr>
            </w:pPr>
            <w:r w:rsidRPr="00581F55">
              <w:rPr>
                <w:rFonts w:ascii="Arial" w:hAnsi="Arial" w:cs="Arial"/>
                <w:b/>
                <w:bCs/>
                <w:color w:val="000000"/>
                <w:sz w:val="16"/>
                <w:szCs w:val="16"/>
              </w:rPr>
              <w:t>Movement of administered funds between years</w:t>
            </w:r>
            <w:r w:rsidRPr="00D556D9">
              <w:rPr>
                <w:rFonts w:ascii="Arial" w:hAnsi="Arial" w:cs="Arial"/>
                <w:bCs/>
                <w:color w:val="000000"/>
                <w:sz w:val="16"/>
                <w:szCs w:val="16"/>
                <w:vertAlign w:val="superscript"/>
              </w:rPr>
              <w:t>(</w:t>
            </w:r>
            <w:r>
              <w:rPr>
                <w:rFonts w:ascii="Arial" w:hAnsi="Arial" w:cs="Arial"/>
                <w:bCs/>
                <w:color w:val="000000"/>
                <w:sz w:val="16"/>
                <w:szCs w:val="16"/>
                <w:vertAlign w:val="superscript"/>
              </w:rPr>
              <w:t>c</w:t>
            </w:r>
            <w:r w:rsidRPr="00D556D9">
              <w:rPr>
                <w:rFonts w:ascii="Arial" w:hAnsi="Arial" w:cs="Arial"/>
                <w:bCs/>
                <w:color w:val="000000"/>
                <w:sz w:val="16"/>
                <w:szCs w:val="16"/>
                <w:vertAlign w:val="superscript"/>
              </w:rPr>
              <w:t>)</w:t>
            </w:r>
          </w:p>
        </w:tc>
        <w:tc>
          <w:tcPr>
            <w:tcW w:w="928" w:type="dxa"/>
            <w:tcBorders>
              <w:top w:val="single" w:sz="4" w:space="0" w:color="auto"/>
              <w:left w:val="nil"/>
              <w:bottom w:val="single" w:sz="4" w:space="0" w:color="auto"/>
              <w:right w:val="nil"/>
            </w:tcBorders>
            <w:shd w:val="clear" w:color="auto" w:fill="auto"/>
          </w:tcPr>
          <w:p w14:paraId="5A1C56F0" w14:textId="4F9791E5" w:rsidR="009C035D" w:rsidRPr="00581F55" w:rsidRDefault="009C035D" w:rsidP="009C035D">
            <w:pPr>
              <w:spacing w:after="0" w:line="240" w:lineRule="auto"/>
              <w:jc w:val="right"/>
              <w:rPr>
                <w:rFonts w:ascii="Arial" w:hAnsi="Arial" w:cs="Arial"/>
                <w:sz w:val="16"/>
                <w:szCs w:val="16"/>
              </w:rPr>
            </w:pPr>
            <w:r>
              <w:rPr>
                <w:rFonts w:ascii="Arial" w:hAnsi="Arial" w:cs="Arial"/>
                <w:sz w:val="16"/>
                <w:szCs w:val="16"/>
              </w:rPr>
              <w:t>2022-23 Estimated actual</w:t>
            </w:r>
            <w:r>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tcPr>
          <w:p w14:paraId="0C400F08" w14:textId="04C4ED17" w:rsidR="009C035D" w:rsidRPr="00581F55" w:rsidRDefault="009C035D" w:rsidP="009C035D">
            <w:pPr>
              <w:spacing w:after="0" w:line="240" w:lineRule="auto"/>
              <w:jc w:val="right"/>
              <w:rPr>
                <w:rFonts w:ascii="Arial" w:hAnsi="Arial" w:cs="Arial"/>
                <w:sz w:val="16"/>
                <w:szCs w:val="16"/>
              </w:rPr>
            </w:pPr>
            <w:r>
              <w:rPr>
                <w:rFonts w:ascii="Arial" w:hAnsi="Arial" w:cs="Arial"/>
                <w:sz w:val="16"/>
                <w:szCs w:val="16"/>
              </w:rPr>
              <w:t>2023-24</w:t>
            </w:r>
            <w:r>
              <w:rPr>
                <w:rFonts w:ascii="Arial" w:hAnsi="Arial" w:cs="Arial"/>
                <w:sz w:val="16"/>
                <w:szCs w:val="16"/>
              </w:rPr>
              <w:br/>
              <w:t>Budget</w:t>
            </w:r>
            <w:r>
              <w:rPr>
                <w:rFonts w:ascii="Arial" w:hAnsi="Arial" w:cs="Arial"/>
                <w:sz w:val="16"/>
                <w:szCs w:val="16"/>
              </w:rPr>
              <w:br/>
            </w:r>
            <w:r>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tcPr>
          <w:p w14:paraId="108D5138" w14:textId="11C8383E" w:rsidR="009C035D" w:rsidRPr="00581F55" w:rsidRDefault="009C035D" w:rsidP="009C035D">
            <w:pPr>
              <w:spacing w:after="0" w:line="240" w:lineRule="auto"/>
              <w:jc w:val="right"/>
              <w:rPr>
                <w:rFonts w:ascii="Arial" w:hAnsi="Arial" w:cs="Arial"/>
                <w:sz w:val="16"/>
                <w:szCs w:val="16"/>
              </w:rPr>
            </w:pPr>
            <w:r>
              <w:rPr>
                <w:rFonts w:ascii="Arial" w:hAnsi="Arial" w:cs="Arial"/>
                <w:sz w:val="16"/>
                <w:szCs w:val="16"/>
              </w:rPr>
              <w:t>2024-25 Forward estimate</w:t>
            </w:r>
            <w:r>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tcPr>
          <w:p w14:paraId="1871845F" w14:textId="49224E6E" w:rsidR="009C035D" w:rsidRPr="00581F55" w:rsidRDefault="009C035D" w:rsidP="009C035D">
            <w:pPr>
              <w:spacing w:after="0" w:line="240" w:lineRule="auto"/>
              <w:jc w:val="right"/>
              <w:rPr>
                <w:rFonts w:ascii="Arial" w:hAnsi="Arial" w:cs="Arial"/>
                <w:sz w:val="16"/>
                <w:szCs w:val="16"/>
              </w:rPr>
            </w:pPr>
            <w:r>
              <w:rPr>
                <w:rFonts w:ascii="Arial" w:hAnsi="Arial" w:cs="Arial"/>
                <w:sz w:val="16"/>
                <w:szCs w:val="16"/>
              </w:rPr>
              <w:t>2025-26 Forward estimate</w:t>
            </w:r>
            <w:r>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tcPr>
          <w:p w14:paraId="55EFFEBC" w14:textId="4427BCBC" w:rsidR="009C035D" w:rsidRPr="00581F55" w:rsidRDefault="009C035D" w:rsidP="009C035D">
            <w:pPr>
              <w:spacing w:after="0" w:line="240" w:lineRule="auto"/>
              <w:jc w:val="right"/>
              <w:rPr>
                <w:rFonts w:ascii="Arial" w:hAnsi="Arial" w:cs="Arial"/>
                <w:sz w:val="16"/>
                <w:szCs w:val="16"/>
              </w:rPr>
            </w:pPr>
            <w:r>
              <w:rPr>
                <w:rFonts w:ascii="Arial" w:hAnsi="Arial" w:cs="Arial"/>
                <w:sz w:val="16"/>
                <w:szCs w:val="16"/>
              </w:rPr>
              <w:t>2026-27</w:t>
            </w:r>
            <w:r>
              <w:rPr>
                <w:rFonts w:ascii="Arial" w:hAnsi="Arial" w:cs="Arial"/>
                <w:sz w:val="16"/>
                <w:szCs w:val="16"/>
              </w:rPr>
              <w:br/>
              <w:t>Forward estimate</w:t>
            </w:r>
            <w:r>
              <w:rPr>
                <w:rFonts w:ascii="Arial" w:hAnsi="Arial" w:cs="Arial"/>
                <w:sz w:val="16"/>
                <w:szCs w:val="16"/>
              </w:rPr>
              <w:br/>
              <w:t>$'000</w:t>
            </w:r>
          </w:p>
        </w:tc>
      </w:tr>
      <w:tr w:rsidR="00581F55" w:rsidRPr="00581F55" w14:paraId="52949A2D" w14:textId="77777777" w:rsidTr="00D556D9">
        <w:trPr>
          <w:trHeight w:val="204"/>
        </w:trPr>
        <w:tc>
          <w:tcPr>
            <w:tcW w:w="3221" w:type="dxa"/>
            <w:tcBorders>
              <w:top w:val="nil"/>
              <w:left w:val="nil"/>
              <w:bottom w:val="nil"/>
              <w:right w:val="nil"/>
            </w:tcBorders>
            <w:shd w:val="clear" w:color="auto" w:fill="auto"/>
            <w:noWrap/>
            <w:vAlign w:val="bottom"/>
            <w:hideMark/>
          </w:tcPr>
          <w:p w14:paraId="3D75027C" w14:textId="77777777" w:rsidR="00581F55" w:rsidRPr="00581F55" w:rsidRDefault="00581F55" w:rsidP="00581F55">
            <w:pPr>
              <w:spacing w:after="0" w:line="240" w:lineRule="auto"/>
              <w:rPr>
                <w:rFonts w:ascii="Arial" w:hAnsi="Arial" w:cs="Arial"/>
                <w:sz w:val="16"/>
                <w:szCs w:val="16"/>
              </w:rPr>
            </w:pPr>
            <w:r w:rsidRPr="00581F55">
              <w:rPr>
                <w:rFonts w:ascii="Arial" w:hAnsi="Arial" w:cs="Arial"/>
                <w:sz w:val="16"/>
                <w:szCs w:val="16"/>
              </w:rPr>
              <w:t>Outcome 4:</w:t>
            </w:r>
          </w:p>
        </w:tc>
        <w:tc>
          <w:tcPr>
            <w:tcW w:w="928" w:type="dxa"/>
            <w:tcBorders>
              <w:top w:val="nil"/>
              <w:left w:val="nil"/>
              <w:bottom w:val="nil"/>
              <w:right w:val="nil"/>
            </w:tcBorders>
            <w:shd w:val="clear" w:color="auto" w:fill="auto"/>
            <w:noWrap/>
            <w:vAlign w:val="bottom"/>
            <w:hideMark/>
          </w:tcPr>
          <w:p w14:paraId="4CED3014" w14:textId="77777777" w:rsidR="00581F55" w:rsidRPr="00581F55" w:rsidRDefault="00581F55" w:rsidP="00D556D9">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425A51B9" w14:textId="36641524" w:rsidR="00581F55" w:rsidRPr="00581F55" w:rsidRDefault="00581F55" w:rsidP="00D556D9">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1DFDF39C" w14:textId="77777777" w:rsidR="00581F55" w:rsidRPr="00581F55" w:rsidRDefault="00581F55" w:rsidP="00D556D9">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32777380" w14:textId="77777777" w:rsidR="00581F55" w:rsidRPr="00581F55" w:rsidRDefault="00581F55" w:rsidP="00D556D9">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2B96C872" w14:textId="77777777" w:rsidR="00581F55" w:rsidRPr="00581F55" w:rsidRDefault="00581F55" w:rsidP="00D556D9">
            <w:pPr>
              <w:spacing w:after="0" w:line="240" w:lineRule="auto"/>
              <w:jc w:val="right"/>
              <w:rPr>
                <w:rFonts w:ascii="Times New Roman" w:hAnsi="Times New Roman"/>
              </w:rPr>
            </w:pPr>
          </w:p>
        </w:tc>
      </w:tr>
      <w:tr w:rsidR="00D556D9" w:rsidRPr="00581F55" w14:paraId="73B3DC9B" w14:textId="77777777" w:rsidTr="00D556D9">
        <w:trPr>
          <w:trHeight w:val="204"/>
        </w:trPr>
        <w:tc>
          <w:tcPr>
            <w:tcW w:w="3221" w:type="dxa"/>
            <w:tcBorders>
              <w:top w:val="nil"/>
              <w:left w:val="nil"/>
              <w:bottom w:val="nil"/>
              <w:right w:val="nil"/>
            </w:tcBorders>
            <w:shd w:val="clear" w:color="auto" w:fill="auto"/>
            <w:noWrap/>
            <w:vAlign w:val="bottom"/>
            <w:hideMark/>
          </w:tcPr>
          <w:p w14:paraId="29EB853E" w14:textId="77777777" w:rsidR="00D556D9" w:rsidRPr="00581F55" w:rsidRDefault="00D556D9" w:rsidP="002C712B">
            <w:pPr>
              <w:spacing w:after="0" w:line="240" w:lineRule="auto"/>
              <w:ind w:left="113"/>
              <w:rPr>
                <w:rFonts w:ascii="Arial" w:hAnsi="Arial" w:cs="Arial"/>
                <w:sz w:val="16"/>
                <w:szCs w:val="16"/>
              </w:rPr>
            </w:pPr>
            <w:r w:rsidRPr="00581F55">
              <w:rPr>
                <w:rFonts w:ascii="Arial" w:hAnsi="Arial" w:cs="Arial"/>
                <w:sz w:val="16"/>
                <w:szCs w:val="16"/>
              </w:rPr>
              <w:t>Program 4.1 Services to Territories</w:t>
            </w:r>
          </w:p>
        </w:tc>
        <w:tc>
          <w:tcPr>
            <w:tcW w:w="928" w:type="dxa"/>
            <w:tcBorders>
              <w:top w:val="nil"/>
              <w:left w:val="nil"/>
              <w:bottom w:val="nil"/>
              <w:right w:val="nil"/>
            </w:tcBorders>
            <w:shd w:val="clear" w:color="auto" w:fill="auto"/>
            <w:noWrap/>
            <w:vAlign w:val="bottom"/>
            <w:hideMark/>
          </w:tcPr>
          <w:p w14:paraId="4B636DA5" w14:textId="6D800413" w:rsidR="00D556D9" w:rsidRPr="00581F55" w:rsidRDefault="00D556D9" w:rsidP="00D556D9">
            <w:pPr>
              <w:spacing w:after="0" w:line="240" w:lineRule="auto"/>
              <w:jc w:val="right"/>
              <w:rPr>
                <w:rFonts w:ascii="Arial" w:hAnsi="Arial" w:cs="Arial"/>
                <w:sz w:val="16"/>
                <w:szCs w:val="16"/>
              </w:rPr>
            </w:pPr>
            <w:r>
              <w:rPr>
                <w:rFonts w:ascii="Arial" w:hAnsi="Arial" w:cs="Arial"/>
                <w:sz w:val="16"/>
                <w:szCs w:val="16"/>
              </w:rPr>
              <w:t>(9,770)</w:t>
            </w:r>
          </w:p>
        </w:tc>
        <w:tc>
          <w:tcPr>
            <w:tcW w:w="880" w:type="dxa"/>
            <w:tcBorders>
              <w:top w:val="nil"/>
              <w:left w:val="nil"/>
              <w:bottom w:val="nil"/>
              <w:right w:val="nil"/>
            </w:tcBorders>
            <w:shd w:val="clear" w:color="000000" w:fill="E6E6E6"/>
            <w:noWrap/>
            <w:vAlign w:val="bottom"/>
            <w:hideMark/>
          </w:tcPr>
          <w:p w14:paraId="40722FC7" w14:textId="5AFC2842" w:rsidR="00D556D9" w:rsidRPr="00581F55" w:rsidRDefault="00D556D9" w:rsidP="00D556D9">
            <w:pPr>
              <w:spacing w:after="0" w:line="240" w:lineRule="auto"/>
              <w:jc w:val="right"/>
              <w:rPr>
                <w:rFonts w:ascii="Arial" w:hAnsi="Arial" w:cs="Arial"/>
                <w:sz w:val="16"/>
                <w:szCs w:val="16"/>
              </w:rPr>
            </w:pPr>
            <w:r>
              <w:rPr>
                <w:rFonts w:ascii="Arial" w:hAnsi="Arial" w:cs="Arial"/>
                <w:sz w:val="16"/>
                <w:szCs w:val="16"/>
              </w:rPr>
              <w:t>9,770</w:t>
            </w:r>
          </w:p>
        </w:tc>
        <w:tc>
          <w:tcPr>
            <w:tcW w:w="880" w:type="dxa"/>
            <w:tcBorders>
              <w:top w:val="nil"/>
              <w:left w:val="nil"/>
              <w:bottom w:val="nil"/>
              <w:right w:val="nil"/>
            </w:tcBorders>
            <w:shd w:val="clear" w:color="auto" w:fill="auto"/>
            <w:noWrap/>
            <w:vAlign w:val="bottom"/>
            <w:hideMark/>
          </w:tcPr>
          <w:p w14:paraId="779FC127" w14:textId="16A14EF6" w:rsidR="00D556D9" w:rsidRPr="00581F55" w:rsidRDefault="00D556D9" w:rsidP="00D556D9">
            <w:pPr>
              <w:spacing w:after="0" w:line="240" w:lineRule="auto"/>
              <w:jc w:val="right"/>
              <w:rPr>
                <w:rFonts w:ascii="Arial" w:hAnsi="Arial" w:cs="Arial"/>
                <w:sz w:val="16"/>
                <w:szCs w:val="16"/>
              </w:rPr>
            </w:pPr>
            <w:r>
              <w:rPr>
                <w:rFonts w:ascii="Arial" w:hAnsi="Arial" w:cs="Arial"/>
                <w:sz w:val="16"/>
                <w:szCs w:val="16"/>
              </w:rPr>
              <w:t>-</w:t>
            </w:r>
          </w:p>
        </w:tc>
        <w:tc>
          <w:tcPr>
            <w:tcW w:w="880" w:type="dxa"/>
            <w:tcBorders>
              <w:top w:val="nil"/>
              <w:left w:val="nil"/>
              <w:bottom w:val="nil"/>
              <w:right w:val="nil"/>
            </w:tcBorders>
            <w:shd w:val="clear" w:color="auto" w:fill="auto"/>
            <w:noWrap/>
            <w:vAlign w:val="bottom"/>
            <w:hideMark/>
          </w:tcPr>
          <w:p w14:paraId="46C1E988" w14:textId="455EE4D2" w:rsidR="00D556D9" w:rsidRPr="00581F55" w:rsidRDefault="00D556D9" w:rsidP="00D556D9">
            <w:pPr>
              <w:spacing w:after="0" w:line="240" w:lineRule="auto"/>
              <w:jc w:val="right"/>
              <w:rPr>
                <w:rFonts w:ascii="Arial" w:hAnsi="Arial" w:cs="Arial"/>
                <w:sz w:val="16"/>
                <w:szCs w:val="16"/>
              </w:rPr>
            </w:pPr>
            <w:r>
              <w:rPr>
                <w:rFonts w:ascii="Arial" w:hAnsi="Arial" w:cs="Arial"/>
                <w:sz w:val="16"/>
                <w:szCs w:val="16"/>
              </w:rPr>
              <w:t>-</w:t>
            </w:r>
          </w:p>
        </w:tc>
        <w:tc>
          <w:tcPr>
            <w:tcW w:w="880" w:type="dxa"/>
            <w:tcBorders>
              <w:top w:val="nil"/>
              <w:left w:val="nil"/>
              <w:bottom w:val="nil"/>
              <w:right w:val="nil"/>
            </w:tcBorders>
            <w:shd w:val="clear" w:color="auto" w:fill="auto"/>
            <w:noWrap/>
            <w:vAlign w:val="bottom"/>
            <w:hideMark/>
          </w:tcPr>
          <w:p w14:paraId="1828E3B2" w14:textId="647D21A1" w:rsidR="00D556D9" w:rsidRPr="00581F55" w:rsidRDefault="00D556D9" w:rsidP="00D556D9">
            <w:pPr>
              <w:spacing w:after="0" w:line="240" w:lineRule="auto"/>
              <w:jc w:val="right"/>
              <w:rPr>
                <w:rFonts w:ascii="Arial" w:hAnsi="Arial" w:cs="Arial"/>
                <w:sz w:val="16"/>
                <w:szCs w:val="16"/>
              </w:rPr>
            </w:pPr>
            <w:r>
              <w:rPr>
                <w:rFonts w:ascii="Arial" w:hAnsi="Arial" w:cs="Arial"/>
                <w:sz w:val="16"/>
                <w:szCs w:val="16"/>
              </w:rPr>
              <w:t>-</w:t>
            </w:r>
          </w:p>
        </w:tc>
      </w:tr>
      <w:tr w:rsidR="00D556D9" w:rsidRPr="00581F55" w14:paraId="5CF381A7" w14:textId="77777777" w:rsidTr="00D556D9">
        <w:trPr>
          <w:trHeight w:val="204"/>
        </w:trPr>
        <w:tc>
          <w:tcPr>
            <w:tcW w:w="3221" w:type="dxa"/>
            <w:tcBorders>
              <w:top w:val="nil"/>
              <w:left w:val="nil"/>
              <w:bottom w:val="single" w:sz="4" w:space="0" w:color="auto"/>
              <w:right w:val="nil"/>
            </w:tcBorders>
            <w:shd w:val="clear" w:color="auto" w:fill="auto"/>
            <w:vAlign w:val="bottom"/>
            <w:hideMark/>
          </w:tcPr>
          <w:p w14:paraId="5623284F" w14:textId="77777777" w:rsidR="00D556D9" w:rsidRPr="00581F55" w:rsidRDefault="00D556D9" w:rsidP="00D556D9">
            <w:pPr>
              <w:spacing w:after="0" w:line="240" w:lineRule="auto"/>
              <w:rPr>
                <w:rFonts w:ascii="Arial" w:hAnsi="Arial" w:cs="Arial"/>
                <w:b/>
                <w:bCs/>
                <w:sz w:val="16"/>
                <w:szCs w:val="16"/>
              </w:rPr>
            </w:pPr>
            <w:r w:rsidRPr="00581F55">
              <w:rPr>
                <w:rFonts w:ascii="Arial" w:hAnsi="Arial" w:cs="Arial"/>
                <w:b/>
                <w:bCs/>
                <w:sz w:val="16"/>
                <w:szCs w:val="16"/>
              </w:rPr>
              <w:t>Total movement of administered funds between years</w:t>
            </w:r>
          </w:p>
        </w:tc>
        <w:tc>
          <w:tcPr>
            <w:tcW w:w="928" w:type="dxa"/>
            <w:tcBorders>
              <w:top w:val="single" w:sz="4" w:space="0" w:color="auto"/>
              <w:left w:val="nil"/>
              <w:bottom w:val="single" w:sz="4" w:space="0" w:color="auto"/>
              <w:right w:val="nil"/>
            </w:tcBorders>
            <w:shd w:val="clear" w:color="auto" w:fill="auto"/>
            <w:noWrap/>
            <w:vAlign w:val="bottom"/>
            <w:hideMark/>
          </w:tcPr>
          <w:p w14:paraId="1DCE3E3C" w14:textId="1C969023" w:rsidR="00D556D9" w:rsidRPr="00581F55" w:rsidRDefault="00D556D9" w:rsidP="00D556D9">
            <w:pPr>
              <w:spacing w:after="0" w:line="240" w:lineRule="auto"/>
              <w:jc w:val="right"/>
              <w:rPr>
                <w:rFonts w:ascii="Arial" w:hAnsi="Arial" w:cs="Arial"/>
                <w:b/>
                <w:bCs/>
                <w:sz w:val="16"/>
                <w:szCs w:val="16"/>
              </w:rPr>
            </w:pPr>
            <w:r>
              <w:rPr>
                <w:rFonts w:ascii="Arial" w:hAnsi="Arial" w:cs="Arial"/>
                <w:b/>
                <w:bCs/>
                <w:sz w:val="16"/>
                <w:szCs w:val="16"/>
              </w:rPr>
              <w:t>(9,770)</w:t>
            </w:r>
          </w:p>
        </w:tc>
        <w:tc>
          <w:tcPr>
            <w:tcW w:w="880" w:type="dxa"/>
            <w:tcBorders>
              <w:top w:val="single" w:sz="4" w:space="0" w:color="auto"/>
              <w:left w:val="nil"/>
              <w:bottom w:val="single" w:sz="4" w:space="0" w:color="auto"/>
              <w:right w:val="nil"/>
            </w:tcBorders>
            <w:shd w:val="clear" w:color="000000" w:fill="E6E6E6"/>
            <w:noWrap/>
            <w:vAlign w:val="bottom"/>
            <w:hideMark/>
          </w:tcPr>
          <w:p w14:paraId="0C364DFB" w14:textId="2F80196C" w:rsidR="00D556D9" w:rsidRPr="00581F55" w:rsidRDefault="00D556D9" w:rsidP="00D556D9">
            <w:pPr>
              <w:spacing w:after="0" w:line="240" w:lineRule="auto"/>
              <w:jc w:val="right"/>
              <w:rPr>
                <w:rFonts w:ascii="Arial" w:hAnsi="Arial" w:cs="Arial"/>
                <w:b/>
                <w:bCs/>
                <w:sz w:val="16"/>
                <w:szCs w:val="16"/>
              </w:rPr>
            </w:pPr>
            <w:r>
              <w:rPr>
                <w:rFonts w:ascii="Arial" w:hAnsi="Arial" w:cs="Arial"/>
                <w:b/>
                <w:bCs/>
                <w:sz w:val="16"/>
                <w:szCs w:val="16"/>
              </w:rPr>
              <w:t>9,770</w:t>
            </w:r>
          </w:p>
        </w:tc>
        <w:tc>
          <w:tcPr>
            <w:tcW w:w="880" w:type="dxa"/>
            <w:tcBorders>
              <w:top w:val="single" w:sz="4" w:space="0" w:color="auto"/>
              <w:left w:val="nil"/>
              <w:bottom w:val="single" w:sz="4" w:space="0" w:color="auto"/>
              <w:right w:val="nil"/>
            </w:tcBorders>
            <w:shd w:val="clear" w:color="auto" w:fill="auto"/>
            <w:noWrap/>
            <w:vAlign w:val="bottom"/>
            <w:hideMark/>
          </w:tcPr>
          <w:p w14:paraId="1A5A42EB" w14:textId="605C0858" w:rsidR="00D556D9" w:rsidRPr="00581F55" w:rsidRDefault="00D556D9" w:rsidP="00D556D9">
            <w:pPr>
              <w:spacing w:after="0" w:line="240" w:lineRule="auto"/>
              <w:jc w:val="right"/>
              <w:rPr>
                <w:rFonts w:ascii="Arial" w:hAnsi="Arial" w:cs="Arial"/>
                <w:b/>
                <w:bCs/>
                <w:sz w:val="16"/>
                <w:szCs w:val="16"/>
              </w:rPr>
            </w:pPr>
            <w:r>
              <w:rPr>
                <w:rFonts w:ascii="Arial" w:hAnsi="Arial" w:cs="Arial"/>
                <w:b/>
                <w:bCs/>
                <w:sz w:val="16"/>
                <w:szCs w:val="16"/>
              </w:rPr>
              <w:t>-</w:t>
            </w:r>
          </w:p>
        </w:tc>
        <w:tc>
          <w:tcPr>
            <w:tcW w:w="880" w:type="dxa"/>
            <w:tcBorders>
              <w:top w:val="single" w:sz="4" w:space="0" w:color="auto"/>
              <w:left w:val="nil"/>
              <w:bottom w:val="single" w:sz="4" w:space="0" w:color="auto"/>
              <w:right w:val="nil"/>
            </w:tcBorders>
            <w:shd w:val="clear" w:color="auto" w:fill="auto"/>
            <w:noWrap/>
            <w:vAlign w:val="bottom"/>
            <w:hideMark/>
          </w:tcPr>
          <w:p w14:paraId="13C5F5B5" w14:textId="45B8F614" w:rsidR="00D556D9" w:rsidRPr="00581F55" w:rsidRDefault="00D556D9" w:rsidP="00D556D9">
            <w:pPr>
              <w:spacing w:after="0" w:line="240" w:lineRule="auto"/>
              <w:jc w:val="right"/>
              <w:rPr>
                <w:rFonts w:ascii="Arial" w:hAnsi="Arial" w:cs="Arial"/>
                <w:b/>
                <w:bCs/>
                <w:sz w:val="16"/>
                <w:szCs w:val="16"/>
              </w:rPr>
            </w:pPr>
            <w:r>
              <w:rPr>
                <w:rFonts w:ascii="Arial" w:hAnsi="Arial" w:cs="Arial"/>
                <w:b/>
                <w:bCs/>
                <w:sz w:val="16"/>
                <w:szCs w:val="16"/>
              </w:rPr>
              <w:t>-</w:t>
            </w:r>
          </w:p>
        </w:tc>
        <w:tc>
          <w:tcPr>
            <w:tcW w:w="880" w:type="dxa"/>
            <w:tcBorders>
              <w:top w:val="single" w:sz="4" w:space="0" w:color="auto"/>
              <w:left w:val="nil"/>
              <w:bottom w:val="single" w:sz="4" w:space="0" w:color="auto"/>
              <w:right w:val="nil"/>
            </w:tcBorders>
            <w:shd w:val="clear" w:color="auto" w:fill="auto"/>
            <w:noWrap/>
            <w:vAlign w:val="bottom"/>
            <w:hideMark/>
          </w:tcPr>
          <w:p w14:paraId="2C6FED68" w14:textId="63C53C7F" w:rsidR="00D556D9" w:rsidRPr="00581F55" w:rsidRDefault="00D556D9" w:rsidP="00D556D9">
            <w:pPr>
              <w:spacing w:after="0" w:line="240" w:lineRule="auto"/>
              <w:jc w:val="right"/>
              <w:rPr>
                <w:rFonts w:ascii="Arial" w:hAnsi="Arial" w:cs="Arial"/>
                <w:b/>
                <w:bCs/>
                <w:sz w:val="16"/>
                <w:szCs w:val="16"/>
              </w:rPr>
            </w:pPr>
            <w:r>
              <w:rPr>
                <w:rFonts w:ascii="Arial" w:hAnsi="Arial" w:cs="Arial"/>
                <w:b/>
                <w:bCs/>
                <w:sz w:val="16"/>
                <w:szCs w:val="16"/>
              </w:rPr>
              <w:t>-</w:t>
            </w:r>
          </w:p>
        </w:tc>
      </w:tr>
    </w:tbl>
    <w:p w14:paraId="100C1D58" w14:textId="08A0098D" w:rsidR="00581F55" w:rsidRDefault="00581F55" w:rsidP="00115843">
      <w:pPr>
        <w:spacing w:after="0" w:line="240" w:lineRule="auto"/>
        <w:rPr>
          <w:rFonts w:ascii="Arial" w:hAnsi="Arial" w:cs="Arial"/>
          <w:sz w:val="16"/>
        </w:rPr>
      </w:pPr>
    </w:p>
    <w:tbl>
      <w:tblPr>
        <w:tblW w:w="4980" w:type="dxa"/>
        <w:tblLook w:val="04A0" w:firstRow="1" w:lastRow="0" w:firstColumn="1" w:lastColumn="0" w:noHBand="0" w:noVBand="1"/>
      </w:tblPr>
      <w:tblGrid>
        <w:gridCol w:w="3220"/>
        <w:gridCol w:w="880"/>
        <w:gridCol w:w="880"/>
      </w:tblGrid>
      <w:tr w:rsidR="00581F55" w:rsidRPr="00581F55" w14:paraId="19B5AC77" w14:textId="77777777" w:rsidTr="00581F55">
        <w:trPr>
          <w:trHeight w:val="225"/>
        </w:trPr>
        <w:tc>
          <w:tcPr>
            <w:tcW w:w="3220" w:type="dxa"/>
            <w:tcBorders>
              <w:top w:val="single" w:sz="4" w:space="0" w:color="auto"/>
              <w:left w:val="nil"/>
              <w:bottom w:val="nil"/>
              <w:right w:val="nil"/>
            </w:tcBorders>
            <w:shd w:val="clear" w:color="auto" w:fill="auto"/>
            <w:noWrap/>
            <w:vAlign w:val="bottom"/>
            <w:hideMark/>
          </w:tcPr>
          <w:p w14:paraId="0A69E6FD" w14:textId="77777777" w:rsidR="00581F55" w:rsidRPr="00581F55" w:rsidRDefault="00581F55" w:rsidP="00581F55">
            <w:pPr>
              <w:spacing w:after="0" w:line="240" w:lineRule="auto"/>
              <w:rPr>
                <w:rFonts w:ascii="Arial" w:hAnsi="Arial" w:cs="Arial"/>
                <w:sz w:val="16"/>
                <w:szCs w:val="16"/>
              </w:rPr>
            </w:pPr>
            <w:r w:rsidRPr="00581F55">
              <w:rPr>
                <w:rFonts w:ascii="Arial" w:hAnsi="Arial" w:cs="Arial"/>
                <w:sz w:val="16"/>
                <w:szCs w:val="16"/>
              </w:rPr>
              <w:t> </w:t>
            </w:r>
          </w:p>
        </w:tc>
        <w:tc>
          <w:tcPr>
            <w:tcW w:w="880" w:type="dxa"/>
            <w:tcBorders>
              <w:top w:val="single" w:sz="4" w:space="0" w:color="auto"/>
              <w:left w:val="nil"/>
              <w:bottom w:val="single" w:sz="4" w:space="0" w:color="auto"/>
              <w:right w:val="nil"/>
            </w:tcBorders>
            <w:shd w:val="clear" w:color="auto" w:fill="auto"/>
            <w:noWrap/>
            <w:hideMark/>
          </w:tcPr>
          <w:p w14:paraId="1BCF2A1D" w14:textId="77777777" w:rsidR="00581F55" w:rsidRPr="00581F55" w:rsidRDefault="00581F55" w:rsidP="00581F55">
            <w:pPr>
              <w:spacing w:after="0" w:line="240" w:lineRule="auto"/>
              <w:jc w:val="right"/>
              <w:rPr>
                <w:rFonts w:ascii="Arial" w:hAnsi="Arial" w:cs="Arial"/>
                <w:sz w:val="16"/>
                <w:szCs w:val="16"/>
              </w:rPr>
            </w:pPr>
            <w:r w:rsidRPr="00581F55">
              <w:rPr>
                <w:rFonts w:ascii="Arial" w:hAnsi="Arial" w:cs="Arial"/>
                <w:sz w:val="16"/>
                <w:szCs w:val="16"/>
              </w:rPr>
              <w:t>2022-23</w:t>
            </w:r>
          </w:p>
        </w:tc>
        <w:tc>
          <w:tcPr>
            <w:tcW w:w="880" w:type="dxa"/>
            <w:tcBorders>
              <w:top w:val="single" w:sz="4" w:space="0" w:color="auto"/>
              <w:left w:val="nil"/>
              <w:bottom w:val="single" w:sz="4" w:space="0" w:color="auto"/>
              <w:right w:val="nil"/>
            </w:tcBorders>
            <w:shd w:val="clear" w:color="000000" w:fill="E6E6E6"/>
            <w:hideMark/>
          </w:tcPr>
          <w:p w14:paraId="758F68D5" w14:textId="77777777" w:rsidR="00581F55" w:rsidRPr="00581F55" w:rsidRDefault="00581F55" w:rsidP="00581F55">
            <w:pPr>
              <w:spacing w:after="0" w:line="240" w:lineRule="auto"/>
              <w:jc w:val="right"/>
              <w:rPr>
                <w:rFonts w:ascii="Arial" w:hAnsi="Arial" w:cs="Arial"/>
                <w:sz w:val="16"/>
                <w:szCs w:val="16"/>
              </w:rPr>
            </w:pPr>
            <w:r w:rsidRPr="00581F55">
              <w:rPr>
                <w:rFonts w:ascii="Arial" w:hAnsi="Arial" w:cs="Arial"/>
                <w:sz w:val="16"/>
                <w:szCs w:val="16"/>
              </w:rPr>
              <w:t>2023-24</w:t>
            </w:r>
          </w:p>
        </w:tc>
      </w:tr>
      <w:tr w:rsidR="00581F55" w:rsidRPr="00581F55" w14:paraId="785CF249" w14:textId="77777777" w:rsidTr="00581F55">
        <w:trPr>
          <w:trHeight w:val="225"/>
        </w:trPr>
        <w:tc>
          <w:tcPr>
            <w:tcW w:w="3220" w:type="dxa"/>
            <w:tcBorders>
              <w:top w:val="nil"/>
              <w:left w:val="nil"/>
              <w:bottom w:val="single" w:sz="4" w:space="0" w:color="auto"/>
              <w:right w:val="nil"/>
            </w:tcBorders>
            <w:shd w:val="clear" w:color="auto" w:fill="auto"/>
            <w:noWrap/>
            <w:hideMark/>
          </w:tcPr>
          <w:p w14:paraId="69A61916" w14:textId="77777777" w:rsidR="00581F55" w:rsidRPr="00581F55" w:rsidRDefault="00581F55" w:rsidP="00581F55">
            <w:pPr>
              <w:spacing w:after="0" w:line="240" w:lineRule="auto"/>
              <w:rPr>
                <w:rFonts w:ascii="Arial" w:hAnsi="Arial" w:cs="Arial"/>
                <w:b/>
                <w:bCs/>
                <w:sz w:val="16"/>
                <w:szCs w:val="16"/>
              </w:rPr>
            </w:pPr>
            <w:r w:rsidRPr="00581F55">
              <w:rPr>
                <w:rFonts w:ascii="Arial" w:hAnsi="Arial" w:cs="Arial"/>
                <w:b/>
                <w:bCs/>
                <w:sz w:val="16"/>
                <w:szCs w:val="16"/>
              </w:rPr>
              <w:t>Average staffing level (number)</w:t>
            </w:r>
          </w:p>
        </w:tc>
        <w:tc>
          <w:tcPr>
            <w:tcW w:w="880" w:type="dxa"/>
            <w:tcBorders>
              <w:top w:val="nil"/>
              <w:left w:val="nil"/>
              <w:bottom w:val="single" w:sz="4" w:space="0" w:color="auto"/>
              <w:right w:val="nil"/>
            </w:tcBorders>
            <w:shd w:val="clear" w:color="auto" w:fill="auto"/>
            <w:noWrap/>
            <w:vAlign w:val="bottom"/>
            <w:hideMark/>
          </w:tcPr>
          <w:p w14:paraId="241D4240" w14:textId="77777777" w:rsidR="00581F55" w:rsidRPr="00581F55" w:rsidRDefault="00581F55" w:rsidP="00581F55">
            <w:pPr>
              <w:spacing w:after="0" w:line="240" w:lineRule="auto"/>
              <w:jc w:val="right"/>
              <w:rPr>
                <w:rFonts w:ascii="Arial" w:hAnsi="Arial" w:cs="Arial"/>
                <w:sz w:val="16"/>
                <w:szCs w:val="16"/>
              </w:rPr>
            </w:pPr>
            <w:r w:rsidRPr="00581F55">
              <w:rPr>
                <w:rFonts w:ascii="Arial" w:hAnsi="Arial" w:cs="Arial"/>
                <w:sz w:val="16"/>
                <w:szCs w:val="16"/>
              </w:rPr>
              <w:t xml:space="preserve">124 </w:t>
            </w:r>
          </w:p>
        </w:tc>
        <w:tc>
          <w:tcPr>
            <w:tcW w:w="880" w:type="dxa"/>
            <w:tcBorders>
              <w:top w:val="nil"/>
              <w:left w:val="nil"/>
              <w:bottom w:val="single" w:sz="4" w:space="0" w:color="auto"/>
              <w:right w:val="nil"/>
            </w:tcBorders>
            <w:shd w:val="clear" w:color="000000" w:fill="E6E6E6"/>
            <w:noWrap/>
            <w:vAlign w:val="bottom"/>
            <w:hideMark/>
          </w:tcPr>
          <w:p w14:paraId="11836240" w14:textId="77777777" w:rsidR="00581F55" w:rsidRPr="00581F55" w:rsidRDefault="00581F55" w:rsidP="00581F55">
            <w:pPr>
              <w:spacing w:after="0" w:line="240" w:lineRule="auto"/>
              <w:jc w:val="right"/>
              <w:rPr>
                <w:rFonts w:ascii="Arial" w:hAnsi="Arial" w:cs="Arial"/>
                <w:sz w:val="16"/>
                <w:szCs w:val="16"/>
              </w:rPr>
            </w:pPr>
            <w:r w:rsidRPr="00581F55">
              <w:rPr>
                <w:rFonts w:ascii="Arial" w:hAnsi="Arial" w:cs="Arial"/>
                <w:sz w:val="16"/>
                <w:szCs w:val="16"/>
              </w:rPr>
              <w:t xml:space="preserve">134 </w:t>
            </w:r>
          </w:p>
        </w:tc>
      </w:tr>
    </w:tbl>
    <w:p w14:paraId="46E5F408" w14:textId="4F2052D3" w:rsidR="00AE5E33" w:rsidRDefault="00AE5E33" w:rsidP="00977C28">
      <w:pPr>
        <w:pStyle w:val="ListParagraph"/>
        <w:numPr>
          <w:ilvl w:val="0"/>
          <w:numId w:val="165"/>
        </w:numPr>
        <w:spacing w:before="60" w:after="0" w:line="240" w:lineRule="auto"/>
        <w:ind w:left="426" w:hanging="426"/>
        <w:rPr>
          <w:rFonts w:ascii="Arial" w:hAnsi="Arial" w:cs="Arial"/>
          <w:sz w:val="16"/>
          <w:szCs w:val="16"/>
        </w:rPr>
      </w:pPr>
      <w:r>
        <w:rPr>
          <w:rFonts w:ascii="Arial" w:hAnsi="Arial" w:cs="Arial"/>
          <w:sz w:val="16"/>
          <w:szCs w:val="16"/>
        </w:rPr>
        <w:t xml:space="preserve">Administered ‘Expenses not requiring appropriation in the Budget year’ </w:t>
      </w:r>
      <w:r w:rsidR="007B34E6">
        <w:rPr>
          <w:rFonts w:ascii="Arial" w:hAnsi="Arial" w:cs="Arial"/>
          <w:sz w:val="16"/>
          <w:szCs w:val="16"/>
        </w:rPr>
        <w:t>comprise</w:t>
      </w:r>
      <w:r>
        <w:rPr>
          <w:rFonts w:ascii="Arial" w:hAnsi="Arial" w:cs="Arial"/>
          <w:sz w:val="16"/>
          <w:szCs w:val="16"/>
        </w:rPr>
        <w:t xml:space="preserve"> expenses relating to accruals, payments made from prior year appropriations and other non–cash expenses. </w:t>
      </w:r>
    </w:p>
    <w:p w14:paraId="7E273ECD" w14:textId="62992188" w:rsidR="00AE5E33" w:rsidRDefault="00AE5E33" w:rsidP="00977C28">
      <w:pPr>
        <w:pStyle w:val="ListParagraph"/>
        <w:numPr>
          <w:ilvl w:val="0"/>
          <w:numId w:val="165"/>
        </w:numPr>
        <w:spacing w:before="60" w:after="0" w:line="240" w:lineRule="auto"/>
        <w:ind w:left="426" w:hanging="426"/>
        <w:rPr>
          <w:rFonts w:ascii="Arial" w:hAnsi="Arial" w:cs="Arial"/>
          <w:sz w:val="16"/>
          <w:szCs w:val="16"/>
        </w:rPr>
      </w:pPr>
      <w:r>
        <w:rPr>
          <w:rFonts w:ascii="Arial" w:hAnsi="Arial" w:cs="Arial"/>
          <w:sz w:val="16"/>
          <w:szCs w:val="16"/>
        </w:rPr>
        <w:t xml:space="preserve">Departmental 'Expenses not requiring appropriation in the Budget year' are made up of depreciation expenses, amortisation expenses, </w:t>
      </w:r>
      <w:r w:rsidR="006E0842">
        <w:rPr>
          <w:rFonts w:ascii="Arial" w:hAnsi="Arial" w:cs="Arial"/>
          <w:sz w:val="16"/>
          <w:szCs w:val="16"/>
        </w:rPr>
        <w:t>and exclude right of use assets</w:t>
      </w:r>
      <w:r>
        <w:rPr>
          <w:rFonts w:ascii="Arial" w:hAnsi="Arial" w:cs="Arial"/>
          <w:sz w:val="16"/>
          <w:szCs w:val="16"/>
        </w:rPr>
        <w:t>.</w:t>
      </w:r>
      <w:r>
        <w:t xml:space="preserve"> </w:t>
      </w:r>
      <w:r>
        <w:rPr>
          <w:rFonts w:ascii="Arial" w:hAnsi="Arial" w:cs="Arial"/>
          <w:sz w:val="16"/>
          <w:szCs w:val="16"/>
        </w:rPr>
        <w:t> </w:t>
      </w:r>
    </w:p>
    <w:p w14:paraId="42A132FC" w14:textId="77777777" w:rsidR="00AE5E33" w:rsidRDefault="00AE5E33" w:rsidP="00977C28">
      <w:pPr>
        <w:pStyle w:val="ListParagraph"/>
        <w:numPr>
          <w:ilvl w:val="0"/>
          <w:numId w:val="165"/>
        </w:numPr>
        <w:spacing w:before="60" w:after="0" w:line="240" w:lineRule="auto"/>
        <w:ind w:left="426" w:hanging="426"/>
        <w:rPr>
          <w:rFonts w:ascii="Arial" w:hAnsi="Arial" w:cs="Arial"/>
          <w:sz w:val="16"/>
          <w:szCs w:val="16"/>
        </w:rPr>
      </w:pPr>
      <w:r>
        <w:rPr>
          <w:rFonts w:ascii="Arial" w:hAnsi="Arial" w:cs="Arial"/>
          <w:sz w:val="16"/>
          <w:szCs w:val="16"/>
        </w:rPr>
        <w:t>Figures displayed as a negative (–) represent a decrease in funds and a positive (+) represent an increase in funds.</w:t>
      </w:r>
      <w:r>
        <w:t xml:space="preserve"> </w:t>
      </w:r>
    </w:p>
    <w:p w14:paraId="11205FB8" w14:textId="4757D14F" w:rsidR="00115843" w:rsidRDefault="00AE5E33" w:rsidP="00AE5E33">
      <w:pPr>
        <w:spacing w:after="0" w:line="240" w:lineRule="auto"/>
        <w:rPr>
          <w:rFonts w:ascii="Arial" w:hAnsi="Arial" w:cs="Arial"/>
          <w:sz w:val="16"/>
          <w:szCs w:val="16"/>
        </w:rPr>
      </w:pPr>
      <w:r>
        <w:rPr>
          <w:rFonts w:ascii="Arial" w:hAnsi="Arial" w:cs="Arial"/>
          <w:sz w:val="16"/>
          <w:szCs w:val="16"/>
        </w:rPr>
        <w:t>Note: Departmental appropriation splits and totals are indicative estimates and may change in the course of the budget year as government priorities change</w:t>
      </w:r>
      <w:r w:rsidR="009C035D">
        <w:rPr>
          <w:rFonts w:ascii="Arial" w:hAnsi="Arial" w:cs="Arial"/>
          <w:sz w:val="16"/>
          <w:szCs w:val="16"/>
        </w:rPr>
        <w:t>.</w:t>
      </w:r>
    </w:p>
    <w:p w14:paraId="7942DECF" w14:textId="59FEFF89" w:rsidR="00581F55" w:rsidRDefault="00581F55">
      <w:pPr>
        <w:spacing w:after="0" w:line="240" w:lineRule="auto"/>
        <w:rPr>
          <w:rFonts w:ascii="Arial" w:hAnsi="Arial" w:cs="Arial"/>
          <w:sz w:val="16"/>
        </w:rPr>
      </w:pPr>
      <w:r>
        <w:rPr>
          <w:rFonts w:ascii="Arial" w:hAnsi="Arial" w:cs="Arial"/>
          <w:sz w:val="16"/>
        </w:rPr>
        <w:br w:type="page"/>
      </w:r>
    </w:p>
    <w:p w14:paraId="2204C2E1" w14:textId="0D5F91C4" w:rsidR="00115843" w:rsidRDefault="00115843" w:rsidP="00115843">
      <w:pPr>
        <w:spacing w:after="0"/>
        <w:rPr>
          <w:rStyle w:val="TableHeadingChar"/>
          <w:lang w:val="en-GB"/>
        </w:rPr>
      </w:pPr>
      <w:r w:rsidRPr="00B166C6">
        <w:rPr>
          <w:rStyle w:val="TableHeadingChar"/>
        </w:rPr>
        <w:lastRenderedPageBreak/>
        <w:t>Table 2.</w:t>
      </w:r>
      <w:r>
        <w:rPr>
          <w:rStyle w:val="TableHeadingChar"/>
          <w:lang w:val="en-GB"/>
        </w:rPr>
        <w:t>4</w:t>
      </w:r>
      <w:r w:rsidRPr="00B166C6">
        <w:rPr>
          <w:rStyle w:val="TableHeadingChar"/>
        </w:rPr>
        <w:t xml:space="preserve">.2: Program components of Outcome </w:t>
      </w:r>
      <w:r>
        <w:rPr>
          <w:rStyle w:val="TableHeadingChar"/>
          <w:lang w:val="en-GB"/>
        </w:rPr>
        <w:t>4</w:t>
      </w:r>
    </w:p>
    <w:tbl>
      <w:tblPr>
        <w:tblW w:w="5000" w:type="pct"/>
        <w:tblLook w:val="04A0" w:firstRow="1" w:lastRow="0" w:firstColumn="1" w:lastColumn="0" w:noHBand="0" w:noVBand="1"/>
      </w:tblPr>
      <w:tblGrid>
        <w:gridCol w:w="3346"/>
        <w:gridCol w:w="928"/>
        <w:gridCol w:w="860"/>
        <w:gridCol w:w="860"/>
        <w:gridCol w:w="860"/>
        <w:gridCol w:w="856"/>
      </w:tblGrid>
      <w:tr w:rsidR="00745ACD" w:rsidRPr="00745ACD" w14:paraId="2BEFBEA3" w14:textId="77777777" w:rsidTr="00001811">
        <w:trPr>
          <w:trHeight w:val="204"/>
        </w:trPr>
        <w:tc>
          <w:tcPr>
            <w:tcW w:w="2169" w:type="pct"/>
            <w:tcBorders>
              <w:top w:val="single" w:sz="4" w:space="0" w:color="auto"/>
              <w:left w:val="nil"/>
              <w:bottom w:val="nil"/>
              <w:right w:val="nil"/>
            </w:tcBorders>
            <w:shd w:val="clear" w:color="auto" w:fill="auto"/>
            <w:noWrap/>
            <w:vAlign w:val="bottom"/>
            <w:hideMark/>
          </w:tcPr>
          <w:p w14:paraId="2556EE55" w14:textId="77777777" w:rsidR="00745ACD" w:rsidRPr="00745ACD" w:rsidRDefault="00745ACD" w:rsidP="00745ACD">
            <w:pPr>
              <w:spacing w:after="0" w:line="240" w:lineRule="auto"/>
              <w:rPr>
                <w:rFonts w:ascii="Arial" w:hAnsi="Arial" w:cs="Arial"/>
                <w:sz w:val="16"/>
                <w:szCs w:val="16"/>
              </w:rPr>
            </w:pPr>
            <w:r w:rsidRPr="00745ACD">
              <w:rPr>
                <w:rFonts w:ascii="Arial" w:hAnsi="Arial" w:cs="Arial"/>
                <w:sz w:val="16"/>
                <w:szCs w:val="16"/>
              </w:rPr>
              <w:t> </w:t>
            </w:r>
          </w:p>
        </w:tc>
        <w:tc>
          <w:tcPr>
            <w:tcW w:w="602" w:type="pct"/>
            <w:tcBorders>
              <w:top w:val="single" w:sz="4" w:space="0" w:color="auto"/>
              <w:left w:val="nil"/>
              <w:bottom w:val="nil"/>
              <w:right w:val="nil"/>
            </w:tcBorders>
            <w:shd w:val="clear" w:color="auto" w:fill="auto"/>
            <w:vAlign w:val="bottom"/>
            <w:hideMark/>
          </w:tcPr>
          <w:p w14:paraId="13020215" w14:textId="47F2F0F6" w:rsidR="00745ACD" w:rsidRPr="00745ACD" w:rsidRDefault="00745ACD" w:rsidP="00745ACD">
            <w:pPr>
              <w:spacing w:after="0" w:line="240" w:lineRule="auto"/>
              <w:jc w:val="right"/>
              <w:rPr>
                <w:rFonts w:ascii="Arial" w:hAnsi="Arial" w:cs="Arial"/>
                <w:sz w:val="16"/>
                <w:szCs w:val="16"/>
              </w:rPr>
            </w:pPr>
            <w:r w:rsidRPr="00745ACD">
              <w:rPr>
                <w:rFonts w:ascii="Arial" w:hAnsi="Arial" w:cs="Arial"/>
                <w:sz w:val="16"/>
                <w:szCs w:val="16"/>
              </w:rPr>
              <w:t>2022-23</w:t>
            </w:r>
            <w:r w:rsidRPr="00745ACD">
              <w:rPr>
                <w:rFonts w:ascii="Arial" w:hAnsi="Arial" w:cs="Arial"/>
                <w:sz w:val="16"/>
                <w:szCs w:val="16"/>
              </w:rPr>
              <w:br/>
              <w:t>Estimated actual</w:t>
            </w:r>
            <w:r w:rsidRPr="00745ACD">
              <w:rPr>
                <w:rFonts w:ascii="Arial" w:hAnsi="Arial" w:cs="Arial"/>
                <w:sz w:val="16"/>
                <w:szCs w:val="16"/>
              </w:rPr>
              <w:br/>
              <w:t>$'000</w:t>
            </w:r>
          </w:p>
        </w:tc>
        <w:tc>
          <w:tcPr>
            <w:tcW w:w="558" w:type="pct"/>
            <w:tcBorders>
              <w:top w:val="single" w:sz="4" w:space="0" w:color="auto"/>
              <w:left w:val="nil"/>
              <w:bottom w:val="nil"/>
              <w:right w:val="nil"/>
            </w:tcBorders>
            <w:shd w:val="clear" w:color="000000" w:fill="E6E6E6"/>
            <w:vAlign w:val="bottom"/>
            <w:hideMark/>
          </w:tcPr>
          <w:p w14:paraId="4F1692E1" w14:textId="77777777" w:rsidR="00745ACD" w:rsidRPr="00745ACD" w:rsidRDefault="00745ACD" w:rsidP="00745ACD">
            <w:pPr>
              <w:spacing w:after="0" w:line="240" w:lineRule="auto"/>
              <w:jc w:val="right"/>
              <w:rPr>
                <w:rFonts w:ascii="Arial" w:hAnsi="Arial" w:cs="Arial"/>
                <w:sz w:val="16"/>
                <w:szCs w:val="16"/>
              </w:rPr>
            </w:pPr>
            <w:r w:rsidRPr="00745ACD">
              <w:rPr>
                <w:rFonts w:ascii="Arial" w:hAnsi="Arial" w:cs="Arial"/>
                <w:sz w:val="16"/>
                <w:szCs w:val="16"/>
              </w:rPr>
              <w:t>2023-24</w:t>
            </w:r>
            <w:r w:rsidRPr="00745ACD">
              <w:rPr>
                <w:rFonts w:ascii="Arial" w:hAnsi="Arial" w:cs="Arial"/>
                <w:sz w:val="16"/>
                <w:szCs w:val="16"/>
              </w:rPr>
              <w:br/>
              <w:t xml:space="preserve"> Budget</w:t>
            </w:r>
            <w:r w:rsidRPr="00745ACD">
              <w:rPr>
                <w:rFonts w:ascii="Arial" w:hAnsi="Arial" w:cs="Arial"/>
                <w:sz w:val="16"/>
                <w:szCs w:val="16"/>
              </w:rPr>
              <w:br/>
              <w:t xml:space="preserve">                                      $'000</w:t>
            </w:r>
          </w:p>
        </w:tc>
        <w:tc>
          <w:tcPr>
            <w:tcW w:w="558" w:type="pct"/>
            <w:tcBorders>
              <w:top w:val="single" w:sz="4" w:space="0" w:color="auto"/>
              <w:left w:val="nil"/>
              <w:bottom w:val="nil"/>
              <w:right w:val="nil"/>
            </w:tcBorders>
            <w:shd w:val="clear" w:color="auto" w:fill="auto"/>
            <w:vAlign w:val="bottom"/>
            <w:hideMark/>
          </w:tcPr>
          <w:p w14:paraId="300DA4DF" w14:textId="77777777" w:rsidR="00745ACD" w:rsidRPr="00745ACD" w:rsidRDefault="00745ACD" w:rsidP="00745ACD">
            <w:pPr>
              <w:spacing w:after="0" w:line="240" w:lineRule="auto"/>
              <w:jc w:val="right"/>
              <w:rPr>
                <w:rFonts w:ascii="Arial" w:hAnsi="Arial" w:cs="Arial"/>
                <w:sz w:val="16"/>
                <w:szCs w:val="16"/>
              </w:rPr>
            </w:pPr>
            <w:r w:rsidRPr="00745ACD">
              <w:rPr>
                <w:rFonts w:ascii="Arial" w:hAnsi="Arial" w:cs="Arial"/>
                <w:sz w:val="16"/>
                <w:szCs w:val="16"/>
              </w:rPr>
              <w:t>2024-25</w:t>
            </w:r>
            <w:r w:rsidRPr="00745ACD">
              <w:rPr>
                <w:rFonts w:ascii="Arial" w:hAnsi="Arial" w:cs="Arial"/>
                <w:sz w:val="16"/>
                <w:szCs w:val="16"/>
              </w:rPr>
              <w:br/>
              <w:t>Forward estimate</w:t>
            </w:r>
            <w:r w:rsidRPr="00745ACD">
              <w:rPr>
                <w:rFonts w:ascii="Arial" w:hAnsi="Arial" w:cs="Arial"/>
                <w:sz w:val="16"/>
                <w:szCs w:val="16"/>
              </w:rPr>
              <w:br/>
              <w:t>$'000</w:t>
            </w:r>
          </w:p>
        </w:tc>
        <w:tc>
          <w:tcPr>
            <w:tcW w:w="558" w:type="pct"/>
            <w:tcBorders>
              <w:top w:val="single" w:sz="4" w:space="0" w:color="auto"/>
              <w:left w:val="nil"/>
              <w:bottom w:val="nil"/>
              <w:right w:val="nil"/>
            </w:tcBorders>
            <w:shd w:val="clear" w:color="auto" w:fill="auto"/>
            <w:vAlign w:val="bottom"/>
            <w:hideMark/>
          </w:tcPr>
          <w:p w14:paraId="167ABE67" w14:textId="77777777" w:rsidR="00745ACD" w:rsidRPr="00745ACD" w:rsidRDefault="00745ACD" w:rsidP="00745ACD">
            <w:pPr>
              <w:spacing w:after="0" w:line="240" w:lineRule="auto"/>
              <w:jc w:val="right"/>
              <w:rPr>
                <w:rFonts w:ascii="Arial" w:hAnsi="Arial" w:cs="Arial"/>
                <w:sz w:val="16"/>
                <w:szCs w:val="16"/>
              </w:rPr>
            </w:pPr>
            <w:r w:rsidRPr="00745ACD">
              <w:rPr>
                <w:rFonts w:ascii="Arial" w:hAnsi="Arial" w:cs="Arial"/>
                <w:sz w:val="16"/>
                <w:szCs w:val="16"/>
              </w:rPr>
              <w:t>2025-26</w:t>
            </w:r>
            <w:r w:rsidRPr="00745ACD">
              <w:rPr>
                <w:rFonts w:ascii="Arial" w:hAnsi="Arial" w:cs="Arial"/>
                <w:sz w:val="16"/>
                <w:szCs w:val="16"/>
              </w:rPr>
              <w:br/>
              <w:t>Forward estimate</w:t>
            </w:r>
            <w:r w:rsidRPr="00745ACD">
              <w:rPr>
                <w:rFonts w:ascii="Arial" w:hAnsi="Arial" w:cs="Arial"/>
                <w:sz w:val="16"/>
                <w:szCs w:val="16"/>
              </w:rPr>
              <w:br/>
              <w:t>$'000</w:t>
            </w:r>
          </w:p>
        </w:tc>
        <w:tc>
          <w:tcPr>
            <w:tcW w:w="556" w:type="pct"/>
            <w:tcBorders>
              <w:top w:val="single" w:sz="4" w:space="0" w:color="auto"/>
              <w:left w:val="nil"/>
              <w:bottom w:val="nil"/>
              <w:right w:val="nil"/>
            </w:tcBorders>
            <w:shd w:val="clear" w:color="auto" w:fill="auto"/>
            <w:vAlign w:val="bottom"/>
            <w:hideMark/>
          </w:tcPr>
          <w:p w14:paraId="7DE74284" w14:textId="77777777" w:rsidR="00745ACD" w:rsidRPr="00745ACD" w:rsidRDefault="00745ACD" w:rsidP="00745ACD">
            <w:pPr>
              <w:spacing w:after="0" w:line="240" w:lineRule="auto"/>
              <w:jc w:val="right"/>
              <w:rPr>
                <w:rFonts w:ascii="Arial" w:hAnsi="Arial" w:cs="Arial"/>
                <w:sz w:val="16"/>
                <w:szCs w:val="16"/>
              </w:rPr>
            </w:pPr>
            <w:r w:rsidRPr="00745ACD">
              <w:rPr>
                <w:rFonts w:ascii="Arial" w:hAnsi="Arial" w:cs="Arial"/>
                <w:sz w:val="16"/>
                <w:szCs w:val="16"/>
              </w:rPr>
              <w:t>2026-27</w:t>
            </w:r>
            <w:r w:rsidRPr="00745ACD">
              <w:rPr>
                <w:rFonts w:ascii="Arial" w:hAnsi="Arial" w:cs="Arial"/>
                <w:sz w:val="16"/>
                <w:szCs w:val="16"/>
              </w:rPr>
              <w:br/>
              <w:t>Forward estimate</w:t>
            </w:r>
            <w:r w:rsidRPr="00745ACD">
              <w:rPr>
                <w:rFonts w:ascii="Arial" w:hAnsi="Arial" w:cs="Arial"/>
                <w:sz w:val="16"/>
                <w:szCs w:val="16"/>
              </w:rPr>
              <w:br/>
              <w:t>$'000</w:t>
            </w:r>
          </w:p>
        </w:tc>
      </w:tr>
      <w:tr w:rsidR="00745ACD" w:rsidRPr="00745ACD" w14:paraId="7151CB6E" w14:textId="77777777" w:rsidTr="00745ACD">
        <w:trPr>
          <w:trHeight w:val="204"/>
        </w:trPr>
        <w:tc>
          <w:tcPr>
            <w:tcW w:w="5000" w:type="pct"/>
            <w:gridSpan w:val="6"/>
            <w:tcBorders>
              <w:top w:val="single" w:sz="4" w:space="0" w:color="auto"/>
              <w:left w:val="nil"/>
              <w:bottom w:val="single" w:sz="4" w:space="0" w:color="auto"/>
              <w:right w:val="nil"/>
            </w:tcBorders>
            <w:shd w:val="clear" w:color="000000" w:fill="E6E6E6"/>
            <w:noWrap/>
            <w:vAlign w:val="bottom"/>
            <w:hideMark/>
          </w:tcPr>
          <w:p w14:paraId="57A85F03" w14:textId="65AC77C6" w:rsidR="00745ACD" w:rsidRPr="00745ACD" w:rsidRDefault="00745ACD" w:rsidP="00745ACD">
            <w:pPr>
              <w:spacing w:before="20" w:after="20" w:line="240" w:lineRule="auto"/>
              <w:rPr>
                <w:rFonts w:ascii="Arial" w:hAnsi="Arial" w:cs="Arial"/>
                <w:b/>
                <w:bCs/>
                <w:sz w:val="16"/>
                <w:szCs w:val="16"/>
              </w:rPr>
            </w:pPr>
            <w:r w:rsidRPr="00745ACD">
              <w:rPr>
                <w:rFonts w:ascii="Arial" w:hAnsi="Arial" w:cs="Arial"/>
                <w:b/>
                <w:bCs/>
                <w:sz w:val="16"/>
                <w:szCs w:val="16"/>
              </w:rPr>
              <w:t>Components for Program 4.1: Services to territories</w:t>
            </w:r>
          </w:p>
        </w:tc>
      </w:tr>
      <w:tr w:rsidR="00745ACD" w:rsidRPr="00745ACD" w14:paraId="72F0AC5A" w14:textId="77777777" w:rsidTr="00001811">
        <w:trPr>
          <w:trHeight w:val="204"/>
        </w:trPr>
        <w:tc>
          <w:tcPr>
            <w:tcW w:w="2169" w:type="pct"/>
            <w:tcBorders>
              <w:top w:val="nil"/>
              <w:left w:val="nil"/>
              <w:bottom w:val="nil"/>
              <w:right w:val="nil"/>
            </w:tcBorders>
            <w:shd w:val="clear" w:color="auto" w:fill="auto"/>
            <w:noWrap/>
            <w:vAlign w:val="bottom"/>
            <w:hideMark/>
          </w:tcPr>
          <w:p w14:paraId="69F636E4" w14:textId="77777777" w:rsidR="00745ACD" w:rsidRPr="00745ACD" w:rsidRDefault="00745ACD" w:rsidP="00745ACD">
            <w:pPr>
              <w:spacing w:after="0" w:line="240" w:lineRule="auto"/>
              <w:rPr>
                <w:rFonts w:ascii="Arial" w:hAnsi="Arial" w:cs="Arial"/>
                <w:sz w:val="16"/>
                <w:szCs w:val="16"/>
              </w:rPr>
            </w:pPr>
            <w:r w:rsidRPr="00745ACD">
              <w:rPr>
                <w:rFonts w:ascii="Arial" w:hAnsi="Arial" w:cs="Arial"/>
                <w:sz w:val="16"/>
                <w:szCs w:val="16"/>
              </w:rPr>
              <w:t>Administered expenses:</w:t>
            </w:r>
          </w:p>
        </w:tc>
        <w:tc>
          <w:tcPr>
            <w:tcW w:w="602" w:type="pct"/>
            <w:tcBorders>
              <w:top w:val="nil"/>
              <w:left w:val="nil"/>
              <w:bottom w:val="nil"/>
              <w:right w:val="nil"/>
            </w:tcBorders>
            <w:shd w:val="clear" w:color="auto" w:fill="auto"/>
            <w:noWrap/>
            <w:vAlign w:val="bottom"/>
            <w:hideMark/>
          </w:tcPr>
          <w:p w14:paraId="25A4B374" w14:textId="77777777" w:rsidR="00745ACD" w:rsidRPr="00745ACD" w:rsidRDefault="00745ACD" w:rsidP="00745ACD">
            <w:pPr>
              <w:spacing w:after="0" w:line="240" w:lineRule="auto"/>
              <w:jc w:val="right"/>
              <w:rPr>
                <w:rFonts w:ascii="Arial" w:hAnsi="Arial" w:cs="Arial"/>
                <w:sz w:val="16"/>
                <w:szCs w:val="16"/>
              </w:rPr>
            </w:pPr>
          </w:p>
        </w:tc>
        <w:tc>
          <w:tcPr>
            <w:tcW w:w="558" w:type="pct"/>
            <w:tcBorders>
              <w:top w:val="nil"/>
              <w:left w:val="nil"/>
              <w:bottom w:val="nil"/>
              <w:right w:val="nil"/>
            </w:tcBorders>
            <w:shd w:val="clear" w:color="000000" w:fill="E6E6E6"/>
            <w:noWrap/>
            <w:vAlign w:val="bottom"/>
            <w:hideMark/>
          </w:tcPr>
          <w:p w14:paraId="3A852ED3" w14:textId="5DAA13DD" w:rsidR="00745ACD" w:rsidRPr="00745ACD" w:rsidRDefault="00745ACD" w:rsidP="00745ACD">
            <w:pPr>
              <w:spacing w:after="0" w:line="240" w:lineRule="auto"/>
              <w:jc w:val="right"/>
              <w:rPr>
                <w:rFonts w:ascii="Arial" w:hAnsi="Arial" w:cs="Arial"/>
                <w:sz w:val="16"/>
                <w:szCs w:val="16"/>
              </w:rPr>
            </w:pPr>
          </w:p>
        </w:tc>
        <w:tc>
          <w:tcPr>
            <w:tcW w:w="558" w:type="pct"/>
            <w:tcBorders>
              <w:top w:val="nil"/>
              <w:left w:val="nil"/>
              <w:bottom w:val="nil"/>
              <w:right w:val="nil"/>
            </w:tcBorders>
            <w:shd w:val="clear" w:color="auto" w:fill="auto"/>
            <w:noWrap/>
            <w:vAlign w:val="bottom"/>
            <w:hideMark/>
          </w:tcPr>
          <w:p w14:paraId="22622BA5" w14:textId="77777777" w:rsidR="00745ACD" w:rsidRPr="00745ACD" w:rsidRDefault="00745ACD" w:rsidP="00745ACD">
            <w:pPr>
              <w:spacing w:after="0" w:line="240" w:lineRule="auto"/>
              <w:jc w:val="right"/>
              <w:rPr>
                <w:rFonts w:ascii="Arial" w:hAnsi="Arial" w:cs="Arial"/>
                <w:sz w:val="16"/>
                <w:szCs w:val="16"/>
              </w:rPr>
            </w:pPr>
          </w:p>
        </w:tc>
        <w:tc>
          <w:tcPr>
            <w:tcW w:w="558" w:type="pct"/>
            <w:tcBorders>
              <w:top w:val="nil"/>
              <w:left w:val="nil"/>
              <w:bottom w:val="nil"/>
              <w:right w:val="nil"/>
            </w:tcBorders>
            <w:shd w:val="clear" w:color="auto" w:fill="auto"/>
            <w:noWrap/>
            <w:vAlign w:val="bottom"/>
            <w:hideMark/>
          </w:tcPr>
          <w:p w14:paraId="2B312E5C" w14:textId="77777777" w:rsidR="00745ACD" w:rsidRPr="00745ACD" w:rsidRDefault="00745ACD" w:rsidP="00745ACD">
            <w:pPr>
              <w:spacing w:after="0" w:line="240" w:lineRule="auto"/>
              <w:jc w:val="right"/>
              <w:rPr>
                <w:rFonts w:ascii="Times New Roman" w:hAnsi="Times New Roman"/>
              </w:rPr>
            </w:pPr>
          </w:p>
        </w:tc>
        <w:tc>
          <w:tcPr>
            <w:tcW w:w="556" w:type="pct"/>
            <w:tcBorders>
              <w:top w:val="nil"/>
              <w:left w:val="nil"/>
              <w:bottom w:val="nil"/>
              <w:right w:val="nil"/>
            </w:tcBorders>
            <w:shd w:val="clear" w:color="auto" w:fill="auto"/>
            <w:noWrap/>
            <w:vAlign w:val="bottom"/>
            <w:hideMark/>
          </w:tcPr>
          <w:p w14:paraId="18CC5BF6" w14:textId="77777777" w:rsidR="00745ACD" w:rsidRPr="00745ACD" w:rsidRDefault="00745ACD" w:rsidP="00745ACD">
            <w:pPr>
              <w:spacing w:after="0" w:line="240" w:lineRule="auto"/>
              <w:jc w:val="right"/>
              <w:rPr>
                <w:rFonts w:ascii="Times New Roman" w:hAnsi="Times New Roman"/>
              </w:rPr>
            </w:pPr>
          </w:p>
        </w:tc>
      </w:tr>
      <w:tr w:rsidR="00001811" w:rsidRPr="00745ACD" w14:paraId="4CA10330" w14:textId="77777777" w:rsidTr="00001811">
        <w:trPr>
          <w:trHeight w:val="204"/>
        </w:trPr>
        <w:tc>
          <w:tcPr>
            <w:tcW w:w="2169" w:type="pct"/>
            <w:tcBorders>
              <w:top w:val="nil"/>
              <w:left w:val="nil"/>
              <w:bottom w:val="nil"/>
              <w:right w:val="nil"/>
            </w:tcBorders>
            <w:shd w:val="clear" w:color="auto" w:fill="auto"/>
            <w:vAlign w:val="bottom"/>
            <w:hideMark/>
          </w:tcPr>
          <w:p w14:paraId="1610FD8C" w14:textId="77777777" w:rsidR="00001811" w:rsidRPr="00745ACD" w:rsidRDefault="00001811" w:rsidP="00001811">
            <w:pPr>
              <w:spacing w:after="0" w:line="240" w:lineRule="auto"/>
              <w:ind w:left="113"/>
              <w:rPr>
                <w:rFonts w:ascii="Arial" w:hAnsi="Arial" w:cs="Arial"/>
                <w:sz w:val="16"/>
                <w:szCs w:val="16"/>
              </w:rPr>
            </w:pPr>
            <w:r w:rsidRPr="00745ACD">
              <w:rPr>
                <w:rFonts w:ascii="Arial" w:hAnsi="Arial" w:cs="Arial"/>
                <w:sz w:val="16"/>
                <w:szCs w:val="16"/>
              </w:rPr>
              <w:t>ACT Government - national capital functions</w:t>
            </w:r>
          </w:p>
        </w:tc>
        <w:tc>
          <w:tcPr>
            <w:tcW w:w="602" w:type="pct"/>
            <w:tcBorders>
              <w:top w:val="nil"/>
              <w:left w:val="nil"/>
              <w:bottom w:val="nil"/>
              <w:right w:val="nil"/>
            </w:tcBorders>
            <w:shd w:val="clear" w:color="auto" w:fill="auto"/>
            <w:noWrap/>
            <w:vAlign w:val="center"/>
            <w:hideMark/>
          </w:tcPr>
          <w:p w14:paraId="24DB9949" w14:textId="6AE6AAD4"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2,528</w:t>
            </w:r>
          </w:p>
        </w:tc>
        <w:tc>
          <w:tcPr>
            <w:tcW w:w="558" w:type="pct"/>
            <w:tcBorders>
              <w:top w:val="nil"/>
              <w:left w:val="nil"/>
              <w:bottom w:val="nil"/>
              <w:right w:val="nil"/>
            </w:tcBorders>
            <w:shd w:val="clear" w:color="000000" w:fill="E6E6E6"/>
            <w:noWrap/>
            <w:vAlign w:val="center"/>
            <w:hideMark/>
          </w:tcPr>
          <w:p w14:paraId="17944C8E" w14:textId="2E347FBA"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2,103</w:t>
            </w:r>
          </w:p>
        </w:tc>
        <w:tc>
          <w:tcPr>
            <w:tcW w:w="558" w:type="pct"/>
            <w:tcBorders>
              <w:top w:val="nil"/>
              <w:left w:val="nil"/>
              <w:bottom w:val="nil"/>
              <w:right w:val="nil"/>
            </w:tcBorders>
            <w:shd w:val="clear" w:color="auto" w:fill="auto"/>
            <w:noWrap/>
            <w:vAlign w:val="center"/>
            <w:hideMark/>
          </w:tcPr>
          <w:p w14:paraId="2F499E8E" w14:textId="2F14CE06"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2,167</w:t>
            </w:r>
          </w:p>
        </w:tc>
        <w:tc>
          <w:tcPr>
            <w:tcW w:w="558" w:type="pct"/>
            <w:tcBorders>
              <w:top w:val="nil"/>
              <w:left w:val="nil"/>
              <w:bottom w:val="nil"/>
              <w:right w:val="nil"/>
            </w:tcBorders>
            <w:shd w:val="clear" w:color="auto" w:fill="auto"/>
            <w:noWrap/>
            <w:vAlign w:val="center"/>
            <w:hideMark/>
          </w:tcPr>
          <w:p w14:paraId="3654858D" w14:textId="4C3092A6"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2,217</w:t>
            </w:r>
          </w:p>
        </w:tc>
        <w:tc>
          <w:tcPr>
            <w:tcW w:w="556" w:type="pct"/>
            <w:tcBorders>
              <w:top w:val="nil"/>
              <w:left w:val="nil"/>
              <w:bottom w:val="nil"/>
              <w:right w:val="nil"/>
            </w:tcBorders>
            <w:shd w:val="clear" w:color="auto" w:fill="auto"/>
            <w:noWrap/>
            <w:vAlign w:val="center"/>
            <w:hideMark/>
          </w:tcPr>
          <w:p w14:paraId="63945580" w14:textId="7E76B54E"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2,259</w:t>
            </w:r>
          </w:p>
        </w:tc>
      </w:tr>
      <w:tr w:rsidR="00001811" w:rsidRPr="00745ACD" w14:paraId="0DC53504" w14:textId="77777777" w:rsidTr="00001811">
        <w:trPr>
          <w:trHeight w:val="204"/>
        </w:trPr>
        <w:tc>
          <w:tcPr>
            <w:tcW w:w="2169" w:type="pct"/>
            <w:tcBorders>
              <w:top w:val="nil"/>
              <w:left w:val="nil"/>
              <w:bottom w:val="nil"/>
              <w:right w:val="nil"/>
            </w:tcBorders>
            <w:shd w:val="clear" w:color="auto" w:fill="auto"/>
            <w:vAlign w:val="bottom"/>
            <w:hideMark/>
          </w:tcPr>
          <w:p w14:paraId="580433A9" w14:textId="6BDA3F6B" w:rsidR="00001811" w:rsidRPr="00745ACD" w:rsidRDefault="00001811" w:rsidP="00001811">
            <w:pPr>
              <w:spacing w:after="0" w:line="240" w:lineRule="auto"/>
              <w:ind w:left="113"/>
              <w:rPr>
                <w:rFonts w:ascii="Arial" w:hAnsi="Arial" w:cs="Arial"/>
                <w:sz w:val="16"/>
                <w:szCs w:val="16"/>
              </w:rPr>
            </w:pPr>
            <w:r w:rsidRPr="00745ACD">
              <w:rPr>
                <w:rFonts w:ascii="Arial" w:hAnsi="Arial" w:cs="Arial"/>
                <w:sz w:val="16"/>
                <w:szCs w:val="16"/>
              </w:rPr>
              <w:t xml:space="preserve">Depreciation and </w:t>
            </w:r>
            <w:r w:rsidR="009C035D">
              <w:rPr>
                <w:rFonts w:ascii="Arial" w:hAnsi="Arial" w:cs="Arial"/>
                <w:sz w:val="16"/>
                <w:szCs w:val="16"/>
              </w:rPr>
              <w:t>a</w:t>
            </w:r>
            <w:r w:rsidRPr="00745ACD">
              <w:rPr>
                <w:rFonts w:ascii="Arial" w:hAnsi="Arial" w:cs="Arial"/>
                <w:sz w:val="16"/>
                <w:szCs w:val="16"/>
              </w:rPr>
              <w:t>mortisation</w:t>
            </w:r>
          </w:p>
        </w:tc>
        <w:tc>
          <w:tcPr>
            <w:tcW w:w="602" w:type="pct"/>
            <w:tcBorders>
              <w:top w:val="nil"/>
              <w:left w:val="nil"/>
              <w:bottom w:val="nil"/>
              <w:right w:val="nil"/>
            </w:tcBorders>
            <w:shd w:val="clear" w:color="auto" w:fill="auto"/>
            <w:noWrap/>
            <w:vAlign w:val="center"/>
            <w:hideMark/>
          </w:tcPr>
          <w:p w14:paraId="343EB176" w14:textId="2B166AB9"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37,168</w:t>
            </w:r>
          </w:p>
        </w:tc>
        <w:tc>
          <w:tcPr>
            <w:tcW w:w="558" w:type="pct"/>
            <w:tcBorders>
              <w:top w:val="nil"/>
              <w:left w:val="nil"/>
              <w:bottom w:val="nil"/>
              <w:right w:val="nil"/>
            </w:tcBorders>
            <w:shd w:val="clear" w:color="000000" w:fill="E6E6E6"/>
            <w:noWrap/>
            <w:vAlign w:val="center"/>
            <w:hideMark/>
          </w:tcPr>
          <w:p w14:paraId="642AD840" w14:textId="1608F894"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36,859</w:t>
            </w:r>
          </w:p>
        </w:tc>
        <w:tc>
          <w:tcPr>
            <w:tcW w:w="558" w:type="pct"/>
            <w:tcBorders>
              <w:top w:val="nil"/>
              <w:left w:val="nil"/>
              <w:bottom w:val="nil"/>
              <w:right w:val="nil"/>
            </w:tcBorders>
            <w:shd w:val="clear" w:color="auto" w:fill="auto"/>
            <w:noWrap/>
            <w:vAlign w:val="center"/>
            <w:hideMark/>
          </w:tcPr>
          <w:p w14:paraId="5AB70E07" w14:textId="7134F02C"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36,859</w:t>
            </w:r>
          </w:p>
        </w:tc>
        <w:tc>
          <w:tcPr>
            <w:tcW w:w="558" w:type="pct"/>
            <w:tcBorders>
              <w:top w:val="nil"/>
              <w:left w:val="nil"/>
              <w:bottom w:val="nil"/>
              <w:right w:val="nil"/>
            </w:tcBorders>
            <w:shd w:val="clear" w:color="auto" w:fill="auto"/>
            <w:noWrap/>
            <w:vAlign w:val="center"/>
            <w:hideMark/>
          </w:tcPr>
          <w:p w14:paraId="3BA20945" w14:textId="16EEC0D9"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36,859</w:t>
            </w:r>
          </w:p>
        </w:tc>
        <w:tc>
          <w:tcPr>
            <w:tcW w:w="556" w:type="pct"/>
            <w:tcBorders>
              <w:top w:val="nil"/>
              <w:left w:val="nil"/>
              <w:bottom w:val="nil"/>
              <w:right w:val="nil"/>
            </w:tcBorders>
            <w:shd w:val="clear" w:color="auto" w:fill="auto"/>
            <w:noWrap/>
            <w:vAlign w:val="center"/>
            <w:hideMark/>
          </w:tcPr>
          <w:p w14:paraId="524A7707" w14:textId="6068F7DB"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36,859</w:t>
            </w:r>
          </w:p>
        </w:tc>
      </w:tr>
      <w:tr w:rsidR="00001811" w:rsidRPr="00745ACD" w14:paraId="0574224D" w14:textId="77777777" w:rsidTr="00001811">
        <w:trPr>
          <w:trHeight w:val="204"/>
        </w:trPr>
        <w:tc>
          <w:tcPr>
            <w:tcW w:w="2169" w:type="pct"/>
            <w:tcBorders>
              <w:top w:val="nil"/>
              <w:left w:val="nil"/>
              <w:bottom w:val="nil"/>
              <w:right w:val="nil"/>
            </w:tcBorders>
            <w:shd w:val="clear" w:color="auto" w:fill="auto"/>
            <w:vAlign w:val="bottom"/>
            <w:hideMark/>
          </w:tcPr>
          <w:p w14:paraId="618F9C63" w14:textId="77777777" w:rsidR="00001811" w:rsidRPr="00745ACD" w:rsidRDefault="00001811" w:rsidP="00001811">
            <w:pPr>
              <w:spacing w:after="0" w:line="240" w:lineRule="auto"/>
              <w:ind w:left="113"/>
              <w:rPr>
                <w:rFonts w:ascii="Arial" w:hAnsi="Arial" w:cs="Arial"/>
                <w:sz w:val="16"/>
                <w:szCs w:val="16"/>
              </w:rPr>
            </w:pPr>
            <w:r w:rsidRPr="00745ACD">
              <w:rPr>
                <w:rFonts w:ascii="Arial" w:hAnsi="Arial" w:cs="Arial"/>
                <w:sz w:val="16"/>
                <w:szCs w:val="16"/>
              </w:rPr>
              <w:t>Norfolk Island - Commonwealth administration</w:t>
            </w:r>
          </w:p>
        </w:tc>
        <w:tc>
          <w:tcPr>
            <w:tcW w:w="602" w:type="pct"/>
            <w:tcBorders>
              <w:top w:val="nil"/>
              <w:left w:val="nil"/>
              <w:bottom w:val="nil"/>
              <w:right w:val="nil"/>
            </w:tcBorders>
            <w:shd w:val="clear" w:color="auto" w:fill="auto"/>
            <w:noWrap/>
            <w:vAlign w:val="center"/>
            <w:hideMark/>
          </w:tcPr>
          <w:p w14:paraId="5D6F7C2C" w14:textId="35F98126"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1,127</w:t>
            </w:r>
          </w:p>
        </w:tc>
        <w:tc>
          <w:tcPr>
            <w:tcW w:w="558" w:type="pct"/>
            <w:tcBorders>
              <w:top w:val="nil"/>
              <w:left w:val="nil"/>
              <w:bottom w:val="nil"/>
              <w:right w:val="nil"/>
            </w:tcBorders>
            <w:shd w:val="clear" w:color="000000" w:fill="E6E6E6"/>
            <w:noWrap/>
            <w:vAlign w:val="center"/>
            <w:hideMark/>
          </w:tcPr>
          <w:p w14:paraId="18FB87A4" w14:textId="3FDC5A8F"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1,169</w:t>
            </w:r>
          </w:p>
        </w:tc>
        <w:tc>
          <w:tcPr>
            <w:tcW w:w="558" w:type="pct"/>
            <w:tcBorders>
              <w:top w:val="nil"/>
              <w:left w:val="nil"/>
              <w:bottom w:val="nil"/>
              <w:right w:val="nil"/>
            </w:tcBorders>
            <w:shd w:val="clear" w:color="auto" w:fill="auto"/>
            <w:noWrap/>
            <w:vAlign w:val="center"/>
            <w:hideMark/>
          </w:tcPr>
          <w:p w14:paraId="048F6863" w14:textId="038AEBEE"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1,206</w:t>
            </w:r>
          </w:p>
        </w:tc>
        <w:tc>
          <w:tcPr>
            <w:tcW w:w="558" w:type="pct"/>
            <w:tcBorders>
              <w:top w:val="nil"/>
              <w:left w:val="nil"/>
              <w:bottom w:val="nil"/>
              <w:right w:val="nil"/>
            </w:tcBorders>
            <w:shd w:val="clear" w:color="auto" w:fill="auto"/>
            <w:noWrap/>
            <w:vAlign w:val="center"/>
            <w:hideMark/>
          </w:tcPr>
          <w:p w14:paraId="0CA44E39" w14:textId="0389C3FC"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1,232</w:t>
            </w:r>
          </w:p>
        </w:tc>
        <w:tc>
          <w:tcPr>
            <w:tcW w:w="556" w:type="pct"/>
            <w:tcBorders>
              <w:top w:val="nil"/>
              <w:left w:val="nil"/>
              <w:bottom w:val="nil"/>
              <w:right w:val="nil"/>
            </w:tcBorders>
            <w:shd w:val="clear" w:color="auto" w:fill="auto"/>
            <w:noWrap/>
            <w:vAlign w:val="center"/>
            <w:hideMark/>
          </w:tcPr>
          <w:p w14:paraId="16599349" w14:textId="573048B4"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1,256</w:t>
            </w:r>
          </w:p>
        </w:tc>
      </w:tr>
      <w:tr w:rsidR="00001811" w:rsidRPr="00745ACD" w14:paraId="25B1289D" w14:textId="77777777" w:rsidTr="00001811">
        <w:trPr>
          <w:trHeight w:val="204"/>
        </w:trPr>
        <w:tc>
          <w:tcPr>
            <w:tcW w:w="2169" w:type="pct"/>
            <w:tcBorders>
              <w:top w:val="nil"/>
              <w:left w:val="nil"/>
              <w:bottom w:val="nil"/>
              <w:right w:val="nil"/>
            </w:tcBorders>
            <w:shd w:val="clear" w:color="auto" w:fill="auto"/>
            <w:vAlign w:val="bottom"/>
            <w:hideMark/>
          </w:tcPr>
          <w:p w14:paraId="5354A216" w14:textId="77777777" w:rsidR="00001811" w:rsidRPr="00745ACD" w:rsidRDefault="00001811" w:rsidP="00001811">
            <w:pPr>
              <w:spacing w:after="0" w:line="240" w:lineRule="auto"/>
              <w:ind w:left="113"/>
              <w:rPr>
                <w:rFonts w:ascii="Arial" w:hAnsi="Arial" w:cs="Arial"/>
                <w:sz w:val="16"/>
                <w:szCs w:val="16"/>
              </w:rPr>
            </w:pPr>
            <w:r w:rsidRPr="00745ACD">
              <w:rPr>
                <w:rFonts w:ascii="Arial" w:hAnsi="Arial" w:cs="Arial"/>
                <w:sz w:val="16"/>
                <w:szCs w:val="16"/>
              </w:rPr>
              <w:t>Norfolk Island - Kingston and Arthur's Vale historic area</w:t>
            </w:r>
          </w:p>
        </w:tc>
        <w:tc>
          <w:tcPr>
            <w:tcW w:w="602" w:type="pct"/>
            <w:tcBorders>
              <w:top w:val="nil"/>
              <w:left w:val="nil"/>
              <w:bottom w:val="nil"/>
              <w:right w:val="nil"/>
            </w:tcBorders>
            <w:shd w:val="clear" w:color="auto" w:fill="auto"/>
            <w:noWrap/>
            <w:vAlign w:val="center"/>
            <w:hideMark/>
          </w:tcPr>
          <w:p w14:paraId="70DB1615" w14:textId="7261F708"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2,743</w:t>
            </w:r>
          </w:p>
        </w:tc>
        <w:tc>
          <w:tcPr>
            <w:tcW w:w="558" w:type="pct"/>
            <w:tcBorders>
              <w:top w:val="nil"/>
              <w:left w:val="nil"/>
              <w:bottom w:val="nil"/>
              <w:right w:val="nil"/>
            </w:tcBorders>
            <w:shd w:val="clear" w:color="000000" w:fill="E6E6E6"/>
            <w:noWrap/>
            <w:vAlign w:val="center"/>
            <w:hideMark/>
          </w:tcPr>
          <w:p w14:paraId="1FEB19A5" w14:textId="334EDF59"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2,863</w:t>
            </w:r>
          </w:p>
        </w:tc>
        <w:tc>
          <w:tcPr>
            <w:tcW w:w="558" w:type="pct"/>
            <w:tcBorders>
              <w:top w:val="nil"/>
              <w:left w:val="nil"/>
              <w:bottom w:val="nil"/>
              <w:right w:val="nil"/>
            </w:tcBorders>
            <w:shd w:val="clear" w:color="auto" w:fill="auto"/>
            <w:noWrap/>
            <w:vAlign w:val="center"/>
            <w:hideMark/>
          </w:tcPr>
          <w:p w14:paraId="194385B7" w14:textId="73DB3378"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2,952</w:t>
            </w:r>
          </w:p>
        </w:tc>
        <w:tc>
          <w:tcPr>
            <w:tcW w:w="558" w:type="pct"/>
            <w:tcBorders>
              <w:top w:val="nil"/>
              <w:left w:val="nil"/>
              <w:bottom w:val="nil"/>
              <w:right w:val="nil"/>
            </w:tcBorders>
            <w:shd w:val="clear" w:color="auto" w:fill="auto"/>
            <w:noWrap/>
            <w:vAlign w:val="center"/>
            <w:hideMark/>
          </w:tcPr>
          <w:p w14:paraId="4E6D8EDA" w14:textId="3B527024"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3,023</w:t>
            </w:r>
          </w:p>
        </w:tc>
        <w:tc>
          <w:tcPr>
            <w:tcW w:w="556" w:type="pct"/>
            <w:tcBorders>
              <w:top w:val="nil"/>
              <w:left w:val="nil"/>
              <w:bottom w:val="nil"/>
              <w:right w:val="nil"/>
            </w:tcBorders>
            <w:shd w:val="clear" w:color="auto" w:fill="auto"/>
            <w:noWrap/>
            <w:vAlign w:val="center"/>
            <w:hideMark/>
          </w:tcPr>
          <w:p w14:paraId="5C0E2513" w14:textId="64A4DE22"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3,080</w:t>
            </w:r>
          </w:p>
        </w:tc>
      </w:tr>
      <w:tr w:rsidR="00001811" w:rsidRPr="00745ACD" w14:paraId="777AB174" w14:textId="77777777" w:rsidTr="00001811">
        <w:trPr>
          <w:trHeight w:val="204"/>
        </w:trPr>
        <w:tc>
          <w:tcPr>
            <w:tcW w:w="2169" w:type="pct"/>
            <w:tcBorders>
              <w:top w:val="nil"/>
              <w:left w:val="nil"/>
              <w:bottom w:val="nil"/>
              <w:right w:val="nil"/>
            </w:tcBorders>
            <w:shd w:val="clear" w:color="auto" w:fill="auto"/>
            <w:vAlign w:val="bottom"/>
            <w:hideMark/>
          </w:tcPr>
          <w:p w14:paraId="186FD94B" w14:textId="77777777" w:rsidR="00001811" w:rsidRPr="00745ACD" w:rsidRDefault="00001811" w:rsidP="00001811">
            <w:pPr>
              <w:spacing w:after="0" w:line="240" w:lineRule="auto"/>
              <w:ind w:left="113"/>
              <w:rPr>
                <w:rFonts w:ascii="Arial" w:hAnsi="Arial" w:cs="Arial"/>
                <w:sz w:val="16"/>
                <w:szCs w:val="16"/>
              </w:rPr>
            </w:pPr>
            <w:r w:rsidRPr="00745ACD">
              <w:rPr>
                <w:rFonts w:ascii="Arial" w:hAnsi="Arial" w:cs="Arial"/>
                <w:sz w:val="16"/>
                <w:szCs w:val="16"/>
              </w:rPr>
              <w:t>Office of Administrator, Northern Territory</w:t>
            </w:r>
          </w:p>
        </w:tc>
        <w:tc>
          <w:tcPr>
            <w:tcW w:w="602" w:type="pct"/>
            <w:tcBorders>
              <w:top w:val="nil"/>
              <w:left w:val="nil"/>
              <w:bottom w:val="nil"/>
              <w:right w:val="nil"/>
            </w:tcBorders>
            <w:shd w:val="clear" w:color="auto" w:fill="auto"/>
            <w:noWrap/>
            <w:vAlign w:val="center"/>
            <w:hideMark/>
          </w:tcPr>
          <w:p w14:paraId="15EFC5F3" w14:textId="23EA9C04"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437</w:t>
            </w:r>
          </w:p>
        </w:tc>
        <w:tc>
          <w:tcPr>
            <w:tcW w:w="558" w:type="pct"/>
            <w:tcBorders>
              <w:top w:val="nil"/>
              <w:left w:val="nil"/>
              <w:bottom w:val="nil"/>
              <w:right w:val="nil"/>
            </w:tcBorders>
            <w:shd w:val="clear" w:color="000000" w:fill="E6E6E6"/>
            <w:noWrap/>
            <w:vAlign w:val="center"/>
            <w:hideMark/>
          </w:tcPr>
          <w:p w14:paraId="2A89BB7E" w14:textId="7A6FFAE0"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453</w:t>
            </w:r>
          </w:p>
        </w:tc>
        <w:tc>
          <w:tcPr>
            <w:tcW w:w="558" w:type="pct"/>
            <w:tcBorders>
              <w:top w:val="nil"/>
              <w:left w:val="nil"/>
              <w:bottom w:val="nil"/>
              <w:right w:val="nil"/>
            </w:tcBorders>
            <w:shd w:val="clear" w:color="auto" w:fill="auto"/>
            <w:noWrap/>
            <w:vAlign w:val="center"/>
            <w:hideMark/>
          </w:tcPr>
          <w:p w14:paraId="00EA9DCE" w14:textId="34F850C5"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467</w:t>
            </w:r>
          </w:p>
        </w:tc>
        <w:tc>
          <w:tcPr>
            <w:tcW w:w="558" w:type="pct"/>
            <w:tcBorders>
              <w:top w:val="nil"/>
              <w:left w:val="nil"/>
              <w:bottom w:val="nil"/>
              <w:right w:val="nil"/>
            </w:tcBorders>
            <w:shd w:val="clear" w:color="auto" w:fill="auto"/>
            <w:noWrap/>
            <w:vAlign w:val="center"/>
            <w:hideMark/>
          </w:tcPr>
          <w:p w14:paraId="43B490D2" w14:textId="353F76E6"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477</w:t>
            </w:r>
          </w:p>
        </w:tc>
        <w:tc>
          <w:tcPr>
            <w:tcW w:w="556" w:type="pct"/>
            <w:tcBorders>
              <w:top w:val="nil"/>
              <w:left w:val="nil"/>
              <w:bottom w:val="nil"/>
              <w:right w:val="nil"/>
            </w:tcBorders>
            <w:shd w:val="clear" w:color="auto" w:fill="auto"/>
            <w:noWrap/>
            <w:vAlign w:val="center"/>
            <w:hideMark/>
          </w:tcPr>
          <w:p w14:paraId="0124AFD8" w14:textId="5EC12D85"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487</w:t>
            </w:r>
          </w:p>
        </w:tc>
      </w:tr>
      <w:tr w:rsidR="00001811" w:rsidRPr="00745ACD" w14:paraId="7CE9BE35" w14:textId="77777777" w:rsidTr="00001811">
        <w:trPr>
          <w:trHeight w:val="204"/>
        </w:trPr>
        <w:tc>
          <w:tcPr>
            <w:tcW w:w="2169" w:type="pct"/>
            <w:tcBorders>
              <w:top w:val="nil"/>
              <w:left w:val="nil"/>
              <w:bottom w:val="nil"/>
              <w:right w:val="nil"/>
            </w:tcBorders>
            <w:shd w:val="clear" w:color="auto" w:fill="auto"/>
            <w:vAlign w:val="bottom"/>
            <w:hideMark/>
          </w:tcPr>
          <w:p w14:paraId="38F6B3FE" w14:textId="39E8342E" w:rsidR="00001811" w:rsidRPr="00745ACD" w:rsidRDefault="00001811" w:rsidP="00001811">
            <w:pPr>
              <w:spacing w:after="0" w:line="240" w:lineRule="auto"/>
              <w:ind w:left="113"/>
              <w:rPr>
                <w:rFonts w:ascii="Arial" w:hAnsi="Arial" w:cs="Arial"/>
                <w:sz w:val="16"/>
                <w:szCs w:val="16"/>
              </w:rPr>
            </w:pPr>
            <w:r w:rsidRPr="00745ACD">
              <w:rPr>
                <w:rFonts w:ascii="Arial" w:hAnsi="Arial" w:cs="Arial"/>
                <w:sz w:val="16"/>
                <w:szCs w:val="16"/>
              </w:rPr>
              <w:t>Services to Indian Ocean Territories</w:t>
            </w:r>
            <w:r w:rsidRPr="00745ACD">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center"/>
            <w:hideMark/>
          </w:tcPr>
          <w:p w14:paraId="6B63D83C" w14:textId="33FC2A99"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140,701</w:t>
            </w:r>
          </w:p>
        </w:tc>
        <w:tc>
          <w:tcPr>
            <w:tcW w:w="558" w:type="pct"/>
            <w:tcBorders>
              <w:top w:val="nil"/>
              <w:left w:val="nil"/>
              <w:bottom w:val="nil"/>
              <w:right w:val="nil"/>
            </w:tcBorders>
            <w:shd w:val="clear" w:color="000000" w:fill="E6E6E6"/>
            <w:noWrap/>
            <w:vAlign w:val="center"/>
            <w:hideMark/>
          </w:tcPr>
          <w:p w14:paraId="706B6224" w14:textId="6BFAFCE8"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102,422</w:t>
            </w:r>
          </w:p>
        </w:tc>
        <w:tc>
          <w:tcPr>
            <w:tcW w:w="558" w:type="pct"/>
            <w:tcBorders>
              <w:top w:val="nil"/>
              <w:left w:val="nil"/>
              <w:bottom w:val="nil"/>
              <w:right w:val="nil"/>
            </w:tcBorders>
            <w:shd w:val="clear" w:color="auto" w:fill="auto"/>
            <w:noWrap/>
            <w:vAlign w:val="center"/>
            <w:hideMark/>
          </w:tcPr>
          <w:p w14:paraId="62A0F217" w14:textId="16C53B82"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106,487</w:t>
            </w:r>
          </w:p>
        </w:tc>
        <w:tc>
          <w:tcPr>
            <w:tcW w:w="558" w:type="pct"/>
            <w:tcBorders>
              <w:top w:val="nil"/>
              <w:left w:val="nil"/>
              <w:bottom w:val="nil"/>
              <w:right w:val="nil"/>
            </w:tcBorders>
            <w:shd w:val="clear" w:color="auto" w:fill="auto"/>
            <w:noWrap/>
            <w:vAlign w:val="center"/>
            <w:hideMark/>
          </w:tcPr>
          <w:p w14:paraId="537455AA" w14:textId="27889B02"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107,583</w:t>
            </w:r>
          </w:p>
        </w:tc>
        <w:tc>
          <w:tcPr>
            <w:tcW w:w="556" w:type="pct"/>
            <w:tcBorders>
              <w:top w:val="nil"/>
              <w:left w:val="nil"/>
              <w:bottom w:val="nil"/>
              <w:right w:val="nil"/>
            </w:tcBorders>
            <w:shd w:val="clear" w:color="auto" w:fill="auto"/>
            <w:noWrap/>
            <w:vAlign w:val="center"/>
            <w:hideMark/>
          </w:tcPr>
          <w:p w14:paraId="31073785" w14:textId="3EAF58B8"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111,046</w:t>
            </w:r>
          </w:p>
        </w:tc>
      </w:tr>
      <w:tr w:rsidR="00001811" w:rsidRPr="00745ACD" w14:paraId="64E4932A" w14:textId="77777777" w:rsidTr="00001811">
        <w:trPr>
          <w:trHeight w:val="204"/>
        </w:trPr>
        <w:tc>
          <w:tcPr>
            <w:tcW w:w="2169" w:type="pct"/>
            <w:tcBorders>
              <w:top w:val="nil"/>
              <w:left w:val="nil"/>
              <w:bottom w:val="nil"/>
              <w:right w:val="nil"/>
            </w:tcBorders>
            <w:shd w:val="clear" w:color="auto" w:fill="auto"/>
            <w:vAlign w:val="bottom"/>
            <w:hideMark/>
          </w:tcPr>
          <w:p w14:paraId="2E32EFBD" w14:textId="65BF796E" w:rsidR="00001811" w:rsidRPr="00745ACD" w:rsidRDefault="00001811" w:rsidP="00001811">
            <w:pPr>
              <w:spacing w:after="0" w:line="240" w:lineRule="auto"/>
              <w:ind w:left="113"/>
              <w:rPr>
                <w:rFonts w:ascii="Arial" w:hAnsi="Arial" w:cs="Arial"/>
                <w:sz w:val="16"/>
                <w:szCs w:val="16"/>
              </w:rPr>
            </w:pPr>
            <w:r w:rsidRPr="00745ACD">
              <w:rPr>
                <w:rFonts w:ascii="Arial" w:hAnsi="Arial" w:cs="Arial"/>
                <w:sz w:val="16"/>
                <w:szCs w:val="16"/>
              </w:rPr>
              <w:t>Services to Jervis Bay Territory</w:t>
            </w:r>
            <w:r w:rsidRPr="00745ACD">
              <w:rPr>
                <w:rFonts w:ascii="Arial" w:hAnsi="Arial" w:cs="Arial"/>
                <w:sz w:val="16"/>
                <w:szCs w:val="16"/>
                <w:vertAlign w:val="superscript"/>
              </w:rPr>
              <w:t>(b)</w:t>
            </w:r>
          </w:p>
        </w:tc>
        <w:tc>
          <w:tcPr>
            <w:tcW w:w="602" w:type="pct"/>
            <w:tcBorders>
              <w:top w:val="nil"/>
              <w:left w:val="nil"/>
              <w:bottom w:val="nil"/>
              <w:right w:val="nil"/>
            </w:tcBorders>
            <w:shd w:val="clear" w:color="auto" w:fill="auto"/>
            <w:noWrap/>
            <w:vAlign w:val="center"/>
            <w:hideMark/>
          </w:tcPr>
          <w:p w14:paraId="7324027E" w14:textId="67EB5F23"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7,840</w:t>
            </w:r>
          </w:p>
        </w:tc>
        <w:tc>
          <w:tcPr>
            <w:tcW w:w="558" w:type="pct"/>
            <w:tcBorders>
              <w:top w:val="nil"/>
              <w:left w:val="nil"/>
              <w:bottom w:val="nil"/>
              <w:right w:val="nil"/>
            </w:tcBorders>
            <w:shd w:val="clear" w:color="000000" w:fill="E6E6E6"/>
            <w:noWrap/>
            <w:vAlign w:val="center"/>
            <w:hideMark/>
          </w:tcPr>
          <w:p w14:paraId="47809E00" w14:textId="4BADA8D1"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9,349</w:t>
            </w:r>
          </w:p>
        </w:tc>
        <w:tc>
          <w:tcPr>
            <w:tcW w:w="558" w:type="pct"/>
            <w:tcBorders>
              <w:top w:val="nil"/>
              <w:left w:val="nil"/>
              <w:bottom w:val="nil"/>
              <w:right w:val="nil"/>
            </w:tcBorders>
            <w:shd w:val="clear" w:color="auto" w:fill="auto"/>
            <w:noWrap/>
            <w:vAlign w:val="center"/>
            <w:hideMark/>
          </w:tcPr>
          <w:p w14:paraId="2C3A3427" w14:textId="6032315E"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6,047</w:t>
            </w:r>
          </w:p>
        </w:tc>
        <w:tc>
          <w:tcPr>
            <w:tcW w:w="558" w:type="pct"/>
            <w:tcBorders>
              <w:top w:val="nil"/>
              <w:left w:val="nil"/>
              <w:bottom w:val="nil"/>
              <w:right w:val="nil"/>
            </w:tcBorders>
            <w:shd w:val="clear" w:color="auto" w:fill="auto"/>
            <w:noWrap/>
            <w:vAlign w:val="center"/>
            <w:hideMark/>
          </w:tcPr>
          <w:p w14:paraId="4FEF80F4" w14:textId="009CBC05"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6,149</w:t>
            </w:r>
          </w:p>
        </w:tc>
        <w:tc>
          <w:tcPr>
            <w:tcW w:w="556" w:type="pct"/>
            <w:tcBorders>
              <w:top w:val="nil"/>
              <w:left w:val="nil"/>
              <w:bottom w:val="nil"/>
              <w:right w:val="nil"/>
            </w:tcBorders>
            <w:shd w:val="clear" w:color="auto" w:fill="auto"/>
            <w:noWrap/>
            <w:vAlign w:val="center"/>
            <w:hideMark/>
          </w:tcPr>
          <w:p w14:paraId="3232E0BD" w14:textId="17E5A944"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6,266</w:t>
            </w:r>
          </w:p>
        </w:tc>
      </w:tr>
      <w:tr w:rsidR="00001811" w:rsidRPr="00745ACD" w14:paraId="03CAA245" w14:textId="77777777" w:rsidTr="00001811">
        <w:trPr>
          <w:trHeight w:val="204"/>
        </w:trPr>
        <w:tc>
          <w:tcPr>
            <w:tcW w:w="2169" w:type="pct"/>
            <w:tcBorders>
              <w:top w:val="nil"/>
              <w:left w:val="nil"/>
              <w:bottom w:val="nil"/>
              <w:right w:val="nil"/>
            </w:tcBorders>
            <w:shd w:val="clear" w:color="auto" w:fill="auto"/>
            <w:vAlign w:val="bottom"/>
            <w:hideMark/>
          </w:tcPr>
          <w:p w14:paraId="2FEEB0AA" w14:textId="77777777" w:rsidR="00001811" w:rsidRPr="00745ACD" w:rsidRDefault="00001811" w:rsidP="00001811">
            <w:pPr>
              <w:spacing w:after="0" w:line="240" w:lineRule="auto"/>
              <w:ind w:left="113"/>
              <w:rPr>
                <w:rFonts w:ascii="Arial" w:hAnsi="Arial" w:cs="Arial"/>
                <w:sz w:val="16"/>
                <w:szCs w:val="16"/>
              </w:rPr>
            </w:pPr>
            <w:r w:rsidRPr="00745ACD">
              <w:rPr>
                <w:rFonts w:ascii="Arial" w:hAnsi="Arial" w:cs="Arial"/>
                <w:sz w:val="16"/>
                <w:szCs w:val="16"/>
              </w:rPr>
              <w:t>Services to Norfolk Island</w:t>
            </w:r>
          </w:p>
        </w:tc>
        <w:tc>
          <w:tcPr>
            <w:tcW w:w="602" w:type="pct"/>
            <w:tcBorders>
              <w:top w:val="nil"/>
              <w:left w:val="nil"/>
              <w:bottom w:val="nil"/>
              <w:right w:val="nil"/>
            </w:tcBorders>
            <w:shd w:val="clear" w:color="auto" w:fill="auto"/>
            <w:noWrap/>
            <w:vAlign w:val="center"/>
            <w:hideMark/>
          </w:tcPr>
          <w:p w14:paraId="72FC2DA4" w14:textId="609B57F0"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96,145</w:t>
            </w:r>
          </w:p>
        </w:tc>
        <w:tc>
          <w:tcPr>
            <w:tcW w:w="558" w:type="pct"/>
            <w:tcBorders>
              <w:top w:val="nil"/>
              <w:left w:val="nil"/>
              <w:bottom w:val="nil"/>
              <w:right w:val="nil"/>
            </w:tcBorders>
            <w:shd w:val="clear" w:color="000000" w:fill="E6E6E6"/>
            <w:noWrap/>
            <w:vAlign w:val="center"/>
            <w:hideMark/>
          </w:tcPr>
          <w:p w14:paraId="4F6FDC25" w14:textId="42898D68"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87,134</w:t>
            </w:r>
          </w:p>
        </w:tc>
        <w:tc>
          <w:tcPr>
            <w:tcW w:w="558" w:type="pct"/>
            <w:tcBorders>
              <w:top w:val="nil"/>
              <w:left w:val="nil"/>
              <w:bottom w:val="nil"/>
              <w:right w:val="nil"/>
            </w:tcBorders>
            <w:shd w:val="clear" w:color="auto" w:fill="auto"/>
            <w:noWrap/>
            <w:vAlign w:val="center"/>
            <w:hideMark/>
          </w:tcPr>
          <w:p w14:paraId="115D631E" w14:textId="3202B0A4"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74,398</w:t>
            </w:r>
          </w:p>
        </w:tc>
        <w:tc>
          <w:tcPr>
            <w:tcW w:w="558" w:type="pct"/>
            <w:tcBorders>
              <w:top w:val="nil"/>
              <w:left w:val="nil"/>
              <w:bottom w:val="nil"/>
              <w:right w:val="nil"/>
            </w:tcBorders>
            <w:shd w:val="clear" w:color="auto" w:fill="auto"/>
            <w:noWrap/>
            <w:vAlign w:val="center"/>
            <w:hideMark/>
          </w:tcPr>
          <w:p w14:paraId="46B02A0C" w14:textId="2C3F3F99"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65,428</w:t>
            </w:r>
          </w:p>
        </w:tc>
        <w:tc>
          <w:tcPr>
            <w:tcW w:w="556" w:type="pct"/>
            <w:tcBorders>
              <w:top w:val="nil"/>
              <w:left w:val="nil"/>
              <w:bottom w:val="nil"/>
              <w:right w:val="nil"/>
            </w:tcBorders>
            <w:shd w:val="clear" w:color="auto" w:fill="auto"/>
            <w:noWrap/>
            <w:vAlign w:val="center"/>
            <w:hideMark/>
          </w:tcPr>
          <w:p w14:paraId="6F49F861" w14:textId="11779705"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66,672</w:t>
            </w:r>
          </w:p>
        </w:tc>
      </w:tr>
      <w:tr w:rsidR="00001811" w:rsidRPr="00745ACD" w14:paraId="32B73924" w14:textId="77777777" w:rsidTr="00001811">
        <w:trPr>
          <w:trHeight w:val="204"/>
        </w:trPr>
        <w:tc>
          <w:tcPr>
            <w:tcW w:w="2169" w:type="pct"/>
            <w:tcBorders>
              <w:top w:val="nil"/>
              <w:left w:val="nil"/>
              <w:bottom w:val="nil"/>
              <w:right w:val="nil"/>
            </w:tcBorders>
            <w:shd w:val="clear" w:color="auto" w:fill="auto"/>
            <w:vAlign w:val="bottom"/>
            <w:hideMark/>
          </w:tcPr>
          <w:p w14:paraId="0FBFDC74" w14:textId="77777777" w:rsidR="00001811" w:rsidRPr="00745ACD" w:rsidRDefault="00001811" w:rsidP="00001811">
            <w:pPr>
              <w:spacing w:after="0" w:line="240" w:lineRule="auto"/>
              <w:rPr>
                <w:rFonts w:ascii="Arial" w:hAnsi="Arial" w:cs="Arial"/>
                <w:sz w:val="16"/>
                <w:szCs w:val="16"/>
              </w:rPr>
            </w:pPr>
            <w:r w:rsidRPr="00745ACD">
              <w:rPr>
                <w:rFonts w:ascii="Arial" w:hAnsi="Arial" w:cs="Arial"/>
                <w:sz w:val="16"/>
                <w:szCs w:val="16"/>
              </w:rPr>
              <w:t>Special Accounts</w:t>
            </w:r>
          </w:p>
        </w:tc>
        <w:tc>
          <w:tcPr>
            <w:tcW w:w="602" w:type="pct"/>
            <w:tcBorders>
              <w:top w:val="nil"/>
              <w:left w:val="nil"/>
              <w:bottom w:val="nil"/>
              <w:right w:val="nil"/>
            </w:tcBorders>
            <w:shd w:val="clear" w:color="auto" w:fill="auto"/>
            <w:noWrap/>
            <w:vAlign w:val="center"/>
            <w:hideMark/>
          </w:tcPr>
          <w:p w14:paraId="4E790822" w14:textId="77777777" w:rsidR="00001811" w:rsidRPr="00001811" w:rsidRDefault="00001811" w:rsidP="00001811">
            <w:pPr>
              <w:spacing w:after="0" w:line="240" w:lineRule="auto"/>
              <w:ind w:firstLineChars="100" w:firstLine="160"/>
              <w:jc w:val="right"/>
              <w:rPr>
                <w:rFonts w:ascii="Arial" w:hAnsi="Arial" w:cs="Arial"/>
                <w:sz w:val="16"/>
                <w:szCs w:val="16"/>
              </w:rPr>
            </w:pPr>
          </w:p>
        </w:tc>
        <w:tc>
          <w:tcPr>
            <w:tcW w:w="558" w:type="pct"/>
            <w:tcBorders>
              <w:top w:val="nil"/>
              <w:left w:val="nil"/>
              <w:bottom w:val="nil"/>
              <w:right w:val="nil"/>
            </w:tcBorders>
            <w:shd w:val="clear" w:color="000000" w:fill="E6E6E6"/>
            <w:noWrap/>
            <w:vAlign w:val="center"/>
            <w:hideMark/>
          </w:tcPr>
          <w:p w14:paraId="1439F0D2" w14:textId="33E94467" w:rsidR="00001811" w:rsidRPr="00001811" w:rsidRDefault="00001811" w:rsidP="00001811">
            <w:pPr>
              <w:spacing w:after="0" w:line="240" w:lineRule="auto"/>
              <w:jc w:val="right"/>
              <w:rPr>
                <w:rFonts w:ascii="Arial" w:hAnsi="Arial" w:cs="Arial"/>
                <w:sz w:val="16"/>
                <w:szCs w:val="16"/>
              </w:rPr>
            </w:pPr>
          </w:p>
        </w:tc>
        <w:tc>
          <w:tcPr>
            <w:tcW w:w="558" w:type="pct"/>
            <w:tcBorders>
              <w:top w:val="nil"/>
              <w:left w:val="nil"/>
              <w:bottom w:val="nil"/>
              <w:right w:val="nil"/>
            </w:tcBorders>
            <w:shd w:val="clear" w:color="auto" w:fill="auto"/>
            <w:noWrap/>
            <w:vAlign w:val="center"/>
            <w:hideMark/>
          </w:tcPr>
          <w:p w14:paraId="0DD8746B" w14:textId="77777777" w:rsidR="00001811" w:rsidRPr="00001811" w:rsidRDefault="00001811" w:rsidP="00001811">
            <w:pPr>
              <w:spacing w:after="0" w:line="240" w:lineRule="auto"/>
              <w:jc w:val="right"/>
              <w:rPr>
                <w:rFonts w:ascii="Arial" w:hAnsi="Arial" w:cs="Arial"/>
                <w:sz w:val="16"/>
                <w:szCs w:val="16"/>
              </w:rPr>
            </w:pPr>
          </w:p>
        </w:tc>
        <w:tc>
          <w:tcPr>
            <w:tcW w:w="558" w:type="pct"/>
            <w:tcBorders>
              <w:top w:val="nil"/>
              <w:left w:val="nil"/>
              <w:bottom w:val="nil"/>
              <w:right w:val="nil"/>
            </w:tcBorders>
            <w:shd w:val="clear" w:color="auto" w:fill="auto"/>
            <w:noWrap/>
            <w:vAlign w:val="center"/>
            <w:hideMark/>
          </w:tcPr>
          <w:p w14:paraId="43F6F554" w14:textId="77777777" w:rsidR="00001811" w:rsidRPr="00001811" w:rsidRDefault="00001811" w:rsidP="00001811">
            <w:pPr>
              <w:spacing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noWrap/>
            <w:vAlign w:val="center"/>
            <w:hideMark/>
          </w:tcPr>
          <w:p w14:paraId="742E63CA" w14:textId="77777777" w:rsidR="00001811" w:rsidRPr="00001811" w:rsidRDefault="00001811" w:rsidP="00001811">
            <w:pPr>
              <w:spacing w:after="0" w:line="240" w:lineRule="auto"/>
              <w:jc w:val="right"/>
              <w:rPr>
                <w:rFonts w:ascii="Arial" w:hAnsi="Arial" w:cs="Arial"/>
                <w:sz w:val="16"/>
                <w:szCs w:val="16"/>
              </w:rPr>
            </w:pPr>
          </w:p>
        </w:tc>
      </w:tr>
      <w:tr w:rsidR="00001811" w:rsidRPr="00745ACD" w14:paraId="5DEE28E7" w14:textId="77777777" w:rsidTr="00001811">
        <w:trPr>
          <w:trHeight w:val="204"/>
        </w:trPr>
        <w:tc>
          <w:tcPr>
            <w:tcW w:w="2169" w:type="pct"/>
            <w:tcBorders>
              <w:top w:val="nil"/>
              <w:left w:val="nil"/>
              <w:bottom w:val="nil"/>
              <w:right w:val="nil"/>
            </w:tcBorders>
            <w:shd w:val="clear" w:color="auto" w:fill="auto"/>
            <w:vAlign w:val="bottom"/>
            <w:hideMark/>
          </w:tcPr>
          <w:p w14:paraId="3A17DE30" w14:textId="77777777" w:rsidR="00001811" w:rsidRPr="00745ACD" w:rsidRDefault="00001811" w:rsidP="00001811">
            <w:pPr>
              <w:spacing w:after="0" w:line="240" w:lineRule="auto"/>
              <w:ind w:left="113"/>
              <w:rPr>
                <w:rFonts w:ascii="Arial" w:hAnsi="Arial" w:cs="Arial"/>
                <w:sz w:val="16"/>
                <w:szCs w:val="16"/>
              </w:rPr>
            </w:pPr>
            <w:r w:rsidRPr="00745ACD">
              <w:rPr>
                <w:rFonts w:ascii="Arial" w:hAnsi="Arial" w:cs="Arial"/>
                <w:sz w:val="16"/>
                <w:szCs w:val="16"/>
              </w:rPr>
              <w:t>Christmas Island Phosphate Mining Rehabilitation Special Account 2016</w:t>
            </w:r>
          </w:p>
        </w:tc>
        <w:tc>
          <w:tcPr>
            <w:tcW w:w="602" w:type="pct"/>
            <w:tcBorders>
              <w:top w:val="nil"/>
              <w:left w:val="nil"/>
              <w:bottom w:val="nil"/>
              <w:right w:val="nil"/>
            </w:tcBorders>
            <w:shd w:val="clear" w:color="auto" w:fill="auto"/>
            <w:noWrap/>
            <w:vAlign w:val="center"/>
            <w:hideMark/>
          </w:tcPr>
          <w:p w14:paraId="40B3B58C" w14:textId="16F1F5FE"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1,200</w:t>
            </w:r>
          </w:p>
        </w:tc>
        <w:tc>
          <w:tcPr>
            <w:tcW w:w="558" w:type="pct"/>
            <w:tcBorders>
              <w:top w:val="nil"/>
              <w:left w:val="nil"/>
              <w:bottom w:val="nil"/>
              <w:right w:val="nil"/>
            </w:tcBorders>
            <w:shd w:val="clear" w:color="000000" w:fill="E6E6E6"/>
            <w:noWrap/>
            <w:vAlign w:val="center"/>
            <w:hideMark/>
          </w:tcPr>
          <w:p w14:paraId="49489B18" w14:textId="5B76CB31"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1,200</w:t>
            </w:r>
          </w:p>
        </w:tc>
        <w:tc>
          <w:tcPr>
            <w:tcW w:w="558" w:type="pct"/>
            <w:tcBorders>
              <w:top w:val="nil"/>
              <w:left w:val="nil"/>
              <w:bottom w:val="nil"/>
              <w:right w:val="nil"/>
            </w:tcBorders>
            <w:shd w:val="clear" w:color="auto" w:fill="auto"/>
            <w:noWrap/>
            <w:vAlign w:val="center"/>
            <w:hideMark/>
          </w:tcPr>
          <w:p w14:paraId="0172BC64" w14:textId="775E004C"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1,200</w:t>
            </w:r>
          </w:p>
        </w:tc>
        <w:tc>
          <w:tcPr>
            <w:tcW w:w="558" w:type="pct"/>
            <w:tcBorders>
              <w:top w:val="nil"/>
              <w:left w:val="nil"/>
              <w:bottom w:val="nil"/>
              <w:right w:val="nil"/>
            </w:tcBorders>
            <w:shd w:val="clear" w:color="auto" w:fill="auto"/>
            <w:noWrap/>
            <w:vAlign w:val="center"/>
            <w:hideMark/>
          </w:tcPr>
          <w:p w14:paraId="29B2058C" w14:textId="6C3E5A38"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1,200</w:t>
            </w:r>
          </w:p>
        </w:tc>
        <w:tc>
          <w:tcPr>
            <w:tcW w:w="556" w:type="pct"/>
            <w:tcBorders>
              <w:top w:val="nil"/>
              <w:left w:val="nil"/>
              <w:bottom w:val="nil"/>
              <w:right w:val="nil"/>
            </w:tcBorders>
            <w:shd w:val="clear" w:color="auto" w:fill="auto"/>
            <w:noWrap/>
            <w:vAlign w:val="center"/>
            <w:hideMark/>
          </w:tcPr>
          <w:p w14:paraId="2D8B8EB3" w14:textId="2F1804DD"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1,200</w:t>
            </w:r>
          </w:p>
        </w:tc>
      </w:tr>
      <w:tr w:rsidR="00001811" w:rsidRPr="00745ACD" w14:paraId="187FCC84" w14:textId="77777777" w:rsidTr="00001811">
        <w:trPr>
          <w:trHeight w:val="204"/>
        </w:trPr>
        <w:tc>
          <w:tcPr>
            <w:tcW w:w="2169" w:type="pct"/>
            <w:tcBorders>
              <w:top w:val="nil"/>
              <w:left w:val="nil"/>
              <w:bottom w:val="nil"/>
              <w:right w:val="nil"/>
            </w:tcBorders>
            <w:shd w:val="clear" w:color="auto" w:fill="auto"/>
            <w:vAlign w:val="bottom"/>
            <w:hideMark/>
          </w:tcPr>
          <w:p w14:paraId="14A40D22" w14:textId="77777777" w:rsidR="00001811" w:rsidRPr="00745ACD" w:rsidRDefault="00001811" w:rsidP="00001811">
            <w:pPr>
              <w:spacing w:after="0" w:line="240" w:lineRule="auto"/>
              <w:ind w:left="113"/>
              <w:rPr>
                <w:rFonts w:ascii="Arial" w:hAnsi="Arial" w:cs="Arial"/>
                <w:sz w:val="16"/>
                <w:szCs w:val="16"/>
              </w:rPr>
            </w:pPr>
            <w:r w:rsidRPr="00745ACD">
              <w:rPr>
                <w:rFonts w:ascii="Arial" w:hAnsi="Arial" w:cs="Arial"/>
                <w:sz w:val="16"/>
                <w:szCs w:val="16"/>
              </w:rPr>
              <w:t>Indian Ocean Territories Special Account 2014</w:t>
            </w:r>
          </w:p>
        </w:tc>
        <w:tc>
          <w:tcPr>
            <w:tcW w:w="602" w:type="pct"/>
            <w:tcBorders>
              <w:top w:val="nil"/>
              <w:left w:val="nil"/>
              <w:bottom w:val="nil"/>
              <w:right w:val="nil"/>
            </w:tcBorders>
            <w:shd w:val="clear" w:color="auto" w:fill="auto"/>
            <w:noWrap/>
            <w:vAlign w:val="center"/>
            <w:hideMark/>
          </w:tcPr>
          <w:p w14:paraId="7498A006" w14:textId="477F6920"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17,515</w:t>
            </w:r>
          </w:p>
        </w:tc>
        <w:tc>
          <w:tcPr>
            <w:tcW w:w="558" w:type="pct"/>
            <w:tcBorders>
              <w:top w:val="nil"/>
              <w:left w:val="nil"/>
              <w:bottom w:val="nil"/>
              <w:right w:val="nil"/>
            </w:tcBorders>
            <w:shd w:val="clear" w:color="000000" w:fill="E6E6E6"/>
            <w:noWrap/>
            <w:vAlign w:val="center"/>
            <w:hideMark/>
          </w:tcPr>
          <w:p w14:paraId="1E3FFBBF" w14:textId="7DF0DE77"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17,769</w:t>
            </w:r>
          </w:p>
        </w:tc>
        <w:tc>
          <w:tcPr>
            <w:tcW w:w="558" w:type="pct"/>
            <w:tcBorders>
              <w:top w:val="nil"/>
              <w:left w:val="nil"/>
              <w:bottom w:val="nil"/>
              <w:right w:val="nil"/>
            </w:tcBorders>
            <w:shd w:val="clear" w:color="auto" w:fill="auto"/>
            <w:noWrap/>
            <w:vAlign w:val="center"/>
            <w:hideMark/>
          </w:tcPr>
          <w:p w14:paraId="17A981B7" w14:textId="1C938660"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17,915</w:t>
            </w:r>
          </w:p>
        </w:tc>
        <w:tc>
          <w:tcPr>
            <w:tcW w:w="558" w:type="pct"/>
            <w:tcBorders>
              <w:top w:val="nil"/>
              <w:left w:val="nil"/>
              <w:bottom w:val="nil"/>
              <w:right w:val="nil"/>
            </w:tcBorders>
            <w:shd w:val="clear" w:color="auto" w:fill="auto"/>
            <w:noWrap/>
            <w:vAlign w:val="center"/>
            <w:hideMark/>
          </w:tcPr>
          <w:p w14:paraId="5CE20D37" w14:textId="6296D030"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18,454</w:t>
            </w:r>
          </w:p>
        </w:tc>
        <w:tc>
          <w:tcPr>
            <w:tcW w:w="556" w:type="pct"/>
            <w:tcBorders>
              <w:top w:val="nil"/>
              <w:left w:val="nil"/>
              <w:bottom w:val="nil"/>
              <w:right w:val="nil"/>
            </w:tcBorders>
            <w:shd w:val="clear" w:color="auto" w:fill="auto"/>
            <w:noWrap/>
            <w:vAlign w:val="center"/>
            <w:hideMark/>
          </w:tcPr>
          <w:p w14:paraId="6721D89C" w14:textId="4EBDADEF"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18,454</w:t>
            </w:r>
          </w:p>
        </w:tc>
      </w:tr>
      <w:tr w:rsidR="00001811" w:rsidRPr="00745ACD" w14:paraId="3F3FA378" w14:textId="77777777" w:rsidTr="00001811">
        <w:trPr>
          <w:trHeight w:val="204"/>
        </w:trPr>
        <w:tc>
          <w:tcPr>
            <w:tcW w:w="2169" w:type="pct"/>
            <w:tcBorders>
              <w:top w:val="nil"/>
              <w:left w:val="nil"/>
              <w:bottom w:val="nil"/>
              <w:right w:val="nil"/>
            </w:tcBorders>
            <w:shd w:val="clear" w:color="auto" w:fill="auto"/>
            <w:vAlign w:val="bottom"/>
            <w:hideMark/>
          </w:tcPr>
          <w:p w14:paraId="79D59062" w14:textId="77777777" w:rsidR="00001811" w:rsidRPr="00745ACD" w:rsidRDefault="00001811" w:rsidP="00001811">
            <w:pPr>
              <w:spacing w:after="0" w:line="240" w:lineRule="auto"/>
              <w:ind w:left="113"/>
              <w:rPr>
                <w:rFonts w:ascii="Arial" w:hAnsi="Arial" w:cs="Arial"/>
                <w:sz w:val="16"/>
                <w:szCs w:val="16"/>
              </w:rPr>
            </w:pPr>
            <w:r w:rsidRPr="00745ACD">
              <w:rPr>
                <w:rFonts w:ascii="Arial" w:hAnsi="Arial" w:cs="Arial"/>
                <w:sz w:val="16"/>
                <w:szCs w:val="16"/>
              </w:rPr>
              <w:t>Jervis Bay Territory Special Account 2014</w:t>
            </w:r>
          </w:p>
        </w:tc>
        <w:tc>
          <w:tcPr>
            <w:tcW w:w="602" w:type="pct"/>
            <w:tcBorders>
              <w:top w:val="nil"/>
              <w:left w:val="nil"/>
              <w:bottom w:val="nil"/>
              <w:right w:val="nil"/>
            </w:tcBorders>
            <w:shd w:val="clear" w:color="auto" w:fill="auto"/>
            <w:noWrap/>
            <w:vAlign w:val="center"/>
            <w:hideMark/>
          </w:tcPr>
          <w:p w14:paraId="1110F4CB" w14:textId="5DC68443"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1,219</w:t>
            </w:r>
          </w:p>
        </w:tc>
        <w:tc>
          <w:tcPr>
            <w:tcW w:w="558" w:type="pct"/>
            <w:tcBorders>
              <w:top w:val="nil"/>
              <w:left w:val="nil"/>
              <w:bottom w:val="nil"/>
              <w:right w:val="nil"/>
            </w:tcBorders>
            <w:shd w:val="clear" w:color="000000" w:fill="E6E6E6"/>
            <w:noWrap/>
            <w:vAlign w:val="center"/>
            <w:hideMark/>
          </w:tcPr>
          <w:p w14:paraId="528BC685" w14:textId="23CCE166"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1,219</w:t>
            </w:r>
          </w:p>
        </w:tc>
        <w:tc>
          <w:tcPr>
            <w:tcW w:w="558" w:type="pct"/>
            <w:tcBorders>
              <w:top w:val="nil"/>
              <w:left w:val="nil"/>
              <w:bottom w:val="nil"/>
              <w:right w:val="nil"/>
            </w:tcBorders>
            <w:shd w:val="clear" w:color="auto" w:fill="auto"/>
            <w:noWrap/>
            <w:vAlign w:val="center"/>
            <w:hideMark/>
          </w:tcPr>
          <w:p w14:paraId="574BADB0" w14:textId="05EFBE7B"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1,219</w:t>
            </w:r>
          </w:p>
        </w:tc>
        <w:tc>
          <w:tcPr>
            <w:tcW w:w="558" w:type="pct"/>
            <w:tcBorders>
              <w:top w:val="nil"/>
              <w:left w:val="nil"/>
              <w:bottom w:val="nil"/>
              <w:right w:val="nil"/>
            </w:tcBorders>
            <w:shd w:val="clear" w:color="auto" w:fill="auto"/>
            <w:noWrap/>
            <w:vAlign w:val="center"/>
            <w:hideMark/>
          </w:tcPr>
          <w:p w14:paraId="0D531CD2" w14:textId="596B1F8B"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1,219</w:t>
            </w:r>
          </w:p>
        </w:tc>
        <w:tc>
          <w:tcPr>
            <w:tcW w:w="556" w:type="pct"/>
            <w:tcBorders>
              <w:top w:val="nil"/>
              <w:left w:val="nil"/>
              <w:bottom w:val="nil"/>
              <w:right w:val="nil"/>
            </w:tcBorders>
            <w:shd w:val="clear" w:color="auto" w:fill="auto"/>
            <w:noWrap/>
            <w:vAlign w:val="center"/>
            <w:hideMark/>
          </w:tcPr>
          <w:p w14:paraId="48855CA3" w14:textId="7DA5ED6F" w:rsidR="00001811" w:rsidRPr="00001811" w:rsidRDefault="00001811" w:rsidP="00001811">
            <w:pPr>
              <w:spacing w:after="0" w:line="240" w:lineRule="auto"/>
              <w:jc w:val="right"/>
              <w:rPr>
                <w:rFonts w:ascii="Arial" w:hAnsi="Arial" w:cs="Arial"/>
                <w:sz w:val="16"/>
                <w:szCs w:val="16"/>
              </w:rPr>
            </w:pPr>
            <w:r w:rsidRPr="00001811">
              <w:rPr>
                <w:rFonts w:ascii="Arial" w:hAnsi="Arial" w:cs="Arial"/>
                <w:sz w:val="16"/>
                <w:szCs w:val="16"/>
              </w:rPr>
              <w:t>1,219</w:t>
            </w:r>
          </w:p>
        </w:tc>
      </w:tr>
      <w:tr w:rsidR="00001811" w:rsidRPr="00745ACD" w14:paraId="7AAEAF8C" w14:textId="77777777" w:rsidTr="00001811">
        <w:trPr>
          <w:trHeight w:val="204"/>
        </w:trPr>
        <w:tc>
          <w:tcPr>
            <w:tcW w:w="2169" w:type="pct"/>
            <w:tcBorders>
              <w:top w:val="nil"/>
              <w:left w:val="nil"/>
              <w:bottom w:val="single" w:sz="4" w:space="0" w:color="auto"/>
              <w:right w:val="nil"/>
            </w:tcBorders>
            <w:shd w:val="clear" w:color="auto" w:fill="auto"/>
            <w:noWrap/>
            <w:vAlign w:val="bottom"/>
            <w:hideMark/>
          </w:tcPr>
          <w:p w14:paraId="076F0CA9" w14:textId="77777777" w:rsidR="00001811" w:rsidRPr="00745ACD" w:rsidRDefault="00001811" w:rsidP="00001811">
            <w:pPr>
              <w:spacing w:after="0" w:line="240" w:lineRule="auto"/>
              <w:rPr>
                <w:rFonts w:ascii="Arial" w:hAnsi="Arial" w:cs="Arial"/>
                <w:b/>
                <w:bCs/>
                <w:sz w:val="16"/>
                <w:szCs w:val="16"/>
              </w:rPr>
            </w:pPr>
            <w:r w:rsidRPr="00745ACD">
              <w:rPr>
                <w:rFonts w:ascii="Arial" w:hAnsi="Arial" w:cs="Arial"/>
                <w:b/>
                <w:bCs/>
                <w:sz w:val="16"/>
                <w:szCs w:val="16"/>
              </w:rPr>
              <w:t>Total expenses for Program 4.1</w:t>
            </w:r>
          </w:p>
        </w:tc>
        <w:tc>
          <w:tcPr>
            <w:tcW w:w="602" w:type="pct"/>
            <w:tcBorders>
              <w:top w:val="single" w:sz="4" w:space="0" w:color="auto"/>
              <w:left w:val="nil"/>
              <w:bottom w:val="single" w:sz="4" w:space="0" w:color="auto"/>
              <w:right w:val="nil"/>
            </w:tcBorders>
            <w:shd w:val="clear" w:color="auto" w:fill="auto"/>
            <w:noWrap/>
            <w:vAlign w:val="center"/>
            <w:hideMark/>
          </w:tcPr>
          <w:p w14:paraId="4A456F9C" w14:textId="6192C8A3" w:rsidR="00001811" w:rsidRPr="00001811" w:rsidRDefault="00001811" w:rsidP="00001811">
            <w:pPr>
              <w:spacing w:after="0" w:line="240" w:lineRule="auto"/>
              <w:jc w:val="right"/>
              <w:rPr>
                <w:rFonts w:ascii="Arial" w:hAnsi="Arial" w:cs="Arial"/>
                <w:b/>
                <w:bCs/>
                <w:sz w:val="16"/>
                <w:szCs w:val="16"/>
              </w:rPr>
            </w:pPr>
            <w:r w:rsidRPr="00001811">
              <w:rPr>
                <w:rFonts w:ascii="Arial" w:hAnsi="Arial" w:cs="Arial"/>
                <w:b/>
                <w:bCs/>
                <w:sz w:val="16"/>
                <w:szCs w:val="16"/>
              </w:rPr>
              <w:t>308,623</w:t>
            </w:r>
          </w:p>
        </w:tc>
        <w:tc>
          <w:tcPr>
            <w:tcW w:w="558" w:type="pct"/>
            <w:tcBorders>
              <w:top w:val="single" w:sz="4" w:space="0" w:color="auto"/>
              <w:left w:val="nil"/>
              <w:bottom w:val="single" w:sz="4" w:space="0" w:color="auto"/>
              <w:right w:val="nil"/>
            </w:tcBorders>
            <w:shd w:val="clear" w:color="000000" w:fill="E6E6E6"/>
            <w:noWrap/>
            <w:vAlign w:val="center"/>
            <w:hideMark/>
          </w:tcPr>
          <w:p w14:paraId="64D780B2" w14:textId="5728053B" w:rsidR="00001811" w:rsidRPr="00001811" w:rsidRDefault="00001811" w:rsidP="00001811">
            <w:pPr>
              <w:spacing w:after="0" w:line="240" w:lineRule="auto"/>
              <w:jc w:val="right"/>
              <w:rPr>
                <w:rFonts w:ascii="Arial" w:hAnsi="Arial" w:cs="Arial"/>
                <w:b/>
                <w:bCs/>
                <w:sz w:val="16"/>
                <w:szCs w:val="16"/>
              </w:rPr>
            </w:pPr>
            <w:r w:rsidRPr="00001811">
              <w:rPr>
                <w:rFonts w:ascii="Arial" w:hAnsi="Arial" w:cs="Arial"/>
                <w:b/>
                <w:bCs/>
                <w:sz w:val="16"/>
                <w:szCs w:val="16"/>
              </w:rPr>
              <w:t>262,540</w:t>
            </w:r>
          </w:p>
        </w:tc>
        <w:tc>
          <w:tcPr>
            <w:tcW w:w="558" w:type="pct"/>
            <w:tcBorders>
              <w:top w:val="single" w:sz="4" w:space="0" w:color="auto"/>
              <w:left w:val="nil"/>
              <w:bottom w:val="single" w:sz="4" w:space="0" w:color="auto"/>
              <w:right w:val="nil"/>
            </w:tcBorders>
            <w:shd w:val="clear" w:color="auto" w:fill="auto"/>
            <w:noWrap/>
            <w:vAlign w:val="center"/>
            <w:hideMark/>
          </w:tcPr>
          <w:p w14:paraId="3A712261" w14:textId="355D977A" w:rsidR="00001811" w:rsidRPr="00001811" w:rsidRDefault="00001811" w:rsidP="00001811">
            <w:pPr>
              <w:spacing w:after="0" w:line="240" w:lineRule="auto"/>
              <w:jc w:val="right"/>
              <w:rPr>
                <w:rFonts w:ascii="Arial" w:hAnsi="Arial" w:cs="Arial"/>
                <w:b/>
                <w:bCs/>
                <w:sz w:val="16"/>
                <w:szCs w:val="16"/>
              </w:rPr>
            </w:pPr>
            <w:r w:rsidRPr="00001811">
              <w:rPr>
                <w:rFonts w:ascii="Arial" w:hAnsi="Arial" w:cs="Arial"/>
                <w:b/>
                <w:bCs/>
                <w:sz w:val="16"/>
                <w:szCs w:val="16"/>
              </w:rPr>
              <w:t>250,917</w:t>
            </w:r>
          </w:p>
        </w:tc>
        <w:tc>
          <w:tcPr>
            <w:tcW w:w="558" w:type="pct"/>
            <w:tcBorders>
              <w:top w:val="single" w:sz="4" w:space="0" w:color="auto"/>
              <w:left w:val="nil"/>
              <w:bottom w:val="single" w:sz="4" w:space="0" w:color="auto"/>
              <w:right w:val="nil"/>
            </w:tcBorders>
            <w:shd w:val="clear" w:color="auto" w:fill="auto"/>
            <w:noWrap/>
            <w:vAlign w:val="center"/>
            <w:hideMark/>
          </w:tcPr>
          <w:p w14:paraId="2140A46E" w14:textId="62890480" w:rsidR="00001811" w:rsidRPr="00001811" w:rsidRDefault="00001811" w:rsidP="00001811">
            <w:pPr>
              <w:spacing w:after="0" w:line="240" w:lineRule="auto"/>
              <w:jc w:val="right"/>
              <w:rPr>
                <w:rFonts w:ascii="Arial" w:hAnsi="Arial" w:cs="Arial"/>
                <w:b/>
                <w:bCs/>
                <w:sz w:val="16"/>
                <w:szCs w:val="16"/>
              </w:rPr>
            </w:pPr>
            <w:r w:rsidRPr="00001811">
              <w:rPr>
                <w:rFonts w:ascii="Arial" w:hAnsi="Arial" w:cs="Arial"/>
                <w:b/>
                <w:bCs/>
                <w:sz w:val="16"/>
                <w:szCs w:val="16"/>
              </w:rPr>
              <w:t>243,841</w:t>
            </w:r>
          </w:p>
        </w:tc>
        <w:tc>
          <w:tcPr>
            <w:tcW w:w="556" w:type="pct"/>
            <w:tcBorders>
              <w:top w:val="single" w:sz="4" w:space="0" w:color="auto"/>
              <w:left w:val="nil"/>
              <w:bottom w:val="single" w:sz="4" w:space="0" w:color="auto"/>
              <w:right w:val="nil"/>
            </w:tcBorders>
            <w:shd w:val="clear" w:color="auto" w:fill="auto"/>
            <w:noWrap/>
            <w:vAlign w:val="center"/>
            <w:hideMark/>
          </w:tcPr>
          <w:p w14:paraId="47F0C47C" w14:textId="3D7E92E5" w:rsidR="00001811" w:rsidRPr="00001811" w:rsidRDefault="00001811" w:rsidP="00001811">
            <w:pPr>
              <w:spacing w:after="0" w:line="240" w:lineRule="auto"/>
              <w:jc w:val="right"/>
              <w:rPr>
                <w:rFonts w:ascii="Arial" w:hAnsi="Arial" w:cs="Arial"/>
                <w:b/>
                <w:bCs/>
                <w:sz w:val="16"/>
                <w:szCs w:val="16"/>
              </w:rPr>
            </w:pPr>
            <w:r w:rsidRPr="00001811">
              <w:rPr>
                <w:rFonts w:ascii="Arial" w:hAnsi="Arial" w:cs="Arial"/>
                <w:b/>
                <w:bCs/>
                <w:sz w:val="16"/>
                <w:szCs w:val="16"/>
              </w:rPr>
              <w:t>248,798</w:t>
            </w:r>
          </w:p>
        </w:tc>
      </w:tr>
    </w:tbl>
    <w:p w14:paraId="41905248" w14:textId="77777777" w:rsidR="00047A4C" w:rsidRDefault="00047A4C" w:rsidP="009A108E">
      <w:pPr>
        <w:spacing w:before="60" w:after="0" w:line="240" w:lineRule="auto"/>
        <w:rPr>
          <w:rFonts w:ascii="Arial" w:hAnsi="Arial" w:cs="Arial"/>
          <w:sz w:val="16"/>
        </w:rPr>
      </w:pPr>
      <w:r>
        <w:rPr>
          <w:rFonts w:ascii="Arial" w:hAnsi="Arial" w:cs="Arial"/>
          <w:sz w:val="16"/>
        </w:rPr>
        <w:t>Table has been prepared inclusive of 2022-23 Additional Estimates figures.</w:t>
      </w:r>
    </w:p>
    <w:p w14:paraId="057577C8" w14:textId="77777777" w:rsidR="00115843" w:rsidRPr="001D5782" w:rsidRDefault="00115843" w:rsidP="00977C28">
      <w:pPr>
        <w:pStyle w:val="ListParagraph"/>
        <w:numPr>
          <w:ilvl w:val="0"/>
          <w:numId w:val="112"/>
        </w:numPr>
        <w:spacing w:after="0" w:line="240" w:lineRule="auto"/>
        <w:ind w:left="426" w:hanging="426"/>
        <w:rPr>
          <w:rFonts w:ascii="Arial" w:hAnsi="Arial" w:cs="Arial"/>
          <w:color w:val="000000" w:themeColor="text1"/>
          <w:sz w:val="16"/>
          <w:szCs w:val="16"/>
        </w:rPr>
      </w:pPr>
      <w:r w:rsidRPr="001D5782">
        <w:rPr>
          <w:rFonts w:ascii="Arial" w:hAnsi="Arial" w:cs="Arial"/>
          <w:color w:val="000000" w:themeColor="text1"/>
          <w:sz w:val="16"/>
          <w:szCs w:val="16"/>
        </w:rPr>
        <w:t>See also expenses associated with the Indian Ocean Territories Special Account 2014.</w:t>
      </w:r>
    </w:p>
    <w:p w14:paraId="5F2A7C9A" w14:textId="1E6FEC54" w:rsidR="00BF5A1E" w:rsidRPr="00BF5A1E" w:rsidRDefault="00115843" w:rsidP="00977C28">
      <w:pPr>
        <w:pStyle w:val="ListParagraph"/>
        <w:numPr>
          <w:ilvl w:val="0"/>
          <w:numId w:val="112"/>
        </w:numPr>
        <w:spacing w:after="0" w:line="240" w:lineRule="auto"/>
        <w:ind w:left="425" w:hanging="425"/>
        <w:rPr>
          <w:rFonts w:ascii="Arial" w:hAnsi="Arial" w:cs="Arial"/>
          <w:sz w:val="16"/>
          <w:szCs w:val="16"/>
        </w:rPr>
      </w:pPr>
      <w:r w:rsidRPr="001D5782">
        <w:rPr>
          <w:rFonts w:ascii="Arial" w:hAnsi="Arial" w:cs="Arial"/>
          <w:sz w:val="16"/>
          <w:szCs w:val="16"/>
        </w:rPr>
        <w:t>See also expenses associated with the Jervis Bay Territory Special Account 2014.</w:t>
      </w:r>
    </w:p>
    <w:p w14:paraId="19A8BB1B" w14:textId="73689801" w:rsidR="00115843" w:rsidRDefault="00115843" w:rsidP="009A108E">
      <w:pPr>
        <w:spacing w:after="0" w:line="240" w:lineRule="auto"/>
        <w:rPr>
          <w:rFonts w:ascii="Arial" w:hAnsi="Arial" w:cs="Arial"/>
          <w:sz w:val="16"/>
        </w:rPr>
      </w:pPr>
      <w:r>
        <w:rPr>
          <w:rFonts w:ascii="Arial" w:hAnsi="Arial" w:cs="Arial"/>
          <w:sz w:val="16"/>
        </w:rPr>
        <w:br w:type="page"/>
      </w:r>
    </w:p>
    <w:p w14:paraId="0E9C6516" w14:textId="77777777" w:rsidR="009D1D35" w:rsidRDefault="009D1D35" w:rsidP="009A108E">
      <w:pPr>
        <w:spacing w:after="0" w:line="240" w:lineRule="auto"/>
        <w:rPr>
          <w:rFonts w:ascii="Arial" w:hAnsi="Arial" w:cs="Arial"/>
          <w:sz w:val="16"/>
        </w:rPr>
      </w:pPr>
    </w:p>
    <w:p w14:paraId="791EAFB4" w14:textId="4BD8B88D" w:rsidR="00115843" w:rsidRPr="00F71634" w:rsidRDefault="00115843" w:rsidP="00115843">
      <w:pPr>
        <w:pStyle w:val="TableHeading"/>
      </w:pPr>
      <w:r w:rsidRPr="00F71634">
        <w:t>Table 2.</w:t>
      </w:r>
      <w:r>
        <w:rPr>
          <w:lang w:val="en-GB"/>
        </w:rPr>
        <w:t>4</w:t>
      </w:r>
      <w:r w:rsidRPr="00F71634">
        <w:t xml:space="preserve">.3: Performance </w:t>
      </w:r>
      <w:r>
        <w:t>measure</w:t>
      </w:r>
      <w:r w:rsidR="005F455C">
        <w:rPr>
          <w:lang w:val="en-US"/>
        </w:rPr>
        <w:t>s</w:t>
      </w:r>
      <w:r>
        <w:t xml:space="preserve"> for Outcome 4</w:t>
      </w:r>
    </w:p>
    <w:p w14:paraId="294795BC" w14:textId="0523A0E2" w:rsidR="00115843" w:rsidRPr="001D5782" w:rsidRDefault="00115843" w:rsidP="00115843">
      <w:r w:rsidRPr="001D5782">
        <w:t xml:space="preserve">Table 2.4.3 details the performance measures for each program associated with Outcome 4.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w:t>
      </w:r>
      <w:r w:rsidR="00047A4C">
        <w:t>2023–24</w:t>
      </w:r>
      <w:r w:rsidR="00047A4C">
        <w:rPr>
          <w:spacing w:val="-3"/>
        </w:rPr>
        <w:t xml:space="preserve"> </w:t>
      </w:r>
      <w:r w:rsidRPr="001D5782">
        <w:t>Budget measures that have created new programs or materially changed existing programs are provided.</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93"/>
        <w:gridCol w:w="3544"/>
      </w:tblGrid>
      <w:tr w:rsidR="00115843" w:rsidRPr="005C11A1" w14:paraId="7CC77EBF" w14:textId="77777777" w:rsidTr="002F3AAF">
        <w:trPr>
          <w:trHeight w:val="949"/>
        </w:trPr>
        <w:tc>
          <w:tcPr>
            <w:tcW w:w="7655" w:type="dxa"/>
            <w:gridSpan w:val="3"/>
            <w:shd w:val="clear" w:color="auto" w:fill="E6E6E6"/>
          </w:tcPr>
          <w:p w14:paraId="3A482530" w14:textId="14423E32" w:rsidR="00115843" w:rsidRPr="005C11A1" w:rsidRDefault="00115843" w:rsidP="00FB0D02">
            <w:pPr>
              <w:spacing w:before="60" w:after="60" w:line="240" w:lineRule="auto"/>
              <w:rPr>
                <w:rFonts w:ascii="Arial" w:hAnsi="Arial" w:cs="Arial"/>
                <w:b/>
                <w:highlight w:val="yellow"/>
              </w:rPr>
            </w:pPr>
            <w:r w:rsidRPr="005C11A1">
              <w:rPr>
                <w:rFonts w:ascii="Arial" w:eastAsia="Calibri" w:hAnsi="Arial" w:cs="Arial"/>
                <w:b/>
              </w:rPr>
              <w:t>Outcome 4</w:t>
            </w:r>
            <w:r w:rsidRPr="005C11A1">
              <w:rPr>
                <w:rFonts w:ascii="Arial" w:hAnsi="Arial" w:cs="Arial"/>
                <w:b/>
              </w:rPr>
              <w:t xml:space="preserve"> </w:t>
            </w:r>
            <w:r w:rsidRPr="005C11A1">
              <w:rPr>
                <w:rFonts w:ascii="Arial" w:hAnsi="Arial" w:cs="Arial"/>
              </w:rPr>
              <w:t xml:space="preserve">– </w:t>
            </w:r>
            <w:r w:rsidRPr="005C11A1">
              <w:rPr>
                <w:rFonts w:ascii="Arial" w:eastAsia="Calibri" w:hAnsi="Arial" w:cs="Arial"/>
              </w:rPr>
              <w:t>Good governance and service delivery in the Australian territories including through the maintenance and improvement of the laws and services for non-self-governing territories, and the overarching legislative framework for self</w:t>
            </w:r>
            <w:r w:rsidRPr="005C11A1">
              <w:rPr>
                <w:rFonts w:ascii="Arial" w:eastAsia="Calibri" w:hAnsi="Arial" w:cs="Arial"/>
              </w:rPr>
              <w:noBreakHyphen/>
              <w:t>governing territories</w:t>
            </w:r>
            <w:r w:rsidR="00934BC0">
              <w:rPr>
                <w:rFonts w:ascii="Arial" w:eastAsia="Calibri" w:hAnsi="Arial" w:cs="Arial"/>
              </w:rPr>
              <w:t>.</w:t>
            </w:r>
          </w:p>
        </w:tc>
      </w:tr>
      <w:tr w:rsidR="00115843" w:rsidRPr="001D5782" w14:paraId="4E88578C" w14:textId="77777777" w:rsidTr="002F3AAF">
        <w:trPr>
          <w:trHeight w:val="522"/>
        </w:trPr>
        <w:tc>
          <w:tcPr>
            <w:tcW w:w="7655" w:type="dxa"/>
            <w:gridSpan w:val="3"/>
            <w:shd w:val="clear" w:color="auto" w:fill="E6E6E6"/>
          </w:tcPr>
          <w:p w14:paraId="0C565D33" w14:textId="77777777" w:rsidR="00115843" w:rsidRPr="001D5782" w:rsidRDefault="00115843" w:rsidP="00FB0D02">
            <w:pPr>
              <w:spacing w:before="60" w:after="0" w:line="240" w:lineRule="auto"/>
              <w:rPr>
                <w:rFonts w:ascii="Arial" w:eastAsia="Calibri" w:hAnsi="Arial" w:cs="Arial"/>
                <w:b/>
                <w:sz w:val="18"/>
                <w:szCs w:val="18"/>
              </w:rPr>
            </w:pPr>
            <w:bookmarkStart w:id="32" w:name="Territories4_1"/>
            <w:r w:rsidRPr="001D5782">
              <w:rPr>
                <w:rFonts w:ascii="Arial" w:eastAsia="Calibri" w:hAnsi="Arial" w:cs="Arial"/>
                <w:b/>
                <w:sz w:val="18"/>
                <w:szCs w:val="18"/>
              </w:rPr>
              <w:t>Program 4.1 – Services to Territories</w:t>
            </w:r>
            <w:bookmarkEnd w:id="32"/>
          </w:p>
          <w:p w14:paraId="68423216" w14:textId="77777777" w:rsidR="00115843" w:rsidRPr="001D5782" w:rsidRDefault="00115843" w:rsidP="00FB0D02">
            <w:pPr>
              <w:pStyle w:val="TableTextLeft"/>
              <w:rPr>
                <w:szCs w:val="18"/>
                <w:highlight w:val="yellow"/>
              </w:rPr>
            </w:pPr>
            <w:r w:rsidRPr="001D5782">
              <w:rPr>
                <w:rFonts w:eastAsia="Calibri" w:cs="Arial"/>
                <w:szCs w:val="18"/>
                <w:lang w:eastAsia="en-US"/>
              </w:rPr>
              <w:t>The services to territories program provides good governance and service delivery in the Australian territories, including through the maintenance and improvement of the laws and services for non-self-governing territories, and the overarching legislative framework for self-governing territories.</w:t>
            </w:r>
          </w:p>
        </w:tc>
      </w:tr>
      <w:tr w:rsidR="00115843" w:rsidRPr="0027724F" w14:paraId="251934B6" w14:textId="77777777" w:rsidTr="00FB0D02">
        <w:trPr>
          <w:trHeight w:val="694"/>
        </w:trPr>
        <w:tc>
          <w:tcPr>
            <w:tcW w:w="1418" w:type="dxa"/>
            <w:tcBorders>
              <w:bottom w:val="double" w:sz="4" w:space="0" w:color="auto"/>
            </w:tcBorders>
          </w:tcPr>
          <w:p w14:paraId="5F9382BB" w14:textId="77777777" w:rsidR="00115843" w:rsidRPr="00160C23" w:rsidRDefault="00115843" w:rsidP="00FB0D02">
            <w:pPr>
              <w:spacing w:before="60" w:after="60"/>
              <w:rPr>
                <w:rFonts w:ascii="Arial" w:hAnsi="Arial" w:cs="Arial"/>
                <w:b/>
                <w:sz w:val="16"/>
                <w:szCs w:val="16"/>
              </w:rPr>
            </w:pPr>
            <w:r w:rsidRPr="00BE08C4">
              <w:rPr>
                <w:rFonts w:ascii="Arial" w:eastAsia="Calibri" w:hAnsi="Arial" w:cs="Arial"/>
                <w:b/>
                <w:sz w:val="16"/>
                <w:szCs w:val="16"/>
              </w:rPr>
              <w:t>Key Activities</w:t>
            </w:r>
          </w:p>
        </w:tc>
        <w:tc>
          <w:tcPr>
            <w:tcW w:w="6237" w:type="dxa"/>
            <w:gridSpan w:val="2"/>
            <w:tcBorders>
              <w:bottom w:val="double" w:sz="4" w:space="0" w:color="auto"/>
            </w:tcBorders>
          </w:tcPr>
          <w:p w14:paraId="0A8AEF1A" w14:textId="77777777" w:rsidR="007406E2" w:rsidRDefault="007406E2" w:rsidP="00977C28">
            <w:pPr>
              <w:pStyle w:val="ListParagraph"/>
              <w:numPr>
                <w:ilvl w:val="0"/>
                <w:numId w:val="9"/>
              </w:numPr>
              <w:spacing w:before="60" w:after="60" w:line="240" w:lineRule="auto"/>
              <w:ind w:left="314" w:hanging="314"/>
              <w:rPr>
                <w:rFonts w:ascii="Arial" w:hAnsi="Arial" w:cs="Arial"/>
                <w:sz w:val="16"/>
                <w:szCs w:val="16"/>
              </w:rPr>
            </w:pPr>
            <w:r>
              <w:rPr>
                <w:rFonts w:ascii="Arial" w:hAnsi="Arial" w:cs="Arial"/>
                <w:sz w:val="16"/>
                <w:szCs w:val="16"/>
              </w:rPr>
              <w:t>Providing governance frameworks and services in the Territories.</w:t>
            </w:r>
          </w:p>
          <w:p w14:paraId="0F0371C5" w14:textId="77777777" w:rsidR="007406E2" w:rsidRDefault="007406E2" w:rsidP="00977C28">
            <w:pPr>
              <w:pStyle w:val="ListParagraph"/>
              <w:numPr>
                <w:ilvl w:val="0"/>
                <w:numId w:val="9"/>
              </w:numPr>
              <w:spacing w:before="60" w:after="60" w:line="240" w:lineRule="auto"/>
              <w:ind w:left="314" w:hanging="314"/>
              <w:rPr>
                <w:rFonts w:ascii="Arial" w:hAnsi="Arial" w:cs="Arial"/>
                <w:sz w:val="16"/>
                <w:szCs w:val="16"/>
              </w:rPr>
            </w:pPr>
            <w:r>
              <w:rPr>
                <w:rFonts w:ascii="Arial" w:hAnsi="Arial" w:cs="Arial"/>
                <w:sz w:val="16"/>
                <w:szCs w:val="16"/>
              </w:rPr>
              <w:t xml:space="preserve">Provide essential infrastructure and fund and deliver services to residents of Norfolk Island, Christmas Island, the Cocos (Keeling) Islands and the Jervis Bay Territory. </w:t>
            </w:r>
          </w:p>
          <w:p w14:paraId="12304452" w14:textId="77777777" w:rsidR="007406E2" w:rsidRDefault="007406E2" w:rsidP="00977C28">
            <w:pPr>
              <w:pStyle w:val="ListParagraph"/>
              <w:numPr>
                <w:ilvl w:val="0"/>
                <w:numId w:val="9"/>
              </w:numPr>
              <w:spacing w:before="60" w:after="0" w:line="240" w:lineRule="auto"/>
              <w:ind w:left="314" w:hanging="314"/>
              <w:rPr>
                <w:rFonts w:ascii="Arial" w:hAnsi="Arial" w:cs="Arial"/>
                <w:sz w:val="16"/>
                <w:szCs w:val="16"/>
              </w:rPr>
            </w:pPr>
            <w:r>
              <w:rPr>
                <w:rFonts w:ascii="Arial" w:hAnsi="Arial" w:cs="Arial"/>
                <w:sz w:val="16"/>
                <w:szCs w:val="16"/>
              </w:rPr>
              <w:t>Administer the Ashmore and Cartier Islands and the Coral Sea Island Territories, and manage national interests in the ACT and NT.</w:t>
            </w:r>
          </w:p>
          <w:p w14:paraId="1D92D59A" w14:textId="60B9C8A4" w:rsidR="00115843" w:rsidRPr="0027724F" w:rsidRDefault="007406E2" w:rsidP="00977C28">
            <w:pPr>
              <w:numPr>
                <w:ilvl w:val="0"/>
                <w:numId w:val="9"/>
              </w:numPr>
              <w:spacing w:after="60" w:line="240" w:lineRule="auto"/>
              <w:ind w:left="314" w:hanging="314"/>
              <w:rPr>
                <w:rFonts w:ascii="Arial" w:hAnsi="Arial" w:cs="Arial"/>
                <w:sz w:val="16"/>
                <w:szCs w:val="16"/>
              </w:rPr>
            </w:pPr>
            <w:r>
              <w:rPr>
                <w:rFonts w:ascii="Arial" w:hAnsi="Arial" w:cs="Arial"/>
                <w:sz w:val="16"/>
                <w:szCs w:val="16"/>
              </w:rPr>
              <w:t>Improve the legislative frameworks in the Territories, to optimise governance arrangements and to support improvements in the service delivery landscape.</w:t>
            </w:r>
          </w:p>
        </w:tc>
      </w:tr>
      <w:tr w:rsidR="00115843" w:rsidRPr="00160C23" w14:paraId="2BABBB63" w14:textId="77777777" w:rsidTr="00FB0D02">
        <w:trPr>
          <w:trHeight w:val="258"/>
        </w:trPr>
        <w:tc>
          <w:tcPr>
            <w:tcW w:w="1418" w:type="dxa"/>
            <w:tcBorders>
              <w:top w:val="double" w:sz="4" w:space="0" w:color="auto"/>
              <w:bottom w:val="single" w:sz="4" w:space="0" w:color="auto"/>
              <w:right w:val="single" w:sz="4" w:space="0" w:color="auto"/>
            </w:tcBorders>
          </w:tcPr>
          <w:p w14:paraId="5307F3B2" w14:textId="77777777" w:rsidR="00115843" w:rsidRPr="00CD1CF1" w:rsidRDefault="00115843" w:rsidP="00FB0D02">
            <w:pPr>
              <w:pStyle w:val="TableTextBase"/>
              <w:rPr>
                <w:b/>
                <w:sz w:val="16"/>
                <w:szCs w:val="16"/>
              </w:rPr>
            </w:pPr>
            <w:r w:rsidRPr="00CD1CF1">
              <w:rPr>
                <w:b/>
                <w:sz w:val="16"/>
                <w:szCs w:val="16"/>
              </w:rPr>
              <w:t>Year</w:t>
            </w:r>
          </w:p>
        </w:tc>
        <w:tc>
          <w:tcPr>
            <w:tcW w:w="2693" w:type="dxa"/>
            <w:tcBorders>
              <w:top w:val="double" w:sz="4" w:space="0" w:color="auto"/>
              <w:left w:val="single" w:sz="4" w:space="0" w:color="auto"/>
              <w:bottom w:val="single" w:sz="4" w:space="0" w:color="auto"/>
              <w:right w:val="single" w:sz="4" w:space="0" w:color="auto"/>
            </w:tcBorders>
          </w:tcPr>
          <w:p w14:paraId="731CDBBD" w14:textId="77777777" w:rsidR="00115843" w:rsidRPr="00CD1CF1" w:rsidRDefault="00115843" w:rsidP="00FB0D02">
            <w:pPr>
              <w:pStyle w:val="TableTextBase"/>
              <w:rPr>
                <w:rFonts w:cs="Arial"/>
                <w:b/>
                <w:sz w:val="16"/>
                <w:szCs w:val="16"/>
              </w:rPr>
            </w:pPr>
            <w:r w:rsidRPr="00CD1CF1">
              <w:rPr>
                <w:rFonts w:cs="Arial"/>
                <w:b/>
                <w:sz w:val="16"/>
                <w:szCs w:val="16"/>
              </w:rPr>
              <w:t>Performance measures</w:t>
            </w:r>
          </w:p>
        </w:tc>
        <w:tc>
          <w:tcPr>
            <w:tcW w:w="3544" w:type="dxa"/>
            <w:tcBorders>
              <w:top w:val="double" w:sz="4" w:space="0" w:color="auto"/>
              <w:left w:val="single" w:sz="4" w:space="0" w:color="auto"/>
              <w:bottom w:val="single" w:sz="4" w:space="0" w:color="auto"/>
            </w:tcBorders>
          </w:tcPr>
          <w:p w14:paraId="3526C6F7" w14:textId="77777777" w:rsidR="00115843" w:rsidRPr="00CD1CF1" w:rsidRDefault="00115843" w:rsidP="00FB0D02">
            <w:pPr>
              <w:pStyle w:val="TableTextBase"/>
              <w:rPr>
                <w:rFonts w:cs="Arial"/>
                <w:b/>
                <w:sz w:val="16"/>
                <w:szCs w:val="16"/>
              </w:rPr>
            </w:pPr>
            <w:r w:rsidRPr="00CD1CF1">
              <w:rPr>
                <w:rFonts w:cs="Arial"/>
                <w:b/>
                <w:sz w:val="16"/>
                <w:szCs w:val="16"/>
              </w:rPr>
              <w:t>Expected Performance Results</w:t>
            </w:r>
          </w:p>
        </w:tc>
      </w:tr>
      <w:tr w:rsidR="00115843" w:rsidRPr="005307EA" w14:paraId="49A4B858" w14:textId="77777777" w:rsidTr="00FB0D02">
        <w:trPr>
          <w:cantSplit/>
          <w:trHeight w:val="642"/>
        </w:trPr>
        <w:tc>
          <w:tcPr>
            <w:tcW w:w="1418" w:type="dxa"/>
            <w:vMerge w:val="restart"/>
            <w:tcBorders>
              <w:top w:val="single" w:sz="4" w:space="0" w:color="auto"/>
              <w:right w:val="single" w:sz="4" w:space="0" w:color="auto"/>
            </w:tcBorders>
          </w:tcPr>
          <w:p w14:paraId="76408DA4" w14:textId="61C1D881" w:rsidR="00115843" w:rsidRPr="00FD292C" w:rsidRDefault="00985384" w:rsidP="00FB0D02">
            <w:pPr>
              <w:pStyle w:val="TableTextBase"/>
              <w:rPr>
                <w:sz w:val="16"/>
                <w:szCs w:val="16"/>
              </w:rPr>
            </w:pPr>
            <w:r>
              <w:rPr>
                <w:sz w:val="16"/>
                <w:szCs w:val="16"/>
              </w:rPr>
              <w:t>Current</w:t>
            </w:r>
            <w:r w:rsidR="00115843" w:rsidRPr="00FD292C">
              <w:rPr>
                <w:sz w:val="16"/>
                <w:szCs w:val="16"/>
              </w:rPr>
              <w:t xml:space="preserve"> year </w:t>
            </w:r>
            <w:r w:rsidR="00115843" w:rsidRPr="00FD292C">
              <w:rPr>
                <w:sz w:val="16"/>
                <w:szCs w:val="16"/>
              </w:rPr>
              <w:br/>
              <w:t>202</w:t>
            </w:r>
            <w:r>
              <w:rPr>
                <w:sz w:val="16"/>
                <w:szCs w:val="16"/>
              </w:rPr>
              <w:t>2</w:t>
            </w:r>
            <w:r w:rsidR="00115843" w:rsidRPr="00FD292C">
              <w:rPr>
                <w:sz w:val="16"/>
                <w:szCs w:val="16"/>
              </w:rPr>
              <w:t>–2</w:t>
            </w:r>
            <w:r>
              <w:rPr>
                <w:sz w:val="16"/>
                <w:szCs w:val="16"/>
              </w:rPr>
              <w:t>3</w:t>
            </w:r>
          </w:p>
        </w:tc>
        <w:tc>
          <w:tcPr>
            <w:tcW w:w="2693" w:type="dxa"/>
            <w:tcBorders>
              <w:top w:val="single" w:sz="4" w:space="0" w:color="auto"/>
              <w:left w:val="single" w:sz="4" w:space="0" w:color="auto"/>
              <w:bottom w:val="single" w:sz="4" w:space="0" w:color="auto"/>
              <w:right w:val="single" w:sz="4" w:space="0" w:color="auto"/>
            </w:tcBorders>
          </w:tcPr>
          <w:p w14:paraId="2586D420" w14:textId="3F08B43E" w:rsidR="00115843" w:rsidRPr="00FD292C" w:rsidRDefault="00985384" w:rsidP="00FB0D02">
            <w:pPr>
              <w:pStyle w:val="TableTextBase"/>
              <w:rPr>
                <w:rFonts w:eastAsia="Calibri" w:cs="Arial"/>
                <w:sz w:val="16"/>
                <w:szCs w:val="16"/>
                <w:lang w:eastAsia="en-US"/>
              </w:rPr>
            </w:pPr>
            <w:r w:rsidRPr="00985384">
              <w:rPr>
                <w:rFonts w:eastAsia="Calibri" w:cs="Arial"/>
                <w:sz w:val="16"/>
                <w:szCs w:val="16"/>
                <w:lang w:eastAsia="en-US"/>
              </w:rPr>
              <w:t>Commonwealth legal and governance frameworks in Australia’s territories are appropriate for the protection and wellbeing of the communities</w:t>
            </w:r>
          </w:p>
        </w:tc>
        <w:tc>
          <w:tcPr>
            <w:tcW w:w="3544" w:type="dxa"/>
            <w:tcBorders>
              <w:top w:val="single" w:sz="4" w:space="0" w:color="auto"/>
              <w:left w:val="single" w:sz="4" w:space="0" w:color="auto"/>
              <w:bottom w:val="single" w:sz="4" w:space="0" w:color="auto"/>
            </w:tcBorders>
          </w:tcPr>
          <w:p w14:paraId="10736733" w14:textId="6189C6A3" w:rsidR="00934BC0" w:rsidRDefault="00934BC0" w:rsidP="00FB0D02">
            <w:pPr>
              <w:tabs>
                <w:tab w:val="left" w:pos="204"/>
                <w:tab w:val="left" w:pos="396"/>
              </w:tabs>
              <w:spacing w:before="60" w:after="60" w:line="240" w:lineRule="auto"/>
              <w:rPr>
                <w:rFonts w:ascii="Arial" w:eastAsia="Calibri" w:hAnsi="Arial" w:cs="Arial"/>
                <w:sz w:val="16"/>
                <w:szCs w:val="16"/>
              </w:rPr>
            </w:pPr>
            <w:r>
              <w:rPr>
                <w:rFonts w:ascii="Arial" w:eastAsia="Calibri" w:hAnsi="Arial" w:cs="Arial"/>
                <w:sz w:val="16"/>
                <w:szCs w:val="16"/>
              </w:rPr>
              <w:t xml:space="preserve">Target: </w:t>
            </w:r>
            <w:r w:rsidRPr="00934BC0">
              <w:rPr>
                <w:rFonts w:ascii="Arial" w:eastAsia="Calibri" w:hAnsi="Arial" w:cs="Arial"/>
                <w:sz w:val="16"/>
                <w:szCs w:val="16"/>
              </w:rPr>
              <w:t>Legal and governance frameworks are updated and improved in the financial year with territory-specific modifications as necessary.</w:t>
            </w:r>
          </w:p>
          <w:p w14:paraId="3C209945" w14:textId="553940AF" w:rsidR="00115843" w:rsidRPr="00FD292C" w:rsidRDefault="00985384" w:rsidP="00934BC0">
            <w:pPr>
              <w:tabs>
                <w:tab w:val="left" w:pos="204"/>
                <w:tab w:val="left" w:pos="396"/>
              </w:tabs>
              <w:spacing w:before="120" w:after="60" w:line="240" w:lineRule="auto"/>
              <w:rPr>
                <w:rFonts w:ascii="Arial" w:eastAsia="Calibri" w:hAnsi="Arial" w:cs="Arial"/>
                <w:sz w:val="16"/>
                <w:szCs w:val="16"/>
              </w:rPr>
            </w:pPr>
            <w:r w:rsidRPr="00985384">
              <w:rPr>
                <w:rFonts w:ascii="Arial" w:eastAsia="Calibri" w:hAnsi="Arial" w:cs="Arial"/>
                <w:sz w:val="16"/>
                <w:szCs w:val="16"/>
              </w:rPr>
              <w:t>Target expected to be met.</w:t>
            </w:r>
          </w:p>
        </w:tc>
      </w:tr>
      <w:tr w:rsidR="00115843" w:rsidRPr="005C11A1" w14:paraId="6992FFF1" w14:textId="77777777" w:rsidTr="00FB0D02">
        <w:trPr>
          <w:cantSplit/>
          <w:trHeight w:val="642"/>
        </w:trPr>
        <w:tc>
          <w:tcPr>
            <w:tcW w:w="1418" w:type="dxa"/>
            <w:vMerge/>
            <w:tcBorders>
              <w:bottom w:val="single" w:sz="4" w:space="0" w:color="auto"/>
              <w:right w:val="single" w:sz="4" w:space="0" w:color="auto"/>
            </w:tcBorders>
          </w:tcPr>
          <w:p w14:paraId="4F40DE5C" w14:textId="77777777" w:rsidR="00115843" w:rsidRPr="00FD292C" w:rsidRDefault="00115843" w:rsidP="00FB0D02">
            <w:pPr>
              <w:pStyle w:val="TableTextBase"/>
              <w:rPr>
                <w:sz w:val="16"/>
                <w:szCs w:val="16"/>
              </w:rPr>
            </w:pPr>
          </w:p>
        </w:tc>
        <w:tc>
          <w:tcPr>
            <w:tcW w:w="2693" w:type="dxa"/>
            <w:tcBorders>
              <w:top w:val="single" w:sz="4" w:space="0" w:color="auto"/>
              <w:left w:val="single" w:sz="4" w:space="0" w:color="auto"/>
              <w:bottom w:val="single" w:sz="4" w:space="0" w:color="auto"/>
              <w:right w:val="single" w:sz="4" w:space="0" w:color="auto"/>
            </w:tcBorders>
          </w:tcPr>
          <w:p w14:paraId="069F59D3" w14:textId="3BBDC4E3" w:rsidR="00115843" w:rsidRPr="00FD292C" w:rsidRDefault="00985384" w:rsidP="00FB0D02">
            <w:pPr>
              <w:pStyle w:val="TableTextBase"/>
              <w:rPr>
                <w:sz w:val="16"/>
                <w:szCs w:val="16"/>
              </w:rPr>
            </w:pPr>
            <w:r w:rsidRPr="00985384">
              <w:rPr>
                <w:rFonts w:eastAsia="Calibri" w:cs="Arial"/>
                <w:sz w:val="16"/>
                <w:szCs w:val="16"/>
                <w:lang w:eastAsia="en-US"/>
              </w:rPr>
              <w:t>Communities in the external territories and Jervis Bay Territory have comparable services and essential infrastructure to mainland Australia</w:t>
            </w:r>
          </w:p>
        </w:tc>
        <w:tc>
          <w:tcPr>
            <w:tcW w:w="3544" w:type="dxa"/>
            <w:tcBorders>
              <w:top w:val="single" w:sz="4" w:space="0" w:color="auto"/>
              <w:left w:val="single" w:sz="4" w:space="0" w:color="auto"/>
              <w:bottom w:val="single" w:sz="4" w:space="0" w:color="auto"/>
            </w:tcBorders>
          </w:tcPr>
          <w:p w14:paraId="48FB5437" w14:textId="4BCE3107" w:rsidR="00934BC0" w:rsidRDefault="00934BC0" w:rsidP="00FB0D02">
            <w:pPr>
              <w:pStyle w:val="TableTextBase"/>
              <w:rPr>
                <w:rFonts w:eastAsia="Calibri" w:cs="Arial"/>
                <w:sz w:val="16"/>
                <w:szCs w:val="16"/>
              </w:rPr>
            </w:pPr>
            <w:r>
              <w:rPr>
                <w:rFonts w:eastAsia="Calibri" w:cs="Arial"/>
                <w:sz w:val="16"/>
                <w:szCs w:val="16"/>
              </w:rPr>
              <w:t xml:space="preserve">Target: </w:t>
            </w:r>
            <w:r w:rsidRPr="00FD292C">
              <w:rPr>
                <w:rFonts w:eastAsia="Calibri" w:cs="Arial"/>
                <w:sz w:val="16"/>
                <w:szCs w:val="16"/>
                <w:lang w:eastAsia="en-US"/>
              </w:rPr>
              <w:t>Service delivery arrangements and contracts in financial year deliver services and essential infrastructure comparable to similar Australian mainland communities</w:t>
            </w:r>
            <w:r>
              <w:rPr>
                <w:rFonts w:eastAsia="Calibri" w:cs="Arial"/>
                <w:sz w:val="16"/>
                <w:szCs w:val="16"/>
                <w:lang w:eastAsia="en-US"/>
              </w:rPr>
              <w:t>.</w:t>
            </w:r>
          </w:p>
          <w:p w14:paraId="47A03EB8" w14:textId="005B488F" w:rsidR="00115843" w:rsidRPr="00FD292C" w:rsidRDefault="00985384" w:rsidP="00934BC0">
            <w:pPr>
              <w:pStyle w:val="TableTextBase"/>
              <w:spacing w:before="120"/>
              <w:rPr>
                <w:sz w:val="16"/>
                <w:szCs w:val="16"/>
              </w:rPr>
            </w:pPr>
            <w:r w:rsidRPr="00985384">
              <w:rPr>
                <w:rFonts w:eastAsia="Calibri" w:cs="Arial"/>
                <w:sz w:val="16"/>
                <w:szCs w:val="16"/>
              </w:rPr>
              <w:t>Target expected to be met.</w:t>
            </w:r>
          </w:p>
        </w:tc>
      </w:tr>
    </w:tbl>
    <w:p w14:paraId="4771BE5B" w14:textId="77777777" w:rsidR="00115843" w:rsidRDefault="00115843" w:rsidP="00115843">
      <w:pPr>
        <w:spacing w:after="0" w:line="240" w:lineRule="auto"/>
      </w:pPr>
      <w:r>
        <w:br w:type="page"/>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118"/>
        <w:gridCol w:w="3261"/>
      </w:tblGrid>
      <w:tr w:rsidR="00115843" w:rsidRPr="00160C23" w14:paraId="75484753" w14:textId="77777777" w:rsidTr="00FB0D02">
        <w:trPr>
          <w:trHeight w:val="258"/>
        </w:trPr>
        <w:tc>
          <w:tcPr>
            <w:tcW w:w="1276" w:type="dxa"/>
            <w:tcBorders>
              <w:top w:val="double" w:sz="4" w:space="0" w:color="auto"/>
              <w:bottom w:val="single" w:sz="4" w:space="0" w:color="auto"/>
              <w:right w:val="single" w:sz="4" w:space="0" w:color="auto"/>
            </w:tcBorders>
          </w:tcPr>
          <w:p w14:paraId="71A081EC" w14:textId="77777777" w:rsidR="00115843" w:rsidRPr="00CD1CF1" w:rsidRDefault="00115843" w:rsidP="00FB0D02">
            <w:pPr>
              <w:pStyle w:val="TableTextBase"/>
              <w:rPr>
                <w:b/>
                <w:sz w:val="16"/>
                <w:szCs w:val="16"/>
              </w:rPr>
            </w:pPr>
            <w:r w:rsidRPr="00CD1CF1">
              <w:rPr>
                <w:b/>
                <w:sz w:val="16"/>
                <w:szCs w:val="16"/>
              </w:rPr>
              <w:lastRenderedPageBreak/>
              <w:t>Year</w:t>
            </w:r>
          </w:p>
        </w:tc>
        <w:tc>
          <w:tcPr>
            <w:tcW w:w="3118" w:type="dxa"/>
            <w:tcBorders>
              <w:top w:val="double" w:sz="4" w:space="0" w:color="auto"/>
              <w:left w:val="single" w:sz="4" w:space="0" w:color="auto"/>
              <w:bottom w:val="single" w:sz="4" w:space="0" w:color="auto"/>
              <w:right w:val="single" w:sz="4" w:space="0" w:color="auto"/>
            </w:tcBorders>
          </w:tcPr>
          <w:p w14:paraId="35A524E9" w14:textId="77777777" w:rsidR="00115843" w:rsidRPr="00CD1CF1" w:rsidRDefault="00115843" w:rsidP="00FB0D02">
            <w:pPr>
              <w:pStyle w:val="TableTextBase"/>
              <w:rPr>
                <w:rFonts w:cs="Arial"/>
                <w:b/>
                <w:sz w:val="16"/>
                <w:szCs w:val="16"/>
              </w:rPr>
            </w:pPr>
            <w:r w:rsidRPr="00CD1CF1">
              <w:rPr>
                <w:rFonts w:cs="Arial"/>
                <w:b/>
                <w:sz w:val="16"/>
                <w:szCs w:val="16"/>
              </w:rPr>
              <w:t>Performance measures</w:t>
            </w:r>
          </w:p>
        </w:tc>
        <w:tc>
          <w:tcPr>
            <w:tcW w:w="3261" w:type="dxa"/>
            <w:tcBorders>
              <w:top w:val="double" w:sz="4" w:space="0" w:color="auto"/>
              <w:left w:val="single" w:sz="4" w:space="0" w:color="auto"/>
              <w:bottom w:val="single" w:sz="4" w:space="0" w:color="auto"/>
            </w:tcBorders>
          </w:tcPr>
          <w:p w14:paraId="1B85C0F5" w14:textId="77777777" w:rsidR="00115843" w:rsidRPr="00CD1CF1" w:rsidRDefault="00115843" w:rsidP="00FB0D02">
            <w:pPr>
              <w:pStyle w:val="TableTextBase"/>
              <w:rPr>
                <w:rFonts w:cs="Arial"/>
                <w:b/>
                <w:sz w:val="16"/>
                <w:szCs w:val="16"/>
              </w:rPr>
            </w:pPr>
            <w:r w:rsidRPr="00CD1CF1">
              <w:rPr>
                <w:rFonts w:cs="Arial"/>
                <w:b/>
                <w:sz w:val="16"/>
                <w:szCs w:val="16"/>
              </w:rPr>
              <w:t>Planned Performance Results</w:t>
            </w:r>
          </w:p>
        </w:tc>
      </w:tr>
      <w:tr w:rsidR="00115843" w14:paraId="6463A8F0" w14:textId="77777777" w:rsidTr="00FB0D02">
        <w:trPr>
          <w:cantSplit/>
          <w:trHeight w:val="642"/>
        </w:trPr>
        <w:tc>
          <w:tcPr>
            <w:tcW w:w="1276" w:type="dxa"/>
            <w:tcBorders>
              <w:top w:val="single" w:sz="4" w:space="0" w:color="auto"/>
              <w:bottom w:val="nil"/>
              <w:right w:val="single" w:sz="4" w:space="0" w:color="auto"/>
            </w:tcBorders>
          </w:tcPr>
          <w:p w14:paraId="70E53090" w14:textId="16247664" w:rsidR="00115843" w:rsidRPr="00FD292C" w:rsidRDefault="00115843" w:rsidP="00FB0D02">
            <w:pPr>
              <w:spacing w:before="60" w:after="60" w:line="240" w:lineRule="auto"/>
              <w:rPr>
                <w:sz w:val="16"/>
                <w:szCs w:val="16"/>
              </w:rPr>
            </w:pPr>
            <w:r w:rsidRPr="00FD292C">
              <w:rPr>
                <w:rFonts w:ascii="Arial" w:eastAsia="Calibri" w:hAnsi="Arial" w:cs="Arial"/>
                <w:sz w:val="16"/>
                <w:szCs w:val="16"/>
              </w:rPr>
              <w:t>Budget year</w:t>
            </w:r>
            <w:r w:rsidRPr="00FD292C">
              <w:rPr>
                <w:rFonts w:ascii="Arial" w:eastAsia="Calibri" w:hAnsi="Arial" w:cs="Arial"/>
                <w:sz w:val="16"/>
                <w:szCs w:val="16"/>
              </w:rPr>
              <w:br/>
            </w:r>
            <w:r w:rsidRPr="00FD292C">
              <w:rPr>
                <w:rFonts w:ascii="Arial" w:eastAsia="Calibri" w:hAnsi="Arial" w:cs="Arial"/>
                <w:sz w:val="16"/>
                <w:szCs w:val="16"/>
                <w:lang w:eastAsia="en-US"/>
              </w:rPr>
              <w:t>202</w:t>
            </w:r>
            <w:r w:rsidR="00985384">
              <w:rPr>
                <w:rFonts w:ascii="Arial" w:eastAsia="Calibri" w:hAnsi="Arial" w:cs="Arial"/>
                <w:sz w:val="16"/>
                <w:szCs w:val="16"/>
                <w:lang w:eastAsia="en-US"/>
              </w:rPr>
              <w:t>3</w:t>
            </w:r>
            <w:r w:rsidRPr="00FD292C">
              <w:rPr>
                <w:rFonts w:ascii="Arial" w:eastAsia="Calibri" w:hAnsi="Arial" w:cs="Arial"/>
                <w:sz w:val="16"/>
                <w:szCs w:val="16"/>
                <w:lang w:eastAsia="en-US"/>
              </w:rPr>
              <w:t>–2</w:t>
            </w:r>
            <w:r w:rsidR="00985384">
              <w:rPr>
                <w:rFonts w:ascii="Arial" w:eastAsia="Calibri" w:hAnsi="Arial" w:cs="Arial"/>
                <w:sz w:val="16"/>
                <w:szCs w:val="16"/>
                <w:lang w:eastAsia="en-US"/>
              </w:rPr>
              <w:t>4</w:t>
            </w:r>
            <w:r w:rsidRPr="00FD292C">
              <w:rPr>
                <w:rFonts w:eastAsia="Calibri" w:cs="Arial"/>
                <w:sz w:val="16"/>
                <w:szCs w:val="16"/>
                <w:lang w:eastAsia="en-US"/>
              </w:rPr>
              <w:t xml:space="preserve"> </w:t>
            </w:r>
          </w:p>
        </w:tc>
        <w:tc>
          <w:tcPr>
            <w:tcW w:w="3118" w:type="dxa"/>
            <w:tcBorders>
              <w:top w:val="single" w:sz="4" w:space="0" w:color="auto"/>
              <w:left w:val="single" w:sz="4" w:space="0" w:color="auto"/>
              <w:bottom w:val="single" w:sz="4" w:space="0" w:color="auto"/>
              <w:right w:val="single" w:sz="4" w:space="0" w:color="auto"/>
            </w:tcBorders>
          </w:tcPr>
          <w:p w14:paraId="2384F66E" w14:textId="35937FD7" w:rsidR="00115843" w:rsidRPr="00FD292C" w:rsidRDefault="00985384" w:rsidP="00FB0D02">
            <w:pPr>
              <w:spacing w:before="60" w:after="60" w:line="240" w:lineRule="auto"/>
              <w:rPr>
                <w:rFonts w:ascii="Arial" w:eastAsia="Calibri" w:hAnsi="Arial" w:cs="Arial"/>
                <w:i/>
                <w:sz w:val="16"/>
                <w:szCs w:val="16"/>
              </w:rPr>
            </w:pPr>
            <w:r w:rsidRPr="00985384">
              <w:rPr>
                <w:rFonts w:ascii="Arial" w:eastAsia="Calibri" w:hAnsi="Arial" w:cs="Arial"/>
                <w:sz w:val="16"/>
                <w:szCs w:val="16"/>
              </w:rPr>
              <w:t>Commonwealth legal and governance frameworks in Australia’s territories are appropriate for the protection and wellbeing of the communities, based on ongoing review of the distinct needs of each territory and implementation of appropriate law reforms</w:t>
            </w:r>
          </w:p>
        </w:tc>
        <w:tc>
          <w:tcPr>
            <w:tcW w:w="3261" w:type="dxa"/>
            <w:tcBorders>
              <w:top w:val="single" w:sz="4" w:space="0" w:color="auto"/>
              <w:left w:val="single" w:sz="4" w:space="0" w:color="auto"/>
              <w:bottom w:val="single" w:sz="4" w:space="0" w:color="auto"/>
            </w:tcBorders>
          </w:tcPr>
          <w:p w14:paraId="3EEEA603" w14:textId="6E6DCB06" w:rsidR="00115843" w:rsidRPr="00FD292C" w:rsidRDefault="00985384" w:rsidP="00FB0D02">
            <w:pPr>
              <w:pStyle w:val="TableTextBase"/>
              <w:rPr>
                <w:rFonts w:eastAsia="Calibri" w:cs="Arial"/>
                <w:sz w:val="16"/>
                <w:szCs w:val="16"/>
                <w:lang w:eastAsia="en-US"/>
              </w:rPr>
            </w:pPr>
            <w:r w:rsidRPr="00985384">
              <w:rPr>
                <w:rFonts w:eastAsia="Calibri" w:cs="Arial"/>
                <w:sz w:val="16"/>
                <w:szCs w:val="16"/>
                <w:lang w:eastAsia="en-US"/>
              </w:rPr>
              <w:t>Legal and governance frameworks are updated and improved in the financial year with territory-specific modifications as necessary.</w:t>
            </w:r>
          </w:p>
        </w:tc>
      </w:tr>
      <w:tr w:rsidR="00115843" w:rsidRPr="001063C8" w14:paraId="2538DF15" w14:textId="77777777" w:rsidTr="00FB0D02">
        <w:trPr>
          <w:cantSplit/>
          <w:trHeight w:val="642"/>
        </w:trPr>
        <w:tc>
          <w:tcPr>
            <w:tcW w:w="1276" w:type="dxa"/>
            <w:tcBorders>
              <w:top w:val="nil"/>
              <w:bottom w:val="single" w:sz="4" w:space="0" w:color="auto"/>
              <w:right w:val="single" w:sz="4" w:space="0" w:color="auto"/>
            </w:tcBorders>
          </w:tcPr>
          <w:p w14:paraId="5E54F5F3" w14:textId="77777777" w:rsidR="00115843" w:rsidRPr="00FD292C" w:rsidRDefault="00115843" w:rsidP="00FB0D02">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0E4C98AB" w14:textId="6B9DEEFE" w:rsidR="00985384" w:rsidRPr="00985384" w:rsidRDefault="00985384" w:rsidP="001066C8">
            <w:pPr>
              <w:pStyle w:val="TableTextBase"/>
              <w:spacing w:after="120"/>
              <w:rPr>
                <w:rFonts w:eastAsia="Calibri" w:cs="Arial"/>
                <w:sz w:val="16"/>
                <w:szCs w:val="16"/>
                <w:lang w:eastAsia="en-US"/>
              </w:rPr>
            </w:pPr>
            <w:r w:rsidRPr="00985384">
              <w:rPr>
                <w:rFonts w:eastAsia="Calibri" w:cs="Arial"/>
                <w:sz w:val="16"/>
                <w:szCs w:val="16"/>
                <w:lang w:eastAsia="en-US"/>
              </w:rPr>
              <w:t>Communities in the external territories and Jervis Bay Territory have services and essential infrastructure comparable to mainland Australia</w:t>
            </w:r>
          </w:p>
          <w:p w14:paraId="2B899F9B" w14:textId="77777777" w:rsidR="00985384" w:rsidRPr="00985384" w:rsidRDefault="00985384" w:rsidP="00985384">
            <w:pPr>
              <w:pStyle w:val="TableTextBase"/>
              <w:rPr>
                <w:rFonts w:eastAsia="Calibri" w:cs="Arial"/>
                <w:sz w:val="16"/>
                <w:szCs w:val="16"/>
                <w:lang w:eastAsia="en-US"/>
              </w:rPr>
            </w:pPr>
            <w:r w:rsidRPr="00985384">
              <w:rPr>
                <w:rFonts w:eastAsia="Calibri" w:cs="Arial"/>
                <w:sz w:val="16"/>
                <w:szCs w:val="16"/>
                <w:lang w:eastAsia="en-US"/>
              </w:rPr>
              <w:t>The Division is responsible for the provision of state services and infrastructure to the non-self-governing territories. The most significant state services are health and education. The Division has service delivery agreements in place for:</w:t>
            </w:r>
          </w:p>
          <w:p w14:paraId="59BCBBB9" w14:textId="77777777" w:rsidR="00985384" w:rsidRPr="00985384" w:rsidRDefault="00985384" w:rsidP="00977C28">
            <w:pPr>
              <w:pStyle w:val="TableTextBase"/>
              <w:numPr>
                <w:ilvl w:val="0"/>
                <w:numId w:val="166"/>
              </w:numPr>
              <w:ind w:left="322" w:hanging="283"/>
              <w:rPr>
                <w:rFonts w:eastAsia="Calibri" w:cs="Arial"/>
                <w:sz w:val="16"/>
                <w:szCs w:val="16"/>
                <w:lang w:eastAsia="en-US"/>
              </w:rPr>
            </w:pPr>
            <w:r w:rsidRPr="00985384">
              <w:rPr>
                <w:rFonts w:eastAsia="Calibri" w:cs="Arial"/>
                <w:sz w:val="16"/>
                <w:szCs w:val="16"/>
                <w:lang w:eastAsia="en-US"/>
              </w:rPr>
              <w:t>Health and education services to be provided to the Indian Ocean Territories by the WA Government;</w:t>
            </w:r>
          </w:p>
          <w:p w14:paraId="387A8DD0" w14:textId="77777777" w:rsidR="00985384" w:rsidRPr="00985384" w:rsidRDefault="00985384" w:rsidP="00977C28">
            <w:pPr>
              <w:pStyle w:val="TableTextBase"/>
              <w:numPr>
                <w:ilvl w:val="0"/>
                <w:numId w:val="166"/>
              </w:numPr>
              <w:ind w:left="322" w:hanging="283"/>
              <w:rPr>
                <w:rFonts w:eastAsia="Calibri" w:cs="Arial"/>
                <w:sz w:val="16"/>
                <w:szCs w:val="16"/>
                <w:lang w:eastAsia="en-US"/>
              </w:rPr>
            </w:pPr>
            <w:r w:rsidRPr="00985384">
              <w:rPr>
                <w:rFonts w:eastAsia="Calibri" w:cs="Arial"/>
                <w:sz w:val="16"/>
                <w:szCs w:val="16"/>
                <w:lang w:eastAsia="en-US"/>
              </w:rPr>
              <w:t>Health and education services to be provided to Norfolk Island by the QLD Government; and</w:t>
            </w:r>
          </w:p>
          <w:p w14:paraId="509F23BA" w14:textId="01594550" w:rsidR="00985384" w:rsidRPr="00985384" w:rsidRDefault="00985384" w:rsidP="00977C28">
            <w:pPr>
              <w:pStyle w:val="TableTextBase"/>
              <w:numPr>
                <w:ilvl w:val="0"/>
                <w:numId w:val="166"/>
              </w:numPr>
              <w:ind w:left="322" w:hanging="283"/>
              <w:rPr>
                <w:rFonts w:eastAsia="Calibri" w:cs="Arial"/>
                <w:sz w:val="16"/>
                <w:szCs w:val="16"/>
                <w:lang w:eastAsia="en-US"/>
              </w:rPr>
            </w:pPr>
            <w:r w:rsidRPr="00985384">
              <w:rPr>
                <w:rFonts w:eastAsia="Calibri" w:cs="Arial"/>
                <w:sz w:val="16"/>
                <w:szCs w:val="16"/>
                <w:lang w:eastAsia="en-US"/>
              </w:rPr>
              <w:t>Education services to be provided to the Jervis Bay Territory by the ACT Government</w:t>
            </w:r>
          </w:p>
          <w:p w14:paraId="7C6C414B" w14:textId="30E1E930" w:rsidR="00115843" w:rsidRPr="00FD292C" w:rsidRDefault="00985384" w:rsidP="00985384">
            <w:pPr>
              <w:pStyle w:val="TableTextBase"/>
              <w:rPr>
                <w:sz w:val="16"/>
                <w:szCs w:val="16"/>
              </w:rPr>
            </w:pPr>
            <w:r w:rsidRPr="00985384">
              <w:rPr>
                <w:rFonts w:eastAsia="Calibri" w:cs="Arial"/>
                <w:sz w:val="16"/>
                <w:szCs w:val="16"/>
                <w:lang w:eastAsia="en-US"/>
              </w:rPr>
              <w:t>The Division owns, maintains and replaces assets and infrastructure valued at $2.4 billion in the non-self-governing territories. Annual funding is allocated to repairing or replacing assets at the highest risk of failing and causing injury or disrupting services</w:t>
            </w:r>
          </w:p>
        </w:tc>
        <w:tc>
          <w:tcPr>
            <w:tcW w:w="3261" w:type="dxa"/>
            <w:tcBorders>
              <w:top w:val="single" w:sz="4" w:space="0" w:color="auto"/>
              <w:left w:val="single" w:sz="4" w:space="0" w:color="auto"/>
              <w:bottom w:val="single" w:sz="4" w:space="0" w:color="auto"/>
            </w:tcBorders>
          </w:tcPr>
          <w:p w14:paraId="6011C82A" w14:textId="2F71E8D6" w:rsidR="00115843" w:rsidRPr="00FD292C" w:rsidRDefault="00985384" w:rsidP="00FB0D02">
            <w:pPr>
              <w:pStyle w:val="TableTextBase"/>
              <w:rPr>
                <w:rFonts w:eastAsia="Calibri" w:cs="Arial"/>
                <w:sz w:val="16"/>
                <w:szCs w:val="16"/>
                <w:lang w:eastAsia="en-US"/>
              </w:rPr>
            </w:pPr>
            <w:r w:rsidRPr="00985384">
              <w:rPr>
                <w:rFonts w:eastAsia="Calibri" w:cs="Arial"/>
                <w:sz w:val="16"/>
                <w:szCs w:val="16"/>
                <w:lang w:eastAsia="en-US"/>
              </w:rPr>
              <w:t>Service delivery arrangements and contracts in financial year deliver services and essential infrastructure comparable to mainland Australia.</w:t>
            </w:r>
          </w:p>
        </w:tc>
      </w:tr>
      <w:tr w:rsidR="00115843" w:rsidRPr="00196B69" w:rsidDel="008E1A6E" w14:paraId="1CA2B7AB" w14:textId="77777777" w:rsidTr="00985384">
        <w:trPr>
          <w:cantSplit/>
          <w:trHeight w:val="367"/>
        </w:trPr>
        <w:tc>
          <w:tcPr>
            <w:tcW w:w="1276" w:type="dxa"/>
            <w:tcBorders>
              <w:top w:val="single" w:sz="4" w:space="0" w:color="auto"/>
              <w:right w:val="single" w:sz="4" w:space="0" w:color="auto"/>
            </w:tcBorders>
          </w:tcPr>
          <w:p w14:paraId="11D2EAB8" w14:textId="085FB31E" w:rsidR="00115843" w:rsidRPr="00FD292C" w:rsidRDefault="00115843" w:rsidP="00FB0D02">
            <w:pPr>
              <w:pStyle w:val="TableTextBase"/>
              <w:rPr>
                <w:sz w:val="16"/>
                <w:szCs w:val="16"/>
              </w:rPr>
            </w:pPr>
            <w:r w:rsidRPr="00FD292C">
              <w:rPr>
                <w:rFonts w:eastAsia="Calibri" w:cs="Arial"/>
                <w:sz w:val="16"/>
                <w:szCs w:val="16"/>
              </w:rPr>
              <w:t>Forward Estimates</w:t>
            </w:r>
            <w:r w:rsidRPr="00FD292C">
              <w:rPr>
                <w:rFonts w:eastAsia="Calibri" w:cs="Arial"/>
                <w:sz w:val="16"/>
                <w:szCs w:val="16"/>
              </w:rPr>
              <w:br/>
              <w:t>202</w:t>
            </w:r>
            <w:r w:rsidR="00985384">
              <w:rPr>
                <w:rFonts w:eastAsia="Calibri" w:cs="Arial"/>
                <w:sz w:val="16"/>
                <w:szCs w:val="16"/>
              </w:rPr>
              <w:t>4</w:t>
            </w:r>
            <w:r w:rsidRPr="00FD292C">
              <w:rPr>
                <w:rFonts w:eastAsia="Calibri" w:cs="Arial"/>
                <w:sz w:val="16"/>
                <w:szCs w:val="16"/>
              </w:rPr>
              <w:t>–2</w:t>
            </w:r>
            <w:r w:rsidR="00985384">
              <w:rPr>
                <w:rFonts w:eastAsia="Calibri" w:cs="Arial"/>
                <w:sz w:val="16"/>
                <w:szCs w:val="16"/>
              </w:rPr>
              <w:t>7</w:t>
            </w:r>
          </w:p>
        </w:tc>
        <w:tc>
          <w:tcPr>
            <w:tcW w:w="3118" w:type="dxa"/>
            <w:tcBorders>
              <w:top w:val="single" w:sz="4" w:space="0" w:color="auto"/>
              <w:left w:val="single" w:sz="4" w:space="0" w:color="auto"/>
              <w:bottom w:val="single" w:sz="4" w:space="0" w:color="auto"/>
              <w:right w:val="single" w:sz="4" w:space="0" w:color="auto"/>
            </w:tcBorders>
          </w:tcPr>
          <w:p w14:paraId="63835043" w14:textId="76A8654F" w:rsidR="00115843" w:rsidRPr="00FD292C" w:rsidRDefault="00985384" w:rsidP="00FB0D02">
            <w:pPr>
              <w:pStyle w:val="TableTextBase"/>
              <w:rPr>
                <w:rFonts w:eastAsia="Calibri" w:cs="Arial"/>
                <w:sz w:val="16"/>
                <w:szCs w:val="16"/>
                <w:lang w:eastAsia="en-US"/>
              </w:rPr>
            </w:pPr>
            <w:r w:rsidRPr="00985384">
              <w:rPr>
                <w:rFonts w:eastAsia="Calibri" w:cs="Arial"/>
                <w:sz w:val="16"/>
                <w:szCs w:val="16"/>
              </w:rPr>
              <w:t>As per 2023–24</w:t>
            </w:r>
          </w:p>
        </w:tc>
        <w:tc>
          <w:tcPr>
            <w:tcW w:w="3261" w:type="dxa"/>
            <w:tcBorders>
              <w:top w:val="single" w:sz="4" w:space="0" w:color="auto"/>
              <w:left w:val="single" w:sz="4" w:space="0" w:color="auto"/>
              <w:bottom w:val="single" w:sz="4" w:space="0" w:color="auto"/>
            </w:tcBorders>
          </w:tcPr>
          <w:p w14:paraId="3FAAF5C1" w14:textId="5FE67A44" w:rsidR="00115843" w:rsidRPr="00FD292C" w:rsidDel="008E1A6E" w:rsidRDefault="00985384" w:rsidP="00FB0D02">
            <w:pPr>
              <w:pStyle w:val="TableTextBase"/>
              <w:rPr>
                <w:rFonts w:eastAsia="Calibri" w:cs="Arial"/>
                <w:b/>
                <w:sz w:val="16"/>
                <w:szCs w:val="16"/>
                <w:lang w:eastAsia="en-US"/>
              </w:rPr>
            </w:pPr>
            <w:r w:rsidRPr="00985384">
              <w:rPr>
                <w:rFonts w:eastAsia="Calibri" w:cs="Arial"/>
                <w:sz w:val="16"/>
                <w:szCs w:val="16"/>
                <w:lang w:eastAsia="en-US"/>
              </w:rPr>
              <w:t>As per 2023–24.</w:t>
            </w:r>
          </w:p>
        </w:tc>
      </w:tr>
    </w:tbl>
    <w:p w14:paraId="07B1058E" w14:textId="5F427853" w:rsidR="00557DDF" w:rsidRPr="00557DDF" w:rsidRDefault="00557DDF" w:rsidP="00557DDF">
      <w:pPr>
        <w:spacing w:before="60" w:after="0" w:line="240" w:lineRule="auto"/>
        <w:ind w:right="55"/>
        <w:rPr>
          <w:rFonts w:ascii="Arial" w:hAnsi="Arial" w:cs="Arial"/>
          <w:sz w:val="16"/>
        </w:rPr>
      </w:pPr>
      <w:r w:rsidRPr="004E26ED">
        <w:rPr>
          <w:rFonts w:ascii="Arial" w:hAnsi="Arial" w:cs="Arial"/>
          <w:color w:val="000000"/>
          <w:sz w:val="16"/>
          <w:szCs w:val="16"/>
        </w:rPr>
        <w:t xml:space="preserve">The </w:t>
      </w:r>
      <w:r w:rsidR="00E17F15">
        <w:rPr>
          <w:rFonts w:ascii="Arial" w:hAnsi="Arial" w:cs="Arial"/>
          <w:color w:val="000000"/>
          <w:sz w:val="16"/>
          <w:szCs w:val="16"/>
        </w:rPr>
        <w:t>Department</w:t>
      </w:r>
      <w:r w:rsidRPr="004E26ED">
        <w:rPr>
          <w:rFonts w:ascii="Arial" w:hAnsi="Arial" w:cs="Arial"/>
          <w:color w:val="000000"/>
          <w:sz w:val="16"/>
          <w:szCs w:val="16"/>
        </w:rPr>
        <w:t xml:space="preserve"> has undertaken a suite of assessment and assurance activities regarding performance measures since </w:t>
      </w:r>
      <w:r w:rsidRPr="00557DDF">
        <w:rPr>
          <w:rFonts w:ascii="Arial" w:hAnsi="Arial" w:cs="Arial"/>
          <w:color w:val="000000"/>
          <w:sz w:val="16"/>
          <w:szCs w:val="16"/>
        </w:rPr>
        <w:t>the 2022</w:t>
      </w:r>
      <w:r w:rsidRPr="00557DDF">
        <w:rPr>
          <w:rFonts w:ascii="Arial" w:hAnsi="Arial" w:cs="Arial"/>
          <w:sz w:val="16"/>
          <w:szCs w:val="16"/>
        </w:rPr>
        <w:t>–</w:t>
      </w:r>
      <w:r w:rsidRPr="00557DDF">
        <w:rPr>
          <w:rFonts w:ascii="Arial" w:hAnsi="Arial" w:cs="Arial"/>
          <w:color w:val="000000"/>
          <w:sz w:val="16"/>
          <w:szCs w:val="16"/>
        </w:rPr>
        <w:t>23 Budget. As a result, a number of measures have been added, removed, or amended in the 2023</w:t>
      </w:r>
      <w:r w:rsidRPr="00557DDF">
        <w:rPr>
          <w:rFonts w:ascii="Arial" w:hAnsi="Arial" w:cs="Arial"/>
          <w:sz w:val="16"/>
          <w:szCs w:val="16"/>
        </w:rPr>
        <w:t>–</w:t>
      </w:r>
      <w:r w:rsidRPr="00557DDF">
        <w:rPr>
          <w:rFonts w:ascii="Arial" w:hAnsi="Arial" w:cs="Arial"/>
          <w:color w:val="000000"/>
          <w:sz w:val="16"/>
          <w:szCs w:val="16"/>
        </w:rPr>
        <w:t>24 Portfolio</w:t>
      </w:r>
      <w:r w:rsidRPr="004E26ED">
        <w:rPr>
          <w:rFonts w:ascii="Arial" w:hAnsi="Arial" w:cs="Arial"/>
          <w:color w:val="000000"/>
          <w:sz w:val="16"/>
          <w:szCs w:val="16"/>
        </w:rPr>
        <w:t xml:space="preserve"> Budget Statements. Further details will be provided in the </w:t>
      </w:r>
      <w:r w:rsidR="0000369A">
        <w:rPr>
          <w:rFonts w:ascii="Arial" w:hAnsi="Arial" w:cs="Arial"/>
          <w:color w:val="000000"/>
          <w:sz w:val="16"/>
          <w:szCs w:val="16"/>
        </w:rPr>
        <w:t>Department’s</w:t>
      </w:r>
      <w:r w:rsidRPr="004E26ED">
        <w:rPr>
          <w:rFonts w:ascii="Arial" w:hAnsi="Arial" w:cs="Arial"/>
          <w:color w:val="000000"/>
          <w:sz w:val="16"/>
          <w:szCs w:val="16"/>
        </w:rPr>
        <w:t xml:space="preserve"> Corporate Plan 2023</w:t>
      </w:r>
      <w:r w:rsidRPr="00557DDF">
        <w:rPr>
          <w:rFonts w:ascii="Arial" w:hAnsi="Arial" w:cs="Arial"/>
          <w:sz w:val="16"/>
          <w:szCs w:val="16"/>
        </w:rPr>
        <w:t>–</w:t>
      </w:r>
      <w:r w:rsidRPr="004E26ED">
        <w:rPr>
          <w:rFonts w:ascii="Arial" w:hAnsi="Arial" w:cs="Arial"/>
          <w:color w:val="000000"/>
          <w:sz w:val="16"/>
          <w:szCs w:val="16"/>
        </w:rPr>
        <w:t>24.  </w:t>
      </w:r>
    </w:p>
    <w:p w14:paraId="71A1790D" w14:textId="5915B299" w:rsidR="00115843" w:rsidRDefault="00115843" w:rsidP="00115843">
      <w:pPr>
        <w:spacing w:after="0" w:line="240" w:lineRule="auto"/>
        <w:rPr>
          <w:rFonts w:ascii="Arial" w:hAnsi="Arial" w:cs="Arial"/>
          <w:sz w:val="16"/>
        </w:rPr>
      </w:pPr>
      <w:r>
        <w:rPr>
          <w:rFonts w:ascii="Arial" w:hAnsi="Arial" w:cs="Arial"/>
          <w:sz w:val="16"/>
        </w:rPr>
        <w:br w:type="page"/>
      </w:r>
    </w:p>
    <w:p w14:paraId="307189A0" w14:textId="77777777" w:rsidR="009D1D35" w:rsidRDefault="009D1D35" w:rsidP="00115843">
      <w:pPr>
        <w:spacing w:after="0" w:line="240" w:lineRule="auto"/>
        <w:rPr>
          <w:rFonts w:ascii="Arial" w:hAnsi="Arial" w:cs="Arial"/>
          <w:sz w:val="16"/>
        </w:rPr>
      </w:pPr>
    </w:p>
    <w:p w14:paraId="5AADC8FA" w14:textId="77777777" w:rsidR="00115843" w:rsidRPr="00C000B8" w:rsidRDefault="00115843" w:rsidP="00115843">
      <w:pPr>
        <w:pStyle w:val="Heading3-ITRDCA"/>
      </w:pPr>
      <w:bookmarkStart w:id="33" w:name="_Toc99295952"/>
      <w:bookmarkStart w:id="34" w:name="_Toc117242351"/>
      <w:r w:rsidRPr="00C000B8">
        <w:t xml:space="preserve">2.5 </w:t>
      </w:r>
      <w:r w:rsidRPr="00C000B8">
        <w:tab/>
        <w:t>Budgeted expenses and performance for Outcome 5</w:t>
      </w:r>
      <w:bookmarkEnd w:id="33"/>
      <w:bookmarkEnd w:id="34"/>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7"/>
      </w:tblGrid>
      <w:tr w:rsidR="00115843" w:rsidRPr="00FC696C" w14:paraId="2FD989DB" w14:textId="77777777" w:rsidTr="00D6413D">
        <w:tc>
          <w:tcPr>
            <w:tcW w:w="7707" w:type="dxa"/>
            <w:shd w:val="clear" w:color="auto" w:fill="E6E6E6"/>
          </w:tcPr>
          <w:p w14:paraId="58041654" w14:textId="77777777" w:rsidR="00115843" w:rsidRPr="00CD1CF1" w:rsidRDefault="00115843" w:rsidP="00FB0D02">
            <w:pPr>
              <w:spacing w:before="60" w:after="60" w:line="240" w:lineRule="auto"/>
              <w:rPr>
                <w:rFonts w:ascii="Arial" w:hAnsi="Arial"/>
                <w:b/>
              </w:rPr>
            </w:pPr>
            <w:r w:rsidRPr="00CD1CF1">
              <w:rPr>
                <w:rFonts w:ascii="Arial" w:hAnsi="Arial"/>
                <w:b/>
              </w:rPr>
              <w:t>Outcome 5: Promote an innovative and competitive communications sector, through policy development, advice and program delivery, so all Australians can realise the full potential of digital technologies and communications services</w:t>
            </w:r>
          </w:p>
        </w:tc>
      </w:tr>
    </w:tbl>
    <w:p w14:paraId="478A5B45" w14:textId="77777777" w:rsidR="00115843" w:rsidRDefault="00115843" w:rsidP="00985384">
      <w:pPr>
        <w:pStyle w:val="Heading4"/>
        <w:spacing w:before="120"/>
      </w:pPr>
      <w:r w:rsidRPr="005E6F2B">
        <w:t xml:space="preserve">Linked programs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78"/>
      </w:tblGrid>
      <w:tr w:rsidR="00115843" w:rsidRPr="0049250C" w14:paraId="170B75CC" w14:textId="77777777" w:rsidTr="00D6413D">
        <w:trPr>
          <w:trHeight w:val="113"/>
          <w:tblHeader/>
        </w:trPr>
        <w:tc>
          <w:tcPr>
            <w:tcW w:w="7678" w:type="dxa"/>
            <w:tcBorders>
              <w:bottom w:val="nil"/>
            </w:tcBorders>
          </w:tcPr>
          <w:p w14:paraId="21DC2F33" w14:textId="77777777" w:rsidR="00115843" w:rsidRPr="0049250C" w:rsidRDefault="00115843" w:rsidP="00FB0D02">
            <w:pPr>
              <w:spacing w:before="60" w:after="60" w:line="240" w:lineRule="auto"/>
              <w:rPr>
                <w:i/>
              </w:rPr>
            </w:pPr>
            <w:r w:rsidRPr="0049250C">
              <w:rPr>
                <w:b/>
              </w:rPr>
              <w:t>Australian Communications and Media Authority (ACMA)</w:t>
            </w:r>
          </w:p>
        </w:tc>
      </w:tr>
      <w:tr w:rsidR="00115843" w:rsidRPr="0049250C" w14:paraId="52126196" w14:textId="77777777" w:rsidTr="00D6413D">
        <w:trPr>
          <w:trHeight w:val="113"/>
        </w:trPr>
        <w:tc>
          <w:tcPr>
            <w:tcW w:w="7678" w:type="dxa"/>
            <w:tcBorders>
              <w:top w:val="nil"/>
              <w:bottom w:val="single" w:sz="4" w:space="0" w:color="auto"/>
            </w:tcBorders>
          </w:tcPr>
          <w:p w14:paraId="2DB2C46A" w14:textId="77777777" w:rsidR="00115843" w:rsidRPr="0049250C" w:rsidRDefault="00115843" w:rsidP="00FB0D02">
            <w:pPr>
              <w:spacing w:before="60" w:after="60" w:line="240" w:lineRule="auto"/>
              <w:rPr>
                <w:b/>
              </w:rPr>
            </w:pPr>
            <w:r w:rsidRPr="0049250C">
              <w:rPr>
                <w:b/>
              </w:rPr>
              <w:t>Programs</w:t>
            </w:r>
          </w:p>
          <w:p w14:paraId="2CBDC058" w14:textId="77777777" w:rsidR="00047A4C" w:rsidRDefault="00047A4C" w:rsidP="00977C28">
            <w:pPr>
              <w:numPr>
                <w:ilvl w:val="0"/>
                <w:numId w:val="53"/>
              </w:numPr>
              <w:spacing w:before="60" w:after="60" w:line="240" w:lineRule="auto"/>
              <w:ind w:left="714" w:hanging="357"/>
            </w:pPr>
            <w:r>
              <w:t>Program 1.1 – Communications regulation, planning and licensing</w:t>
            </w:r>
          </w:p>
          <w:p w14:paraId="0688B0A3" w14:textId="77777777" w:rsidR="00047A4C" w:rsidRDefault="00047A4C" w:rsidP="00977C28">
            <w:pPr>
              <w:numPr>
                <w:ilvl w:val="0"/>
                <w:numId w:val="53"/>
              </w:numPr>
              <w:spacing w:before="60" w:after="60" w:line="240" w:lineRule="auto"/>
              <w:ind w:left="714" w:hanging="357"/>
            </w:pPr>
            <w:r>
              <w:t>Program 1.2 – Consumer safeguards, education and information</w:t>
            </w:r>
          </w:p>
          <w:p w14:paraId="44ED0753" w14:textId="77777777" w:rsidR="00047A4C" w:rsidRDefault="00047A4C" w:rsidP="00047A4C">
            <w:pPr>
              <w:spacing w:before="60" w:after="60" w:line="240" w:lineRule="auto"/>
              <w:rPr>
                <w:b/>
              </w:rPr>
            </w:pPr>
            <w:r>
              <w:rPr>
                <w:b/>
              </w:rPr>
              <w:t xml:space="preserve">Contribution to Outcome </w:t>
            </w:r>
            <w:r>
              <w:rPr>
                <w:b/>
                <w:lang w:val="en-US"/>
              </w:rPr>
              <w:t>5</w:t>
            </w:r>
            <w:r>
              <w:rPr>
                <w:b/>
              </w:rPr>
              <w:t xml:space="preserve"> made by linked programs</w:t>
            </w:r>
          </w:p>
          <w:p w14:paraId="4AB66375" w14:textId="543ED823" w:rsidR="00115843" w:rsidRPr="0049250C" w:rsidRDefault="00047A4C" w:rsidP="00047A4C">
            <w:pPr>
              <w:spacing w:before="60" w:after="60" w:line="240" w:lineRule="auto"/>
            </w:pPr>
            <w:r>
              <w:t xml:space="preserve">As the regulator of the media and communications sector, the ACMA is responsible for enforcing compliance with the Universal Service Obligation (USO) and emergency call services requirements under the </w:t>
            </w:r>
            <w:r>
              <w:rPr>
                <w:i/>
              </w:rPr>
              <w:t>Telecommunications (Industry Levy) Act 2012</w:t>
            </w:r>
            <w:r>
              <w:t xml:space="preserve">, recouping costs of the Consumer Representation Grants Program allocated to the Australian Communications Consumer Action Network (ACCAN) under section 593 of the </w:t>
            </w:r>
            <w:r>
              <w:rPr>
                <w:i/>
              </w:rPr>
              <w:t>Telecommunications Act 1997</w:t>
            </w:r>
            <w:r>
              <w:t xml:space="preserve"> and costs related to the management of Australia’s membership and engagement with the International Telecommunications Union (ITU), from licence carriers under the </w:t>
            </w:r>
            <w:r>
              <w:rPr>
                <w:i/>
              </w:rPr>
              <w:t>Telecommunications (Carrier Licence Charges) Act 1997</w:t>
            </w:r>
            <w:r>
              <w:t xml:space="preserve">. The ACMA is also responsible for administering the Regional Broadband Scheme under the </w:t>
            </w:r>
            <w:r>
              <w:rPr>
                <w:i/>
              </w:rPr>
              <w:t>Telecommunications (Consumer Protection and Service Standards) Act 1999</w:t>
            </w:r>
            <w:r>
              <w:t>.</w:t>
            </w:r>
          </w:p>
        </w:tc>
      </w:tr>
      <w:tr w:rsidR="00115843" w:rsidRPr="0049250C" w14:paraId="151C2AF2" w14:textId="77777777" w:rsidTr="00D6413D">
        <w:trPr>
          <w:trHeight w:val="113"/>
        </w:trPr>
        <w:tc>
          <w:tcPr>
            <w:tcW w:w="7678" w:type="dxa"/>
            <w:tcBorders>
              <w:bottom w:val="nil"/>
            </w:tcBorders>
          </w:tcPr>
          <w:p w14:paraId="2636886B" w14:textId="77777777" w:rsidR="00115843" w:rsidRPr="0049250C" w:rsidRDefault="00115843" w:rsidP="00FB0D02">
            <w:pPr>
              <w:spacing w:before="60" w:after="60" w:line="240" w:lineRule="auto"/>
              <w:rPr>
                <w:i/>
              </w:rPr>
            </w:pPr>
            <w:r w:rsidRPr="0049250C">
              <w:rPr>
                <w:b/>
              </w:rPr>
              <w:t>The Treasury</w:t>
            </w:r>
          </w:p>
        </w:tc>
      </w:tr>
      <w:tr w:rsidR="00115843" w:rsidRPr="0049250C" w14:paraId="32094101" w14:textId="77777777" w:rsidTr="00D6413D">
        <w:trPr>
          <w:trHeight w:val="113"/>
        </w:trPr>
        <w:tc>
          <w:tcPr>
            <w:tcW w:w="7678" w:type="dxa"/>
            <w:tcBorders>
              <w:top w:val="nil"/>
              <w:bottom w:val="single" w:sz="4" w:space="0" w:color="auto"/>
            </w:tcBorders>
          </w:tcPr>
          <w:p w14:paraId="74A8309F" w14:textId="77777777" w:rsidR="00115843" w:rsidRPr="0049250C" w:rsidRDefault="00115843" w:rsidP="00FB0D02">
            <w:pPr>
              <w:spacing w:before="60" w:after="60" w:line="240" w:lineRule="auto"/>
              <w:rPr>
                <w:b/>
              </w:rPr>
            </w:pPr>
            <w:r w:rsidRPr="0049250C">
              <w:rPr>
                <w:b/>
              </w:rPr>
              <w:t>Programs</w:t>
            </w:r>
          </w:p>
          <w:p w14:paraId="75E8C6A6" w14:textId="77777777" w:rsidR="00047A4C" w:rsidRDefault="00047A4C" w:rsidP="00977C28">
            <w:pPr>
              <w:numPr>
                <w:ilvl w:val="0"/>
                <w:numId w:val="53"/>
              </w:numPr>
              <w:spacing w:before="60" w:after="60" w:line="240" w:lineRule="auto"/>
              <w:ind w:left="714" w:hanging="357"/>
            </w:pPr>
            <w:r>
              <w:t>Program 1.9 – National Partnership Payments to the States</w:t>
            </w:r>
          </w:p>
          <w:p w14:paraId="7E19CEE1" w14:textId="77777777" w:rsidR="00047A4C" w:rsidRDefault="00047A4C" w:rsidP="00047A4C">
            <w:pPr>
              <w:spacing w:before="60" w:after="60" w:line="240" w:lineRule="auto"/>
              <w:rPr>
                <w:b/>
              </w:rPr>
            </w:pPr>
            <w:r>
              <w:rPr>
                <w:b/>
              </w:rPr>
              <w:t xml:space="preserve">Contribution to Outcome </w:t>
            </w:r>
            <w:r>
              <w:rPr>
                <w:b/>
                <w:lang w:val="en-US"/>
              </w:rPr>
              <w:t>5</w:t>
            </w:r>
            <w:r>
              <w:rPr>
                <w:b/>
              </w:rPr>
              <w:t xml:space="preserve"> made by linked programs</w:t>
            </w:r>
          </w:p>
          <w:p w14:paraId="05DAB2C7" w14:textId="3F228241" w:rsidR="00115843" w:rsidRPr="0049250C" w:rsidRDefault="00047A4C" w:rsidP="00047A4C">
            <w:pPr>
              <w:spacing w:before="60" w:after="60" w:line="240" w:lineRule="auto"/>
            </w:pPr>
            <w:r>
              <w:t xml:space="preserve">The Government will make a National Partnership Payment to the New South Wales Government to provide the Government’s program for </w:t>
            </w:r>
            <w:proofErr w:type="spellStart"/>
            <w:r>
              <w:t>WiFi</w:t>
            </w:r>
            <w:proofErr w:type="spellEnd"/>
            <w:r>
              <w:t xml:space="preserve"> and mobile coverage on the rail corridor between Sydney and the Central Coast.</w:t>
            </w:r>
          </w:p>
        </w:tc>
      </w:tr>
    </w:tbl>
    <w:p w14:paraId="280F8C7F" w14:textId="77777777" w:rsidR="00115843" w:rsidRDefault="00115843" w:rsidP="00115843">
      <w:pPr>
        <w:spacing w:after="0" w:line="240" w:lineRule="auto"/>
        <w:rPr>
          <w:rFonts w:ascii="Arial" w:hAnsi="Arial" w:cs="Arial"/>
          <w:sz w:val="16"/>
        </w:rPr>
      </w:pPr>
      <w:r>
        <w:rPr>
          <w:rFonts w:ascii="Arial" w:hAnsi="Arial" w:cs="Arial"/>
          <w:sz w:val="16"/>
        </w:rPr>
        <w:br w:type="page"/>
      </w:r>
    </w:p>
    <w:p w14:paraId="778DA266" w14:textId="77777777" w:rsidR="00115843" w:rsidRPr="00111C4F" w:rsidRDefault="00115843" w:rsidP="00115843">
      <w:pPr>
        <w:pStyle w:val="Heading5"/>
        <w:rPr>
          <w:b/>
        </w:rPr>
      </w:pPr>
      <w:r w:rsidRPr="00111C4F">
        <w:rPr>
          <w:b/>
        </w:rPr>
        <w:lastRenderedPageBreak/>
        <w:t>Budgeted expenses for Outcome 5</w:t>
      </w:r>
    </w:p>
    <w:p w14:paraId="0F9C2116" w14:textId="77777777" w:rsidR="00115843" w:rsidRPr="001D5782" w:rsidRDefault="00115843" w:rsidP="00115843">
      <w:r w:rsidRPr="001D5782">
        <w:t>This table shows how much the Department intends to spend (on an accrual basis) on achieving the outcome, broken down by program, as well as by administered and departmental funding sources.</w:t>
      </w:r>
    </w:p>
    <w:p w14:paraId="73AE108C" w14:textId="77777777" w:rsidR="00115843" w:rsidRDefault="00115843" w:rsidP="00115843">
      <w:pPr>
        <w:pStyle w:val="TableHeading"/>
      </w:pPr>
      <w:r w:rsidRPr="00302493">
        <w:t>Table 2.</w:t>
      </w:r>
      <w:r>
        <w:t>5</w:t>
      </w:r>
      <w:r w:rsidRPr="00302493">
        <w:t xml:space="preserve">.1: Budgeted expenses for Outcome </w:t>
      </w:r>
      <w:r>
        <w:t>5</w:t>
      </w:r>
    </w:p>
    <w:tbl>
      <w:tblPr>
        <w:tblW w:w="5000" w:type="pct"/>
        <w:tblLook w:val="04A0" w:firstRow="1" w:lastRow="0" w:firstColumn="1" w:lastColumn="0" w:noHBand="0" w:noVBand="1"/>
      </w:tblPr>
      <w:tblGrid>
        <w:gridCol w:w="2838"/>
        <w:gridCol w:w="947"/>
        <w:gridCol w:w="945"/>
        <w:gridCol w:w="20"/>
        <w:gridCol w:w="928"/>
        <w:gridCol w:w="37"/>
        <w:gridCol w:w="911"/>
        <w:gridCol w:w="59"/>
        <w:gridCol w:w="942"/>
        <w:gridCol w:w="83"/>
      </w:tblGrid>
      <w:tr w:rsidR="00DC091E" w:rsidRPr="00DC091E" w14:paraId="5AAEE01E" w14:textId="77777777" w:rsidTr="00C75389">
        <w:trPr>
          <w:trHeight w:val="204"/>
        </w:trPr>
        <w:tc>
          <w:tcPr>
            <w:tcW w:w="1840" w:type="pct"/>
            <w:tcBorders>
              <w:top w:val="single" w:sz="4" w:space="0" w:color="auto"/>
              <w:left w:val="nil"/>
              <w:bottom w:val="nil"/>
              <w:right w:val="nil"/>
            </w:tcBorders>
            <w:shd w:val="clear" w:color="auto" w:fill="auto"/>
            <w:noWrap/>
            <w:vAlign w:val="bottom"/>
            <w:hideMark/>
          </w:tcPr>
          <w:p w14:paraId="4738A9C1" w14:textId="77777777" w:rsidR="00DC091E" w:rsidRPr="00DC091E" w:rsidRDefault="00DC091E" w:rsidP="00DC091E">
            <w:pPr>
              <w:spacing w:after="0" w:line="240" w:lineRule="auto"/>
              <w:rPr>
                <w:rFonts w:ascii="Arial" w:hAnsi="Arial" w:cs="Arial"/>
                <w:sz w:val="16"/>
                <w:szCs w:val="16"/>
              </w:rPr>
            </w:pPr>
            <w:r w:rsidRPr="00DC091E">
              <w:rPr>
                <w:rFonts w:ascii="Arial" w:hAnsi="Arial" w:cs="Arial"/>
                <w:sz w:val="16"/>
                <w:szCs w:val="16"/>
              </w:rPr>
              <w:t> </w:t>
            </w:r>
          </w:p>
        </w:tc>
        <w:tc>
          <w:tcPr>
            <w:tcW w:w="613" w:type="pct"/>
            <w:tcBorders>
              <w:top w:val="single" w:sz="4" w:space="0" w:color="auto"/>
              <w:left w:val="nil"/>
              <w:bottom w:val="nil"/>
              <w:right w:val="nil"/>
            </w:tcBorders>
            <w:shd w:val="clear" w:color="auto" w:fill="auto"/>
            <w:vAlign w:val="bottom"/>
            <w:hideMark/>
          </w:tcPr>
          <w:p w14:paraId="63D52C60"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2022-23</w:t>
            </w:r>
            <w:r w:rsidRPr="00DC091E">
              <w:rPr>
                <w:rFonts w:ascii="Arial" w:hAnsi="Arial" w:cs="Arial"/>
                <w:sz w:val="16"/>
                <w:szCs w:val="16"/>
              </w:rPr>
              <w:br/>
              <w:t>Estimated  actual</w:t>
            </w:r>
            <w:r w:rsidRPr="00DC091E">
              <w:rPr>
                <w:rFonts w:ascii="Arial" w:hAnsi="Arial" w:cs="Arial"/>
                <w:sz w:val="16"/>
                <w:szCs w:val="16"/>
              </w:rPr>
              <w:br/>
              <w:t>$'000</w:t>
            </w:r>
          </w:p>
        </w:tc>
        <w:tc>
          <w:tcPr>
            <w:tcW w:w="613" w:type="pct"/>
            <w:tcBorders>
              <w:top w:val="single" w:sz="4" w:space="0" w:color="auto"/>
              <w:left w:val="nil"/>
              <w:bottom w:val="nil"/>
              <w:right w:val="nil"/>
            </w:tcBorders>
            <w:shd w:val="clear" w:color="000000" w:fill="E6E6E6"/>
            <w:vAlign w:val="bottom"/>
            <w:hideMark/>
          </w:tcPr>
          <w:p w14:paraId="041441DC"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2023-24</w:t>
            </w:r>
            <w:r w:rsidRPr="00DC091E">
              <w:rPr>
                <w:rFonts w:ascii="Arial" w:hAnsi="Arial" w:cs="Arial"/>
                <w:sz w:val="16"/>
                <w:szCs w:val="16"/>
              </w:rPr>
              <w:br/>
              <w:t xml:space="preserve"> Budget</w:t>
            </w:r>
            <w:r w:rsidRPr="00DC091E">
              <w:rPr>
                <w:rFonts w:ascii="Arial" w:hAnsi="Arial" w:cs="Arial"/>
                <w:sz w:val="16"/>
                <w:szCs w:val="16"/>
              </w:rPr>
              <w:br/>
              <w:t xml:space="preserve">                                      $'000</w:t>
            </w:r>
          </w:p>
        </w:tc>
        <w:tc>
          <w:tcPr>
            <w:tcW w:w="614" w:type="pct"/>
            <w:gridSpan w:val="2"/>
            <w:tcBorders>
              <w:top w:val="single" w:sz="4" w:space="0" w:color="auto"/>
              <w:left w:val="nil"/>
              <w:bottom w:val="nil"/>
              <w:right w:val="nil"/>
            </w:tcBorders>
            <w:shd w:val="clear" w:color="auto" w:fill="auto"/>
            <w:vAlign w:val="bottom"/>
            <w:hideMark/>
          </w:tcPr>
          <w:p w14:paraId="182F4661"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2024-25</w:t>
            </w:r>
            <w:r w:rsidRPr="00DC091E">
              <w:rPr>
                <w:rFonts w:ascii="Arial" w:hAnsi="Arial" w:cs="Arial"/>
                <w:sz w:val="16"/>
                <w:szCs w:val="16"/>
              </w:rPr>
              <w:br/>
              <w:t>Forward estimate</w:t>
            </w:r>
            <w:r w:rsidRPr="00DC091E">
              <w:rPr>
                <w:rFonts w:ascii="Arial" w:hAnsi="Arial" w:cs="Arial"/>
                <w:sz w:val="16"/>
                <w:szCs w:val="16"/>
              </w:rPr>
              <w:br/>
              <w:t>$'000</w:t>
            </w:r>
          </w:p>
        </w:tc>
        <w:tc>
          <w:tcPr>
            <w:tcW w:w="615" w:type="pct"/>
            <w:gridSpan w:val="2"/>
            <w:tcBorders>
              <w:top w:val="single" w:sz="4" w:space="0" w:color="auto"/>
              <w:left w:val="nil"/>
              <w:bottom w:val="nil"/>
              <w:right w:val="nil"/>
            </w:tcBorders>
            <w:shd w:val="clear" w:color="auto" w:fill="auto"/>
            <w:vAlign w:val="bottom"/>
            <w:hideMark/>
          </w:tcPr>
          <w:p w14:paraId="68ABA637"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2025-26</w:t>
            </w:r>
            <w:r w:rsidRPr="00DC091E">
              <w:rPr>
                <w:rFonts w:ascii="Arial" w:hAnsi="Arial" w:cs="Arial"/>
                <w:sz w:val="16"/>
                <w:szCs w:val="16"/>
              </w:rPr>
              <w:br/>
              <w:t>Forward estimate</w:t>
            </w:r>
            <w:r w:rsidRPr="00DC091E">
              <w:rPr>
                <w:rFonts w:ascii="Arial" w:hAnsi="Arial" w:cs="Arial"/>
                <w:sz w:val="16"/>
                <w:szCs w:val="16"/>
              </w:rPr>
              <w:br/>
              <w:t>$'000</w:t>
            </w:r>
          </w:p>
        </w:tc>
        <w:tc>
          <w:tcPr>
            <w:tcW w:w="704" w:type="pct"/>
            <w:gridSpan w:val="3"/>
            <w:tcBorders>
              <w:top w:val="single" w:sz="4" w:space="0" w:color="auto"/>
              <w:left w:val="nil"/>
              <w:bottom w:val="nil"/>
              <w:right w:val="nil"/>
            </w:tcBorders>
            <w:shd w:val="clear" w:color="auto" w:fill="auto"/>
            <w:vAlign w:val="bottom"/>
            <w:hideMark/>
          </w:tcPr>
          <w:p w14:paraId="1C1487EA"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2026-27</w:t>
            </w:r>
            <w:r w:rsidRPr="00DC091E">
              <w:rPr>
                <w:rFonts w:ascii="Arial" w:hAnsi="Arial" w:cs="Arial"/>
                <w:sz w:val="16"/>
                <w:szCs w:val="16"/>
              </w:rPr>
              <w:br/>
              <w:t>Forward estimate</w:t>
            </w:r>
            <w:r w:rsidRPr="00DC091E">
              <w:rPr>
                <w:rFonts w:ascii="Arial" w:hAnsi="Arial" w:cs="Arial"/>
                <w:sz w:val="16"/>
                <w:szCs w:val="16"/>
              </w:rPr>
              <w:br/>
              <w:t>$'000</w:t>
            </w:r>
          </w:p>
        </w:tc>
      </w:tr>
      <w:tr w:rsidR="00DC091E" w:rsidRPr="00DC091E" w14:paraId="0B8171EE" w14:textId="77777777" w:rsidTr="00C75389">
        <w:trPr>
          <w:trHeight w:val="204"/>
        </w:trPr>
        <w:tc>
          <w:tcPr>
            <w:tcW w:w="3682" w:type="pct"/>
            <w:gridSpan w:val="5"/>
            <w:tcBorders>
              <w:top w:val="single" w:sz="4" w:space="0" w:color="auto"/>
              <w:left w:val="nil"/>
              <w:bottom w:val="single" w:sz="4" w:space="0" w:color="auto"/>
              <w:right w:val="nil"/>
            </w:tcBorders>
            <w:shd w:val="clear" w:color="000000" w:fill="E6E6E6"/>
            <w:noWrap/>
            <w:vAlign w:val="bottom"/>
            <w:hideMark/>
          </w:tcPr>
          <w:p w14:paraId="01D8BD03" w14:textId="77777777" w:rsidR="00DC091E" w:rsidRPr="00DC091E" w:rsidRDefault="00DC091E" w:rsidP="00DC091E">
            <w:pPr>
              <w:spacing w:after="0" w:line="240" w:lineRule="auto"/>
              <w:rPr>
                <w:rFonts w:ascii="Arial" w:hAnsi="Arial" w:cs="Arial"/>
                <w:b/>
                <w:bCs/>
                <w:sz w:val="16"/>
                <w:szCs w:val="16"/>
              </w:rPr>
            </w:pPr>
            <w:r w:rsidRPr="00DC091E">
              <w:rPr>
                <w:rFonts w:ascii="Arial" w:hAnsi="Arial" w:cs="Arial"/>
                <w:b/>
                <w:bCs/>
                <w:sz w:val="16"/>
                <w:szCs w:val="16"/>
              </w:rPr>
              <w:t>Program 5.1: Digital Technologies and Communications Services</w:t>
            </w:r>
          </w:p>
        </w:tc>
        <w:tc>
          <w:tcPr>
            <w:tcW w:w="615" w:type="pct"/>
            <w:gridSpan w:val="2"/>
            <w:tcBorders>
              <w:top w:val="single" w:sz="4" w:space="0" w:color="auto"/>
              <w:left w:val="nil"/>
              <w:bottom w:val="single" w:sz="4" w:space="0" w:color="auto"/>
              <w:right w:val="nil"/>
            </w:tcBorders>
            <w:shd w:val="clear" w:color="000000" w:fill="E6E6E6"/>
            <w:noWrap/>
            <w:vAlign w:val="bottom"/>
            <w:hideMark/>
          </w:tcPr>
          <w:p w14:paraId="72D7D4F5" w14:textId="77777777" w:rsidR="00DC091E" w:rsidRPr="00DC091E" w:rsidRDefault="00DC091E" w:rsidP="00DC091E">
            <w:pPr>
              <w:spacing w:after="0" w:line="240" w:lineRule="auto"/>
              <w:rPr>
                <w:rFonts w:ascii="Arial" w:hAnsi="Arial" w:cs="Arial"/>
                <w:sz w:val="16"/>
                <w:szCs w:val="16"/>
              </w:rPr>
            </w:pPr>
            <w:r w:rsidRPr="00DC091E">
              <w:rPr>
                <w:rFonts w:ascii="Arial" w:hAnsi="Arial" w:cs="Arial"/>
                <w:sz w:val="16"/>
                <w:szCs w:val="16"/>
              </w:rPr>
              <w:t> </w:t>
            </w:r>
          </w:p>
        </w:tc>
        <w:tc>
          <w:tcPr>
            <w:tcW w:w="704" w:type="pct"/>
            <w:gridSpan w:val="3"/>
            <w:tcBorders>
              <w:top w:val="single" w:sz="4" w:space="0" w:color="auto"/>
              <w:left w:val="nil"/>
              <w:bottom w:val="single" w:sz="4" w:space="0" w:color="auto"/>
              <w:right w:val="nil"/>
            </w:tcBorders>
            <w:shd w:val="clear" w:color="000000" w:fill="E6E6E6"/>
            <w:noWrap/>
            <w:vAlign w:val="bottom"/>
            <w:hideMark/>
          </w:tcPr>
          <w:p w14:paraId="5D11B609" w14:textId="77777777" w:rsidR="00DC091E" w:rsidRPr="00DC091E" w:rsidRDefault="00DC091E" w:rsidP="00DC091E">
            <w:pPr>
              <w:spacing w:after="0" w:line="240" w:lineRule="auto"/>
              <w:rPr>
                <w:rFonts w:ascii="Arial" w:hAnsi="Arial" w:cs="Arial"/>
                <w:sz w:val="16"/>
                <w:szCs w:val="16"/>
              </w:rPr>
            </w:pPr>
            <w:r w:rsidRPr="00DC091E">
              <w:rPr>
                <w:rFonts w:ascii="Arial" w:hAnsi="Arial" w:cs="Arial"/>
                <w:sz w:val="16"/>
                <w:szCs w:val="16"/>
              </w:rPr>
              <w:t> </w:t>
            </w:r>
          </w:p>
        </w:tc>
      </w:tr>
      <w:tr w:rsidR="00DC091E" w:rsidRPr="00DC091E" w14:paraId="31062C64" w14:textId="77777777" w:rsidTr="00C75389">
        <w:trPr>
          <w:trHeight w:val="204"/>
        </w:trPr>
        <w:tc>
          <w:tcPr>
            <w:tcW w:w="1840" w:type="pct"/>
            <w:tcBorders>
              <w:top w:val="nil"/>
              <w:left w:val="nil"/>
              <w:bottom w:val="nil"/>
              <w:right w:val="nil"/>
            </w:tcBorders>
            <w:shd w:val="clear" w:color="auto" w:fill="auto"/>
            <w:noWrap/>
            <w:vAlign w:val="bottom"/>
            <w:hideMark/>
          </w:tcPr>
          <w:p w14:paraId="7FFC7832" w14:textId="77777777" w:rsidR="00DC091E" w:rsidRPr="00DC091E" w:rsidRDefault="00DC091E" w:rsidP="00DC091E">
            <w:pPr>
              <w:spacing w:after="0" w:line="240" w:lineRule="auto"/>
              <w:rPr>
                <w:rFonts w:ascii="Arial" w:hAnsi="Arial" w:cs="Arial"/>
                <w:sz w:val="16"/>
                <w:szCs w:val="16"/>
              </w:rPr>
            </w:pPr>
            <w:r w:rsidRPr="00DC091E">
              <w:rPr>
                <w:rFonts w:ascii="Arial" w:hAnsi="Arial" w:cs="Arial"/>
                <w:sz w:val="16"/>
                <w:szCs w:val="16"/>
              </w:rPr>
              <w:t>Administered expenses</w:t>
            </w:r>
          </w:p>
        </w:tc>
        <w:tc>
          <w:tcPr>
            <w:tcW w:w="613" w:type="pct"/>
            <w:tcBorders>
              <w:top w:val="nil"/>
              <w:left w:val="nil"/>
              <w:bottom w:val="nil"/>
              <w:right w:val="nil"/>
            </w:tcBorders>
            <w:shd w:val="clear" w:color="auto" w:fill="auto"/>
            <w:noWrap/>
            <w:vAlign w:val="bottom"/>
            <w:hideMark/>
          </w:tcPr>
          <w:p w14:paraId="139C13F9" w14:textId="77777777" w:rsidR="00DC091E" w:rsidRPr="00DC091E" w:rsidRDefault="00DC091E" w:rsidP="00DC091E">
            <w:pPr>
              <w:spacing w:after="0" w:line="240" w:lineRule="auto"/>
              <w:rPr>
                <w:rFonts w:ascii="Arial" w:hAnsi="Arial" w:cs="Arial"/>
                <w:sz w:val="16"/>
                <w:szCs w:val="16"/>
              </w:rPr>
            </w:pPr>
          </w:p>
        </w:tc>
        <w:tc>
          <w:tcPr>
            <w:tcW w:w="613" w:type="pct"/>
            <w:tcBorders>
              <w:top w:val="nil"/>
              <w:left w:val="nil"/>
              <w:bottom w:val="nil"/>
              <w:right w:val="nil"/>
            </w:tcBorders>
            <w:shd w:val="clear" w:color="000000" w:fill="E6E6E6"/>
            <w:noWrap/>
            <w:vAlign w:val="bottom"/>
            <w:hideMark/>
          </w:tcPr>
          <w:p w14:paraId="65B6EA08"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w:t>
            </w:r>
          </w:p>
        </w:tc>
        <w:tc>
          <w:tcPr>
            <w:tcW w:w="614" w:type="pct"/>
            <w:gridSpan w:val="2"/>
            <w:tcBorders>
              <w:top w:val="nil"/>
              <w:left w:val="nil"/>
              <w:bottom w:val="nil"/>
              <w:right w:val="nil"/>
            </w:tcBorders>
            <w:shd w:val="clear" w:color="auto" w:fill="auto"/>
            <w:noWrap/>
            <w:vAlign w:val="bottom"/>
            <w:hideMark/>
          </w:tcPr>
          <w:p w14:paraId="353D260D" w14:textId="77777777" w:rsidR="00DC091E" w:rsidRPr="00DC091E" w:rsidRDefault="00DC091E" w:rsidP="00DC091E">
            <w:pPr>
              <w:spacing w:after="0" w:line="240" w:lineRule="auto"/>
              <w:jc w:val="right"/>
              <w:rPr>
                <w:rFonts w:ascii="Arial" w:hAnsi="Arial" w:cs="Arial"/>
                <w:sz w:val="16"/>
                <w:szCs w:val="16"/>
              </w:rPr>
            </w:pPr>
          </w:p>
        </w:tc>
        <w:tc>
          <w:tcPr>
            <w:tcW w:w="615" w:type="pct"/>
            <w:gridSpan w:val="2"/>
            <w:tcBorders>
              <w:top w:val="nil"/>
              <w:left w:val="nil"/>
              <w:bottom w:val="nil"/>
              <w:right w:val="nil"/>
            </w:tcBorders>
            <w:shd w:val="clear" w:color="auto" w:fill="auto"/>
            <w:noWrap/>
            <w:vAlign w:val="bottom"/>
            <w:hideMark/>
          </w:tcPr>
          <w:p w14:paraId="05E97ED8" w14:textId="77777777" w:rsidR="00DC091E" w:rsidRPr="00DC091E" w:rsidRDefault="00DC091E" w:rsidP="00DC091E">
            <w:pPr>
              <w:spacing w:after="0" w:line="240" w:lineRule="auto"/>
              <w:rPr>
                <w:rFonts w:ascii="Times New Roman" w:hAnsi="Times New Roman"/>
              </w:rPr>
            </w:pPr>
          </w:p>
        </w:tc>
        <w:tc>
          <w:tcPr>
            <w:tcW w:w="704" w:type="pct"/>
            <w:gridSpan w:val="3"/>
            <w:tcBorders>
              <w:top w:val="nil"/>
              <w:left w:val="nil"/>
              <w:bottom w:val="nil"/>
              <w:right w:val="nil"/>
            </w:tcBorders>
            <w:shd w:val="clear" w:color="auto" w:fill="auto"/>
            <w:noWrap/>
            <w:vAlign w:val="bottom"/>
            <w:hideMark/>
          </w:tcPr>
          <w:p w14:paraId="69B3C7D5" w14:textId="77777777" w:rsidR="00DC091E" w:rsidRPr="00DC091E" w:rsidRDefault="00DC091E" w:rsidP="00DC091E">
            <w:pPr>
              <w:spacing w:after="0" w:line="240" w:lineRule="auto"/>
              <w:rPr>
                <w:rFonts w:ascii="Times New Roman" w:hAnsi="Times New Roman"/>
              </w:rPr>
            </w:pPr>
          </w:p>
        </w:tc>
      </w:tr>
      <w:tr w:rsidR="00DC091E" w:rsidRPr="00DC091E" w14:paraId="1176C517" w14:textId="77777777" w:rsidTr="00C75389">
        <w:trPr>
          <w:trHeight w:val="204"/>
        </w:trPr>
        <w:tc>
          <w:tcPr>
            <w:tcW w:w="1840" w:type="pct"/>
            <w:tcBorders>
              <w:top w:val="nil"/>
              <w:left w:val="nil"/>
              <w:bottom w:val="nil"/>
              <w:right w:val="nil"/>
            </w:tcBorders>
            <w:shd w:val="clear" w:color="auto" w:fill="auto"/>
            <w:vAlign w:val="bottom"/>
            <w:hideMark/>
          </w:tcPr>
          <w:p w14:paraId="54E1D563" w14:textId="5901B5CF" w:rsidR="00DC091E" w:rsidRPr="00DC091E" w:rsidRDefault="00DC091E" w:rsidP="003361FE">
            <w:pPr>
              <w:spacing w:after="0" w:line="240" w:lineRule="auto"/>
              <w:ind w:left="113"/>
              <w:rPr>
                <w:rFonts w:ascii="Arial" w:hAnsi="Arial" w:cs="Arial"/>
                <w:sz w:val="16"/>
                <w:szCs w:val="16"/>
              </w:rPr>
            </w:pPr>
            <w:r w:rsidRPr="00DC091E">
              <w:rPr>
                <w:rFonts w:ascii="Arial" w:hAnsi="Arial" w:cs="Arial"/>
                <w:sz w:val="16"/>
                <w:szCs w:val="16"/>
              </w:rPr>
              <w:t>Ordinary annual services (Appropriation Bill No. 1)</w:t>
            </w:r>
          </w:p>
        </w:tc>
        <w:tc>
          <w:tcPr>
            <w:tcW w:w="613" w:type="pct"/>
            <w:tcBorders>
              <w:top w:val="nil"/>
              <w:left w:val="nil"/>
              <w:bottom w:val="nil"/>
              <w:right w:val="nil"/>
            </w:tcBorders>
            <w:shd w:val="clear" w:color="auto" w:fill="auto"/>
            <w:noWrap/>
            <w:vAlign w:val="bottom"/>
            <w:hideMark/>
          </w:tcPr>
          <w:p w14:paraId="76C427BB"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308,524 </w:t>
            </w:r>
          </w:p>
        </w:tc>
        <w:tc>
          <w:tcPr>
            <w:tcW w:w="613" w:type="pct"/>
            <w:tcBorders>
              <w:top w:val="nil"/>
              <w:left w:val="nil"/>
              <w:bottom w:val="nil"/>
              <w:right w:val="nil"/>
            </w:tcBorders>
            <w:shd w:val="clear" w:color="000000" w:fill="E6E6E6"/>
            <w:noWrap/>
            <w:vAlign w:val="bottom"/>
            <w:hideMark/>
          </w:tcPr>
          <w:p w14:paraId="5E3518EF"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411,782 </w:t>
            </w:r>
          </w:p>
        </w:tc>
        <w:tc>
          <w:tcPr>
            <w:tcW w:w="614" w:type="pct"/>
            <w:gridSpan w:val="2"/>
            <w:tcBorders>
              <w:top w:val="nil"/>
              <w:left w:val="nil"/>
              <w:bottom w:val="nil"/>
              <w:right w:val="nil"/>
            </w:tcBorders>
            <w:shd w:val="clear" w:color="auto" w:fill="auto"/>
            <w:noWrap/>
            <w:vAlign w:val="bottom"/>
            <w:hideMark/>
          </w:tcPr>
          <w:p w14:paraId="360A6729"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389,534 </w:t>
            </w:r>
          </w:p>
        </w:tc>
        <w:tc>
          <w:tcPr>
            <w:tcW w:w="615" w:type="pct"/>
            <w:gridSpan w:val="2"/>
            <w:tcBorders>
              <w:top w:val="nil"/>
              <w:left w:val="nil"/>
              <w:bottom w:val="nil"/>
              <w:right w:val="nil"/>
            </w:tcBorders>
            <w:shd w:val="clear" w:color="auto" w:fill="auto"/>
            <w:noWrap/>
            <w:vAlign w:val="bottom"/>
            <w:hideMark/>
          </w:tcPr>
          <w:p w14:paraId="48245DAC"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293,977 </w:t>
            </w:r>
          </w:p>
        </w:tc>
        <w:tc>
          <w:tcPr>
            <w:tcW w:w="704" w:type="pct"/>
            <w:gridSpan w:val="3"/>
            <w:tcBorders>
              <w:top w:val="nil"/>
              <w:left w:val="nil"/>
              <w:bottom w:val="nil"/>
              <w:right w:val="nil"/>
            </w:tcBorders>
            <w:shd w:val="clear" w:color="auto" w:fill="auto"/>
            <w:noWrap/>
            <w:vAlign w:val="bottom"/>
            <w:hideMark/>
          </w:tcPr>
          <w:p w14:paraId="362A57CB"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271,884 </w:t>
            </w:r>
          </w:p>
        </w:tc>
      </w:tr>
      <w:tr w:rsidR="00DC091E" w:rsidRPr="00DC091E" w14:paraId="2D85FCEF" w14:textId="77777777" w:rsidTr="00C75389">
        <w:trPr>
          <w:trHeight w:val="204"/>
        </w:trPr>
        <w:tc>
          <w:tcPr>
            <w:tcW w:w="1840" w:type="pct"/>
            <w:tcBorders>
              <w:top w:val="nil"/>
              <w:left w:val="nil"/>
              <w:bottom w:val="nil"/>
              <w:right w:val="nil"/>
            </w:tcBorders>
            <w:shd w:val="clear" w:color="auto" w:fill="auto"/>
            <w:noWrap/>
            <w:vAlign w:val="bottom"/>
            <w:hideMark/>
          </w:tcPr>
          <w:p w14:paraId="1473BBA1" w14:textId="77777777" w:rsidR="00DC091E" w:rsidRPr="00DC091E" w:rsidRDefault="00DC091E" w:rsidP="009C035D">
            <w:pPr>
              <w:spacing w:after="0" w:line="240" w:lineRule="auto"/>
              <w:ind w:left="113"/>
              <w:rPr>
                <w:rFonts w:ascii="Arial" w:hAnsi="Arial" w:cs="Arial"/>
                <w:sz w:val="16"/>
                <w:szCs w:val="16"/>
              </w:rPr>
            </w:pPr>
            <w:r w:rsidRPr="00DC091E">
              <w:rPr>
                <w:rFonts w:ascii="Arial" w:hAnsi="Arial" w:cs="Arial"/>
                <w:sz w:val="16"/>
                <w:szCs w:val="16"/>
              </w:rPr>
              <w:t>Special Accounts</w:t>
            </w:r>
          </w:p>
        </w:tc>
        <w:tc>
          <w:tcPr>
            <w:tcW w:w="613" w:type="pct"/>
            <w:tcBorders>
              <w:top w:val="nil"/>
              <w:left w:val="nil"/>
              <w:bottom w:val="nil"/>
              <w:right w:val="nil"/>
            </w:tcBorders>
            <w:shd w:val="clear" w:color="auto" w:fill="auto"/>
            <w:noWrap/>
            <w:vAlign w:val="bottom"/>
            <w:hideMark/>
          </w:tcPr>
          <w:p w14:paraId="36F1D2C6" w14:textId="77777777" w:rsidR="00DC091E" w:rsidRPr="00DC091E" w:rsidRDefault="00DC091E" w:rsidP="00DC091E">
            <w:pPr>
              <w:spacing w:after="0" w:line="240" w:lineRule="auto"/>
              <w:ind w:firstLineChars="100" w:firstLine="160"/>
              <w:rPr>
                <w:rFonts w:ascii="Arial" w:hAnsi="Arial" w:cs="Arial"/>
                <w:sz w:val="16"/>
                <w:szCs w:val="16"/>
              </w:rPr>
            </w:pPr>
          </w:p>
        </w:tc>
        <w:tc>
          <w:tcPr>
            <w:tcW w:w="613" w:type="pct"/>
            <w:tcBorders>
              <w:top w:val="nil"/>
              <w:left w:val="nil"/>
              <w:bottom w:val="nil"/>
              <w:right w:val="nil"/>
            </w:tcBorders>
            <w:shd w:val="clear" w:color="000000" w:fill="E6E6E6"/>
            <w:noWrap/>
            <w:vAlign w:val="bottom"/>
            <w:hideMark/>
          </w:tcPr>
          <w:p w14:paraId="762FD41D" w14:textId="77777777" w:rsidR="00DC091E" w:rsidRPr="00DC091E" w:rsidRDefault="00DC091E" w:rsidP="00DC091E">
            <w:pPr>
              <w:spacing w:after="0" w:line="240" w:lineRule="auto"/>
              <w:rPr>
                <w:rFonts w:ascii="Arial" w:hAnsi="Arial" w:cs="Arial"/>
                <w:sz w:val="16"/>
                <w:szCs w:val="16"/>
              </w:rPr>
            </w:pPr>
            <w:r w:rsidRPr="00DC091E">
              <w:rPr>
                <w:rFonts w:ascii="Arial" w:hAnsi="Arial" w:cs="Arial"/>
                <w:sz w:val="16"/>
                <w:szCs w:val="16"/>
              </w:rPr>
              <w:t> </w:t>
            </w:r>
          </w:p>
        </w:tc>
        <w:tc>
          <w:tcPr>
            <w:tcW w:w="614" w:type="pct"/>
            <w:gridSpan w:val="2"/>
            <w:tcBorders>
              <w:top w:val="nil"/>
              <w:left w:val="nil"/>
              <w:bottom w:val="nil"/>
              <w:right w:val="nil"/>
            </w:tcBorders>
            <w:shd w:val="clear" w:color="auto" w:fill="auto"/>
            <w:noWrap/>
            <w:vAlign w:val="bottom"/>
            <w:hideMark/>
          </w:tcPr>
          <w:p w14:paraId="23E942BD" w14:textId="77777777" w:rsidR="00DC091E" w:rsidRPr="00DC091E" w:rsidRDefault="00DC091E" w:rsidP="00DC091E">
            <w:pPr>
              <w:spacing w:after="0" w:line="240" w:lineRule="auto"/>
              <w:rPr>
                <w:rFonts w:ascii="Arial" w:hAnsi="Arial" w:cs="Arial"/>
                <w:sz w:val="16"/>
                <w:szCs w:val="16"/>
              </w:rPr>
            </w:pPr>
          </w:p>
        </w:tc>
        <w:tc>
          <w:tcPr>
            <w:tcW w:w="615" w:type="pct"/>
            <w:gridSpan w:val="2"/>
            <w:tcBorders>
              <w:top w:val="nil"/>
              <w:left w:val="nil"/>
              <w:bottom w:val="nil"/>
              <w:right w:val="nil"/>
            </w:tcBorders>
            <w:shd w:val="clear" w:color="auto" w:fill="auto"/>
            <w:noWrap/>
            <w:vAlign w:val="bottom"/>
            <w:hideMark/>
          </w:tcPr>
          <w:p w14:paraId="46B21D35" w14:textId="77777777" w:rsidR="00DC091E" w:rsidRPr="00DC091E" w:rsidRDefault="00DC091E" w:rsidP="00DC091E">
            <w:pPr>
              <w:spacing w:after="0" w:line="240" w:lineRule="auto"/>
              <w:rPr>
                <w:rFonts w:ascii="Times New Roman" w:hAnsi="Times New Roman"/>
              </w:rPr>
            </w:pPr>
          </w:p>
        </w:tc>
        <w:tc>
          <w:tcPr>
            <w:tcW w:w="704" w:type="pct"/>
            <w:gridSpan w:val="3"/>
            <w:tcBorders>
              <w:top w:val="nil"/>
              <w:left w:val="nil"/>
              <w:bottom w:val="nil"/>
              <w:right w:val="nil"/>
            </w:tcBorders>
            <w:shd w:val="clear" w:color="auto" w:fill="auto"/>
            <w:noWrap/>
            <w:vAlign w:val="bottom"/>
            <w:hideMark/>
          </w:tcPr>
          <w:p w14:paraId="3A175E35" w14:textId="77777777" w:rsidR="00DC091E" w:rsidRPr="00DC091E" w:rsidRDefault="00DC091E" w:rsidP="00DC091E">
            <w:pPr>
              <w:spacing w:after="0" w:line="240" w:lineRule="auto"/>
              <w:rPr>
                <w:rFonts w:ascii="Times New Roman" w:hAnsi="Times New Roman"/>
              </w:rPr>
            </w:pPr>
          </w:p>
        </w:tc>
      </w:tr>
      <w:tr w:rsidR="00DC091E" w:rsidRPr="00DC091E" w14:paraId="2300163A" w14:textId="77777777" w:rsidTr="00C75389">
        <w:trPr>
          <w:trHeight w:val="204"/>
        </w:trPr>
        <w:tc>
          <w:tcPr>
            <w:tcW w:w="1840" w:type="pct"/>
            <w:tcBorders>
              <w:top w:val="nil"/>
              <w:left w:val="nil"/>
              <w:bottom w:val="nil"/>
              <w:right w:val="nil"/>
            </w:tcBorders>
            <w:shd w:val="clear" w:color="auto" w:fill="auto"/>
            <w:vAlign w:val="bottom"/>
            <w:hideMark/>
          </w:tcPr>
          <w:p w14:paraId="084522F6" w14:textId="77777777" w:rsidR="00DC091E" w:rsidRPr="00DC091E" w:rsidRDefault="00DC091E" w:rsidP="009C035D">
            <w:pPr>
              <w:spacing w:after="0" w:line="240" w:lineRule="auto"/>
              <w:ind w:left="227"/>
              <w:rPr>
                <w:rFonts w:ascii="Arial" w:hAnsi="Arial" w:cs="Arial"/>
                <w:sz w:val="16"/>
                <w:szCs w:val="16"/>
              </w:rPr>
            </w:pPr>
            <w:r w:rsidRPr="00DC091E">
              <w:rPr>
                <w:rFonts w:ascii="Arial" w:hAnsi="Arial" w:cs="Arial"/>
                <w:sz w:val="16"/>
                <w:szCs w:val="16"/>
              </w:rPr>
              <w:t>Public Interest Telecommunications Services Special Account</w:t>
            </w:r>
          </w:p>
        </w:tc>
        <w:tc>
          <w:tcPr>
            <w:tcW w:w="613" w:type="pct"/>
            <w:tcBorders>
              <w:top w:val="nil"/>
              <w:left w:val="nil"/>
              <w:bottom w:val="nil"/>
              <w:right w:val="nil"/>
            </w:tcBorders>
            <w:shd w:val="clear" w:color="auto" w:fill="auto"/>
            <w:noWrap/>
            <w:vAlign w:val="bottom"/>
            <w:hideMark/>
          </w:tcPr>
          <w:p w14:paraId="5F5AEB71" w14:textId="77777777" w:rsidR="00DC091E" w:rsidRPr="00DC091E" w:rsidRDefault="00DC091E" w:rsidP="00DC091E">
            <w:pPr>
              <w:spacing w:after="0" w:line="240" w:lineRule="auto"/>
              <w:ind w:firstLineChars="200" w:firstLine="320"/>
              <w:rPr>
                <w:rFonts w:ascii="Arial" w:hAnsi="Arial" w:cs="Arial"/>
                <w:sz w:val="16"/>
                <w:szCs w:val="16"/>
              </w:rPr>
            </w:pPr>
          </w:p>
        </w:tc>
        <w:tc>
          <w:tcPr>
            <w:tcW w:w="613" w:type="pct"/>
            <w:tcBorders>
              <w:top w:val="nil"/>
              <w:left w:val="nil"/>
              <w:bottom w:val="nil"/>
              <w:right w:val="nil"/>
            </w:tcBorders>
            <w:shd w:val="clear" w:color="000000" w:fill="E6E6E6"/>
            <w:noWrap/>
            <w:vAlign w:val="bottom"/>
            <w:hideMark/>
          </w:tcPr>
          <w:p w14:paraId="3E07311B" w14:textId="77777777" w:rsidR="00DC091E" w:rsidRPr="00DC091E" w:rsidRDefault="00DC091E" w:rsidP="00DC091E">
            <w:pPr>
              <w:spacing w:after="0" w:line="240" w:lineRule="auto"/>
              <w:rPr>
                <w:rFonts w:ascii="Arial" w:hAnsi="Arial" w:cs="Arial"/>
                <w:sz w:val="16"/>
                <w:szCs w:val="16"/>
              </w:rPr>
            </w:pPr>
            <w:r w:rsidRPr="00DC091E">
              <w:rPr>
                <w:rFonts w:ascii="Arial" w:hAnsi="Arial" w:cs="Arial"/>
                <w:sz w:val="16"/>
                <w:szCs w:val="16"/>
              </w:rPr>
              <w:t> </w:t>
            </w:r>
          </w:p>
        </w:tc>
        <w:tc>
          <w:tcPr>
            <w:tcW w:w="614" w:type="pct"/>
            <w:gridSpan w:val="2"/>
            <w:tcBorders>
              <w:top w:val="nil"/>
              <w:left w:val="nil"/>
              <w:bottom w:val="nil"/>
              <w:right w:val="nil"/>
            </w:tcBorders>
            <w:shd w:val="clear" w:color="auto" w:fill="auto"/>
            <w:noWrap/>
            <w:vAlign w:val="bottom"/>
            <w:hideMark/>
          </w:tcPr>
          <w:p w14:paraId="34F3B798" w14:textId="77777777" w:rsidR="00DC091E" w:rsidRPr="00DC091E" w:rsidRDefault="00DC091E" w:rsidP="00DC091E">
            <w:pPr>
              <w:spacing w:after="0" w:line="240" w:lineRule="auto"/>
              <w:rPr>
                <w:rFonts w:ascii="Arial" w:hAnsi="Arial" w:cs="Arial"/>
                <w:sz w:val="16"/>
                <w:szCs w:val="16"/>
              </w:rPr>
            </w:pPr>
          </w:p>
        </w:tc>
        <w:tc>
          <w:tcPr>
            <w:tcW w:w="615" w:type="pct"/>
            <w:gridSpan w:val="2"/>
            <w:tcBorders>
              <w:top w:val="nil"/>
              <w:left w:val="nil"/>
              <w:bottom w:val="nil"/>
              <w:right w:val="nil"/>
            </w:tcBorders>
            <w:shd w:val="clear" w:color="auto" w:fill="auto"/>
            <w:noWrap/>
            <w:vAlign w:val="bottom"/>
            <w:hideMark/>
          </w:tcPr>
          <w:p w14:paraId="04D71372" w14:textId="77777777" w:rsidR="00DC091E" w:rsidRPr="00DC091E" w:rsidRDefault="00DC091E" w:rsidP="00DC091E">
            <w:pPr>
              <w:spacing w:after="0" w:line="240" w:lineRule="auto"/>
              <w:rPr>
                <w:rFonts w:ascii="Times New Roman" w:hAnsi="Times New Roman"/>
              </w:rPr>
            </w:pPr>
          </w:p>
        </w:tc>
        <w:tc>
          <w:tcPr>
            <w:tcW w:w="704" w:type="pct"/>
            <w:gridSpan w:val="3"/>
            <w:tcBorders>
              <w:top w:val="nil"/>
              <w:left w:val="nil"/>
              <w:bottom w:val="nil"/>
              <w:right w:val="nil"/>
            </w:tcBorders>
            <w:shd w:val="clear" w:color="auto" w:fill="auto"/>
            <w:noWrap/>
            <w:vAlign w:val="bottom"/>
            <w:hideMark/>
          </w:tcPr>
          <w:p w14:paraId="4A11ABFE" w14:textId="77777777" w:rsidR="00DC091E" w:rsidRPr="00DC091E" w:rsidRDefault="00DC091E" w:rsidP="00DC091E">
            <w:pPr>
              <w:spacing w:after="0" w:line="240" w:lineRule="auto"/>
              <w:rPr>
                <w:rFonts w:ascii="Times New Roman" w:hAnsi="Times New Roman"/>
              </w:rPr>
            </w:pPr>
          </w:p>
        </w:tc>
      </w:tr>
      <w:tr w:rsidR="00DC091E" w:rsidRPr="00DC091E" w14:paraId="3EF81554" w14:textId="77777777" w:rsidTr="00C75389">
        <w:trPr>
          <w:trHeight w:val="204"/>
        </w:trPr>
        <w:tc>
          <w:tcPr>
            <w:tcW w:w="1840" w:type="pct"/>
            <w:tcBorders>
              <w:top w:val="nil"/>
              <w:left w:val="nil"/>
              <w:bottom w:val="nil"/>
              <w:right w:val="nil"/>
            </w:tcBorders>
            <w:shd w:val="clear" w:color="auto" w:fill="auto"/>
            <w:vAlign w:val="bottom"/>
            <w:hideMark/>
          </w:tcPr>
          <w:p w14:paraId="55617893" w14:textId="77777777" w:rsidR="00DC091E" w:rsidRPr="00DC091E" w:rsidRDefault="00DC091E" w:rsidP="009C035D">
            <w:pPr>
              <w:spacing w:after="0" w:line="240" w:lineRule="auto"/>
              <w:ind w:left="340"/>
              <w:rPr>
                <w:rFonts w:ascii="Arial" w:hAnsi="Arial" w:cs="Arial"/>
                <w:sz w:val="16"/>
                <w:szCs w:val="16"/>
              </w:rPr>
            </w:pPr>
            <w:r w:rsidRPr="00DC091E">
              <w:rPr>
                <w:rFonts w:ascii="Arial" w:hAnsi="Arial" w:cs="Arial"/>
                <w:sz w:val="16"/>
                <w:szCs w:val="16"/>
              </w:rPr>
              <w:t>National Relay Service</w:t>
            </w:r>
          </w:p>
        </w:tc>
        <w:tc>
          <w:tcPr>
            <w:tcW w:w="613" w:type="pct"/>
            <w:tcBorders>
              <w:top w:val="nil"/>
              <w:left w:val="nil"/>
              <w:bottom w:val="nil"/>
              <w:right w:val="nil"/>
            </w:tcBorders>
            <w:shd w:val="clear" w:color="auto" w:fill="auto"/>
            <w:noWrap/>
            <w:vAlign w:val="bottom"/>
            <w:hideMark/>
          </w:tcPr>
          <w:p w14:paraId="175B8083"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20,000 </w:t>
            </w:r>
          </w:p>
        </w:tc>
        <w:tc>
          <w:tcPr>
            <w:tcW w:w="613" w:type="pct"/>
            <w:tcBorders>
              <w:top w:val="nil"/>
              <w:left w:val="nil"/>
              <w:bottom w:val="nil"/>
              <w:right w:val="nil"/>
            </w:tcBorders>
            <w:shd w:val="clear" w:color="000000" w:fill="E6E6E6"/>
            <w:noWrap/>
            <w:vAlign w:val="bottom"/>
            <w:hideMark/>
          </w:tcPr>
          <w:p w14:paraId="2C5DE4A7"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20,000 </w:t>
            </w:r>
          </w:p>
        </w:tc>
        <w:tc>
          <w:tcPr>
            <w:tcW w:w="614" w:type="pct"/>
            <w:gridSpan w:val="2"/>
            <w:tcBorders>
              <w:top w:val="nil"/>
              <w:left w:val="nil"/>
              <w:bottom w:val="nil"/>
              <w:right w:val="nil"/>
            </w:tcBorders>
            <w:shd w:val="clear" w:color="auto" w:fill="auto"/>
            <w:noWrap/>
            <w:vAlign w:val="bottom"/>
            <w:hideMark/>
          </w:tcPr>
          <w:p w14:paraId="2919A3F3"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20,000 </w:t>
            </w:r>
          </w:p>
        </w:tc>
        <w:tc>
          <w:tcPr>
            <w:tcW w:w="615" w:type="pct"/>
            <w:gridSpan w:val="2"/>
            <w:tcBorders>
              <w:top w:val="nil"/>
              <w:left w:val="nil"/>
              <w:bottom w:val="nil"/>
              <w:right w:val="nil"/>
            </w:tcBorders>
            <w:shd w:val="clear" w:color="auto" w:fill="auto"/>
            <w:noWrap/>
            <w:vAlign w:val="bottom"/>
            <w:hideMark/>
          </w:tcPr>
          <w:p w14:paraId="57B36D7A"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20,000 </w:t>
            </w:r>
          </w:p>
        </w:tc>
        <w:tc>
          <w:tcPr>
            <w:tcW w:w="704" w:type="pct"/>
            <w:gridSpan w:val="3"/>
            <w:tcBorders>
              <w:top w:val="nil"/>
              <w:left w:val="nil"/>
              <w:bottom w:val="nil"/>
              <w:right w:val="nil"/>
            </w:tcBorders>
            <w:shd w:val="clear" w:color="auto" w:fill="auto"/>
            <w:noWrap/>
            <w:vAlign w:val="bottom"/>
            <w:hideMark/>
          </w:tcPr>
          <w:p w14:paraId="197BD71C"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20,000 </w:t>
            </w:r>
          </w:p>
        </w:tc>
      </w:tr>
      <w:tr w:rsidR="00DC091E" w:rsidRPr="00DC091E" w14:paraId="6267A39D" w14:textId="77777777" w:rsidTr="00C75389">
        <w:trPr>
          <w:trHeight w:val="204"/>
        </w:trPr>
        <w:tc>
          <w:tcPr>
            <w:tcW w:w="1840" w:type="pct"/>
            <w:tcBorders>
              <w:top w:val="nil"/>
              <w:left w:val="nil"/>
              <w:bottom w:val="nil"/>
              <w:right w:val="nil"/>
            </w:tcBorders>
            <w:shd w:val="clear" w:color="auto" w:fill="auto"/>
            <w:vAlign w:val="bottom"/>
            <w:hideMark/>
          </w:tcPr>
          <w:p w14:paraId="4E570E48" w14:textId="77777777" w:rsidR="00DC091E" w:rsidRPr="00DC091E" w:rsidRDefault="00DC091E" w:rsidP="009C035D">
            <w:pPr>
              <w:spacing w:after="0" w:line="240" w:lineRule="auto"/>
              <w:ind w:left="340"/>
              <w:rPr>
                <w:rFonts w:ascii="Arial" w:hAnsi="Arial" w:cs="Arial"/>
                <w:sz w:val="16"/>
                <w:szCs w:val="16"/>
              </w:rPr>
            </w:pPr>
            <w:r w:rsidRPr="00DC091E">
              <w:rPr>
                <w:rFonts w:ascii="Arial" w:hAnsi="Arial" w:cs="Arial"/>
                <w:sz w:val="16"/>
                <w:szCs w:val="16"/>
              </w:rPr>
              <w:t>Universal Service Obligation</w:t>
            </w:r>
          </w:p>
        </w:tc>
        <w:tc>
          <w:tcPr>
            <w:tcW w:w="613" w:type="pct"/>
            <w:tcBorders>
              <w:top w:val="nil"/>
              <w:left w:val="nil"/>
              <w:bottom w:val="nil"/>
              <w:right w:val="nil"/>
            </w:tcBorders>
            <w:shd w:val="clear" w:color="auto" w:fill="auto"/>
            <w:noWrap/>
            <w:vAlign w:val="bottom"/>
            <w:hideMark/>
          </w:tcPr>
          <w:p w14:paraId="7CCBC708"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270,000 </w:t>
            </w:r>
          </w:p>
        </w:tc>
        <w:tc>
          <w:tcPr>
            <w:tcW w:w="613" w:type="pct"/>
            <w:tcBorders>
              <w:top w:val="nil"/>
              <w:left w:val="nil"/>
              <w:bottom w:val="nil"/>
              <w:right w:val="nil"/>
            </w:tcBorders>
            <w:shd w:val="clear" w:color="000000" w:fill="E6E6E6"/>
            <w:noWrap/>
            <w:vAlign w:val="bottom"/>
            <w:hideMark/>
          </w:tcPr>
          <w:p w14:paraId="309F66CF"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270,000 </w:t>
            </w:r>
          </w:p>
        </w:tc>
        <w:tc>
          <w:tcPr>
            <w:tcW w:w="614" w:type="pct"/>
            <w:gridSpan w:val="2"/>
            <w:tcBorders>
              <w:top w:val="nil"/>
              <w:left w:val="nil"/>
              <w:bottom w:val="nil"/>
              <w:right w:val="nil"/>
            </w:tcBorders>
            <w:shd w:val="clear" w:color="auto" w:fill="auto"/>
            <w:noWrap/>
            <w:vAlign w:val="bottom"/>
            <w:hideMark/>
          </w:tcPr>
          <w:p w14:paraId="6E37D210"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270,000 </w:t>
            </w:r>
          </w:p>
        </w:tc>
        <w:tc>
          <w:tcPr>
            <w:tcW w:w="615" w:type="pct"/>
            <w:gridSpan w:val="2"/>
            <w:tcBorders>
              <w:top w:val="nil"/>
              <w:left w:val="nil"/>
              <w:bottom w:val="nil"/>
              <w:right w:val="nil"/>
            </w:tcBorders>
            <w:shd w:val="clear" w:color="auto" w:fill="auto"/>
            <w:noWrap/>
            <w:vAlign w:val="bottom"/>
            <w:hideMark/>
          </w:tcPr>
          <w:p w14:paraId="6E8298DC"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270,000 </w:t>
            </w:r>
          </w:p>
        </w:tc>
        <w:tc>
          <w:tcPr>
            <w:tcW w:w="704" w:type="pct"/>
            <w:gridSpan w:val="3"/>
            <w:tcBorders>
              <w:top w:val="nil"/>
              <w:left w:val="nil"/>
              <w:bottom w:val="nil"/>
              <w:right w:val="nil"/>
            </w:tcBorders>
            <w:shd w:val="clear" w:color="auto" w:fill="auto"/>
            <w:noWrap/>
            <w:vAlign w:val="bottom"/>
            <w:hideMark/>
          </w:tcPr>
          <w:p w14:paraId="232F233D"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270,000 </w:t>
            </w:r>
          </w:p>
        </w:tc>
      </w:tr>
      <w:tr w:rsidR="00DC091E" w:rsidRPr="00DC091E" w14:paraId="555EBA23" w14:textId="77777777" w:rsidTr="00C75389">
        <w:trPr>
          <w:trHeight w:val="204"/>
        </w:trPr>
        <w:tc>
          <w:tcPr>
            <w:tcW w:w="1840" w:type="pct"/>
            <w:tcBorders>
              <w:top w:val="nil"/>
              <w:left w:val="nil"/>
              <w:bottom w:val="nil"/>
              <w:right w:val="nil"/>
            </w:tcBorders>
            <w:shd w:val="clear" w:color="auto" w:fill="auto"/>
            <w:vAlign w:val="bottom"/>
            <w:hideMark/>
          </w:tcPr>
          <w:p w14:paraId="3CFCB0AD" w14:textId="77777777" w:rsidR="00DC091E" w:rsidRPr="00DC091E" w:rsidRDefault="00DC091E" w:rsidP="009C035D">
            <w:pPr>
              <w:spacing w:after="0" w:line="240" w:lineRule="auto"/>
              <w:ind w:left="340"/>
              <w:rPr>
                <w:rFonts w:ascii="Arial" w:hAnsi="Arial" w:cs="Arial"/>
                <w:sz w:val="16"/>
                <w:szCs w:val="16"/>
              </w:rPr>
            </w:pPr>
            <w:r w:rsidRPr="00DC091E">
              <w:rPr>
                <w:rFonts w:ascii="Arial" w:hAnsi="Arial" w:cs="Arial"/>
                <w:sz w:val="16"/>
                <w:szCs w:val="16"/>
              </w:rPr>
              <w:t>Other Public Interest Services</w:t>
            </w:r>
          </w:p>
        </w:tc>
        <w:tc>
          <w:tcPr>
            <w:tcW w:w="613" w:type="pct"/>
            <w:tcBorders>
              <w:top w:val="nil"/>
              <w:left w:val="nil"/>
              <w:bottom w:val="nil"/>
              <w:right w:val="nil"/>
            </w:tcBorders>
            <w:shd w:val="clear" w:color="auto" w:fill="auto"/>
            <w:noWrap/>
            <w:vAlign w:val="bottom"/>
            <w:hideMark/>
          </w:tcPr>
          <w:p w14:paraId="4512B33D"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39,064 </w:t>
            </w:r>
          </w:p>
        </w:tc>
        <w:tc>
          <w:tcPr>
            <w:tcW w:w="613" w:type="pct"/>
            <w:tcBorders>
              <w:top w:val="nil"/>
              <w:left w:val="nil"/>
              <w:bottom w:val="nil"/>
              <w:right w:val="nil"/>
            </w:tcBorders>
            <w:shd w:val="clear" w:color="000000" w:fill="E6E6E6"/>
            <w:noWrap/>
            <w:vAlign w:val="bottom"/>
            <w:hideMark/>
          </w:tcPr>
          <w:p w14:paraId="7973158E"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22,250 </w:t>
            </w:r>
          </w:p>
        </w:tc>
        <w:tc>
          <w:tcPr>
            <w:tcW w:w="614" w:type="pct"/>
            <w:gridSpan w:val="2"/>
            <w:tcBorders>
              <w:top w:val="nil"/>
              <w:left w:val="nil"/>
              <w:bottom w:val="nil"/>
              <w:right w:val="nil"/>
            </w:tcBorders>
            <w:shd w:val="clear" w:color="auto" w:fill="auto"/>
            <w:noWrap/>
            <w:vAlign w:val="bottom"/>
            <w:hideMark/>
          </w:tcPr>
          <w:p w14:paraId="4F0EE617"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22,250 </w:t>
            </w:r>
          </w:p>
        </w:tc>
        <w:tc>
          <w:tcPr>
            <w:tcW w:w="615" w:type="pct"/>
            <w:gridSpan w:val="2"/>
            <w:tcBorders>
              <w:top w:val="nil"/>
              <w:left w:val="nil"/>
              <w:bottom w:val="nil"/>
              <w:right w:val="nil"/>
            </w:tcBorders>
            <w:shd w:val="clear" w:color="auto" w:fill="auto"/>
            <w:noWrap/>
            <w:vAlign w:val="bottom"/>
            <w:hideMark/>
          </w:tcPr>
          <w:p w14:paraId="099DE3CA"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22,250 </w:t>
            </w:r>
          </w:p>
        </w:tc>
        <w:tc>
          <w:tcPr>
            <w:tcW w:w="704" w:type="pct"/>
            <w:gridSpan w:val="3"/>
            <w:tcBorders>
              <w:top w:val="nil"/>
              <w:left w:val="nil"/>
              <w:bottom w:val="nil"/>
              <w:right w:val="nil"/>
            </w:tcBorders>
            <w:shd w:val="clear" w:color="auto" w:fill="auto"/>
            <w:noWrap/>
            <w:vAlign w:val="bottom"/>
            <w:hideMark/>
          </w:tcPr>
          <w:p w14:paraId="09387149"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22,250 </w:t>
            </w:r>
          </w:p>
        </w:tc>
      </w:tr>
      <w:tr w:rsidR="00DC091E" w:rsidRPr="00DC091E" w14:paraId="2F4BCC05" w14:textId="77777777" w:rsidTr="00C75389">
        <w:trPr>
          <w:trHeight w:val="204"/>
        </w:trPr>
        <w:tc>
          <w:tcPr>
            <w:tcW w:w="1840" w:type="pct"/>
            <w:tcBorders>
              <w:top w:val="nil"/>
              <w:left w:val="nil"/>
              <w:bottom w:val="nil"/>
              <w:right w:val="nil"/>
            </w:tcBorders>
            <w:shd w:val="clear" w:color="auto" w:fill="auto"/>
            <w:vAlign w:val="bottom"/>
            <w:hideMark/>
          </w:tcPr>
          <w:p w14:paraId="2E17A888" w14:textId="09EC0838" w:rsidR="00DC091E" w:rsidRPr="00DC091E" w:rsidRDefault="00DC091E" w:rsidP="003361FE">
            <w:pPr>
              <w:spacing w:after="0" w:line="240" w:lineRule="auto"/>
              <w:ind w:left="113"/>
              <w:rPr>
                <w:rFonts w:ascii="Arial" w:hAnsi="Arial" w:cs="Arial"/>
                <w:sz w:val="16"/>
                <w:szCs w:val="16"/>
              </w:rPr>
            </w:pPr>
            <w:r w:rsidRPr="00DC091E">
              <w:rPr>
                <w:rFonts w:ascii="Arial" w:hAnsi="Arial" w:cs="Arial"/>
                <w:sz w:val="16"/>
                <w:szCs w:val="16"/>
              </w:rPr>
              <w:t>Payments to corporate entities</w:t>
            </w:r>
            <w:r w:rsidRPr="00DC091E">
              <w:rPr>
                <w:rFonts w:ascii="Arial" w:hAnsi="Arial" w:cs="Arial"/>
                <w:sz w:val="16"/>
                <w:szCs w:val="16"/>
                <w:vertAlign w:val="superscript"/>
              </w:rPr>
              <w:t>(a)</w:t>
            </w:r>
          </w:p>
        </w:tc>
        <w:tc>
          <w:tcPr>
            <w:tcW w:w="613" w:type="pct"/>
            <w:tcBorders>
              <w:top w:val="nil"/>
              <w:left w:val="nil"/>
              <w:bottom w:val="nil"/>
              <w:right w:val="nil"/>
            </w:tcBorders>
            <w:shd w:val="clear" w:color="auto" w:fill="auto"/>
            <w:noWrap/>
            <w:vAlign w:val="bottom"/>
            <w:hideMark/>
          </w:tcPr>
          <w:p w14:paraId="5CA93EC0"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1,423,963 </w:t>
            </w:r>
          </w:p>
        </w:tc>
        <w:tc>
          <w:tcPr>
            <w:tcW w:w="613" w:type="pct"/>
            <w:tcBorders>
              <w:top w:val="nil"/>
              <w:left w:val="nil"/>
              <w:bottom w:val="nil"/>
              <w:right w:val="nil"/>
            </w:tcBorders>
            <w:shd w:val="clear" w:color="000000" w:fill="E6E6E6"/>
            <w:noWrap/>
            <w:vAlign w:val="bottom"/>
            <w:hideMark/>
          </w:tcPr>
          <w:p w14:paraId="63D92151"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1,472,507 </w:t>
            </w:r>
          </w:p>
        </w:tc>
        <w:tc>
          <w:tcPr>
            <w:tcW w:w="614" w:type="pct"/>
            <w:gridSpan w:val="2"/>
            <w:tcBorders>
              <w:top w:val="nil"/>
              <w:left w:val="nil"/>
              <w:bottom w:val="nil"/>
              <w:right w:val="nil"/>
            </w:tcBorders>
            <w:shd w:val="clear" w:color="auto" w:fill="auto"/>
            <w:noWrap/>
            <w:vAlign w:val="bottom"/>
            <w:hideMark/>
          </w:tcPr>
          <w:p w14:paraId="1BE00AE7"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1,544,453 </w:t>
            </w:r>
          </w:p>
        </w:tc>
        <w:tc>
          <w:tcPr>
            <w:tcW w:w="615" w:type="pct"/>
            <w:gridSpan w:val="2"/>
            <w:tcBorders>
              <w:top w:val="nil"/>
              <w:left w:val="nil"/>
              <w:bottom w:val="nil"/>
              <w:right w:val="nil"/>
            </w:tcBorders>
            <w:shd w:val="clear" w:color="auto" w:fill="auto"/>
            <w:noWrap/>
            <w:vAlign w:val="bottom"/>
            <w:hideMark/>
          </w:tcPr>
          <w:p w14:paraId="7D0EF7A9"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1,585,853 </w:t>
            </w:r>
          </w:p>
        </w:tc>
        <w:tc>
          <w:tcPr>
            <w:tcW w:w="704" w:type="pct"/>
            <w:gridSpan w:val="3"/>
            <w:tcBorders>
              <w:top w:val="nil"/>
              <w:left w:val="nil"/>
              <w:bottom w:val="nil"/>
              <w:right w:val="nil"/>
            </w:tcBorders>
            <w:shd w:val="clear" w:color="auto" w:fill="auto"/>
            <w:noWrap/>
            <w:vAlign w:val="bottom"/>
            <w:hideMark/>
          </w:tcPr>
          <w:p w14:paraId="424013FE"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1,592,442 </w:t>
            </w:r>
          </w:p>
        </w:tc>
      </w:tr>
      <w:tr w:rsidR="00DC091E" w:rsidRPr="00DC091E" w14:paraId="64065903" w14:textId="77777777" w:rsidTr="00C75389">
        <w:trPr>
          <w:trHeight w:val="204"/>
        </w:trPr>
        <w:tc>
          <w:tcPr>
            <w:tcW w:w="1840" w:type="pct"/>
            <w:tcBorders>
              <w:top w:val="nil"/>
              <w:left w:val="nil"/>
              <w:bottom w:val="nil"/>
              <w:right w:val="nil"/>
            </w:tcBorders>
            <w:shd w:val="clear" w:color="auto" w:fill="auto"/>
            <w:vAlign w:val="bottom"/>
            <w:hideMark/>
          </w:tcPr>
          <w:p w14:paraId="09DEA001" w14:textId="41236B03" w:rsidR="00DC091E" w:rsidRPr="00DC091E" w:rsidRDefault="00DC091E" w:rsidP="007B5C33">
            <w:pPr>
              <w:spacing w:after="0" w:line="240" w:lineRule="auto"/>
              <w:ind w:left="113"/>
              <w:outlineLvl w:val="0"/>
              <w:rPr>
                <w:rFonts w:ascii="Arial" w:hAnsi="Arial" w:cs="Arial"/>
                <w:sz w:val="16"/>
                <w:szCs w:val="16"/>
              </w:rPr>
            </w:pPr>
            <w:r w:rsidRPr="00DC091E">
              <w:rPr>
                <w:rFonts w:ascii="Arial" w:hAnsi="Arial" w:cs="Arial"/>
                <w:sz w:val="16"/>
                <w:szCs w:val="16"/>
              </w:rPr>
              <w:t>Expenses not requiring appropriation in the Budget year</w:t>
            </w:r>
            <w:r w:rsidRPr="00DC091E">
              <w:rPr>
                <w:rFonts w:ascii="Arial" w:hAnsi="Arial" w:cs="Arial"/>
                <w:sz w:val="16"/>
                <w:szCs w:val="16"/>
                <w:vertAlign w:val="superscript"/>
              </w:rPr>
              <w:t>(b)</w:t>
            </w:r>
          </w:p>
        </w:tc>
        <w:tc>
          <w:tcPr>
            <w:tcW w:w="613" w:type="pct"/>
            <w:tcBorders>
              <w:top w:val="nil"/>
              <w:left w:val="nil"/>
              <w:bottom w:val="nil"/>
              <w:right w:val="nil"/>
            </w:tcBorders>
            <w:shd w:val="clear" w:color="auto" w:fill="auto"/>
            <w:noWrap/>
            <w:vAlign w:val="bottom"/>
            <w:hideMark/>
          </w:tcPr>
          <w:p w14:paraId="3CAD0514" w14:textId="77777777" w:rsidR="00DC091E" w:rsidRPr="00DC091E" w:rsidRDefault="00DC091E" w:rsidP="00DC091E">
            <w:pPr>
              <w:spacing w:after="0" w:line="240" w:lineRule="auto"/>
              <w:jc w:val="right"/>
              <w:outlineLvl w:val="0"/>
              <w:rPr>
                <w:rFonts w:ascii="Arial" w:hAnsi="Arial" w:cs="Arial"/>
                <w:sz w:val="16"/>
                <w:szCs w:val="16"/>
              </w:rPr>
            </w:pPr>
            <w:r w:rsidRPr="00DC091E">
              <w:rPr>
                <w:rFonts w:ascii="Arial" w:hAnsi="Arial" w:cs="Arial"/>
                <w:sz w:val="16"/>
                <w:szCs w:val="16"/>
              </w:rPr>
              <w:t xml:space="preserve">716,266 </w:t>
            </w:r>
          </w:p>
        </w:tc>
        <w:tc>
          <w:tcPr>
            <w:tcW w:w="613" w:type="pct"/>
            <w:tcBorders>
              <w:top w:val="nil"/>
              <w:left w:val="nil"/>
              <w:bottom w:val="nil"/>
              <w:right w:val="nil"/>
            </w:tcBorders>
            <w:shd w:val="clear" w:color="000000" w:fill="E6E6E6"/>
            <w:noWrap/>
            <w:vAlign w:val="bottom"/>
            <w:hideMark/>
          </w:tcPr>
          <w:p w14:paraId="54A8AB61" w14:textId="77777777" w:rsidR="00DC091E" w:rsidRPr="00DC091E" w:rsidRDefault="00DC091E" w:rsidP="00DC091E">
            <w:pPr>
              <w:spacing w:after="0" w:line="240" w:lineRule="auto"/>
              <w:jc w:val="right"/>
              <w:outlineLvl w:val="0"/>
              <w:rPr>
                <w:rFonts w:ascii="Arial" w:hAnsi="Arial" w:cs="Arial"/>
                <w:sz w:val="16"/>
                <w:szCs w:val="16"/>
              </w:rPr>
            </w:pPr>
            <w:r w:rsidRPr="00DC091E">
              <w:rPr>
                <w:rFonts w:ascii="Arial" w:hAnsi="Arial" w:cs="Arial"/>
                <w:sz w:val="16"/>
                <w:szCs w:val="16"/>
              </w:rPr>
              <w:t xml:space="preserve">841,697 </w:t>
            </w:r>
          </w:p>
        </w:tc>
        <w:tc>
          <w:tcPr>
            <w:tcW w:w="614" w:type="pct"/>
            <w:gridSpan w:val="2"/>
            <w:tcBorders>
              <w:top w:val="nil"/>
              <w:left w:val="nil"/>
              <w:bottom w:val="nil"/>
              <w:right w:val="nil"/>
            </w:tcBorders>
            <w:shd w:val="clear" w:color="auto" w:fill="auto"/>
            <w:noWrap/>
            <w:vAlign w:val="bottom"/>
            <w:hideMark/>
          </w:tcPr>
          <w:p w14:paraId="65C37D48" w14:textId="77777777" w:rsidR="00DC091E" w:rsidRPr="00DC091E" w:rsidRDefault="00DC091E" w:rsidP="00DC091E">
            <w:pPr>
              <w:spacing w:after="0" w:line="240" w:lineRule="auto"/>
              <w:jc w:val="right"/>
              <w:outlineLvl w:val="0"/>
              <w:rPr>
                <w:rFonts w:ascii="Arial" w:hAnsi="Arial" w:cs="Arial"/>
                <w:sz w:val="16"/>
                <w:szCs w:val="16"/>
              </w:rPr>
            </w:pPr>
            <w:r w:rsidRPr="00DC091E">
              <w:rPr>
                <w:rFonts w:ascii="Arial" w:hAnsi="Arial" w:cs="Arial"/>
                <w:sz w:val="16"/>
                <w:szCs w:val="16"/>
              </w:rPr>
              <w:t xml:space="preserve">708,951 </w:t>
            </w:r>
          </w:p>
        </w:tc>
        <w:tc>
          <w:tcPr>
            <w:tcW w:w="615" w:type="pct"/>
            <w:gridSpan w:val="2"/>
            <w:tcBorders>
              <w:top w:val="nil"/>
              <w:left w:val="nil"/>
              <w:bottom w:val="nil"/>
              <w:right w:val="nil"/>
            </w:tcBorders>
            <w:shd w:val="clear" w:color="auto" w:fill="auto"/>
            <w:noWrap/>
            <w:vAlign w:val="bottom"/>
            <w:hideMark/>
          </w:tcPr>
          <w:p w14:paraId="17AA1338" w14:textId="77777777" w:rsidR="00DC091E" w:rsidRPr="00DC091E" w:rsidRDefault="00DC091E" w:rsidP="00DC091E">
            <w:pPr>
              <w:spacing w:after="0" w:line="240" w:lineRule="auto"/>
              <w:jc w:val="right"/>
              <w:outlineLvl w:val="0"/>
              <w:rPr>
                <w:rFonts w:ascii="Arial" w:hAnsi="Arial" w:cs="Arial"/>
                <w:sz w:val="16"/>
                <w:szCs w:val="16"/>
              </w:rPr>
            </w:pPr>
            <w:r w:rsidRPr="00DC091E">
              <w:rPr>
                <w:rFonts w:ascii="Arial" w:hAnsi="Arial" w:cs="Arial"/>
                <w:sz w:val="16"/>
                <w:szCs w:val="16"/>
              </w:rPr>
              <w:t xml:space="preserve">772,775 </w:t>
            </w:r>
          </w:p>
        </w:tc>
        <w:tc>
          <w:tcPr>
            <w:tcW w:w="704" w:type="pct"/>
            <w:gridSpan w:val="3"/>
            <w:tcBorders>
              <w:top w:val="nil"/>
              <w:left w:val="nil"/>
              <w:bottom w:val="nil"/>
              <w:right w:val="nil"/>
            </w:tcBorders>
            <w:shd w:val="clear" w:color="auto" w:fill="auto"/>
            <w:noWrap/>
            <w:vAlign w:val="bottom"/>
            <w:hideMark/>
          </w:tcPr>
          <w:p w14:paraId="72AFF992" w14:textId="77777777" w:rsidR="00DC091E" w:rsidRPr="00DC091E" w:rsidRDefault="00DC091E" w:rsidP="00DC091E">
            <w:pPr>
              <w:spacing w:after="0" w:line="240" w:lineRule="auto"/>
              <w:jc w:val="right"/>
              <w:outlineLvl w:val="0"/>
              <w:rPr>
                <w:rFonts w:ascii="Arial" w:hAnsi="Arial" w:cs="Arial"/>
                <w:sz w:val="16"/>
                <w:szCs w:val="16"/>
              </w:rPr>
            </w:pPr>
            <w:r w:rsidRPr="00DC091E">
              <w:rPr>
                <w:rFonts w:ascii="Arial" w:hAnsi="Arial" w:cs="Arial"/>
                <w:sz w:val="16"/>
                <w:szCs w:val="16"/>
              </w:rPr>
              <w:t xml:space="preserve">772,353 </w:t>
            </w:r>
          </w:p>
        </w:tc>
      </w:tr>
      <w:tr w:rsidR="00DC091E" w:rsidRPr="00DC091E" w14:paraId="695677B9" w14:textId="77777777" w:rsidTr="00C75389">
        <w:trPr>
          <w:trHeight w:val="204"/>
        </w:trPr>
        <w:tc>
          <w:tcPr>
            <w:tcW w:w="1840" w:type="pct"/>
            <w:tcBorders>
              <w:top w:val="nil"/>
              <w:left w:val="nil"/>
              <w:bottom w:val="single" w:sz="4" w:space="0" w:color="auto"/>
              <w:right w:val="nil"/>
            </w:tcBorders>
            <w:shd w:val="clear" w:color="auto" w:fill="auto"/>
            <w:noWrap/>
            <w:vAlign w:val="bottom"/>
            <w:hideMark/>
          </w:tcPr>
          <w:p w14:paraId="6291B569" w14:textId="77777777" w:rsidR="00DC091E" w:rsidRPr="00DC091E" w:rsidRDefault="00DC091E" w:rsidP="00DC091E">
            <w:pPr>
              <w:spacing w:after="0" w:line="240" w:lineRule="auto"/>
              <w:outlineLvl w:val="0"/>
              <w:rPr>
                <w:rFonts w:ascii="Arial" w:hAnsi="Arial" w:cs="Arial"/>
                <w:b/>
                <w:bCs/>
                <w:sz w:val="16"/>
                <w:szCs w:val="16"/>
              </w:rPr>
            </w:pPr>
            <w:r w:rsidRPr="00DC091E">
              <w:rPr>
                <w:rFonts w:ascii="Arial" w:hAnsi="Arial" w:cs="Arial"/>
                <w:b/>
                <w:bCs/>
                <w:sz w:val="16"/>
                <w:szCs w:val="16"/>
              </w:rPr>
              <w:t>Total expenses for Program 5.1</w:t>
            </w:r>
          </w:p>
        </w:tc>
        <w:tc>
          <w:tcPr>
            <w:tcW w:w="613" w:type="pct"/>
            <w:tcBorders>
              <w:top w:val="single" w:sz="4" w:space="0" w:color="auto"/>
              <w:left w:val="nil"/>
              <w:bottom w:val="single" w:sz="4" w:space="0" w:color="auto"/>
              <w:right w:val="nil"/>
            </w:tcBorders>
            <w:shd w:val="clear" w:color="auto" w:fill="auto"/>
            <w:noWrap/>
            <w:vAlign w:val="bottom"/>
            <w:hideMark/>
          </w:tcPr>
          <w:p w14:paraId="0AE95783" w14:textId="77777777" w:rsidR="00DC091E" w:rsidRPr="00DC091E" w:rsidRDefault="00DC091E" w:rsidP="00DC091E">
            <w:pPr>
              <w:spacing w:after="0" w:line="240" w:lineRule="auto"/>
              <w:jc w:val="right"/>
              <w:outlineLvl w:val="0"/>
              <w:rPr>
                <w:rFonts w:ascii="Arial" w:hAnsi="Arial" w:cs="Arial"/>
                <w:b/>
                <w:bCs/>
                <w:sz w:val="16"/>
                <w:szCs w:val="16"/>
              </w:rPr>
            </w:pPr>
            <w:r w:rsidRPr="00DC091E">
              <w:rPr>
                <w:rFonts w:ascii="Arial" w:hAnsi="Arial" w:cs="Arial"/>
                <w:b/>
                <w:bCs/>
                <w:sz w:val="16"/>
                <w:szCs w:val="16"/>
              </w:rPr>
              <w:t xml:space="preserve">2,777,817 </w:t>
            </w:r>
          </w:p>
        </w:tc>
        <w:tc>
          <w:tcPr>
            <w:tcW w:w="613" w:type="pct"/>
            <w:tcBorders>
              <w:top w:val="single" w:sz="4" w:space="0" w:color="auto"/>
              <w:left w:val="nil"/>
              <w:bottom w:val="single" w:sz="4" w:space="0" w:color="auto"/>
              <w:right w:val="nil"/>
            </w:tcBorders>
            <w:shd w:val="clear" w:color="000000" w:fill="E6E6E6"/>
            <w:noWrap/>
            <w:vAlign w:val="bottom"/>
            <w:hideMark/>
          </w:tcPr>
          <w:p w14:paraId="34CEF250" w14:textId="77777777" w:rsidR="00DC091E" w:rsidRPr="00DC091E" w:rsidRDefault="00DC091E" w:rsidP="00DC091E">
            <w:pPr>
              <w:spacing w:after="0" w:line="240" w:lineRule="auto"/>
              <w:jc w:val="right"/>
              <w:outlineLvl w:val="0"/>
              <w:rPr>
                <w:rFonts w:ascii="Arial" w:hAnsi="Arial" w:cs="Arial"/>
                <w:b/>
                <w:bCs/>
                <w:sz w:val="16"/>
                <w:szCs w:val="16"/>
              </w:rPr>
            </w:pPr>
            <w:r w:rsidRPr="00DC091E">
              <w:rPr>
                <w:rFonts w:ascii="Arial" w:hAnsi="Arial" w:cs="Arial"/>
                <w:b/>
                <w:bCs/>
                <w:sz w:val="16"/>
                <w:szCs w:val="16"/>
              </w:rPr>
              <w:t xml:space="preserve">3,038,236 </w:t>
            </w:r>
          </w:p>
        </w:tc>
        <w:tc>
          <w:tcPr>
            <w:tcW w:w="614" w:type="pct"/>
            <w:gridSpan w:val="2"/>
            <w:tcBorders>
              <w:top w:val="single" w:sz="4" w:space="0" w:color="auto"/>
              <w:left w:val="nil"/>
              <w:bottom w:val="single" w:sz="4" w:space="0" w:color="auto"/>
              <w:right w:val="nil"/>
            </w:tcBorders>
            <w:shd w:val="clear" w:color="auto" w:fill="auto"/>
            <w:noWrap/>
            <w:vAlign w:val="bottom"/>
            <w:hideMark/>
          </w:tcPr>
          <w:p w14:paraId="0232C9F9" w14:textId="77777777" w:rsidR="00DC091E" w:rsidRPr="00DC091E" w:rsidRDefault="00DC091E" w:rsidP="00DC091E">
            <w:pPr>
              <w:spacing w:after="0" w:line="240" w:lineRule="auto"/>
              <w:jc w:val="right"/>
              <w:outlineLvl w:val="0"/>
              <w:rPr>
                <w:rFonts w:ascii="Arial" w:hAnsi="Arial" w:cs="Arial"/>
                <w:b/>
                <w:bCs/>
                <w:sz w:val="16"/>
                <w:szCs w:val="16"/>
              </w:rPr>
            </w:pPr>
            <w:r w:rsidRPr="00DC091E">
              <w:rPr>
                <w:rFonts w:ascii="Arial" w:hAnsi="Arial" w:cs="Arial"/>
                <w:b/>
                <w:bCs/>
                <w:sz w:val="16"/>
                <w:szCs w:val="16"/>
              </w:rPr>
              <w:t xml:space="preserve">2,955,188 </w:t>
            </w:r>
          </w:p>
        </w:tc>
        <w:tc>
          <w:tcPr>
            <w:tcW w:w="615" w:type="pct"/>
            <w:gridSpan w:val="2"/>
            <w:tcBorders>
              <w:top w:val="single" w:sz="4" w:space="0" w:color="auto"/>
              <w:left w:val="nil"/>
              <w:bottom w:val="single" w:sz="4" w:space="0" w:color="auto"/>
              <w:right w:val="nil"/>
            </w:tcBorders>
            <w:shd w:val="clear" w:color="auto" w:fill="auto"/>
            <w:noWrap/>
            <w:vAlign w:val="bottom"/>
            <w:hideMark/>
          </w:tcPr>
          <w:p w14:paraId="717AFFF0" w14:textId="77777777" w:rsidR="00DC091E" w:rsidRPr="00DC091E" w:rsidRDefault="00DC091E" w:rsidP="00DC091E">
            <w:pPr>
              <w:spacing w:after="0" w:line="240" w:lineRule="auto"/>
              <w:jc w:val="right"/>
              <w:outlineLvl w:val="0"/>
              <w:rPr>
                <w:rFonts w:ascii="Arial" w:hAnsi="Arial" w:cs="Arial"/>
                <w:b/>
                <w:bCs/>
                <w:sz w:val="16"/>
                <w:szCs w:val="16"/>
              </w:rPr>
            </w:pPr>
            <w:r w:rsidRPr="00DC091E">
              <w:rPr>
                <w:rFonts w:ascii="Arial" w:hAnsi="Arial" w:cs="Arial"/>
                <w:b/>
                <w:bCs/>
                <w:sz w:val="16"/>
                <w:szCs w:val="16"/>
              </w:rPr>
              <w:t xml:space="preserve">2,964,855 </w:t>
            </w:r>
          </w:p>
        </w:tc>
        <w:tc>
          <w:tcPr>
            <w:tcW w:w="704" w:type="pct"/>
            <w:gridSpan w:val="3"/>
            <w:tcBorders>
              <w:top w:val="single" w:sz="4" w:space="0" w:color="auto"/>
              <w:left w:val="nil"/>
              <w:bottom w:val="single" w:sz="4" w:space="0" w:color="auto"/>
              <w:right w:val="nil"/>
            </w:tcBorders>
            <w:shd w:val="clear" w:color="auto" w:fill="auto"/>
            <w:noWrap/>
            <w:vAlign w:val="bottom"/>
            <w:hideMark/>
          </w:tcPr>
          <w:p w14:paraId="16B99A05" w14:textId="77777777" w:rsidR="00DC091E" w:rsidRPr="00DC091E" w:rsidRDefault="00DC091E" w:rsidP="00DC091E">
            <w:pPr>
              <w:spacing w:after="0" w:line="240" w:lineRule="auto"/>
              <w:jc w:val="right"/>
              <w:outlineLvl w:val="0"/>
              <w:rPr>
                <w:rFonts w:ascii="Arial" w:hAnsi="Arial" w:cs="Arial"/>
                <w:b/>
                <w:bCs/>
                <w:sz w:val="16"/>
                <w:szCs w:val="16"/>
              </w:rPr>
            </w:pPr>
            <w:r w:rsidRPr="00DC091E">
              <w:rPr>
                <w:rFonts w:ascii="Arial" w:hAnsi="Arial" w:cs="Arial"/>
                <w:b/>
                <w:bCs/>
                <w:sz w:val="16"/>
                <w:szCs w:val="16"/>
              </w:rPr>
              <w:t xml:space="preserve">2,948,929 </w:t>
            </w:r>
          </w:p>
        </w:tc>
      </w:tr>
      <w:tr w:rsidR="00DC091E" w:rsidRPr="00DC091E" w14:paraId="541FA149" w14:textId="77777777" w:rsidTr="00C75389">
        <w:trPr>
          <w:trHeight w:val="204"/>
        </w:trPr>
        <w:tc>
          <w:tcPr>
            <w:tcW w:w="2454" w:type="pct"/>
            <w:gridSpan w:val="2"/>
            <w:tcBorders>
              <w:top w:val="single" w:sz="4" w:space="0" w:color="auto"/>
              <w:left w:val="nil"/>
              <w:bottom w:val="single" w:sz="4" w:space="0" w:color="auto"/>
              <w:right w:val="nil"/>
            </w:tcBorders>
            <w:shd w:val="clear" w:color="000000" w:fill="E6E6E6"/>
            <w:noWrap/>
            <w:vAlign w:val="bottom"/>
            <w:hideMark/>
          </w:tcPr>
          <w:p w14:paraId="1EE0EFED" w14:textId="77777777" w:rsidR="00DC091E" w:rsidRPr="00DC091E" w:rsidRDefault="00DC091E" w:rsidP="00DC091E">
            <w:pPr>
              <w:spacing w:after="0" w:line="240" w:lineRule="auto"/>
              <w:rPr>
                <w:rFonts w:ascii="Arial" w:hAnsi="Arial" w:cs="Arial"/>
                <w:b/>
                <w:bCs/>
                <w:sz w:val="16"/>
                <w:szCs w:val="16"/>
              </w:rPr>
            </w:pPr>
            <w:r w:rsidRPr="00DC091E">
              <w:rPr>
                <w:rFonts w:ascii="Arial" w:hAnsi="Arial" w:cs="Arial"/>
                <w:b/>
                <w:bCs/>
                <w:sz w:val="16"/>
                <w:szCs w:val="16"/>
              </w:rPr>
              <w:t>Program 5.2 Program Support for Outcome 5</w:t>
            </w:r>
          </w:p>
        </w:tc>
        <w:tc>
          <w:tcPr>
            <w:tcW w:w="626" w:type="pct"/>
            <w:gridSpan w:val="2"/>
            <w:tcBorders>
              <w:top w:val="single" w:sz="4" w:space="0" w:color="auto"/>
              <w:left w:val="nil"/>
              <w:bottom w:val="single" w:sz="4" w:space="0" w:color="auto"/>
              <w:right w:val="nil"/>
            </w:tcBorders>
            <w:shd w:val="clear" w:color="000000" w:fill="E6E6E6"/>
            <w:noWrap/>
            <w:vAlign w:val="bottom"/>
            <w:hideMark/>
          </w:tcPr>
          <w:p w14:paraId="366125B3" w14:textId="77777777" w:rsidR="00DC091E" w:rsidRPr="00DC091E" w:rsidRDefault="00DC091E" w:rsidP="00DC091E">
            <w:pPr>
              <w:spacing w:after="0" w:line="240" w:lineRule="auto"/>
              <w:rPr>
                <w:rFonts w:ascii="Arial" w:hAnsi="Arial" w:cs="Arial"/>
                <w:sz w:val="16"/>
                <w:szCs w:val="16"/>
              </w:rPr>
            </w:pPr>
            <w:r w:rsidRPr="00DC091E">
              <w:rPr>
                <w:rFonts w:ascii="Arial" w:hAnsi="Arial" w:cs="Arial"/>
                <w:sz w:val="16"/>
                <w:szCs w:val="16"/>
              </w:rPr>
              <w:t> </w:t>
            </w:r>
          </w:p>
        </w:tc>
        <w:tc>
          <w:tcPr>
            <w:tcW w:w="626" w:type="pct"/>
            <w:gridSpan w:val="2"/>
            <w:tcBorders>
              <w:top w:val="single" w:sz="4" w:space="0" w:color="auto"/>
              <w:left w:val="nil"/>
              <w:bottom w:val="single" w:sz="4" w:space="0" w:color="auto"/>
              <w:right w:val="nil"/>
            </w:tcBorders>
            <w:shd w:val="clear" w:color="000000" w:fill="E6E6E6"/>
            <w:noWrap/>
            <w:vAlign w:val="bottom"/>
            <w:hideMark/>
          </w:tcPr>
          <w:p w14:paraId="47F00C42" w14:textId="77777777" w:rsidR="00DC091E" w:rsidRPr="00DC091E" w:rsidRDefault="00DC091E" w:rsidP="00DC091E">
            <w:pPr>
              <w:spacing w:after="0" w:line="240" w:lineRule="auto"/>
              <w:rPr>
                <w:rFonts w:ascii="Arial" w:hAnsi="Arial" w:cs="Arial"/>
                <w:sz w:val="16"/>
                <w:szCs w:val="16"/>
              </w:rPr>
            </w:pPr>
            <w:r w:rsidRPr="00DC091E">
              <w:rPr>
                <w:rFonts w:ascii="Arial" w:hAnsi="Arial" w:cs="Arial"/>
                <w:sz w:val="16"/>
                <w:szCs w:val="16"/>
              </w:rPr>
              <w:t> </w:t>
            </w:r>
          </w:p>
        </w:tc>
        <w:tc>
          <w:tcPr>
            <w:tcW w:w="626" w:type="pct"/>
            <w:gridSpan w:val="2"/>
            <w:tcBorders>
              <w:top w:val="single" w:sz="4" w:space="0" w:color="auto"/>
              <w:left w:val="nil"/>
              <w:bottom w:val="single" w:sz="4" w:space="0" w:color="auto"/>
              <w:right w:val="nil"/>
            </w:tcBorders>
            <w:shd w:val="clear" w:color="000000" w:fill="E6E6E6"/>
            <w:noWrap/>
            <w:vAlign w:val="bottom"/>
            <w:hideMark/>
          </w:tcPr>
          <w:p w14:paraId="5F131DB6" w14:textId="77777777" w:rsidR="00DC091E" w:rsidRPr="00DC091E" w:rsidRDefault="00DC091E" w:rsidP="00DC091E">
            <w:pPr>
              <w:spacing w:after="0" w:line="240" w:lineRule="auto"/>
              <w:rPr>
                <w:rFonts w:ascii="Arial" w:hAnsi="Arial" w:cs="Arial"/>
                <w:sz w:val="16"/>
                <w:szCs w:val="16"/>
              </w:rPr>
            </w:pPr>
            <w:r w:rsidRPr="00DC091E">
              <w:rPr>
                <w:rFonts w:ascii="Arial" w:hAnsi="Arial" w:cs="Arial"/>
                <w:sz w:val="16"/>
                <w:szCs w:val="16"/>
              </w:rPr>
              <w:t> </w:t>
            </w:r>
          </w:p>
        </w:tc>
        <w:tc>
          <w:tcPr>
            <w:tcW w:w="667" w:type="pct"/>
            <w:gridSpan w:val="2"/>
            <w:tcBorders>
              <w:top w:val="single" w:sz="4" w:space="0" w:color="auto"/>
              <w:left w:val="nil"/>
              <w:bottom w:val="single" w:sz="4" w:space="0" w:color="auto"/>
              <w:right w:val="nil"/>
            </w:tcBorders>
            <w:shd w:val="clear" w:color="000000" w:fill="E6E6E6"/>
            <w:noWrap/>
            <w:vAlign w:val="bottom"/>
            <w:hideMark/>
          </w:tcPr>
          <w:p w14:paraId="7B67B1DF" w14:textId="77777777" w:rsidR="00DC091E" w:rsidRPr="00DC091E" w:rsidRDefault="00DC091E" w:rsidP="00DC091E">
            <w:pPr>
              <w:spacing w:after="0" w:line="240" w:lineRule="auto"/>
              <w:rPr>
                <w:rFonts w:ascii="Arial" w:hAnsi="Arial" w:cs="Arial"/>
                <w:sz w:val="16"/>
                <w:szCs w:val="16"/>
              </w:rPr>
            </w:pPr>
            <w:r w:rsidRPr="00DC091E">
              <w:rPr>
                <w:rFonts w:ascii="Arial" w:hAnsi="Arial" w:cs="Arial"/>
                <w:sz w:val="16"/>
                <w:szCs w:val="16"/>
              </w:rPr>
              <w:t> </w:t>
            </w:r>
          </w:p>
        </w:tc>
      </w:tr>
      <w:tr w:rsidR="00DC091E" w:rsidRPr="00DC091E" w14:paraId="56781EA0" w14:textId="77777777" w:rsidTr="00C75389">
        <w:trPr>
          <w:trHeight w:val="204"/>
        </w:trPr>
        <w:tc>
          <w:tcPr>
            <w:tcW w:w="1840" w:type="pct"/>
            <w:tcBorders>
              <w:top w:val="nil"/>
              <w:left w:val="nil"/>
              <w:bottom w:val="nil"/>
              <w:right w:val="nil"/>
            </w:tcBorders>
            <w:shd w:val="clear" w:color="auto" w:fill="auto"/>
            <w:noWrap/>
            <w:vAlign w:val="bottom"/>
            <w:hideMark/>
          </w:tcPr>
          <w:p w14:paraId="5C7B4F4D" w14:textId="77777777" w:rsidR="00DC091E" w:rsidRPr="00DC091E" w:rsidRDefault="00DC091E" w:rsidP="00DC091E">
            <w:pPr>
              <w:spacing w:after="0" w:line="240" w:lineRule="auto"/>
              <w:rPr>
                <w:rFonts w:ascii="Arial" w:hAnsi="Arial" w:cs="Arial"/>
                <w:sz w:val="16"/>
                <w:szCs w:val="16"/>
              </w:rPr>
            </w:pPr>
            <w:r w:rsidRPr="00DC091E">
              <w:rPr>
                <w:rFonts w:ascii="Arial" w:hAnsi="Arial" w:cs="Arial"/>
                <w:sz w:val="16"/>
                <w:szCs w:val="16"/>
              </w:rPr>
              <w:t>Departmental expenses</w:t>
            </w:r>
          </w:p>
        </w:tc>
        <w:tc>
          <w:tcPr>
            <w:tcW w:w="613" w:type="pct"/>
            <w:tcBorders>
              <w:top w:val="nil"/>
              <w:left w:val="nil"/>
              <w:bottom w:val="nil"/>
              <w:right w:val="nil"/>
            </w:tcBorders>
            <w:shd w:val="clear" w:color="auto" w:fill="auto"/>
            <w:noWrap/>
            <w:vAlign w:val="bottom"/>
            <w:hideMark/>
          </w:tcPr>
          <w:p w14:paraId="019E1864" w14:textId="77777777" w:rsidR="00DC091E" w:rsidRPr="00DC091E" w:rsidRDefault="00DC091E" w:rsidP="00DC091E">
            <w:pPr>
              <w:spacing w:after="0" w:line="240" w:lineRule="auto"/>
              <w:rPr>
                <w:rFonts w:ascii="Arial" w:hAnsi="Arial" w:cs="Arial"/>
                <w:sz w:val="16"/>
                <w:szCs w:val="16"/>
              </w:rPr>
            </w:pPr>
          </w:p>
        </w:tc>
        <w:tc>
          <w:tcPr>
            <w:tcW w:w="626" w:type="pct"/>
            <w:gridSpan w:val="2"/>
            <w:tcBorders>
              <w:top w:val="nil"/>
              <w:left w:val="nil"/>
              <w:bottom w:val="nil"/>
              <w:right w:val="nil"/>
            </w:tcBorders>
            <w:shd w:val="clear" w:color="000000" w:fill="E6E6E6"/>
            <w:noWrap/>
            <w:vAlign w:val="bottom"/>
            <w:hideMark/>
          </w:tcPr>
          <w:p w14:paraId="291A5885"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w:t>
            </w:r>
          </w:p>
        </w:tc>
        <w:tc>
          <w:tcPr>
            <w:tcW w:w="626" w:type="pct"/>
            <w:gridSpan w:val="2"/>
            <w:tcBorders>
              <w:top w:val="nil"/>
              <w:left w:val="nil"/>
              <w:bottom w:val="nil"/>
              <w:right w:val="nil"/>
            </w:tcBorders>
            <w:shd w:val="clear" w:color="auto" w:fill="auto"/>
            <w:noWrap/>
            <w:vAlign w:val="bottom"/>
            <w:hideMark/>
          </w:tcPr>
          <w:p w14:paraId="72C2B5E3" w14:textId="77777777" w:rsidR="00DC091E" w:rsidRPr="00DC091E" w:rsidRDefault="00DC091E" w:rsidP="00DC091E">
            <w:pPr>
              <w:spacing w:after="0" w:line="240" w:lineRule="auto"/>
              <w:jc w:val="right"/>
              <w:rPr>
                <w:rFonts w:ascii="Arial" w:hAnsi="Arial" w:cs="Arial"/>
                <w:sz w:val="16"/>
                <w:szCs w:val="16"/>
              </w:rPr>
            </w:pPr>
          </w:p>
        </w:tc>
        <w:tc>
          <w:tcPr>
            <w:tcW w:w="626" w:type="pct"/>
            <w:gridSpan w:val="2"/>
            <w:tcBorders>
              <w:top w:val="nil"/>
              <w:left w:val="nil"/>
              <w:bottom w:val="nil"/>
              <w:right w:val="nil"/>
            </w:tcBorders>
            <w:shd w:val="clear" w:color="auto" w:fill="auto"/>
            <w:noWrap/>
            <w:vAlign w:val="bottom"/>
            <w:hideMark/>
          </w:tcPr>
          <w:p w14:paraId="32C8CD6C" w14:textId="77777777" w:rsidR="00DC091E" w:rsidRPr="00DC091E" w:rsidRDefault="00DC091E" w:rsidP="00DC091E">
            <w:pPr>
              <w:spacing w:after="0" w:line="240" w:lineRule="auto"/>
              <w:jc w:val="right"/>
              <w:rPr>
                <w:rFonts w:ascii="Times New Roman" w:hAnsi="Times New Roman"/>
              </w:rPr>
            </w:pPr>
          </w:p>
        </w:tc>
        <w:tc>
          <w:tcPr>
            <w:tcW w:w="667" w:type="pct"/>
            <w:gridSpan w:val="2"/>
            <w:tcBorders>
              <w:top w:val="nil"/>
              <w:left w:val="nil"/>
              <w:bottom w:val="nil"/>
              <w:right w:val="nil"/>
            </w:tcBorders>
            <w:shd w:val="clear" w:color="auto" w:fill="auto"/>
            <w:noWrap/>
            <w:vAlign w:val="bottom"/>
            <w:hideMark/>
          </w:tcPr>
          <w:p w14:paraId="5C7D8585" w14:textId="77777777" w:rsidR="00DC091E" w:rsidRPr="00DC091E" w:rsidRDefault="00DC091E" w:rsidP="00DC091E">
            <w:pPr>
              <w:spacing w:after="0" w:line="240" w:lineRule="auto"/>
              <w:jc w:val="right"/>
              <w:rPr>
                <w:rFonts w:ascii="Times New Roman" w:hAnsi="Times New Roman"/>
              </w:rPr>
            </w:pPr>
          </w:p>
        </w:tc>
      </w:tr>
      <w:tr w:rsidR="00DC091E" w:rsidRPr="00DC091E" w14:paraId="6505E512" w14:textId="77777777" w:rsidTr="00C75389">
        <w:trPr>
          <w:trHeight w:val="204"/>
        </w:trPr>
        <w:tc>
          <w:tcPr>
            <w:tcW w:w="1840" w:type="pct"/>
            <w:tcBorders>
              <w:top w:val="nil"/>
              <w:left w:val="nil"/>
              <w:bottom w:val="nil"/>
              <w:right w:val="nil"/>
            </w:tcBorders>
            <w:shd w:val="clear" w:color="auto" w:fill="auto"/>
            <w:vAlign w:val="bottom"/>
            <w:hideMark/>
          </w:tcPr>
          <w:p w14:paraId="593BBBC3" w14:textId="77777777" w:rsidR="00DC091E" w:rsidRPr="00DC091E" w:rsidRDefault="00DC091E" w:rsidP="00027A78">
            <w:pPr>
              <w:spacing w:after="0" w:line="240" w:lineRule="auto"/>
              <w:ind w:left="113"/>
              <w:rPr>
                <w:rFonts w:ascii="Arial" w:hAnsi="Arial" w:cs="Arial"/>
                <w:sz w:val="16"/>
                <w:szCs w:val="16"/>
              </w:rPr>
            </w:pPr>
            <w:r w:rsidRPr="00DC091E">
              <w:rPr>
                <w:rFonts w:ascii="Arial" w:hAnsi="Arial" w:cs="Arial"/>
                <w:sz w:val="16"/>
                <w:szCs w:val="16"/>
              </w:rPr>
              <w:t>Departmental appropriation</w:t>
            </w:r>
          </w:p>
        </w:tc>
        <w:tc>
          <w:tcPr>
            <w:tcW w:w="613" w:type="pct"/>
            <w:tcBorders>
              <w:top w:val="nil"/>
              <w:left w:val="nil"/>
              <w:bottom w:val="nil"/>
              <w:right w:val="nil"/>
            </w:tcBorders>
            <w:shd w:val="clear" w:color="auto" w:fill="auto"/>
            <w:noWrap/>
            <w:vAlign w:val="bottom"/>
            <w:hideMark/>
          </w:tcPr>
          <w:p w14:paraId="639F074C"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77,949 </w:t>
            </w:r>
          </w:p>
        </w:tc>
        <w:tc>
          <w:tcPr>
            <w:tcW w:w="626" w:type="pct"/>
            <w:gridSpan w:val="2"/>
            <w:tcBorders>
              <w:top w:val="nil"/>
              <w:left w:val="nil"/>
              <w:bottom w:val="nil"/>
              <w:right w:val="nil"/>
            </w:tcBorders>
            <w:shd w:val="clear" w:color="000000" w:fill="E6E6E6"/>
            <w:noWrap/>
            <w:vAlign w:val="bottom"/>
            <w:hideMark/>
          </w:tcPr>
          <w:p w14:paraId="66E7D82E"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84,061 </w:t>
            </w:r>
          </w:p>
        </w:tc>
        <w:tc>
          <w:tcPr>
            <w:tcW w:w="626" w:type="pct"/>
            <w:gridSpan w:val="2"/>
            <w:tcBorders>
              <w:top w:val="nil"/>
              <w:left w:val="nil"/>
              <w:bottom w:val="nil"/>
              <w:right w:val="nil"/>
            </w:tcBorders>
            <w:shd w:val="clear" w:color="auto" w:fill="auto"/>
            <w:noWrap/>
            <w:vAlign w:val="bottom"/>
            <w:hideMark/>
          </w:tcPr>
          <w:p w14:paraId="675D5A4A"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71,158 </w:t>
            </w:r>
          </w:p>
        </w:tc>
        <w:tc>
          <w:tcPr>
            <w:tcW w:w="626" w:type="pct"/>
            <w:gridSpan w:val="2"/>
            <w:tcBorders>
              <w:top w:val="nil"/>
              <w:left w:val="nil"/>
              <w:bottom w:val="nil"/>
              <w:right w:val="nil"/>
            </w:tcBorders>
            <w:shd w:val="clear" w:color="auto" w:fill="auto"/>
            <w:noWrap/>
            <w:vAlign w:val="bottom"/>
            <w:hideMark/>
          </w:tcPr>
          <w:p w14:paraId="035DB336"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62,556 </w:t>
            </w:r>
          </w:p>
        </w:tc>
        <w:tc>
          <w:tcPr>
            <w:tcW w:w="667" w:type="pct"/>
            <w:gridSpan w:val="2"/>
            <w:tcBorders>
              <w:top w:val="nil"/>
              <w:left w:val="nil"/>
              <w:bottom w:val="nil"/>
              <w:right w:val="nil"/>
            </w:tcBorders>
            <w:shd w:val="clear" w:color="auto" w:fill="auto"/>
            <w:noWrap/>
            <w:vAlign w:val="bottom"/>
            <w:hideMark/>
          </w:tcPr>
          <w:p w14:paraId="3CB0C86D"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59,439 </w:t>
            </w:r>
          </w:p>
        </w:tc>
      </w:tr>
      <w:tr w:rsidR="00DC091E" w:rsidRPr="00DC091E" w14:paraId="760B5998" w14:textId="77777777" w:rsidTr="00C75389">
        <w:trPr>
          <w:trHeight w:val="204"/>
        </w:trPr>
        <w:tc>
          <w:tcPr>
            <w:tcW w:w="1840" w:type="pct"/>
            <w:tcBorders>
              <w:top w:val="nil"/>
              <w:left w:val="nil"/>
              <w:bottom w:val="nil"/>
              <w:right w:val="nil"/>
            </w:tcBorders>
            <w:shd w:val="clear" w:color="auto" w:fill="auto"/>
            <w:vAlign w:val="bottom"/>
            <w:hideMark/>
          </w:tcPr>
          <w:p w14:paraId="2E31DDD3" w14:textId="56E01988" w:rsidR="00DC091E" w:rsidRPr="00DC091E" w:rsidRDefault="00DC091E" w:rsidP="00027A78">
            <w:pPr>
              <w:spacing w:after="0" w:line="240" w:lineRule="auto"/>
              <w:ind w:left="113"/>
              <w:rPr>
                <w:rFonts w:ascii="Arial" w:hAnsi="Arial" w:cs="Arial"/>
                <w:sz w:val="16"/>
                <w:szCs w:val="16"/>
              </w:rPr>
            </w:pPr>
            <w:r w:rsidRPr="00DC091E">
              <w:rPr>
                <w:rFonts w:ascii="Arial" w:hAnsi="Arial" w:cs="Arial"/>
                <w:sz w:val="16"/>
                <w:szCs w:val="16"/>
              </w:rPr>
              <w:t>s74 external revenues</w:t>
            </w:r>
            <w:r w:rsidRPr="00DC091E">
              <w:rPr>
                <w:rFonts w:ascii="Arial" w:hAnsi="Arial" w:cs="Arial"/>
                <w:sz w:val="16"/>
                <w:szCs w:val="16"/>
                <w:vertAlign w:val="superscript"/>
              </w:rPr>
              <w:t>(c)</w:t>
            </w:r>
          </w:p>
        </w:tc>
        <w:tc>
          <w:tcPr>
            <w:tcW w:w="613" w:type="pct"/>
            <w:tcBorders>
              <w:top w:val="nil"/>
              <w:left w:val="nil"/>
              <w:bottom w:val="nil"/>
              <w:right w:val="nil"/>
            </w:tcBorders>
            <w:shd w:val="clear" w:color="auto" w:fill="auto"/>
            <w:noWrap/>
            <w:vAlign w:val="bottom"/>
            <w:hideMark/>
          </w:tcPr>
          <w:p w14:paraId="4A17ABE9"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2,406 </w:t>
            </w:r>
          </w:p>
        </w:tc>
        <w:tc>
          <w:tcPr>
            <w:tcW w:w="626" w:type="pct"/>
            <w:gridSpan w:val="2"/>
            <w:tcBorders>
              <w:top w:val="nil"/>
              <w:left w:val="nil"/>
              <w:bottom w:val="nil"/>
              <w:right w:val="nil"/>
            </w:tcBorders>
            <w:shd w:val="clear" w:color="000000" w:fill="E6E6E6"/>
            <w:noWrap/>
            <w:vAlign w:val="bottom"/>
            <w:hideMark/>
          </w:tcPr>
          <w:p w14:paraId="092AF5B2"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2,917 </w:t>
            </w:r>
          </w:p>
        </w:tc>
        <w:tc>
          <w:tcPr>
            <w:tcW w:w="626" w:type="pct"/>
            <w:gridSpan w:val="2"/>
            <w:tcBorders>
              <w:top w:val="nil"/>
              <w:left w:val="nil"/>
              <w:bottom w:val="nil"/>
              <w:right w:val="nil"/>
            </w:tcBorders>
            <w:shd w:val="clear" w:color="auto" w:fill="auto"/>
            <w:noWrap/>
            <w:vAlign w:val="bottom"/>
            <w:hideMark/>
          </w:tcPr>
          <w:p w14:paraId="50205E4B"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2,049 </w:t>
            </w:r>
          </w:p>
        </w:tc>
        <w:tc>
          <w:tcPr>
            <w:tcW w:w="626" w:type="pct"/>
            <w:gridSpan w:val="2"/>
            <w:tcBorders>
              <w:top w:val="nil"/>
              <w:left w:val="nil"/>
              <w:bottom w:val="nil"/>
              <w:right w:val="nil"/>
            </w:tcBorders>
            <w:shd w:val="clear" w:color="auto" w:fill="auto"/>
            <w:noWrap/>
            <w:vAlign w:val="bottom"/>
            <w:hideMark/>
          </w:tcPr>
          <w:p w14:paraId="04CE38AB"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2,049 </w:t>
            </w:r>
          </w:p>
        </w:tc>
        <w:tc>
          <w:tcPr>
            <w:tcW w:w="667" w:type="pct"/>
            <w:gridSpan w:val="2"/>
            <w:tcBorders>
              <w:top w:val="nil"/>
              <w:left w:val="nil"/>
              <w:bottom w:val="nil"/>
              <w:right w:val="nil"/>
            </w:tcBorders>
            <w:shd w:val="clear" w:color="auto" w:fill="auto"/>
            <w:noWrap/>
            <w:vAlign w:val="bottom"/>
            <w:hideMark/>
          </w:tcPr>
          <w:p w14:paraId="7660AE4B"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2,049 </w:t>
            </w:r>
          </w:p>
        </w:tc>
      </w:tr>
      <w:tr w:rsidR="00DC091E" w:rsidRPr="00DC091E" w14:paraId="4C70DB95" w14:textId="77777777" w:rsidTr="00C75389">
        <w:trPr>
          <w:trHeight w:val="204"/>
        </w:trPr>
        <w:tc>
          <w:tcPr>
            <w:tcW w:w="1840" w:type="pct"/>
            <w:tcBorders>
              <w:top w:val="nil"/>
              <w:left w:val="nil"/>
              <w:bottom w:val="nil"/>
              <w:right w:val="nil"/>
            </w:tcBorders>
            <w:shd w:val="clear" w:color="auto" w:fill="auto"/>
            <w:vAlign w:val="bottom"/>
            <w:hideMark/>
          </w:tcPr>
          <w:p w14:paraId="2C792138" w14:textId="77777777" w:rsidR="00DC091E" w:rsidRPr="00DC091E" w:rsidRDefault="00DC091E" w:rsidP="00027A78">
            <w:pPr>
              <w:spacing w:after="0" w:line="240" w:lineRule="auto"/>
              <w:ind w:left="113"/>
              <w:rPr>
                <w:rFonts w:ascii="Arial" w:hAnsi="Arial" w:cs="Arial"/>
                <w:sz w:val="16"/>
                <w:szCs w:val="16"/>
              </w:rPr>
            </w:pPr>
            <w:r w:rsidRPr="00DC091E">
              <w:rPr>
                <w:rFonts w:ascii="Arial" w:hAnsi="Arial" w:cs="Arial"/>
                <w:sz w:val="16"/>
                <w:szCs w:val="16"/>
              </w:rPr>
              <w:t>Special Accounts</w:t>
            </w:r>
          </w:p>
        </w:tc>
        <w:tc>
          <w:tcPr>
            <w:tcW w:w="613" w:type="pct"/>
            <w:tcBorders>
              <w:top w:val="nil"/>
              <w:left w:val="nil"/>
              <w:bottom w:val="nil"/>
              <w:right w:val="nil"/>
            </w:tcBorders>
            <w:shd w:val="clear" w:color="auto" w:fill="auto"/>
            <w:noWrap/>
            <w:vAlign w:val="bottom"/>
            <w:hideMark/>
          </w:tcPr>
          <w:p w14:paraId="3DFC24B4" w14:textId="77777777" w:rsidR="00DC091E" w:rsidRPr="00DC091E" w:rsidRDefault="00DC091E" w:rsidP="00DC091E">
            <w:pPr>
              <w:spacing w:after="0" w:line="240" w:lineRule="auto"/>
              <w:ind w:firstLineChars="100" w:firstLine="160"/>
              <w:rPr>
                <w:rFonts w:ascii="Arial" w:hAnsi="Arial" w:cs="Arial"/>
                <w:sz w:val="16"/>
                <w:szCs w:val="16"/>
              </w:rPr>
            </w:pPr>
          </w:p>
        </w:tc>
        <w:tc>
          <w:tcPr>
            <w:tcW w:w="626" w:type="pct"/>
            <w:gridSpan w:val="2"/>
            <w:tcBorders>
              <w:top w:val="nil"/>
              <w:left w:val="nil"/>
              <w:bottom w:val="nil"/>
              <w:right w:val="nil"/>
            </w:tcBorders>
            <w:shd w:val="clear" w:color="000000" w:fill="E6E6E6"/>
            <w:noWrap/>
            <w:vAlign w:val="bottom"/>
            <w:hideMark/>
          </w:tcPr>
          <w:p w14:paraId="0D18F28C"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w:t>
            </w:r>
          </w:p>
        </w:tc>
        <w:tc>
          <w:tcPr>
            <w:tcW w:w="626" w:type="pct"/>
            <w:gridSpan w:val="2"/>
            <w:tcBorders>
              <w:top w:val="nil"/>
              <w:left w:val="nil"/>
              <w:bottom w:val="nil"/>
              <w:right w:val="nil"/>
            </w:tcBorders>
            <w:shd w:val="clear" w:color="auto" w:fill="auto"/>
            <w:noWrap/>
            <w:vAlign w:val="bottom"/>
            <w:hideMark/>
          </w:tcPr>
          <w:p w14:paraId="111DA095" w14:textId="77777777" w:rsidR="00DC091E" w:rsidRPr="00DC091E" w:rsidRDefault="00DC091E" w:rsidP="00DC091E">
            <w:pPr>
              <w:spacing w:after="0" w:line="240" w:lineRule="auto"/>
              <w:jc w:val="right"/>
              <w:rPr>
                <w:rFonts w:ascii="Arial" w:hAnsi="Arial" w:cs="Arial"/>
                <w:sz w:val="16"/>
                <w:szCs w:val="16"/>
              </w:rPr>
            </w:pPr>
          </w:p>
        </w:tc>
        <w:tc>
          <w:tcPr>
            <w:tcW w:w="626" w:type="pct"/>
            <w:gridSpan w:val="2"/>
            <w:tcBorders>
              <w:top w:val="nil"/>
              <w:left w:val="nil"/>
              <w:bottom w:val="nil"/>
              <w:right w:val="nil"/>
            </w:tcBorders>
            <w:shd w:val="clear" w:color="auto" w:fill="auto"/>
            <w:noWrap/>
            <w:vAlign w:val="bottom"/>
            <w:hideMark/>
          </w:tcPr>
          <w:p w14:paraId="38A61EB0" w14:textId="77777777" w:rsidR="00DC091E" w:rsidRPr="00DC091E" w:rsidRDefault="00DC091E" w:rsidP="00DC091E">
            <w:pPr>
              <w:spacing w:after="0" w:line="240" w:lineRule="auto"/>
              <w:jc w:val="right"/>
              <w:rPr>
                <w:rFonts w:ascii="Times New Roman" w:hAnsi="Times New Roman"/>
              </w:rPr>
            </w:pPr>
          </w:p>
        </w:tc>
        <w:tc>
          <w:tcPr>
            <w:tcW w:w="667" w:type="pct"/>
            <w:gridSpan w:val="2"/>
            <w:tcBorders>
              <w:top w:val="nil"/>
              <w:left w:val="nil"/>
              <w:bottom w:val="nil"/>
              <w:right w:val="nil"/>
            </w:tcBorders>
            <w:shd w:val="clear" w:color="auto" w:fill="auto"/>
            <w:noWrap/>
            <w:vAlign w:val="bottom"/>
            <w:hideMark/>
          </w:tcPr>
          <w:p w14:paraId="57F4265E" w14:textId="77777777" w:rsidR="00DC091E" w:rsidRPr="00DC091E" w:rsidRDefault="00DC091E" w:rsidP="00DC091E">
            <w:pPr>
              <w:spacing w:after="0" w:line="240" w:lineRule="auto"/>
              <w:jc w:val="right"/>
              <w:rPr>
                <w:rFonts w:ascii="Times New Roman" w:hAnsi="Times New Roman"/>
              </w:rPr>
            </w:pPr>
          </w:p>
        </w:tc>
      </w:tr>
      <w:tr w:rsidR="00DC091E" w:rsidRPr="00DC091E" w14:paraId="301360E2" w14:textId="77777777" w:rsidTr="00C75389">
        <w:trPr>
          <w:trHeight w:val="204"/>
        </w:trPr>
        <w:tc>
          <w:tcPr>
            <w:tcW w:w="1840" w:type="pct"/>
            <w:tcBorders>
              <w:top w:val="nil"/>
              <w:left w:val="nil"/>
              <w:bottom w:val="nil"/>
              <w:right w:val="nil"/>
            </w:tcBorders>
            <w:shd w:val="clear" w:color="auto" w:fill="auto"/>
            <w:vAlign w:val="bottom"/>
            <w:hideMark/>
          </w:tcPr>
          <w:p w14:paraId="20A4D180" w14:textId="77777777" w:rsidR="00DC091E" w:rsidRPr="00DC091E" w:rsidRDefault="00DC091E" w:rsidP="00027A78">
            <w:pPr>
              <w:spacing w:after="0" w:line="240" w:lineRule="auto"/>
              <w:ind w:left="227"/>
              <w:rPr>
                <w:rFonts w:ascii="Arial" w:hAnsi="Arial" w:cs="Arial"/>
                <w:sz w:val="16"/>
                <w:szCs w:val="16"/>
              </w:rPr>
            </w:pPr>
            <w:r w:rsidRPr="00DC091E">
              <w:rPr>
                <w:rFonts w:ascii="Arial" w:hAnsi="Arial" w:cs="Arial"/>
                <w:sz w:val="16"/>
                <w:szCs w:val="16"/>
              </w:rPr>
              <w:t>Public Interest Telecommunications Services Special Account</w:t>
            </w:r>
          </w:p>
        </w:tc>
        <w:tc>
          <w:tcPr>
            <w:tcW w:w="613" w:type="pct"/>
            <w:tcBorders>
              <w:top w:val="nil"/>
              <w:left w:val="nil"/>
              <w:bottom w:val="nil"/>
              <w:right w:val="nil"/>
            </w:tcBorders>
            <w:shd w:val="clear" w:color="auto" w:fill="auto"/>
            <w:noWrap/>
            <w:vAlign w:val="bottom"/>
            <w:hideMark/>
          </w:tcPr>
          <w:p w14:paraId="6E05E454" w14:textId="77777777" w:rsidR="00DC091E" w:rsidRPr="00DC091E" w:rsidRDefault="00DC091E" w:rsidP="00027A78">
            <w:pPr>
              <w:spacing w:after="0" w:line="240" w:lineRule="auto"/>
              <w:ind w:left="227"/>
              <w:jc w:val="right"/>
              <w:rPr>
                <w:rFonts w:ascii="Arial" w:hAnsi="Arial" w:cs="Arial"/>
                <w:sz w:val="16"/>
                <w:szCs w:val="16"/>
              </w:rPr>
            </w:pPr>
            <w:r w:rsidRPr="00DC091E">
              <w:rPr>
                <w:rFonts w:ascii="Arial" w:hAnsi="Arial" w:cs="Arial"/>
                <w:sz w:val="16"/>
                <w:szCs w:val="16"/>
              </w:rPr>
              <w:t xml:space="preserve">4,046 </w:t>
            </w:r>
          </w:p>
        </w:tc>
        <w:tc>
          <w:tcPr>
            <w:tcW w:w="626" w:type="pct"/>
            <w:gridSpan w:val="2"/>
            <w:tcBorders>
              <w:top w:val="nil"/>
              <w:left w:val="nil"/>
              <w:bottom w:val="nil"/>
              <w:right w:val="nil"/>
            </w:tcBorders>
            <w:shd w:val="clear" w:color="000000" w:fill="E6E6E6"/>
            <w:noWrap/>
            <w:vAlign w:val="bottom"/>
            <w:hideMark/>
          </w:tcPr>
          <w:p w14:paraId="731559A2" w14:textId="77777777" w:rsidR="00DC091E" w:rsidRPr="00DC091E" w:rsidRDefault="00DC091E" w:rsidP="00027A78">
            <w:pPr>
              <w:spacing w:after="0" w:line="240" w:lineRule="auto"/>
              <w:ind w:left="227"/>
              <w:jc w:val="right"/>
              <w:rPr>
                <w:rFonts w:ascii="Arial" w:hAnsi="Arial" w:cs="Arial"/>
                <w:sz w:val="16"/>
                <w:szCs w:val="16"/>
              </w:rPr>
            </w:pPr>
            <w:r w:rsidRPr="00DC091E">
              <w:rPr>
                <w:rFonts w:ascii="Arial" w:hAnsi="Arial" w:cs="Arial"/>
                <w:sz w:val="16"/>
                <w:szCs w:val="16"/>
              </w:rPr>
              <w:t xml:space="preserve">4,046 </w:t>
            </w:r>
          </w:p>
        </w:tc>
        <w:tc>
          <w:tcPr>
            <w:tcW w:w="626" w:type="pct"/>
            <w:gridSpan w:val="2"/>
            <w:tcBorders>
              <w:top w:val="nil"/>
              <w:left w:val="nil"/>
              <w:bottom w:val="nil"/>
              <w:right w:val="nil"/>
            </w:tcBorders>
            <w:shd w:val="clear" w:color="auto" w:fill="auto"/>
            <w:noWrap/>
            <w:vAlign w:val="bottom"/>
            <w:hideMark/>
          </w:tcPr>
          <w:p w14:paraId="151C8414" w14:textId="77777777" w:rsidR="00DC091E" w:rsidRPr="00DC091E" w:rsidRDefault="00DC091E" w:rsidP="00027A78">
            <w:pPr>
              <w:spacing w:after="0" w:line="240" w:lineRule="auto"/>
              <w:ind w:left="227"/>
              <w:jc w:val="right"/>
              <w:rPr>
                <w:rFonts w:ascii="Arial" w:hAnsi="Arial" w:cs="Arial"/>
                <w:sz w:val="16"/>
                <w:szCs w:val="16"/>
              </w:rPr>
            </w:pPr>
            <w:r w:rsidRPr="00DC091E">
              <w:rPr>
                <w:rFonts w:ascii="Arial" w:hAnsi="Arial" w:cs="Arial"/>
                <w:sz w:val="16"/>
                <w:szCs w:val="16"/>
              </w:rPr>
              <w:t xml:space="preserve">4,046 </w:t>
            </w:r>
          </w:p>
        </w:tc>
        <w:tc>
          <w:tcPr>
            <w:tcW w:w="626" w:type="pct"/>
            <w:gridSpan w:val="2"/>
            <w:tcBorders>
              <w:top w:val="nil"/>
              <w:left w:val="nil"/>
              <w:bottom w:val="nil"/>
              <w:right w:val="nil"/>
            </w:tcBorders>
            <w:shd w:val="clear" w:color="auto" w:fill="auto"/>
            <w:noWrap/>
            <w:vAlign w:val="bottom"/>
            <w:hideMark/>
          </w:tcPr>
          <w:p w14:paraId="0203C039" w14:textId="77777777" w:rsidR="00DC091E" w:rsidRPr="00DC091E" w:rsidRDefault="00DC091E" w:rsidP="00027A78">
            <w:pPr>
              <w:spacing w:after="0" w:line="240" w:lineRule="auto"/>
              <w:ind w:left="227"/>
              <w:jc w:val="right"/>
              <w:rPr>
                <w:rFonts w:ascii="Arial" w:hAnsi="Arial" w:cs="Arial"/>
                <w:sz w:val="16"/>
                <w:szCs w:val="16"/>
              </w:rPr>
            </w:pPr>
            <w:r w:rsidRPr="00DC091E">
              <w:rPr>
                <w:rFonts w:ascii="Arial" w:hAnsi="Arial" w:cs="Arial"/>
                <w:sz w:val="16"/>
                <w:szCs w:val="16"/>
              </w:rPr>
              <w:t xml:space="preserve">4,046 </w:t>
            </w:r>
          </w:p>
        </w:tc>
        <w:tc>
          <w:tcPr>
            <w:tcW w:w="667" w:type="pct"/>
            <w:gridSpan w:val="2"/>
            <w:tcBorders>
              <w:top w:val="nil"/>
              <w:left w:val="nil"/>
              <w:bottom w:val="nil"/>
              <w:right w:val="nil"/>
            </w:tcBorders>
            <w:shd w:val="clear" w:color="auto" w:fill="auto"/>
            <w:noWrap/>
            <w:vAlign w:val="bottom"/>
            <w:hideMark/>
          </w:tcPr>
          <w:p w14:paraId="64F1ECB9" w14:textId="77777777" w:rsidR="00DC091E" w:rsidRPr="00DC091E" w:rsidRDefault="00DC091E" w:rsidP="00027A78">
            <w:pPr>
              <w:spacing w:after="0" w:line="240" w:lineRule="auto"/>
              <w:ind w:left="227"/>
              <w:jc w:val="right"/>
              <w:rPr>
                <w:rFonts w:ascii="Arial" w:hAnsi="Arial" w:cs="Arial"/>
                <w:sz w:val="16"/>
                <w:szCs w:val="16"/>
              </w:rPr>
            </w:pPr>
            <w:r w:rsidRPr="00DC091E">
              <w:rPr>
                <w:rFonts w:ascii="Arial" w:hAnsi="Arial" w:cs="Arial"/>
                <w:sz w:val="16"/>
                <w:szCs w:val="16"/>
              </w:rPr>
              <w:t xml:space="preserve">4,046 </w:t>
            </w:r>
          </w:p>
        </w:tc>
      </w:tr>
      <w:tr w:rsidR="00DC091E" w:rsidRPr="00DC091E" w14:paraId="22A13F3F" w14:textId="77777777" w:rsidTr="00C75389">
        <w:trPr>
          <w:trHeight w:val="204"/>
        </w:trPr>
        <w:tc>
          <w:tcPr>
            <w:tcW w:w="1840" w:type="pct"/>
            <w:tcBorders>
              <w:top w:val="nil"/>
              <w:left w:val="nil"/>
              <w:bottom w:val="nil"/>
              <w:right w:val="nil"/>
            </w:tcBorders>
            <w:shd w:val="clear" w:color="auto" w:fill="auto"/>
            <w:vAlign w:val="bottom"/>
            <w:hideMark/>
          </w:tcPr>
          <w:p w14:paraId="72788940" w14:textId="3E281AB8" w:rsidR="00DC091E" w:rsidRPr="00DC091E" w:rsidRDefault="00DC091E" w:rsidP="00027A78">
            <w:pPr>
              <w:spacing w:after="0" w:line="240" w:lineRule="auto"/>
              <w:ind w:left="113"/>
              <w:rPr>
                <w:rFonts w:ascii="Arial" w:hAnsi="Arial" w:cs="Arial"/>
                <w:sz w:val="16"/>
                <w:szCs w:val="16"/>
              </w:rPr>
            </w:pPr>
            <w:r w:rsidRPr="00DC091E">
              <w:rPr>
                <w:rFonts w:ascii="Arial" w:hAnsi="Arial" w:cs="Arial"/>
                <w:sz w:val="16"/>
                <w:szCs w:val="16"/>
              </w:rPr>
              <w:t>Expenses not requiring appropriation in the Budget year</w:t>
            </w:r>
            <w:r w:rsidRPr="00DC091E">
              <w:rPr>
                <w:rFonts w:ascii="Arial" w:hAnsi="Arial" w:cs="Arial"/>
                <w:sz w:val="16"/>
                <w:szCs w:val="16"/>
                <w:vertAlign w:val="superscript"/>
              </w:rPr>
              <w:t>(d)</w:t>
            </w:r>
          </w:p>
        </w:tc>
        <w:tc>
          <w:tcPr>
            <w:tcW w:w="613" w:type="pct"/>
            <w:tcBorders>
              <w:top w:val="nil"/>
              <w:left w:val="nil"/>
              <w:bottom w:val="nil"/>
              <w:right w:val="nil"/>
            </w:tcBorders>
            <w:shd w:val="clear" w:color="auto" w:fill="auto"/>
            <w:noWrap/>
            <w:vAlign w:val="bottom"/>
            <w:hideMark/>
          </w:tcPr>
          <w:p w14:paraId="15366393"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3,010 </w:t>
            </w:r>
          </w:p>
        </w:tc>
        <w:tc>
          <w:tcPr>
            <w:tcW w:w="626" w:type="pct"/>
            <w:gridSpan w:val="2"/>
            <w:tcBorders>
              <w:top w:val="nil"/>
              <w:left w:val="nil"/>
              <w:bottom w:val="nil"/>
              <w:right w:val="nil"/>
            </w:tcBorders>
            <w:shd w:val="clear" w:color="000000" w:fill="E6E6E6"/>
            <w:noWrap/>
            <w:vAlign w:val="bottom"/>
            <w:hideMark/>
          </w:tcPr>
          <w:p w14:paraId="6296B3AD"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5,849 </w:t>
            </w:r>
          </w:p>
        </w:tc>
        <w:tc>
          <w:tcPr>
            <w:tcW w:w="626" w:type="pct"/>
            <w:gridSpan w:val="2"/>
            <w:tcBorders>
              <w:top w:val="nil"/>
              <w:left w:val="nil"/>
              <w:bottom w:val="nil"/>
              <w:right w:val="nil"/>
            </w:tcBorders>
            <w:shd w:val="clear" w:color="auto" w:fill="auto"/>
            <w:noWrap/>
            <w:vAlign w:val="bottom"/>
            <w:hideMark/>
          </w:tcPr>
          <w:p w14:paraId="4A77D34E"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5,816 </w:t>
            </w:r>
          </w:p>
        </w:tc>
        <w:tc>
          <w:tcPr>
            <w:tcW w:w="626" w:type="pct"/>
            <w:gridSpan w:val="2"/>
            <w:tcBorders>
              <w:top w:val="nil"/>
              <w:left w:val="nil"/>
              <w:bottom w:val="nil"/>
              <w:right w:val="nil"/>
            </w:tcBorders>
            <w:shd w:val="clear" w:color="auto" w:fill="auto"/>
            <w:noWrap/>
            <w:vAlign w:val="bottom"/>
            <w:hideMark/>
          </w:tcPr>
          <w:p w14:paraId="71F240E8"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5,816 </w:t>
            </w:r>
          </w:p>
        </w:tc>
        <w:tc>
          <w:tcPr>
            <w:tcW w:w="667" w:type="pct"/>
            <w:gridSpan w:val="2"/>
            <w:tcBorders>
              <w:top w:val="nil"/>
              <w:left w:val="nil"/>
              <w:bottom w:val="nil"/>
              <w:right w:val="nil"/>
            </w:tcBorders>
            <w:shd w:val="clear" w:color="auto" w:fill="auto"/>
            <w:noWrap/>
            <w:vAlign w:val="bottom"/>
            <w:hideMark/>
          </w:tcPr>
          <w:p w14:paraId="75B101DC"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5,816 </w:t>
            </w:r>
          </w:p>
        </w:tc>
      </w:tr>
      <w:tr w:rsidR="00DC091E" w:rsidRPr="00DC091E" w14:paraId="0AF0DBD8" w14:textId="77777777" w:rsidTr="00C75389">
        <w:trPr>
          <w:trHeight w:val="204"/>
        </w:trPr>
        <w:tc>
          <w:tcPr>
            <w:tcW w:w="1840" w:type="pct"/>
            <w:tcBorders>
              <w:top w:val="nil"/>
              <w:left w:val="nil"/>
              <w:bottom w:val="single" w:sz="4" w:space="0" w:color="auto"/>
              <w:right w:val="nil"/>
            </w:tcBorders>
            <w:shd w:val="clear" w:color="auto" w:fill="auto"/>
            <w:noWrap/>
            <w:vAlign w:val="bottom"/>
            <w:hideMark/>
          </w:tcPr>
          <w:p w14:paraId="1F042423" w14:textId="77777777" w:rsidR="00DC091E" w:rsidRPr="00DC091E" w:rsidRDefault="00DC091E" w:rsidP="00DC091E">
            <w:pPr>
              <w:spacing w:after="0" w:line="240" w:lineRule="auto"/>
              <w:rPr>
                <w:rFonts w:ascii="Arial" w:hAnsi="Arial" w:cs="Arial"/>
                <w:b/>
                <w:bCs/>
                <w:sz w:val="16"/>
                <w:szCs w:val="16"/>
              </w:rPr>
            </w:pPr>
            <w:r w:rsidRPr="00DC091E">
              <w:rPr>
                <w:rFonts w:ascii="Arial" w:hAnsi="Arial" w:cs="Arial"/>
                <w:b/>
                <w:bCs/>
                <w:sz w:val="16"/>
                <w:szCs w:val="16"/>
              </w:rPr>
              <w:t>Total expenses for Program 5.2</w:t>
            </w:r>
          </w:p>
        </w:tc>
        <w:tc>
          <w:tcPr>
            <w:tcW w:w="613" w:type="pct"/>
            <w:tcBorders>
              <w:top w:val="single" w:sz="4" w:space="0" w:color="auto"/>
              <w:left w:val="nil"/>
              <w:bottom w:val="single" w:sz="4" w:space="0" w:color="auto"/>
              <w:right w:val="nil"/>
            </w:tcBorders>
            <w:shd w:val="clear" w:color="auto" w:fill="auto"/>
            <w:noWrap/>
            <w:vAlign w:val="bottom"/>
            <w:hideMark/>
          </w:tcPr>
          <w:p w14:paraId="7CEB1ACB" w14:textId="77777777" w:rsidR="00DC091E" w:rsidRPr="00DC091E" w:rsidRDefault="00DC091E" w:rsidP="00DC091E">
            <w:pPr>
              <w:spacing w:after="0" w:line="240" w:lineRule="auto"/>
              <w:jc w:val="right"/>
              <w:rPr>
                <w:rFonts w:ascii="Arial" w:hAnsi="Arial" w:cs="Arial"/>
                <w:b/>
                <w:bCs/>
                <w:sz w:val="16"/>
                <w:szCs w:val="16"/>
              </w:rPr>
            </w:pPr>
            <w:r w:rsidRPr="00DC091E">
              <w:rPr>
                <w:rFonts w:ascii="Arial" w:hAnsi="Arial" w:cs="Arial"/>
                <w:b/>
                <w:bCs/>
                <w:sz w:val="16"/>
                <w:szCs w:val="16"/>
              </w:rPr>
              <w:t xml:space="preserve">87,411 </w:t>
            </w:r>
          </w:p>
        </w:tc>
        <w:tc>
          <w:tcPr>
            <w:tcW w:w="626" w:type="pct"/>
            <w:gridSpan w:val="2"/>
            <w:tcBorders>
              <w:top w:val="single" w:sz="4" w:space="0" w:color="auto"/>
              <w:left w:val="nil"/>
              <w:bottom w:val="single" w:sz="4" w:space="0" w:color="auto"/>
              <w:right w:val="nil"/>
            </w:tcBorders>
            <w:shd w:val="clear" w:color="000000" w:fill="E6E6E6"/>
            <w:noWrap/>
            <w:vAlign w:val="bottom"/>
            <w:hideMark/>
          </w:tcPr>
          <w:p w14:paraId="626FD3E8" w14:textId="77777777" w:rsidR="00DC091E" w:rsidRPr="00DC091E" w:rsidRDefault="00DC091E" w:rsidP="00DC091E">
            <w:pPr>
              <w:spacing w:after="0" w:line="240" w:lineRule="auto"/>
              <w:jc w:val="right"/>
              <w:rPr>
                <w:rFonts w:ascii="Arial" w:hAnsi="Arial" w:cs="Arial"/>
                <w:b/>
                <w:bCs/>
                <w:sz w:val="16"/>
                <w:szCs w:val="16"/>
              </w:rPr>
            </w:pPr>
            <w:r w:rsidRPr="00DC091E">
              <w:rPr>
                <w:rFonts w:ascii="Arial" w:hAnsi="Arial" w:cs="Arial"/>
                <w:b/>
                <w:bCs/>
                <w:sz w:val="16"/>
                <w:szCs w:val="16"/>
              </w:rPr>
              <w:t xml:space="preserve">96,873 </w:t>
            </w:r>
          </w:p>
        </w:tc>
        <w:tc>
          <w:tcPr>
            <w:tcW w:w="626" w:type="pct"/>
            <w:gridSpan w:val="2"/>
            <w:tcBorders>
              <w:top w:val="single" w:sz="4" w:space="0" w:color="auto"/>
              <w:left w:val="nil"/>
              <w:bottom w:val="single" w:sz="4" w:space="0" w:color="auto"/>
              <w:right w:val="nil"/>
            </w:tcBorders>
            <w:shd w:val="clear" w:color="auto" w:fill="auto"/>
            <w:noWrap/>
            <w:vAlign w:val="bottom"/>
            <w:hideMark/>
          </w:tcPr>
          <w:p w14:paraId="7721565A" w14:textId="77777777" w:rsidR="00DC091E" w:rsidRPr="00DC091E" w:rsidRDefault="00DC091E" w:rsidP="00DC091E">
            <w:pPr>
              <w:spacing w:after="0" w:line="240" w:lineRule="auto"/>
              <w:jc w:val="right"/>
              <w:rPr>
                <w:rFonts w:ascii="Arial" w:hAnsi="Arial" w:cs="Arial"/>
                <w:b/>
                <w:bCs/>
                <w:sz w:val="16"/>
                <w:szCs w:val="16"/>
              </w:rPr>
            </w:pPr>
            <w:r w:rsidRPr="00DC091E">
              <w:rPr>
                <w:rFonts w:ascii="Arial" w:hAnsi="Arial" w:cs="Arial"/>
                <w:b/>
                <w:bCs/>
                <w:sz w:val="16"/>
                <w:szCs w:val="16"/>
              </w:rPr>
              <w:t xml:space="preserve">83,069 </w:t>
            </w:r>
          </w:p>
        </w:tc>
        <w:tc>
          <w:tcPr>
            <w:tcW w:w="626" w:type="pct"/>
            <w:gridSpan w:val="2"/>
            <w:tcBorders>
              <w:top w:val="single" w:sz="4" w:space="0" w:color="auto"/>
              <w:left w:val="nil"/>
              <w:bottom w:val="single" w:sz="4" w:space="0" w:color="auto"/>
              <w:right w:val="nil"/>
            </w:tcBorders>
            <w:shd w:val="clear" w:color="auto" w:fill="auto"/>
            <w:noWrap/>
            <w:vAlign w:val="bottom"/>
            <w:hideMark/>
          </w:tcPr>
          <w:p w14:paraId="54FAAA30" w14:textId="77777777" w:rsidR="00DC091E" w:rsidRPr="00DC091E" w:rsidRDefault="00DC091E" w:rsidP="00DC091E">
            <w:pPr>
              <w:spacing w:after="0" w:line="240" w:lineRule="auto"/>
              <w:jc w:val="right"/>
              <w:rPr>
                <w:rFonts w:ascii="Arial" w:hAnsi="Arial" w:cs="Arial"/>
                <w:b/>
                <w:bCs/>
                <w:sz w:val="16"/>
                <w:szCs w:val="16"/>
              </w:rPr>
            </w:pPr>
            <w:r w:rsidRPr="00DC091E">
              <w:rPr>
                <w:rFonts w:ascii="Arial" w:hAnsi="Arial" w:cs="Arial"/>
                <w:b/>
                <w:bCs/>
                <w:sz w:val="16"/>
                <w:szCs w:val="16"/>
              </w:rPr>
              <w:t xml:space="preserve">74,467 </w:t>
            </w:r>
          </w:p>
        </w:tc>
        <w:tc>
          <w:tcPr>
            <w:tcW w:w="667" w:type="pct"/>
            <w:gridSpan w:val="2"/>
            <w:tcBorders>
              <w:top w:val="single" w:sz="4" w:space="0" w:color="auto"/>
              <w:left w:val="nil"/>
              <w:bottom w:val="single" w:sz="4" w:space="0" w:color="auto"/>
              <w:right w:val="nil"/>
            </w:tcBorders>
            <w:shd w:val="clear" w:color="auto" w:fill="auto"/>
            <w:noWrap/>
            <w:vAlign w:val="bottom"/>
            <w:hideMark/>
          </w:tcPr>
          <w:p w14:paraId="2F5FD811" w14:textId="77777777" w:rsidR="00DC091E" w:rsidRPr="00DC091E" w:rsidRDefault="00DC091E" w:rsidP="00DC091E">
            <w:pPr>
              <w:spacing w:after="0" w:line="240" w:lineRule="auto"/>
              <w:jc w:val="right"/>
              <w:rPr>
                <w:rFonts w:ascii="Arial" w:hAnsi="Arial" w:cs="Arial"/>
                <w:b/>
                <w:bCs/>
                <w:sz w:val="16"/>
                <w:szCs w:val="16"/>
              </w:rPr>
            </w:pPr>
            <w:r w:rsidRPr="00DC091E">
              <w:rPr>
                <w:rFonts w:ascii="Arial" w:hAnsi="Arial" w:cs="Arial"/>
                <w:b/>
                <w:bCs/>
                <w:sz w:val="16"/>
                <w:szCs w:val="16"/>
              </w:rPr>
              <w:t xml:space="preserve">71,350 </w:t>
            </w:r>
          </w:p>
        </w:tc>
      </w:tr>
      <w:tr w:rsidR="00DC091E" w:rsidRPr="00DC091E" w14:paraId="26100497" w14:textId="77777777" w:rsidTr="00C75389">
        <w:trPr>
          <w:trHeight w:val="204"/>
        </w:trPr>
        <w:tc>
          <w:tcPr>
            <w:tcW w:w="2454" w:type="pct"/>
            <w:gridSpan w:val="2"/>
            <w:tcBorders>
              <w:top w:val="single" w:sz="4" w:space="0" w:color="auto"/>
              <w:left w:val="nil"/>
              <w:bottom w:val="single" w:sz="4" w:space="0" w:color="auto"/>
              <w:right w:val="nil"/>
            </w:tcBorders>
            <w:shd w:val="clear" w:color="000000" w:fill="E6E6E6"/>
            <w:noWrap/>
            <w:vAlign w:val="bottom"/>
            <w:hideMark/>
          </w:tcPr>
          <w:p w14:paraId="7A427CD4" w14:textId="77777777" w:rsidR="00DC091E" w:rsidRPr="00DC091E" w:rsidRDefault="00DC091E" w:rsidP="00DC091E">
            <w:pPr>
              <w:spacing w:after="0" w:line="240" w:lineRule="auto"/>
              <w:outlineLvl w:val="0"/>
              <w:rPr>
                <w:rFonts w:ascii="Arial" w:hAnsi="Arial" w:cs="Arial"/>
                <w:b/>
                <w:bCs/>
                <w:sz w:val="16"/>
                <w:szCs w:val="16"/>
              </w:rPr>
            </w:pPr>
            <w:r w:rsidRPr="00DC091E">
              <w:rPr>
                <w:rFonts w:ascii="Arial" w:hAnsi="Arial" w:cs="Arial"/>
                <w:b/>
                <w:bCs/>
                <w:sz w:val="16"/>
                <w:szCs w:val="16"/>
              </w:rPr>
              <w:t>Outcome 5 Totals by appropriation type</w:t>
            </w:r>
          </w:p>
        </w:tc>
        <w:tc>
          <w:tcPr>
            <w:tcW w:w="626" w:type="pct"/>
            <w:gridSpan w:val="2"/>
            <w:tcBorders>
              <w:top w:val="single" w:sz="4" w:space="0" w:color="auto"/>
              <w:left w:val="nil"/>
              <w:bottom w:val="single" w:sz="4" w:space="0" w:color="auto"/>
              <w:right w:val="nil"/>
            </w:tcBorders>
            <w:shd w:val="clear" w:color="000000" w:fill="E6E6E6"/>
            <w:noWrap/>
            <w:vAlign w:val="bottom"/>
            <w:hideMark/>
          </w:tcPr>
          <w:p w14:paraId="63BBB8A4" w14:textId="77777777" w:rsidR="00DC091E" w:rsidRPr="00DC091E" w:rsidRDefault="00DC091E" w:rsidP="00DC091E">
            <w:pPr>
              <w:spacing w:after="0" w:line="240" w:lineRule="auto"/>
              <w:outlineLvl w:val="0"/>
              <w:rPr>
                <w:rFonts w:ascii="Arial" w:hAnsi="Arial" w:cs="Arial"/>
                <w:sz w:val="16"/>
                <w:szCs w:val="16"/>
              </w:rPr>
            </w:pPr>
            <w:r w:rsidRPr="00DC091E">
              <w:rPr>
                <w:rFonts w:ascii="Arial" w:hAnsi="Arial" w:cs="Arial"/>
                <w:sz w:val="16"/>
                <w:szCs w:val="16"/>
              </w:rPr>
              <w:t> </w:t>
            </w:r>
          </w:p>
        </w:tc>
        <w:tc>
          <w:tcPr>
            <w:tcW w:w="626" w:type="pct"/>
            <w:gridSpan w:val="2"/>
            <w:tcBorders>
              <w:top w:val="single" w:sz="4" w:space="0" w:color="auto"/>
              <w:left w:val="nil"/>
              <w:bottom w:val="single" w:sz="4" w:space="0" w:color="auto"/>
              <w:right w:val="nil"/>
            </w:tcBorders>
            <w:shd w:val="clear" w:color="000000" w:fill="E6E6E6"/>
            <w:noWrap/>
            <w:vAlign w:val="bottom"/>
            <w:hideMark/>
          </w:tcPr>
          <w:p w14:paraId="33A74D83" w14:textId="77777777" w:rsidR="00DC091E" w:rsidRPr="00DC091E" w:rsidRDefault="00DC091E" w:rsidP="00DC091E">
            <w:pPr>
              <w:spacing w:after="0" w:line="240" w:lineRule="auto"/>
              <w:outlineLvl w:val="0"/>
              <w:rPr>
                <w:rFonts w:ascii="Arial" w:hAnsi="Arial" w:cs="Arial"/>
                <w:sz w:val="16"/>
                <w:szCs w:val="16"/>
              </w:rPr>
            </w:pPr>
            <w:r w:rsidRPr="00DC091E">
              <w:rPr>
                <w:rFonts w:ascii="Arial" w:hAnsi="Arial" w:cs="Arial"/>
                <w:sz w:val="16"/>
                <w:szCs w:val="16"/>
              </w:rPr>
              <w:t> </w:t>
            </w:r>
          </w:p>
        </w:tc>
        <w:tc>
          <w:tcPr>
            <w:tcW w:w="626" w:type="pct"/>
            <w:gridSpan w:val="2"/>
            <w:tcBorders>
              <w:top w:val="single" w:sz="4" w:space="0" w:color="auto"/>
              <w:left w:val="nil"/>
              <w:bottom w:val="single" w:sz="4" w:space="0" w:color="auto"/>
              <w:right w:val="nil"/>
            </w:tcBorders>
            <w:shd w:val="clear" w:color="000000" w:fill="E6E6E6"/>
            <w:noWrap/>
            <w:vAlign w:val="bottom"/>
            <w:hideMark/>
          </w:tcPr>
          <w:p w14:paraId="34555D94" w14:textId="77777777" w:rsidR="00DC091E" w:rsidRPr="00DC091E" w:rsidRDefault="00DC091E" w:rsidP="00DC091E">
            <w:pPr>
              <w:spacing w:after="0" w:line="240" w:lineRule="auto"/>
              <w:outlineLvl w:val="0"/>
              <w:rPr>
                <w:rFonts w:ascii="Arial" w:hAnsi="Arial" w:cs="Arial"/>
                <w:sz w:val="16"/>
                <w:szCs w:val="16"/>
              </w:rPr>
            </w:pPr>
            <w:r w:rsidRPr="00DC091E">
              <w:rPr>
                <w:rFonts w:ascii="Arial" w:hAnsi="Arial" w:cs="Arial"/>
                <w:sz w:val="16"/>
                <w:szCs w:val="16"/>
              </w:rPr>
              <w:t> </w:t>
            </w:r>
          </w:p>
        </w:tc>
        <w:tc>
          <w:tcPr>
            <w:tcW w:w="667" w:type="pct"/>
            <w:gridSpan w:val="2"/>
            <w:tcBorders>
              <w:top w:val="single" w:sz="4" w:space="0" w:color="auto"/>
              <w:left w:val="nil"/>
              <w:bottom w:val="single" w:sz="4" w:space="0" w:color="auto"/>
              <w:right w:val="nil"/>
            </w:tcBorders>
            <w:shd w:val="clear" w:color="000000" w:fill="E6E6E6"/>
            <w:noWrap/>
            <w:vAlign w:val="bottom"/>
            <w:hideMark/>
          </w:tcPr>
          <w:p w14:paraId="49F3B914" w14:textId="77777777" w:rsidR="00DC091E" w:rsidRPr="00DC091E" w:rsidRDefault="00DC091E" w:rsidP="00DC091E">
            <w:pPr>
              <w:spacing w:after="0" w:line="240" w:lineRule="auto"/>
              <w:outlineLvl w:val="0"/>
              <w:rPr>
                <w:rFonts w:ascii="Arial" w:hAnsi="Arial" w:cs="Arial"/>
                <w:sz w:val="16"/>
                <w:szCs w:val="16"/>
              </w:rPr>
            </w:pPr>
            <w:r w:rsidRPr="00DC091E">
              <w:rPr>
                <w:rFonts w:ascii="Arial" w:hAnsi="Arial" w:cs="Arial"/>
                <w:sz w:val="16"/>
                <w:szCs w:val="16"/>
              </w:rPr>
              <w:t> </w:t>
            </w:r>
          </w:p>
        </w:tc>
      </w:tr>
      <w:tr w:rsidR="00DC091E" w:rsidRPr="00DC091E" w14:paraId="14A131AB" w14:textId="77777777" w:rsidTr="00C75389">
        <w:trPr>
          <w:trHeight w:val="204"/>
        </w:trPr>
        <w:tc>
          <w:tcPr>
            <w:tcW w:w="1840" w:type="pct"/>
            <w:tcBorders>
              <w:top w:val="nil"/>
              <w:left w:val="nil"/>
              <w:bottom w:val="nil"/>
              <w:right w:val="nil"/>
            </w:tcBorders>
            <w:shd w:val="clear" w:color="auto" w:fill="auto"/>
            <w:noWrap/>
            <w:vAlign w:val="bottom"/>
            <w:hideMark/>
          </w:tcPr>
          <w:p w14:paraId="4F8CE3E7" w14:textId="77777777" w:rsidR="00DC091E" w:rsidRPr="00DC091E" w:rsidRDefault="00DC091E" w:rsidP="00DC091E">
            <w:pPr>
              <w:spacing w:after="0" w:line="240" w:lineRule="auto"/>
              <w:outlineLvl w:val="0"/>
              <w:rPr>
                <w:rFonts w:ascii="Arial" w:hAnsi="Arial" w:cs="Arial"/>
                <w:sz w:val="16"/>
                <w:szCs w:val="16"/>
              </w:rPr>
            </w:pPr>
            <w:r w:rsidRPr="00DC091E">
              <w:rPr>
                <w:rFonts w:ascii="Arial" w:hAnsi="Arial" w:cs="Arial"/>
                <w:sz w:val="16"/>
                <w:szCs w:val="16"/>
              </w:rPr>
              <w:t>Administered expenses</w:t>
            </w:r>
          </w:p>
        </w:tc>
        <w:tc>
          <w:tcPr>
            <w:tcW w:w="613" w:type="pct"/>
            <w:tcBorders>
              <w:top w:val="nil"/>
              <w:left w:val="nil"/>
              <w:bottom w:val="nil"/>
              <w:right w:val="nil"/>
            </w:tcBorders>
            <w:shd w:val="clear" w:color="auto" w:fill="auto"/>
            <w:noWrap/>
            <w:vAlign w:val="bottom"/>
            <w:hideMark/>
          </w:tcPr>
          <w:p w14:paraId="6B1006F5" w14:textId="77777777" w:rsidR="00DC091E" w:rsidRPr="00DC091E" w:rsidRDefault="00DC091E" w:rsidP="00DC091E">
            <w:pPr>
              <w:spacing w:after="0" w:line="240" w:lineRule="auto"/>
              <w:outlineLvl w:val="0"/>
              <w:rPr>
                <w:rFonts w:ascii="Arial" w:hAnsi="Arial" w:cs="Arial"/>
                <w:sz w:val="16"/>
                <w:szCs w:val="16"/>
              </w:rPr>
            </w:pPr>
          </w:p>
        </w:tc>
        <w:tc>
          <w:tcPr>
            <w:tcW w:w="626" w:type="pct"/>
            <w:gridSpan w:val="2"/>
            <w:tcBorders>
              <w:top w:val="nil"/>
              <w:left w:val="nil"/>
              <w:bottom w:val="nil"/>
              <w:right w:val="nil"/>
            </w:tcBorders>
            <w:shd w:val="clear" w:color="000000" w:fill="E6E6E6"/>
            <w:noWrap/>
            <w:vAlign w:val="bottom"/>
            <w:hideMark/>
          </w:tcPr>
          <w:p w14:paraId="60E7D060" w14:textId="77777777" w:rsidR="00DC091E" w:rsidRPr="00DC091E" w:rsidRDefault="00DC091E" w:rsidP="00DC091E">
            <w:pPr>
              <w:spacing w:after="0" w:line="240" w:lineRule="auto"/>
              <w:jc w:val="right"/>
              <w:outlineLvl w:val="0"/>
              <w:rPr>
                <w:rFonts w:ascii="Arial" w:hAnsi="Arial" w:cs="Arial"/>
                <w:sz w:val="16"/>
                <w:szCs w:val="16"/>
              </w:rPr>
            </w:pPr>
            <w:r w:rsidRPr="00DC091E">
              <w:rPr>
                <w:rFonts w:ascii="Arial" w:hAnsi="Arial" w:cs="Arial"/>
                <w:sz w:val="16"/>
                <w:szCs w:val="16"/>
              </w:rPr>
              <w:t> </w:t>
            </w:r>
          </w:p>
        </w:tc>
        <w:tc>
          <w:tcPr>
            <w:tcW w:w="626" w:type="pct"/>
            <w:gridSpan w:val="2"/>
            <w:tcBorders>
              <w:top w:val="nil"/>
              <w:left w:val="nil"/>
              <w:bottom w:val="nil"/>
              <w:right w:val="nil"/>
            </w:tcBorders>
            <w:shd w:val="clear" w:color="auto" w:fill="auto"/>
            <w:noWrap/>
            <w:vAlign w:val="bottom"/>
            <w:hideMark/>
          </w:tcPr>
          <w:p w14:paraId="3831D7F4" w14:textId="77777777" w:rsidR="00DC091E" w:rsidRPr="00DC091E" w:rsidRDefault="00DC091E" w:rsidP="00DC091E">
            <w:pPr>
              <w:spacing w:after="0" w:line="240" w:lineRule="auto"/>
              <w:jc w:val="right"/>
              <w:outlineLvl w:val="0"/>
              <w:rPr>
                <w:rFonts w:ascii="Arial" w:hAnsi="Arial" w:cs="Arial"/>
                <w:sz w:val="16"/>
                <w:szCs w:val="16"/>
              </w:rPr>
            </w:pPr>
          </w:p>
        </w:tc>
        <w:tc>
          <w:tcPr>
            <w:tcW w:w="626" w:type="pct"/>
            <w:gridSpan w:val="2"/>
            <w:tcBorders>
              <w:top w:val="nil"/>
              <w:left w:val="nil"/>
              <w:bottom w:val="nil"/>
              <w:right w:val="nil"/>
            </w:tcBorders>
            <w:shd w:val="clear" w:color="auto" w:fill="auto"/>
            <w:noWrap/>
            <w:vAlign w:val="bottom"/>
            <w:hideMark/>
          </w:tcPr>
          <w:p w14:paraId="6B3686C0" w14:textId="77777777" w:rsidR="00DC091E" w:rsidRPr="00DC091E" w:rsidRDefault="00DC091E" w:rsidP="00DC091E">
            <w:pPr>
              <w:spacing w:after="0" w:line="240" w:lineRule="auto"/>
              <w:jc w:val="right"/>
              <w:outlineLvl w:val="0"/>
              <w:rPr>
                <w:rFonts w:ascii="Times New Roman" w:hAnsi="Times New Roman"/>
              </w:rPr>
            </w:pPr>
          </w:p>
        </w:tc>
        <w:tc>
          <w:tcPr>
            <w:tcW w:w="667" w:type="pct"/>
            <w:gridSpan w:val="2"/>
            <w:tcBorders>
              <w:top w:val="nil"/>
              <w:left w:val="nil"/>
              <w:bottom w:val="nil"/>
              <w:right w:val="nil"/>
            </w:tcBorders>
            <w:shd w:val="clear" w:color="auto" w:fill="auto"/>
            <w:noWrap/>
            <w:vAlign w:val="bottom"/>
            <w:hideMark/>
          </w:tcPr>
          <w:p w14:paraId="25DC6F29" w14:textId="77777777" w:rsidR="00DC091E" w:rsidRPr="00DC091E" w:rsidRDefault="00DC091E" w:rsidP="00DC091E">
            <w:pPr>
              <w:spacing w:after="0" w:line="240" w:lineRule="auto"/>
              <w:jc w:val="right"/>
              <w:outlineLvl w:val="0"/>
              <w:rPr>
                <w:rFonts w:ascii="Times New Roman" w:hAnsi="Times New Roman"/>
              </w:rPr>
            </w:pPr>
          </w:p>
        </w:tc>
      </w:tr>
      <w:tr w:rsidR="00DC091E" w:rsidRPr="00DC091E" w14:paraId="3D764022" w14:textId="77777777" w:rsidTr="00C75389">
        <w:trPr>
          <w:trHeight w:val="204"/>
        </w:trPr>
        <w:tc>
          <w:tcPr>
            <w:tcW w:w="1840" w:type="pct"/>
            <w:tcBorders>
              <w:top w:val="nil"/>
              <w:left w:val="nil"/>
              <w:bottom w:val="nil"/>
              <w:right w:val="nil"/>
            </w:tcBorders>
            <w:shd w:val="clear" w:color="auto" w:fill="auto"/>
            <w:vAlign w:val="bottom"/>
            <w:hideMark/>
          </w:tcPr>
          <w:p w14:paraId="06FB2253" w14:textId="20A0F08B" w:rsidR="00DC091E" w:rsidRPr="00DC091E" w:rsidRDefault="00DC091E" w:rsidP="007B5C33">
            <w:pPr>
              <w:spacing w:after="0" w:line="240" w:lineRule="auto"/>
              <w:ind w:left="113"/>
              <w:rPr>
                <w:rFonts w:ascii="Arial" w:hAnsi="Arial" w:cs="Arial"/>
                <w:sz w:val="16"/>
                <w:szCs w:val="16"/>
              </w:rPr>
            </w:pPr>
            <w:r w:rsidRPr="00DC091E">
              <w:rPr>
                <w:rFonts w:ascii="Arial" w:hAnsi="Arial" w:cs="Arial"/>
                <w:sz w:val="16"/>
                <w:szCs w:val="16"/>
              </w:rPr>
              <w:t>Ordinary annual services (Appropriation Bill No. 1)</w:t>
            </w:r>
          </w:p>
        </w:tc>
        <w:tc>
          <w:tcPr>
            <w:tcW w:w="613" w:type="pct"/>
            <w:tcBorders>
              <w:top w:val="nil"/>
              <w:left w:val="nil"/>
              <w:bottom w:val="nil"/>
              <w:right w:val="nil"/>
            </w:tcBorders>
            <w:shd w:val="clear" w:color="auto" w:fill="auto"/>
            <w:noWrap/>
            <w:vAlign w:val="bottom"/>
            <w:hideMark/>
          </w:tcPr>
          <w:p w14:paraId="6B607C47"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308,524 </w:t>
            </w:r>
          </w:p>
        </w:tc>
        <w:tc>
          <w:tcPr>
            <w:tcW w:w="626" w:type="pct"/>
            <w:gridSpan w:val="2"/>
            <w:tcBorders>
              <w:top w:val="nil"/>
              <w:left w:val="nil"/>
              <w:bottom w:val="nil"/>
              <w:right w:val="nil"/>
            </w:tcBorders>
            <w:shd w:val="clear" w:color="000000" w:fill="E6E6E6"/>
            <w:noWrap/>
            <w:vAlign w:val="bottom"/>
            <w:hideMark/>
          </w:tcPr>
          <w:p w14:paraId="6F8C9D7C"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411,782 </w:t>
            </w:r>
          </w:p>
        </w:tc>
        <w:tc>
          <w:tcPr>
            <w:tcW w:w="626" w:type="pct"/>
            <w:gridSpan w:val="2"/>
            <w:tcBorders>
              <w:top w:val="nil"/>
              <w:left w:val="nil"/>
              <w:bottom w:val="nil"/>
              <w:right w:val="nil"/>
            </w:tcBorders>
            <w:shd w:val="clear" w:color="auto" w:fill="auto"/>
            <w:noWrap/>
            <w:vAlign w:val="bottom"/>
            <w:hideMark/>
          </w:tcPr>
          <w:p w14:paraId="00829B42"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389,534 </w:t>
            </w:r>
          </w:p>
        </w:tc>
        <w:tc>
          <w:tcPr>
            <w:tcW w:w="626" w:type="pct"/>
            <w:gridSpan w:val="2"/>
            <w:tcBorders>
              <w:top w:val="nil"/>
              <w:left w:val="nil"/>
              <w:bottom w:val="nil"/>
              <w:right w:val="nil"/>
            </w:tcBorders>
            <w:shd w:val="clear" w:color="auto" w:fill="auto"/>
            <w:noWrap/>
            <w:vAlign w:val="bottom"/>
            <w:hideMark/>
          </w:tcPr>
          <w:p w14:paraId="2D8AD42C"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293,977 </w:t>
            </w:r>
          </w:p>
        </w:tc>
        <w:tc>
          <w:tcPr>
            <w:tcW w:w="667" w:type="pct"/>
            <w:gridSpan w:val="2"/>
            <w:tcBorders>
              <w:top w:val="nil"/>
              <w:left w:val="nil"/>
              <w:bottom w:val="nil"/>
              <w:right w:val="nil"/>
            </w:tcBorders>
            <w:shd w:val="clear" w:color="auto" w:fill="auto"/>
            <w:noWrap/>
            <w:vAlign w:val="bottom"/>
            <w:hideMark/>
          </w:tcPr>
          <w:p w14:paraId="41FA615F"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271,884 </w:t>
            </w:r>
          </w:p>
        </w:tc>
      </w:tr>
      <w:tr w:rsidR="00DC091E" w:rsidRPr="00DC091E" w14:paraId="4E543E75" w14:textId="77777777" w:rsidTr="00C75389">
        <w:trPr>
          <w:trHeight w:val="204"/>
        </w:trPr>
        <w:tc>
          <w:tcPr>
            <w:tcW w:w="1840" w:type="pct"/>
            <w:tcBorders>
              <w:top w:val="nil"/>
              <w:left w:val="nil"/>
              <w:bottom w:val="nil"/>
              <w:right w:val="nil"/>
            </w:tcBorders>
            <w:shd w:val="clear" w:color="auto" w:fill="auto"/>
            <w:vAlign w:val="bottom"/>
            <w:hideMark/>
          </w:tcPr>
          <w:p w14:paraId="7C872693" w14:textId="77777777" w:rsidR="00DC091E" w:rsidRPr="00DC091E" w:rsidRDefault="00DC091E" w:rsidP="007B5C33">
            <w:pPr>
              <w:spacing w:after="0" w:line="240" w:lineRule="auto"/>
              <w:ind w:left="113"/>
              <w:rPr>
                <w:rFonts w:ascii="Arial" w:hAnsi="Arial" w:cs="Arial"/>
                <w:sz w:val="16"/>
                <w:szCs w:val="16"/>
              </w:rPr>
            </w:pPr>
            <w:r w:rsidRPr="00DC091E">
              <w:rPr>
                <w:rFonts w:ascii="Arial" w:hAnsi="Arial" w:cs="Arial"/>
                <w:sz w:val="16"/>
                <w:szCs w:val="16"/>
              </w:rPr>
              <w:t>Special accounts</w:t>
            </w:r>
          </w:p>
        </w:tc>
        <w:tc>
          <w:tcPr>
            <w:tcW w:w="613" w:type="pct"/>
            <w:tcBorders>
              <w:top w:val="nil"/>
              <w:left w:val="nil"/>
              <w:bottom w:val="nil"/>
              <w:right w:val="nil"/>
            </w:tcBorders>
            <w:shd w:val="clear" w:color="auto" w:fill="auto"/>
            <w:noWrap/>
            <w:vAlign w:val="bottom"/>
            <w:hideMark/>
          </w:tcPr>
          <w:p w14:paraId="67DFC784"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329,064 </w:t>
            </w:r>
          </w:p>
        </w:tc>
        <w:tc>
          <w:tcPr>
            <w:tcW w:w="626" w:type="pct"/>
            <w:gridSpan w:val="2"/>
            <w:tcBorders>
              <w:top w:val="nil"/>
              <w:left w:val="nil"/>
              <w:bottom w:val="nil"/>
              <w:right w:val="nil"/>
            </w:tcBorders>
            <w:shd w:val="clear" w:color="000000" w:fill="E6E6E6"/>
            <w:noWrap/>
            <w:vAlign w:val="bottom"/>
            <w:hideMark/>
          </w:tcPr>
          <w:p w14:paraId="0EF6055F"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312,250 </w:t>
            </w:r>
          </w:p>
        </w:tc>
        <w:tc>
          <w:tcPr>
            <w:tcW w:w="626" w:type="pct"/>
            <w:gridSpan w:val="2"/>
            <w:tcBorders>
              <w:top w:val="nil"/>
              <w:left w:val="nil"/>
              <w:bottom w:val="nil"/>
              <w:right w:val="nil"/>
            </w:tcBorders>
            <w:shd w:val="clear" w:color="auto" w:fill="auto"/>
            <w:noWrap/>
            <w:vAlign w:val="bottom"/>
            <w:hideMark/>
          </w:tcPr>
          <w:p w14:paraId="0F38CF01"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312,250 </w:t>
            </w:r>
          </w:p>
        </w:tc>
        <w:tc>
          <w:tcPr>
            <w:tcW w:w="626" w:type="pct"/>
            <w:gridSpan w:val="2"/>
            <w:tcBorders>
              <w:top w:val="nil"/>
              <w:left w:val="nil"/>
              <w:bottom w:val="nil"/>
              <w:right w:val="nil"/>
            </w:tcBorders>
            <w:shd w:val="clear" w:color="auto" w:fill="auto"/>
            <w:noWrap/>
            <w:vAlign w:val="bottom"/>
            <w:hideMark/>
          </w:tcPr>
          <w:p w14:paraId="116A0367"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312,250 </w:t>
            </w:r>
          </w:p>
        </w:tc>
        <w:tc>
          <w:tcPr>
            <w:tcW w:w="667" w:type="pct"/>
            <w:gridSpan w:val="2"/>
            <w:tcBorders>
              <w:top w:val="nil"/>
              <w:left w:val="nil"/>
              <w:bottom w:val="nil"/>
              <w:right w:val="nil"/>
            </w:tcBorders>
            <w:shd w:val="clear" w:color="auto" w:fill="auto"/>
            <w:noWrap/>
            <w:vAlign w:val="bottom"/>
            <w:hideMark/>
          </w:tcPr>
          <w:p w14:paraId="2B113613"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312,250 </w:t>
            </w:r>
          </w:p>
        </w:tc>
      </w:tr>
      <w:tr w:rsidR="00DC091E" w:rsidRPr="00DC091E" w14:paraId="0DDA5D80" w14:textId="77777777" w:rsidTr="00C75389">
        <w:trPr>
          <w:trHeight w:val="204"/>
        </w:trPr>
        <w:tc>
          <w:tcPr>
            <w:tcW w:w="1840" w:type="pct"/>
            <w:tcBorders>
              <w:top w:val="nil"/>
              <w:left w:val="nil"/>
              <w:bottom w:val="nil"/>
              <w:right w:val="nil"/>
            </w:tcBorders>
            <w:shd w:val="clear" w:color="auto" w:fill="auto"/>
            <w:vAlign w:val="bottom"/>
            <w:hideMark/>
          </w:tcPr>
          <w:p w14:paraId="10ECFA41" w14:textId="28771070" w:rsidR="00DC091E" w:rsidRPr="00DC091E" w:rsidRDefault="00DC091E" w:rsidP="007B5C33">
            <w:pPr>
              <w:spacing w:after="0" w:line="240" w:lineRule="auto"/>
              <w:ind w:left="113"/>
              <w:rPr>
                <w:rFonts w:ascii="Arial" w:hAnsi="Arial" w:cs="Arial"/>
                <w:sz w:val="16"/>
                <w:szCs w:val="16"/>
              </w:rPr>
            </w:pPr>
            <w:r w:rsidRPr="00DC091E">
              <w:rPr>
                <w:rFonts w:ascii="Arial" w:hAnsi="Arial" w:cs="Arial"/>
                <w:sz w:val="16"/>
                <w:szCs w:val="16"/>
              </w:rPr>
              <w:t>Payments to corporate entities</w:t>
            </w:r>
            <w:r w:rsidRPr="00DC091E">
              <w:rPr>
                <w:rFonts w:ascii="Arial" w:hAnsi="Arial" w:cs="Arial"/>
                <w:sz w:val="16"/>
                <w:szCs w:val="16"/>
                <w:vertAlign w:val="superscript"/>
              </w:rPr>
              <w:t>(a)</w:t>
            </w:r>
          </w:p>
        </w:tc>
        <w:tc>
          <w:tcPr>
            <w:tcW w:w="613" w:type="pct"/>
            <w:tcBorders>
              <w:top w:val="nil"/>
              <w:left w:val="nil"/>
              <w:bottom w:val="nil"/>
              <w:right w:val="nil"/>
            </w:tcBorders>
            <w:shd w:val="clear" w:color="auto" w:fill="auto"/>
            <w:noWrap/>
            <w:vAlign w:val="bottom"/>
            <w:hideMark/>
          </w:tcPr>
          <w:p w14:paraId="6E494ABB"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1,423,963 </w:t>
            </w:r>
          </w:p>
        </w:tc>
        <w:tc>
          <w:tcPr>
            <w:tcW w:w="626" w:type="pct"/>
            <w:gridSpan w:val="2"/>
            <w:tcBorders>
              <w:top w:val="nil"/>
              <w:left w:val="nil"/>
              <w:bottom w:val="nil"/>
              <w:right w:val="nil"/>
            </w:tcBorders>
            <w:shd w:val="clear" w:color="000000" w:fill="E6E6E6"/>
            <w:noWrap/>
            <w:vAlign w:val="bottom"/>
            <w:hideMark/>
          </w:tcPr>
          <w:p w14:paraId="0CC4CDD7"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1,472,507 </w:t>
            </w:r>
          </w:p>
        </w:tc>
        <w:tc>
          <w:tcPr>
            <w:tcW w:w="626" w:type="pct"/>
            <w:gridSpan w:val="2"/>
            <w:tcBorders>
              <w:top w:val="nil"/>
              <w:left w:val="nil"/>
              <w:bottom w:val="nil"/>
              <w:right w:val="nil"/>
            </w:tcBorders>
            <w:shd w:val="clear" w:color="auto" w:fill="auto"/>
            <w:noWrap/>
            <w:vAlign w:val="bottom"/>
            <w:hideMark/>
          </w:tcPr>
          <w:p w14:paraId="751965C7"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1,544,453 </w:t>
            </w:r>
          </w:p>
        </w:tc>
        <w:tc>
          <w:tcPr>
            <w:tcW w:w="626" w:type="pct"/>
            <w:gridSpan w:val="2"/>
            <w:tcBorders>
              <w:top w:val="nil"/>
              <w:left w:val="nil"/>
              <w:bottom w:val="nil"/>
              <w:right w:val="nil"/>
            </w:tcBorders>
            <w:shd w:val="clear" w:color="auto" w:fill="auto"/>
            <w:noWrap/>
            <w:vAlign w:val="bottom"/>
            <w:hideMark/>
          </w:tcPr>
          <w:p w14:paraId="6A6277BB"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1,585,853 </w:t>
            </w:r>
          </w:p>
        </w:tc>
        <w:tc>
          <w:tcPr>
            <w:tcW w:w="667" w:type="pct"/>
            <w:gridSpan w:val="2"/>
            <w:tcBorders>
              <w:top w:val="nil"/>
              <w:left w:val="nil"/>
              <w:bottom w:val="nil"/>
              <w:right w:val="nil"/>
            </w:tcBorders>
            <w:shd w:val="clear" w:color="auto" w:fill="auto"/>
            <w:noWrap/>
            <w:vAlign w:val="bottom"/>
            <w:hideMark/>
          </w:tcPr>
          <w:p w14:paraId="5E982543"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1,592,442 </w:t>
            </w:r>
          </w:p>
        </w:tc>
      </w:tr>
      <w:tr w:rsidR="00DC091E" w:rsidRPr="00DC091E" w14:paraId="3A7B2A93" w14:textId="77777777" w:rsidTr="00C75389">
        <w:trPr>
          <w:trHeight w:val="204"/>
        </w:trPr>
        <w:tc>
          <w:tcPr>
            <w:tcW w:w="1840" w:type="pct"/>
            <w:tcBorders>
              <w:top w:val="nil"/>
              <w:left w:val="nil"/>
              <w:bottom w:val="nil"/>
              <w:right w:val="nil"/>
            </w:tcBorders>
            <w:shd w:val="clear" w:color="auto" w:fill="auto"/>
            <w:vAlign w:val="bottom"/>
            <w:hideMark/>
          </w:tcPr>
          <w:p w14:paraId="0D41A908" w14:textId="459A593E" w:rsidR="00DC091E" w:rsidRPr="00DC091E" w:rsidRDefault="00DC091E" w:rsidP="007B5C33">
            <w:pPr>
              <w:spacing w:after="0" w:line="240" w:lineRule="auto"/>
              <w:ind w:left="113"/>
              <w:rPr>
                <w:rFonts w:ascii="Arial" w:hAnsi="Arial" w:cs="Arial"/>
                <w:sz w:val="16"/>
                <w:szCs w:val="16"/>
              </w:rPr>
            </w:pPr>
            <w:r w:rsidRPr="00DC091E">
              <w:rPr>
                <w:rFonts w:ascii="Arial" w:hAnsi="Arial" w:cs="Arial"/>
                <w:sz w:val="16"/>
                <w:szCs w:val="16"/>
              </w:rPr>
              <w:t>Expenses not requiring appropriation in the Budget year</w:t>
            </w:r>
            <w:r w:rsidRPr="00DC091E">
              <w:rPr>
                <w:rFonts w:ascii="Arial" w:hAnsi="Arial" w:cs="Arial"/>
                <w:sz w:val="16"/>
                <w:szCs w:val="16"/>
                <w:vertAlign w:val="superscript"/>
              </w:rPr>
              <w:t>(b)</w:t>
            </w:r>
          </w:p>
        </w:tc>
        <w:tc>
          <w:tcPr>
            <w:tcW w:w="613" w:type="pct"/>
            <w:tcBorders>
              <w:top w:val="nil"/>
              <w:left w:val="nil"/>
              <w:bottom w:val="nil"/>
              <w:right w:val="nil"/>
            </w:tcBorders>
            <w:shd w:val="clear" w:color="auto" w:fill="auto"/>
            <w:noWrap/>
            <w:vAlign w:val="bottom"/>
            <w:hideMark/>
          </w:tcPr>
          <w:p w14:paraId="2AFE4DDB"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716,266 </w:t>
            </w:r>
          </w:p>
        </w:tc>
        <w:tc>
          <w:tcPr>
            <w:tcW w:w="626" w:type="pct"/>
            <w:gridSpan w:val="2"/>
            <w:tcBorders>
              <w:top w:val="nil"/>
              <w:left w:val="nil"/>
              <w:bottom w:val="nil"/>
              <w:right w:val="nil"/>
            </w:tcBorders>
            <w:shd w:val="clear" w:color="000000" w:fill="E6E6E6"/>
            <w:noWrap/>
            <w:vAlign w:val="bottom"/>
            <w:hideMark/>
          </w:tcPr>
          <w:p w14:paraId="78FD9C01"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841,697 </w:t>
            </w:r>
          </w:p>
        </w:tc>
        <w:tc>
          <w:tcPr>
            <w:tcW w:w="626" w:type="pct"/>
            <w:gridSpan w:val="2"/>
            <w:tcBorders>
              <w:top w:val="nil"/>
              <w:left w:val="nil"/>
              <w:bottom w:val="nil"/>
              <w:right w:val="nil"/>
            </w:tcBorders>
            <w:shd w:val="clear" w:color="auto" w:fill="auto"/>
            <w:noWrap/>
            <w:vAlign w:val="bottom"/>
            <w:hideMark/>
          </w:tcPr>
          <w:p w14:paraId="3456BD36"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708,951 </w:t>
            </w:r>
          </w:p>
        </w:tc>
        <w:tc>
          <w:tcPr>
            <w:tcW w:w="626" w:type="pct"/>
            <w:gridSpan w:val="2"/>
            <w:tcBorders>
              <w:top w:val="nil"/>
              <w:left w:val="nil"/>
              <w:bottom w:val="nil"/>
              <w:right w:val="nil"/>
            </w:tcBorders>
            <w:shd w:val="clear" w:color="auto" w:fill="auto"/>
            <w:noWrap/>
            <w:vAlign w:val="bottom"/>
            <w:hideMark/>
          </w:tcPr>
          <w:p w14:paraId="7EA59B5A"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772,775 </w:t>
            </w:r>
          </w:p>
        </w:tc>
        <w:tc>
          <w:tcPr>
            <w:tcW w:w="667" w:type="pct"/>
            <w:gridSpan w:val="2"/>
            <w:tcBorders>
              <w:top w:val="nil"/>
              <w:left w:val="nil"/>
              <w:bottom w:val="nil"/>
              <w:right w:val="nil"/>
            </w:tcBorders>
            <w:shd w:val="clear" w:color="auto" w:fill="auto"/>
            <w:noWrap/>
            <w:vAlign w:val="bottom"/>
            <w:hideMark/>
          </w:tcPr>
          <w:p w14:paraId="3245CAA0" w14:textId="77777777" w:rsidR="00DC091E" w:rsidRPr="00DC091E" w:rsidRDefault="00DC091E" w:rsidP="00DC091E">
            <w:pPr>
              <w:spacing w:after="0" w:line="240" w:lineRule="auto"/>
              <w:jc w:val="right"/>
              <w:rPr>
                <w:rFonts w:ascii="Arial" w:hAnsi="Arial" w:cs="Arial"/>
                <w:sz w:val="16"/>
                <w:szCs w:val="16"/>
              </w:rPr>
            </w:pPr>
            <w:r w:rsidRPr="00DC091E">
              <w:rPr>
                <w:rFonts w:ascii="Arial" w:hAnsi="Arial" w:cs="Arial"/>
                <w:sz w:val="16"/>
                <w:szCs w:val="16"/>
              </w:rPr>
              <w:t xml:space="preserve">772,353 </w:t>
            </w:r>
          </w:p>
        </w:tc>
      </w:tr>
      <w:tr w:rsidR="00DC091E" w:rsidRPr="00DC091E" w14:paraId="24E4275C" w14:textId="77777777" w:rsidTr="00C75389">
        <w:trPr>
          <w:gridAfter w:val="1"/>
          <w:wAfter w:w="53" w:type="pct"/>
          <w:trHeight w:val="204"/>
        </w:trPr>
        <w:tc>
          <w:tcPr>
            <w:tcW w:w="1840" w:type="pct"/>
            <w:tcBorders>
              <w:top w:val="nil"/>
              <w:left w:val="nil"/>
              <w:bottom w:val="single" w:sz="4" w:space="0" w:color="auto"/>
              <w:right w:val="nil"/>
            </w:tcBorders>
            <w:shd w:val="clear" w:color="auto" w:fill="auto"/>
            <w:vAlign w:val="bottom"/>
            <w:hideMark/>
          </w:tcPr>
          <w:p w14:paraId="221D2A10" w14:textId="0785607F" w:rsidR="00DC091E" w:rsidRPr="00DC091E" w:rsidRDefault="0000369A" w:rsidP="00DC091E">
            <w:pPr>
              <w:spacing w:after="0" w:line="240" w:lineRule="auto"/>
              <w:jc w:val="right"/>
              <w:rPr>
                <w:rFonts w:ascii="Arial" w:hAnsi="Arial" w:cs="Arial"/>
                <w:b/>
                <w:bCs/>
                <w:sz w:val="16"/>
                <w:szCs w:val="16"/>
              </w:rPr>
            </w:pPr>
            <w:r>
              <w:rPr>
                <w:rFonts w:ascii="Arial" w:hAnsi="Arial" w:cs="Arial"/>
                <w:b/>
                <w:bCs/>
                <w:sz w:val="16"/>
                <w:szCs w:val="16"/>
              </w:rPr>
              <w:t>Total administered expenses</w:t>
            </w:r>
          </w:p>
        </w:tc>
        <w:tc>
          <w:tcPr>
            <w:tcW w:w="613" w:type="pct"/>
            <w:tcBorders>
              <w:top w:val="single" w:sz="4" w:space="0" w:color="auto"/>
              <w:left w:val="nil"/>
              <w:bottom w:val="single" w:sz="4" w:space="0" w:color="auto"/>
              <w:right w:val="nil"/>
            </w:tcBorders>
            <w:shd w:val="clear" w:color="auto" w:fill="auto"/>
            <w:noWrap/>
            <w:vAlign w:val="bottom"/>
            <w:hideMark/>
          </w:tcPr>
          <w:p w14:paraId="53E3676D" w14:textId="77777777" w:rsidR="00DC091E" w:rsidRPr="00DC091E" w:rsidRDefault="00DC091E" w:rsidP="00DC091E">
            <w:pPr>
              <w:spacing w:after="0" w:line="240" w:lineRule="auto"/>
              <w:jc w:val="right"/>
              <w:rPr>
                <w:rFonts w:ascii="Arial" w:hAnsi="Arial" w:cs="Arial"/>
                <w:b/>
                <w:bCs/>
                <w:sz w:val="16"/>
                <w:szCs w:val="16"/>
              </w:rPr>
            </w:pPr>
            <w:r w:rsidRPr="00DC091E">
              <w:rPr>
                <w:rFonts w:ascii="Arial" w:hAnsi="Arial" w:cs="Arial"/>
                <w:b/>
                <w:bCs/>
                <w:sz w:val="16"/>
                <w:szCs w:val="16"/>
              </w:rPr>
              <w:t xml:space="preserve">2,777,817 </w:t>
            </w:r>
          </w:p>
        </w:tc>
        <w:tc>
          <w:tcPr>
            <w:tcW w:w="626" w:type="pct"/>
            <w:gridSpan w:val="2"/>
            <w:tcBorders>
              <w:top w:val="single" w:sz="4" w:space="0" w:color="auto"/>
              <w:left w:val="nil"/>
              <w:bottom w:val="single" w:sz="4" w:space="0" w:color="auto"/>
              <w:right w:val="nil"/>
            </w:tcBorders>
            <w:shd w:val="clear" w:color="000000" w:fill="E6E6E6"/>
            <w:noWrap/>
            <w:vAlign w:val="bottom"/>
            <w:hideMark/>
          </w:tcPr>
          <w:p w14:paraId="5603A29A" w14:textId="77777777" w:rsidR="00DC091E" w:rsidRPr="00DC091E" w:rsidRDefault="00DC091E" w:rsidP="00DC091E">
            <w:pPr>
              <w:spacing w:after="0" w:line="240" w:lineRule="auto"/>
              <w:jc w:val="right"/>
              <w:rPr>
                <w:rFonts w:ascii="Arial" w:hAnsi="Arial" w:cs="Arial"/>
                <w:b/>
                <w:bCs/>
                <w:sz w:val="16"/>
                <w:szCs w:val="16"/>
              </w:rPr>
            </w:pPr>
            <w:r w:rsidRPr="00DC091E">
              <w:rPr>
                <w:rFonts w:ascii="Arial" w:hAnsi="Arial" w:cs="Arial"/>
                <w:b/>
                <w:bCs/>
                <w:sz w:val="16"/>
                <w:szCs w:val="16"/>
              </w:rPr>
              <w:t xml:space="preserve">3,038,236 </w:t>
            </w:r>
          </w:p>
        </w:tc>
        <w:tc>
          <w:tcPr>
            <w:tcW w:w="626" w:type="pct"/>
            <w:gridSpan w:val="2"/>
            <w:tcBorders>
              <w:top w:val="single" w:sz="4" w:space="0" w:color="auto"/>
              <w:left w:val="nil"/>
              <w:bottom w:val="single" w:sz="4" w:space="0" w:color="auto"/>
              <w:right w:val="nil"/>
            </w:tcBorders>
            <w:shd w:val="clear" w:color="auto" w:fill="auto"/>
            <w:noWrap/>
            <w:vAlign w:val="bottom"/>
            <w:hideMark/>
          </w:tcPr>
          <w:p w14:paraId="6481DE43" w14:textId="77777777" w:rsidR="00DC091E" w:rsidRPr="00DC091E" w:rsidRDefault="00DC091E" w:rsidP="00DC091E">
            <w:pPr>
              <w:spacing w:after="0" w:line="240" w:lineRule="auto"/>
              <w:jc w:val="right"/>
              <w:rPr>
                <w:rFonts w:ascii="Arial" w:hAnsi="Arial" w:cs="Arial"/>
                <w:b/>
                <w:bCs/>
                <w:sz w:val="16"/>
                <w:szCs w:val="16"/>
              </w:rPr>
            </w:pPr>
            <w:r w:rsidRPr="00DC091E">
              <w:rPr>
                <w:rFonts w:ascii="Arial" w:hAnsi="Arial" w:cs="Arial"/>
                <w:b/>
                <w:bCs/>
                <w:sz w:val="16"/>
                <w:szCs w:val="16"/>
              </w:rPr>
              <w:t xml:space="preserve">2,955,188 </w:t>
            </w:r>
          </w:p>
        </w:tc>
        <w:tc>
          <w:tcPr>
            <w:tcW w:w="629" w:type="pct"/>
            <w:gridSpan w:val="2"/>
            <w:tcBorders>
              <w:top w:val="single" w:sz="4" w:space="0" w:color="auto"/>
              <w:left w:val="nil"/>
              <w:bottom w:val="single" w:sz="4" w:space="0" w:color="auto"/>
              <w:right w:val="nil"/>
            </w:tcBorders>
            <w:shd w:val="clear" w:color="auto" w:fill="auto"/>
            <w:noWrap/>
            <w:vAlign w:val="bottom"/>
            <w:hideMark/>
          </w:tcPr>
          <w:p w14:paraId="653894E4" w14:textId="77777777" w:rsidR="00DC091E" w:rsidRPr="00DC091E" w:rsidRDefault="00DC091E" w:rsidP="00DC091E">
            <w:pPr>
              <w:spacing w:after="0" w:line="240" w:lineRule="auto"/>
              <w:jc w:val="right"/>
              <w:rPr>
                <w:rFonts w:ascii="Arial" w:hAnsi="Arial" w:cs="Arial"/>
                <w:b/>
                <w:bCs/>
                <w:sz w:val="16"/>
                <w:szCs w:val="16"/>
              </w:rPr>
            </w:pPr>
            <w:r w:rsidRPr="00DC091E">
              <w:rPr>
                <w:rFonts w:ascii="Arial" w:hAnsi="Arial" w:cs="Arial"/>
                <w:b/>
                <w:bCs/>
                <w:sz w:val="16"/>
                <w:szCs w:val="16"/>
              </w:rPr>
              <w:t xml:space="preserve">2,964,855 </w:t>
            </w:r>
          </w:p>
        </w:tc>
        <w:tc>
          <w:tcPr>
            <w:tcW w:w="611" w:type="pct"/>
            <w:tcBorders>
              <w:top w:val="single" w:sz="4" w:space="0" w:color="auto"/>
              <w:left w:val="nil"/>
              <w:bottom w:val="single" w:sz="4" w:space="0" w:color="auto"/>
              <w:right w:val="nil"/>
            </w:tcBorders>
            <w:shd w:val="clear" w:color="auto" w:fill="auto"/>
            <w:noWrap/>
            <w:vAlign w:val="bottom"/>
            <w:hideMark/>
          </w:tcPr>
          <w:p w14:paraId="46B4E5E4" w14:textId="77777777" w:rsidR="00DC091E" w:rsidRPr="00DC091E" w:rsidRDefault="00DC091E" w:rsidP="00DC091E">
            <w:pPr>
              <w:spacing w:after="0" w:line="240" w:lineRule="auto"/>
              <w:jc w:val="right"/>
              <w:rPr>
                <w:rFonts w:ascii="Arial" w:hAnsi="Arial" w:cs="Arial"/>
                <w:b/>
                <w:bCs/>
                <w:sz w:val="16"/>
                <w:szCs w:val="16"/>
              </w:rPr>
            </w:pPr>
            <w:r w:rsidRPr="00DC091E">
              <w:rPr>
                <w:rFonts w:ascii="Arial" w:hAnsi="Arial" w:cs="Arial"/>
                <w:b/>
                <w:bCs/>
                <w:sz w:val="16"/>
                <w:szCs w:val="16"/>
              </w:rPr>
              <w:t xml:space="preserve">2,948,929 </w:t>
            </w:r>
          </w:p>
        </w:tc>
      </w:tr>
    </w:tbl>
    <w:p w14:paraId="384101F7" w14:textId="7DF6C83F" w:rsidR="008F70F9" w:rsidRDefault="008F70F9">
      <w:pPr>
        <w:spacing w:after="0" w:line="240" w:lineRule="auto"/>
        <w:rPr>
          <w:rFonts w:ascii="Arial" w:hAnsi="Arial" w:cs="Arial"/>
          <w:sz w:val="16"/>
        </w:rPr>
      </w:pPr>
      <w:r>
        <w:rPr>
          <w:rFonts w:ascii="Arial" w:hAnsi="Arial" w:cs="Arial"/>
          <w:sz w:val="16"/>
        </w:rPr>
        <w:br w:type="page"/>
      </w:r>
    </w:p>
    <w:p w14:paraId="7F6D05E8" w14:textId="77777777" w:rsidR="008F70F9" w:rsidRDefault="008F70F9" w:rsidP="00115843">
      <w:pPr>
        <w:spacing w:after="0" w:line="240" w:lineRule="auto"/>
        <w:rPr>
          <w:rFonts w:ascii="Arial" w:hAnsi="Arial" w:cs="Arial"/>
          <w:sz w:val="16"/>
        </w:rPr>
      </w:pPr>
    </w:p>
    <w:p w14:paraId="5E79040F" w14:textId="77777777" w:rsidR="00115843" w:rsidRDefault="00115843" w:rsidP="00115843">
      <w:pPr>
        <w:pStyle w:val="TableHeading"/>
        <w:rPr>
          <w:noProof/>
        </w:rPr>
      </w:pPr>
      <w:r>
        <w:t>Table 2.</w:t>
      </w:r>
      <w:r>
        <w:rPr>
          <w:lang w:val="en-GB"/>
        </w:rPr>
        <w:t>5</w:t>
      </w:r>
      <w:r>
        <w:t xml:space="preserve">.1: Budgeted expenses for Outcome </w:t>
      </w:r>
      <w:r>
        <w:rPr>
          <w:lang w:val="en-GB"/>
        </w:rPr>
        <w:t>5</w:t>
      </w:r>
      <w:r>
        <w:t xml:space="preserve"> (continued)</w:t>
      </w:r>
    </w:p>
    <w:tbl>
      <w:tblPr>
        <w:tblW w:w="7540" w:type="dxa"/>
        <w:tblLook w:val="04A0" w:firstRow="1" w:lastRow="0" w:firstColumn="1" w:lastColumn="0" w:noHBand="0" w:noVBand="1"/>
      </w:tblPr>
      <w:tblGrid>
        <w:gridCol w:w="2840"/>
        <w:gridCol w:w="940"/>
        <w:gridCol w:w="940"/>
        <w:gridCol w:w="940"/>
        <w:gridCol w:w="940"/>
        <w:gridCol w:w="940"/>
      </w:tblGrid>
      <w:tr w:rsidR="008F70F9" w:rsidRPr="008F70F9" w14:paraId="1E33928A" w14:textId="77777777" w:rsidTr="008F70F9">
        <w:trPr>
          <w:trHeight w:val="204"/>
        </w:trPr>
        <w:tc>
          <w:tcPr>
            <w:tcW w:w="2840" w:type="dxa"/>
            <w:tcBorders>
              <w:top w:val="single" w:sz="4" w:space="0" w:color="auto"/>
              <w:left w:val="nil"/>
              <w:bottom w:val="single" w:sz="4" w:space="0" w:color="auto"/>
              <w:right w:val="nil"/>
            </w:tcBorders>
            <w:shd w:val="clear" w:color="auto" w:fill="auto"/>
            <w:noWrap/>
            <w:vAlign w:val="bottom"/>
            <w:hideMark/>
          </w:tcPr>
          <w:p w14:paraId="5EED9431" w14:textId="77777777" w:rsidR="008F70F9" w:rsidRPr="008F70F9" w:rsidRDefault="008F70F9" w:rsidP="008F70F9">
            <w:pPr>
              <w:spacing w:after="0" w:line="240" w:lineRule="auto"/>
              <w:rPr>
                <w:rFonts w:ascii="Arial" w:hAnsi="Arial" w:cs="Arial"/>
                <w:sz w:val="16"/>
                <w:szCs w:val="16"/>
              </w:rPr>
            </w:pPr>
            <w:r w:rsidRPr="008F70F9">
              <w:rPr>
                <w:rFonts w:ascii="Arial" w:hAnsi="Arial" w:cs="Arial"/>
                <w:sz w:val="16"/>
                <w:szCs w:val="16"/>
              </w:rPr>
              <w:t> </w:t>
            </w:r>
          </w:p>
        </w:tc>
        <w:tc>
          <w:tcPr>
            <w:tcW w:w="940" w:type="dxa"/>
            <w:tcBorders>
              <w:top w:val="single" w:sz="4" w:space="0" w:color="auto"/>
              <w:left w:val="nil"/>
              <w:bottom w:val="single" w:sz="4" w:space="0" w:color="auto"/>
              <w:right w:val="nil"/>
            </w:tcBorders>
            <w:shd w:val="clear" w:color="auto" w:fill="auto"/>
            <w:vAlign w:val="bottom"/>
            <w:hideMark/>
          </w:tcPr>
          <w:p w14:paraId="5B5B151C" w14:textId="00DE757F" w:rsidR="008F70F9" w:rsidRPr="008F70F9" w:rsidRDefault="008F70F9" w:rsidP="008F70F9">
            <w:pPr>
              <w:spacing w:after="0" w:line="240" w:lineRule="auto"/>
              <w:jc w:val="right"/>
              <w:rPr>
                <w:rFonts w:ascii="Arial" w:hAnsi="Arial" w:cs="Arial"/>
                <w:sz w:val="16"/>
                <w:szCs w:val="16"/>
              </w:rPr>
            </w:pPr>
            <w:r w:rsidRPr="008F70F9">
              <w:rPr>
                <w:rFonts w:ascii="Arial" w:hAnsi="Arial" w:cs="Arial"/>
                <w:sz w:val="16"/>
                <w:szCs w:val="16"/>
              </w:rPr>
              <w:t>2022-23</w:t>
            </w:r>
            <w:r w:rsidRPr="008F70F9">
              <w:rPr>
                <w:rFonts w:ascii="Arial" w:hAnsi="Arial" w:cs="Arial"/>
                <w:sz w:val="16"/>
                <w:szCs w:val="16"/>
              </w:rPr>
              <w:br/>
              <w:t>Estimated actual</w:t>
            </w:r>
            <w:r w:rsidRPr="008F70F9">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000000" w:fill="E6E6E6"/>
            <w:vAlign w:val="bottom"/>
            <w:hideMark/>
          </w:tcPr>
          <w:p w14:paraId="5045AFEF" w14:textId="77777777" w:rsidR="008F70F9" w:rsidRPr="008F70F9" w:rsidRDefault="008F70F9" w:rsidP="008F70F9">
            <w:pPr>
              <w:spacing w:after="0" w:line="240" w:lineRule="auto"/>
              <w:jc w:val="right"/>
              <w:rPr>
                <w:rFonts w:ascii="Arial" w:hAnsi="Arial" w:cs="Arial"/>
                <w:sz w:val="16"/>
                <w:szCs w:val="16"/>
              </w:rPr>
            </w:pPr>
            <w:r w:rsidRPr="008F70F9">
              <w:rPr>
                <w:rFonts w:ascii="Arial" w:hAnsi="Arial" w:cs="Arial"/>
                <w:sz w:val="16"/>
                <w:szCs w:val="16"/>
              </w:rPr>
              <w:t>2023-24</w:t>
            </w:r>
            <w:r w:rsidRPr="008F70F9">
              <w:rPr>
                <w:rFonts w:ascii="Arial" w:hAnsi="Arial" w:cs="Arial"/>
                <w:sz w:val="16"/>
                <w:szCs w:val="16"/>
              </w:rPr>
              <w:br/>
              <w:t xml:space="preserve"> Budget</w:t>
            </w:r>
            <w:r w:rsidRPr="008F70F9">
              <w:rPr>
                <w:rFonts w:ascii="Arial" w:hAnsi="Arial" w:cs="Arial"/>
                <w:sz w:val="16"/>
                <w:szCs w:val="16"/>
              </w:rPr>
              <w:br/>
              <w:t xml:space="preserve">                                      $'000</w:t>
            </w:r>
          </w:p>
        </w:tc>
        <w:tc>
          <w:tcPr>
            <w:tcW w:w="940" w:type="dxa"/>
            <w:tcBorders>
              <w:top w:val="single" w:sz="4" w:space="0" w:color="auto"/>
              <w:left w:val="nil"/>
              <w:bottom w:val="single" w:sz="4" w:space="0" w:color="auto"/>
              <w:right w:val="nil"/>
            </w:tcBorders>
            <w:shd w:val="clear" w:color="auto" w:fill="auto"/>
            <w:vAlign w:val="bottom"/>
            <w:hideMark/>
          </w:tcPr>
          <w:p w14:paraId="1C7B38B8" w14:textId="77777777" w:rsidR="008F70F9" w:rsidRPr="008F70F9" w:rsidRDefault="008F70F9" w:rsidP="008F70F9">
            <w:pPr>
              <w:spacing w:after="0" w:line="240" w:lineRule="auto"/>
              <w:jc w:val="right"/>
              <w:rPr>
                <w:rFonts w:ascii="Arial" w:hAnsi="Arial" w:cs="Arial"/>
                <w:sz w:val="16"/>
                <w:szCs w:val="16"/>
              </w:rPr>
            </w:pPr>
            <w:r w:rsidRPr="008F70F9">
              <w:rPr>
                <w:rFonts w:ascii="Arial" w:hAnsi="Arial" w:cs="Arial"/>
                <w:sz w:val="16"/>
                <w:szCs w:val="16"/>
              </w:rPr>
              <w:t>2024-25</w:t>
            </w:r>
            <w:r w:rsidRPr="008F70F9">
              <w:rPr>
                <w:rFonts w:ascii="Arial" w:hAnsi="Arial" w:cs="Arial"/>
                <w:sz w:val="16"/>
                <w:szCs w:val="16"/>
              </w:rPr>
              <w:br/>
              <w:t>Forward estimate</w:t>
            </w:r>
            <w:r w:rsidRPr="008F70F9">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14:paraId="3E3BBCF7" w14:textId="77777777" w:rsidR="008F70F9" w:rsidRPr="008F70F9" w:rsidRDefault="008F70F9" w:rsidP="008F70F9">
            <w:pPr>
              <w:spacing w:after="0" w:line="240" w:lineRule="auto"/>
              <w:jc w:val="right"/>
              <w:rPr>
                <w:rFonts w:ascii="Arial" w:hAnsi="Arial" w:cs="Arial"/>
                <w:sz w:val="16"/>
                <w:szCs w:val="16"/>
              </w:rPr>
            </w:pPr>
            <w:r w:rsidRPr="008F70F9">
              <w:rPr>
                <w:rFonts w:ascii="Arial" w:hAnsi="Arial" w:cs="Arial"/>
                <w:sz w:val="16"/>
                <w:szCs w:val="16"/>
              </w:rPr>
              <w:t>2025-26</w:t>
            </w:r>
            <w:r w:rsidRPr="008F70F9">
              <w:rPr>
                <w:rFonts w:ascii="Arial" w:hAnsi="Arial" w:cs="Arial"/>
                <w:sz w:val="16"/>
                <w:szCs w:val="16"/>
              </w:rPr>
              <w:br/>
              <w:t>Forward estimate</w:t>
            </w:r>
            <w:r w:rsidRPr="008F70F9">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14:paraId="14CD2C92" w14:textId="77777777" w:rsidR="008F70F9" w:rsidRPr="008F70F9" w:rsidRDefault="008F70F9" w:rsidP="008F70F9">
            <w:pPr>
              <w:spacing w:after="0" w:line="240" w:lineRule="auto"/>
              <w:jc w:val="right"/>
              <w:rPr>
                <w:rFonts w:ascii="Arial" w:hAnsi="Arial" w:cs="Arial"/>
                <w:sz w:val="16"/>
                <w:szCs w:val="16"/>
              </w:rPr>
            </w:pPr>
            <w:r w:rsidRPr="008F70F9">
              <w:rPr>
                <w:rFonts w:ascii="Arial" w:hAnsi="Arial" w:cs="Arial"/>
                <w:sz w:val="16"/>
                <w:szCs w:val="16"/>
              </w:rPr>
              <w:t>2026-27</w:t>
            </w:r>
            <w:r w:rsidRPr="008F70F9">
              <w:rPr>
                <w:rFonts w:ascii="Arial" w:hAnsi="Arial" w:cs="Arial"/>
                <w:sz w:val="16"/>
                <w:szCs w:val="16"/>
              </w:rPr>
              <w:br/>
              <w:t>Forward estimate</w:t>
            </w:r>
            <w:r w:rsidRPr="008F70F9">
              <w:rPr>
                <w:rFonts w:ascii="Arial" w:hAnsi="Arial" w:cs="Arial"/>
                <w:sz w:val="16"/>
                <w:szCs w:val="16"/>
              </w:rPr>
              <w:br/>
              <w:t>$'000</w:t>
            </w:r>
          </w:p>
        </w:tc>
      </w:tr>
      <w:tr w:rsidR="008F70F9" w:rsidRPr="008F70F9" w14:paraId="0E6DE108" w14:textId="77777777" w:rsidTr="008F70F9">
        <w:trPr>
          <w:trHeight w:val="204"/>
        </w:trPr>
        <w:tc>
          <w:tcPr>
            <w:tcW w:w="2840" w:type="dxa"/>
            <w:tcBorders>
              <w:top w:val="nil"/>
              <w:left w:val="nil"/>
              <w:bottom w:val="nil"/>
              <w:right w:val="nil"/>
            </w:tcBorders>
            <w:shd w:val="clear" w:color="auto" w:fill="auto"/>
            <w:noWrap/>
            <w:vAlign w:val="bottom"/>
            <w:hideMark/>
          </w:tcPr>
          <w:p w14:paraId="3B898622" w14:textId="77777777" w:rsidR="008F70F9" w:rsidRPr="008F70F9" w:rsidRDefault="008F70F9" w:rsidP="008F70F9">
            <w:pPr>
              <w:spacing w:after="0" w:line="240" w:lineRule="auto"/>
              <w:rPr>
                <w:rFonts w:ascii="Arial" w:hAnsi="Arial" w:cs="Arial"/>
                <w:sz w:val="16"/>
                <w:szCs w:val="16"/>
              </w:rPr>
            </w:pPr>
            <w:r w:rsidRPr="008F70F9">
              <w:rPr>
                <w:rFonts w:ascii="Arial" w:hAnsi="Arial" w:cs="Arial"/>
                <w:sz w:val="16"/>
                <w:szCs w:val="16"/>
              </w:rPr>
              <w:t>Departmental expenses</w:t>
            </w:r>
          </w:p>
        </w:tc>
        <w:tc>
          <w:tcPr>
            <w:tcW w:w="940" w:type="dxa"/>
            <w:tcBorders>
              <w:top w:val="nil"/>
              <w:left w:val="nil"/>
              <w:bottom w:val="nil"/>
              <w:right w:val="nil"/>
            </w:tcBorders>
            <w:shd w:val="clear" w:color="auto" w:fill="auto"/>
            <w:noWrap/>
            <w:vAlign w:val="bottom"/>
            <w:hideMark/>
          </w:tcPr>
          <w:p w14:paraId="25EBA390" w14:textId="77777777" w:rsidR="008F70F9" w:rsidRPr="008F70F9" w:rsidRDefault="008F70F9" w:rsidP="008F70F9">
            <w:pPr>
              <w:spacing w:after="0" w:line="240" w:lineRule="auto"/>
              <w:jc w:val="right"/>
              <w:rPr>
                <w:rFonts w:ascii="Arial" w:hAnsi="Arial" w:cs="Arial"/>
                <w:sz w:val="16"/>
                <w:szCs w:val="16"/>
              </w:rPr>
            </w:pPr>
          </w:p>
        </w:tc>
        <w:tc>
          <w:tcPr>
            <w:tcW w:w="940" w:type="dxa"/>
            <w:tcBorders>
              <w:top w:val="nil"/>
              <w:left w:val="nil"/>
              <w:bottom w:val="nil"/>
              <w:right w:val="nil"/>
            </w:tcBorders>
            <w:shd w:val="clear" w:color="000000" w:fill="E6E6E6"/>
            <w:noWrap/>
            <w:vAlign w:val="bottom"/>
            <w:hideMark/>
          </w:tcPr>
          <w:p w14:paraId="5BEEA3A7" w14:textId="6849457F" w:rsidR="008F70F9" w:rsidRPr="008F70F9" w:rsidRDefault="008F70F9" w:rsidP="008F70F9">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6D091D6D" w14:textId="77777777" w:rsidR="008F70F9" w:rsidRPr="008F70F9" w:rsidRDefault="008F70F9" w:rsidP="008F70F9">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11BABDAF" w14:textId="77777777" w:rsidR="008F70F9" w:rsidRPr="008F70F9" w:rsidRDefault="008F70F9" w:rsidP="008F70F9">
            <w:pPr>
              <w:spacing w:after="0" w:line="240" w:lineRule="auto"/>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440BA962" w14:textId="77777777" w:rsidR="008F70F9" w:rsidRPr="008F70F9" w:rsidRDefault="008F70F9" w:rsidP="008F70F9">
            <w:pPr>
              <w:spacing w:after="0" w:line="240" w:lineRule="auto"/>
              <w:jc w:val="right"/>
              <w:rPr>
                <w:rFonts w:ascii="Times New Roman" w:hAnsi="Times New Roman"/>
              </w:rPr>
            </w:pPr>
          </w:p>
        </w:tc>
      </w:tr>
      <w:tr w:rsidR="00420BB0" w:rsidRPr="008F70F9" w14:paraId="4B13B271" w14:textId="77777777" w:rsidTr="00420BB0">
        <w:trPr>
          <w:trHeight w:val="204"/>
        </w:trPr>
        <w:tc>
          <w:tcPr>
            <w:tcW w:w="2840" w:type="dxa"/>
            <w:tcBorders>
              <w:top w:val="nil"/>
              <w:left w:val="nil"/>
              <w:bottom w:val="nil"/>
              <w:right w:val="nil"/>
            </w:tcBorders>
            <w:shd w:val="clear" w:color="auto" w:fill="auto"/>
            <w:noWrap/>
            <w:vAlign w:val="bottom"/>
            <w:hideMark/>
          </w:tcPr>
          <w:p w14:paraId="285EADE0" w14:textId="77777777" w:rsidR="00420BB0" w:rsidRPr="008F70F9" w:rsidRDefault="00420BB0" w:rsidP="00420BB0">
            <w:pPr>
              <w:spacing w:after="0" w:line="240" w:lineRule="auto"/>
              <w:ind w:left="113"/>
              <w:rPr>
                <w:rFonts w:ascii="Arial" w:hAnsi="Arial" w:cs="Arial"/>
                <w:sz w:val="16"/>
                <w:szCs w:val="16"/>
              </w:rPr>
            </w:pPr>
            <w:r w:rsidRPr="008F70F9">
              <w:rPr>
                <w:rFonts w:ascii="Arial" w:hAnsi="Arial" w:cs="Arial"/>
                <w:sz w:val="16"/>
                <w:szCs w:val="16"/>
              </w:rPr>
              <w:t>Departmental appropriation</w:t>
            </w:r>
          </w:p>
        </w:tc>
        <w:tc>
          <w:tcPr>
            <w:tcW w:w="940" w:type="dxa"/>
            <w:tcBorders>
              <w:top w:val="nil"/>
              <w:left w:val="nil"/>
              <w:bottom w:val="nil"/>
              <w:right w:val="nil"/>
            </w:tcBorders>
            <w:shd w:val="clear" w:color="auto" w:fill="auto"/>
            <w:noWrap/>
            <w:vAlign w:val="bottom"/>
            <w:hideMark/>
          </w:tcPr>
          <w:p w14:paraId="5341262B" w14:textId="09013905" w:rsidR="00420BB0" w:rsidRPr="008F70F9" w:rsidRDefault="00420BB0" w:rsidP="00420BB0">
            <w:pPr>
              <w:spacing w:after="0" w:line="240" w:lineRule="auto"/>
              <w:jc w:val="right"/>
              <w:rPr>
                <w:rFonts w:ascii="Arial" w:hAnsi="Arial" w:cs="Arial"/>
                <w:sz w:val="16"/>
                <w:szCs w:val="16"/>
              </w:rPr>
            </w:pPr>
            <w:r>
              <w:rPr>
                <w:rFonts w:ascii="Arial" w:hAnsi="Arial" w:cs="Arial"/>
                <w:sz w:val="16"/>
                <w:szCs w:val="16"/>
              </w:rPr>
              <w:t>84,520</w:t>
            </w:r>
          </w:p>
        </w:tc>
        <w:tc>
          <w:tcPr>
            <w:tcW w:w="940" w:type="dxa"/>
            <w:tcBorders>
              <w:top w:val="nil"/>
              <w:left w:val="nil"/>
              <w:bottom w:val="nil"/>
              <w:right w:val="nil"/>
            </w:tcBorders>
            <w:shd w:val="clear" w:color="000000" w:fill="E6E6E6"/>
            <w:noWrap/>
            <w:vAlign w:val="bottom"/>
            <w:hideMark/>
          </w:tcPr>
          <w:p w14:paraId="05621784" w14:textId="0EF536AF" w:rsidR="00420BB0" w:rsidRPr="008F70F9" w:rsidRDefault="00420BB0" w:rsidP="00420BB0">
            <w:pPr>
              <w:spacing w:after="0" w:line="240" w:lineRule="auto"/>
              <w:jc w:val="right"/>
              <w:rPr>
                <w:rFonts w:ascii="Arial" w:hAnsi="Arial" w:cs="Arial"/>
                <w:sz w:val="16"/>
                <w:szCs w:val="16"/>
              </w:rPr>
            </w:pPr>
            <w:r>
              <w:rPr>
                <w:rFonts w:ascii="Arial" w:hAnsi="Arial" w:cs="Arial"/>
                <w:sz w:val="16"/>
                <w:szCs w:val="16"/>
              </w:rPr>
              <w:t>91,143</w:t>
            </w:r>
          </w:p>
        </w:tc>
        <w:tc>
          <w:tcPr>
            <w:tcW w:w="940" w:type="dxa"/>
            <w:tcBorders>
              <w:top w:val="nil"/>
              <w:left w:val="nil"/>
              <w:bottom w:val="nil"/>
              <w:right w:val="nil"/>
            </w:tcBorders>
            <w:shd w:val="clear" w:color="auto" w:fill="auto"/>
            <w:noWrap/>
            <w:vAlign w:val="bottom"/>
            <w:hideMark/>
          </w:tcPr>
          <w:p w14:paraId="1F2CD8E7" w14:textId="703F7E16" w:rsidR="00420BB0" w:rsidRPr="008F70F9" w:rsidRDefault="00420BB0" w:rsidP="00420BB0">
            <w:pPr>
              <w:spacing w:after="0" w:line="240" w:lineRule="auto"/>
              <w:jc w:val="right"/>
              <w:rPr>
                <w:rFonts w:ascii="Arial" w:hAnsi="Arial" w:cs="Arial"/>
                <w:sz w:val="16"/>
                <w:szCs w:val="16"/>
              </w:rPr>
            </w:pPr>
            <w:r>
              <w:rPr>
                <w:rFonts w:ascii="Arial" w:hAnsi="Arial" w:cs="Arial"/>
                <w:sz w:val="16"/>
                <w:szCs w:val="16"/>
              </w:rPr>
              <w:t>94,574</w:t>
            </w:r>
          </w:p>
        </w:tc>
        <w:tc>
          <w:tcPr>
            <w:tcW w:w="940" w:type="dxa"/>
            <w:tcBorders>
              <w:top w:val="nil"/>
              <w:left w:val="nil"/>
              <w:bottom w:val="nil"/>
              <w:right w:val="nil"/>
            </w:tcBorders>
            <w:shd w:val="clear" w:color="auto" w:fill="auto"/>
            <w:noWrap/>
            <w:vAlign w:val="bottom"/>
            <w:hideMark/>
          </w:tcPr>
          <w:p w14:paraId="1689E75E" w14:textId="4ED4F9C4" w:rsidR="00420BB0" w:rsidRPr="008F70F9" w:rsidRDefault="00420BB0" w:rsidP="00420BB0">
            <w:pPr>
              <w:spacing w:after="0" w:line="240" w:lineRule="auto"/>
              <w:jc w:val="right"/>
              <w:rPr>
                <w:rFonts w:ascii="Arial" w:hAnsi="Arial" w:cs="Arial"/>
                <w:sz w:val="16"/>
                <w:szCs w:val="16"/>
              </w:rPr>
            </w:pPr>
            <w:r>
              <w:rPr>
                <w:rFonts w:ascii="Arial" w:hAnsi="Arial" w:cs="Arial"/>
                <w:sz w:val="16"/>
                <w:szCs w:val="16"/>
              </w:rPr>
              <w:t>85,972</w:t>
            </w:r>
          </w:p>
        </w:tc>
        <w:tc>
          <w:tcPr>
            <w:tcW w:w="940" w:type="dxa"/>
            <w:tcBorders>
              <w:top w:val="nil"/>
              <w:left w:val="nil"/>
              <w:bottom w:val="nil"/>
              <w:right w:val="nil"/>
            </w:tcBorders>
            <w:shd w:val="clear" w:color="auto" w:fill="auto"/>
            <w:noWrap/>
            <w:vAlign w:val="bottom"/>
            <w:hideMark/>
          </w:tcPr>
          <w:p w14:paraId="437DC5A2" w14:textId="5B7EC412" w:rsidR="00420BB0" w:rsidRPr="008F70F9" w:rsidRDefault="00420BB0" w:rsidP="00420BB0">
            <w:pPr>
              <w:spacing w:after="0" w:line="240" w:lineRule="auto"/>
              <w:jc w:val="right"/>
              <w:rPr>
                <w:rFonts w:ascii="Arial" w:hAnsi="Arial" w:cs="Arial"/>
                <w:sz w:val="16"/>
                <w:szCs w:val="16"/>
              </w:rPr>
            </w:pPr>
            <w:r>
              <w:rPr>
                <w:rFonts w:ascii="Arial" w:hAnsi="Arial" w:cs="Arial"/>
                <w:sz w:val="16"/>
                <w:szCs w:val="16"/>
              </w:rPr>
              <w:t>73,966</w:t>
            </w:r>
          </w:p>
        </w:tc>
      </w:tr>
      <w:tr w:rsidR="00420BB0" w:rsidRPr="008F70F9" w14:paraId="36802128" w14:textId="77777777" w:rsidTr="00420BB0">
        <w:trPr>
          <w:trHeight w:val="204"/>
        </w:trPr>
        <w:tc>
          <w:tcPr>
            <w:tcW w:w="2840" w:type="dxa"/>
            <w:tcBorders>
              <w:top w:val="nil"/>
              <w:left w:val="nil"/>
              <w:bottom w:val="nil"/>
              <w:right w:val="nil"/>
            </w:tcBorders>
            <w:shd w:val="clear" w:color="auto" w:fill="auto"/>
            <w:noWrap/>
            <w:vAlign w:val="bottom"/>
            <w:hideMark/>
          </w:tcPr>
          <w:p w14:paraId="4DB163AE" w14:textId="39FAC76F" w:rsidR="00420BB0" w:rsidRPr="008F70F9" w:rsidRDefault="00420BB0" w:rsidP="00420BB0">
            <w:pPr>
              <w:spacing w:after="0" w:line="240" w:lineRule="auto"/>
              <w:ind w:left="113"/>
              <w:rPr>
                <w:rFonts w:ascii="Arial" w:hAnsi="Arial" w:cs="Arial"/>
                <w:sz w:val="16"/>
                <w:szCs w:val="16"/>
              </w:rPr>
            </w:pPr>
            <w:r w:rsidRPr="008F70F9">
              <w:rPr>
                <w:rFonts w:ascii="Arial" w:hAnsi="Arial" w:cs="Arial"/>
                <w:sz w:val="16"/>
                <w:szCs w:val="16"/>
              </w:rPr>
              <w:t>74 external revenues</w:t>
            </w:r>
            <w:r w:rsidRPr="0027452F">
              <w:rPr>
                <w:rFonts w:ascii="Arial" w:hAnsi="Arial" w:cs="Arial"/>
                <w:sz w:val="16"/>
                <w:szCs w:val="16"/>
                <w:vertAlign w:val="superscript"/>
              </w:rPr>
              <w:t>(c)</w:t>
            </w:r>
          </w:p>
        </w:tc>
        <w:tc>
          <w:tcPr>
            <w:tcW w:w="940" w:type="dxa"/>
            <w:tcBorders>
              <w:top w:val="nil"/>
              <w:left w:val="nil"/>
              <w:bottom w:val="nil"/>
              <w:right w:val="nil"/>
            </w:tcBorders>
            <w:shd w:val="clear" w:color="auto" w:fill="auto"/>
            <w:noWrap/>
            <w:vAlign w:val="bottom"/>
            <w:hideMark/>
          </w:tcPr>
          <w:p w14:paraId="2949E0C1" w14:textId="2934C7A6" w:rsidR="00420BB0" w:rsidRPr="008F70F9" w:rsidRDefault="00420BB0" w:rsidP="00420BB0">
            <w:pPr>
              <w:spacing w:after="0" w:line="240" w:lineRule="auto"/>
              <w:jc w:val="right"/>
              <w:rPr>
                <w:rFonts w:ascii="Arial" w:hAnsi="Arial" w:cs="Arial"/>
                <w:sz w:val="16"/>
                <w:szCs w:val="16"/>
              </w:rPr>
            </w:pPr>
            <w:r>
              <w:rPr>
                <w:rFonts w:ascii="Arial" w:hAnsi="Arial" w:cs="Arial"/>
                <w:sz w:val="16"/>
                <w:szCs w:val="16"/>
              </w:rPr>
              <w:t>2,406</w:t>
            </w:r>
          </w:p>
        </w:tc>
        <w:tc>
          <w:tcPr>
            <w:tcW w:w="940" w:type="dxa"/>
            <w:tcBorders>
              <w:top w:val="nil"/>
              <w:left w:val="nil"/>
              <w:bottom w:val="nil"/>
              <w:right w:val="nil"/>
            </w:tcBorders>
            <w:shd w:val="clear" w:color="000000" w:fill="E6E6E6"/>
            <w:noWrap/>
            <w:vAlign w:val="bottom"/>
            <w:hideMark/>
          </w:tcPr>
          <w:p w14:paraId="12401E17" w14:textId="68DBEE5D" w:rsidR="00420BB0" w:rsidRPr="008F70F9" w:rsidRDefault="00420BB0" w:rsidP="00420BB0">
            <w:pPr>
              <w:spacing w:after="0" w:line="240" w:lineRule="auto"/>
              <w:jc w:val="right"/>
              <w:rPr>
                <w:rFonts w:ascii="Arial" w:hAnsi="Arial" w:cs="Arial"/>
                <w:sz w:val="16"/>
                <w:szCs w:val="16"/>
              </w:rPr>
            </w:pPr>
            <w:r>
              <w:rPr>
                <w:rFonts w:ascii="Arial" w:hAnsi="Arial" w:cs="Arial"/>
                <w:sz w:val="16"/>
                <w:szCs w:val="16"/>
              </w:rPr>
              <w:t>2,917</w:t>
            </w:r>
          </w:p>
        </w:tc>
        <w:tc>
          <w:tcPr>
            <w:tcW w:w="940" w:type="dxa"/>
            <w:tcBorders>
              <w:top w:val="nil"/>
              <w:left w:val="nil"/>
              <w:bottom w:val="nil"/>
              <w:right w:val="nil"/>
            </w:tcBorders>
            <w:shd w:val="clear" w:color="auto" w:fill="auto"/>
            <w:noWrap/>
            <w:vAlign w:val="bottom"/>
            <w:hideMark/>
          </w:tcPr>
          <w:p w14:paraId="40CF00E4" w14:textId="5854556D" w:rsidR="00420BB0" w:rsidRPr="008F70F9" w:rsidRDefault="00420BB0" w:rsidP="00420BB0">
            <w:pPr>
              <w:spacing w:after="0" w:line="240" w:lineRule="auto"/>
              <w:jc w:val="right"/>
              <w:rPr>
                <w:rFonts w:ascii="Arial" w:hAnsi="Arial" w:cs="Arial"/>
                <w:sz w:val="16"/>
                <w:szCs w:val="16"/>
              </w:rPr>
            </w:pPr>
            <w:r>
              <w:rPr>
                <w:rFonts w:ascii="Arial" w:hAnsi="Arial" w:cs="Arial"/>
                <w:sz w:val="16"/>
                <w:szCs w:val="16"/>
              </w:rPr>
              <w:t>2,049</w:t>
            </w:r>
          </w:p>
        </w:tc>
        <w:tc>
          <w:tcPr>
            <w:tcW w:w="940" w:type="dxa"/>
            <w:tcBorders>
              <w:top w:val="nil"/>
              <w:left w:val="nil"/>
              <w:bottom w:val="nil"/>
              <w:right w:val="nil"/>
            </w:tcBorders>
            <w:shd w:val="clear" w:color="auto" w:fill="auto"/>
            <w:noWrap/>
            <w:vAlign w:val="bottom"/>
            <w:hideMark/>
          </w:tcPr>
          <w:p w14:paraId="60620EEE" w14:textId="365E292A" w:rsidR="00420BB0" w:rsidRPr="008F70F9" w:rsidRDefault="00420BB0" w:rsidP="00420BB0">
            <w:pPr>
              <w:spacing w:after="0" w:line="240" w:lineRule="auto"/>
              <w:jc w:val="right"/>
              <w:rPr>
                <w:rFonts w:ascii="Arial" w:hAnsi="Arial" w:cs="Arial"/>
                <w:sz w:val="16"/>
                <w:szCs w:val="16"/>
              </w:rPr>
            </w:pPr>
            <w:r>
              <w:rPr>
                <w:rFonts w:ascii="Arial" w:hAnsi="Arial" w:cs="Arial"/>
                <w:sz w:val="16"/>
                <w:szCs w:val="16"/>
              </w:rPr>
              <w:t>2,049</w:t>
            </w:r>
          </w:p>
        </w:tc>
        <w:tc>
          <w:tcPr>
            <w:tcW w:w="940" w:type="dxa"/>
            <w:tcBorders>
              <w:top w:val="nil"/>
              <w:left w:val="nil"/>
              <w:bottom w:val="nil"/>
              <w:right w:val="nil"/>
            </w:tcBorders>
            <w:shd w:val="clear" w:color="auto" w:fill="auto"/>
            <w:noWrap/>
            <w:vAlign w:val="bottom"/>
            <w:hideMark/>
          </w:tcPr>
          <w:p w14:paraId="2CE3B414" w14:textId="555DFFAE" w:rsidR="00420BB0" w:rsidRPr="008F70F9" w:rsidRDefault="00420BB0" w:rsidP="00420BB0">
            <w:pPr>
              <w:spacing w:after="0" w:line="240" w:lineRule="auto"/>
              <w:jc w:val="right"/>
              <w:rPr>
                <w:rFonts w:ascii="Arial" w:hAnsi="Arial" w:cs="Arial"/>
                <w:sz w:val="16"/>
                <w:szCs w:val="16"/>
              </w:rPr>
            </w:pPr>
            <w:r>
              <w:rPr>
                <w:rFonts w:ascii="Arial" w:hAnsi="Arial" w:cs="Arial"/>
                <w:sz w:val="16"/>
                <w:szCs w:val="16"/>
              </w:rPr>
              <w:t>2,049</w:t>
            </w:r>
          </w:p>
        </w:tc>
      </w:tr>
      <w:tr w:rsidR="00420BB0" w:rsidRPr="008F70F9" w14:paraId="67F9914D" w14:textId="77777777" w:rsidTr="00420BB0">
        <w:trPr>
          <w:trHeight w:val="204"/>
        </w:trPr>
        <w:tc>
          <w:tcPr>
            <w:tcW w:w="2840" w:type="dxa"/>
            <w:tcBorders>
              <w:top w:val="nil"/>
              <w:left w:val="nil"/>
              <w:bottom w:val="nil"/>
              <w:right w:val="nil"/>
            </w:tcBorders>
            <w:shd w:val="clear" w:color="auto" w:fill="auto"/>
            <w:noWrap/>
            <w:vAlign w:val="bottom"/>
            <w:hideMark/>
          </w:tcPr>
          <w:p w14:paraId="6C84D6B7" w14:textId="77777777" w:rsidR="00420BB0" w:rsidRPr="008F70F9" w:rsidRDefault="00420BB0" w:rsidP="00420BB0">
            <w:pPr>
              <w:spacing w:after="0" w:line="240" w:lineRule="auto"/>
              <w:ind w:left="113"/>
              <w:rPr>
                <w:rFonts w:ascii="Arial" w:hAnsi="Arial" w:cs="Arial"/>
                <w:sz w:val="16"/>
                <w:szCs w:val="16"/>
              </w:rPr>
            </w:pPr>
            <w:r w:rsidRPr="008F70F9">
              <w:rPr>
                <w:rFonts w:ascii="Arial" w:hAnsi="Arial" w:cs="Arial"/>
                <w:sz w:val="16"/>
                <w:szCs w:val="16"/>
              </w:rPr>
              <w:t>Special accounts</w:t>
            </w:r>
          </w:p>
        </w:tc>
        <w:tc>
          <w:tcPr>
            <w:tcW w:w="940" w:type="dxa"/>
            <w:tcBorders>
              <w:top w:val="nil"/>
              <w:left w:val="nil"/>
              <w:bottom w:val="nil"/>
              <w:right w:val="nil"/>
            </w:tcBorders>
            <w:shd w:val="clear" w:color="auto" w:fill="auto"/>
            <w:noWrap/>
            <w:vAlign w:val="bottom"/>
            <w:hideMark/>
          </w:tcPr>
          <w:p w14:paraId="3F2E2CDB" w14:textId="1226A4BC" w:rsidR="00420BB0" w:rsidRPr="008F70F9" w:rsidRDefault="00420BB0" w:rsidP="00420BB0">
            <w:pPr>
              <w:spacing w:after="0" w:line="240" w:lineRule="auto"/>
              <w:jc w:val="right"/>
              <w:rPr>
                <w:rFonts w:ascii="Arial" w:hAnsi="Arial" w:cs="Arial"/>
                <w:sz w:val="16"/>
                <w:szCs w:val="16"/>
              </w:rPr>
            </w:pPr>
            <w:r>
              <w:rPr>
                <w:rFonts w:ascii="Arial" w:hAnsi="Arial" w:cs="Arial"/>
                <w:sz w:val="16"/>
                <w:szCs w:val="16"/>
              </w:rPr>
              <w:t>4,046</w:t>
            </w:r>
          </w:p>
        </w:tc>
        <w:tc>
          <w:tcPr>
            <w:tcW w:w="940" w:type="dxa"/>
            <w:tcBorders>
              <w:top w:val="nil"/>
              <w:left w:val="nil"/>
              <w:bottom w:val="nil"/>
              <w:right w:val="nil"/>
            </w:tcBorders>
            <w:shd w:val="clear" w:color="000000" w:fill="E6E6E6"/>
            <w:noWrap/>
            <w:vAlign w:val="bottom"/>
            <w:hideMark/>
          </w:tcPr>
          <w:p w14:paraId="697BA97E" w14:textId="6F8A70B3" w:rsidR="00420BB0" w:rsidRPr="008F70F9" w:rsidRDefault="00420BB0" w:rsidP="00420BB0">
            <w:pPr>
              <w:spacing w:after="0" w:line="240" w:lineRule="auto"/>
              <w:jc w:val="right"/>
              <w:rPr>
                <w:rFonts w:ascii="Arial" w:hAnsi="Arial" w:cs="Arial"/>
                <w:sz w:val="16"/>
                <w:szCs w:val="16"/>
              </w:rPr>
            </w:pPr>
            <w:r>
              <w:rPr>
                <w:rFonts w:ascii="Arial" w:hAnsi="Arial" w:cs="Arial"/>
                <w:sz w:val="16"/>
                <w:szCs w:val="16"/>
              </w:rPr>
              <w:t>4,046</w:t>
            </w:r>
          </w:p>
        </w:tc>
        <w:tc>
          <w:tcPr>
            <w:tcW w:w="940" w:type="dxa"/>
            <w:tcBorders>
              <w:top w:val="nil"/>
              <w:left w:val="nil"/>
              <w:bottom w:val="nil"/>
              <w:right w:val="nil"/>
            </w:tcBorders>
            <w:shd w:val="clear" w:color="auto" w:fill="auto"/>
            <w:noWrap/>
            <w:vAlign w:val="bottom"/>
            <w:hideMark/>
          </w:tcPr>
          <w:p w14:paraId="4822421B" w14:textId="2D1269E8" w:rsidR="00420BB0" w:rsidRPr="008F70F9" w:rsidRDefault="00420BB0" w:rsidP="00420BB0">
            <w:pPr>
              <w:spacing w:after="0" w:line="240" w:lineRule="auto"/>
              <w:jc w:val="right"/>
              <w:rPr>
                <w:rFonts w:ascii="Arial" w:hAnsi="Arial" w:cs="Arial"/>
                <w:sz w:val="16"/>
                <w:szCs w:val="16"/>
              </w:rPr>
            </w:pPr>
            <w:r>
              <w:rPr>
                <w:rFonts w:ascii="Arial" w:hAnsi="Arial" w:cs="Arial"/>
                <w:sz w:val="16"/>
                <w:szCs w:val="16"/>
              </w:rPr>
              <w:t>4,046</w:t>
            </w:r>
          </w:p>
        </w:tc>
        <w:tc>
          <w:tcPr>
            <w:tcW w:w="940" w:type="dxa"/>
            <w:tcBorders>
              <w:top w:val="nil"/>
              <w:left w:val="nil"/>
              <w:bottom w:val="nil"/>
              <w:right w:val="nil"/>
            </w:tcBorders>
            <w:shd w:val="clear" w:color="auto" w:fill="auto"/>
            <w:noWrap/>
            <w:vAlign w:val="bottom"/>
            <w:hideMark/>
          </w:tcPr>
          <w:p w14:paraId="654EDEE5" w14:textId="3675ABE5" w:rsidR="00420BB0" w:rsidRPr="008F70F9" w:rsidRDefault="00420BB0" w:rsidP="00420BB0">
            <w:pPr>
              <w:spacing w:after="0" w:line="240" w:lineRule="auto"/>
              <w:jc w:val="right"/>
              <w:rPr>
                <w:rFonts w:ascii="Arial" w:hAnsi="Arial" w:cs="Arial"/>
                <w:sz w:val="16"/>
                <w:szCs w:val="16"/>
              </w:rPr>
            </w:pPr>
            <w:r>
              <w:rPr>
                <w:rFonts w:ascii="Arial" w:hAnsi="Arial" w:cs="Arial"/>
                <w:sz w:val="16"/>
                <w:szCs w:val="16"/>
              </w:rPr>
              <w:t>4,046</w:t>
            </w:r>
          </w:p>
        </w:tc>
        <w:tc>
          <w:tcPr>
            <w:tcW w:w="940" w:type="dxa"/>
            <w:tcBorders>
              <w:top w:val="nil"/>
              <w:left w:val="nil"/>
              <w:bottom w:val="nil"/>
              <w:right w:val="nil"/>
            </w:tcBorders>
            <w:shd w:val="clear" w:color="auto" w:fill="auto"/>
            <w:noWrap/>
            <w:vAlign w:val="bottom"/>
            <w:hideMark/>
          </w:tcPr>
          <w:p w14:paraId="1DC9F646" w14:textId="5B503606" w:rsidR="00420BB0" w:rsidRPr="008F70F9" w:rsidRDefault="00420BB0" w:rsidP="00420BB0">
            <w:pPr>
              <w:spacing w:after="0" w:line="240" w:lineRule="auto"/>
              <w:jc w:val="right"/>
              <w:rPr>
                <w:rFonts w:ascii="Arial" w:hAnsi="Arial" w:cs="Arial"/>
                <w:sz w:val="16"/>
                <w:szCs w:val="16"/>
              </w:rPr>
            </w:pPr>
            <w:r>
              <w:rPr>
                <w:rFonts w:ascii="Arial" w:hAnsi="Arial" w:cs="Arial"/>
                <w:sz w:val="16"/>
                <w:szCs w:val="16"/>
              </w:rPr>
              <w:t>4,046</w:t>
            </w:r>
          </w:p>
        </w:tc>
      </w:tr>
      <w:tr w:rsidR="00420BB0" w:rsidRPr="008F70F9" w14:paraId="6918F358" w14:textId="77777777" w:rsidTr="00420BB0">
        <w:trPr>
          <w:trHeight w:val="204"/>
        </w:trPr>
        <w:tc>
          <w:tcPr>
            <w:tcW w:w="2840" w:type="dxa"/>
            <w:tcBorders>
              <w:top w:val="nil"/>
              <w:left w:val="nil"/>
              <w:bottom w:val="nil"/>
              <w:right w:val="nil"/>
            </w:tcBorders>
            <w:shd w:val="clear" w:color="auto" w:fill="auto"/>
            <w:vAlign w:val="bottom"/>
            <w:hideMark/>
          </w:tcPr>
          <w:p w14:paraId="6C4827D0" w14:textId="1A13057F" w:rsidR="00420BB0" w:rsidRPr="008F70F9" w:rsidRDefault="00420BB0" w:rsidP="007B5C33">
            <w:pPr>
              <w:spacing w:after="0" w:line="240" w:lineRule="auto"/>
              <w:ind w:left="113"/>
              <w:rPr>
                <w:rFonts w:ascii="Arial" w:hAnsi="Arial" w:cs="Arial"/>
                <w:sz w:val="16"/>
                <w:szCs w:val="16"/>
              </w:rPr>
            </w:pPr>
            <w:r w:rsidRPr="008F70F9">
              <w:rPr>
                <w:rFonts w:ascii="Arial" w:hAnsi="Arial" w:cs="Arial"/>
                <w:sz w:val="16"/>
                <w:szCs w:val="16"/>
              </w:rPr>
              <w:t>Expenses not requiring appropriation in the Budget year</w:t>
            </w:r>
            <w:r w:rsidRPr="00420BB0">
              <w:rPr>
                <w:rFonts w:ascii="Arial" w:hAnsi="Arial" w:cs="Arial"/>
                <w:sz w:val="16"/>
                <w:szCs w:val="16"/>
                <w:vertAlign w:val="superscript"/>
              </w:rPr>
              <w:t>(d)</w:t>
            </w:r>
          </w:p>
        </w:tc>
        <w:tc>
          <w:tcPr>
            <w:tcW w:w="940" w:type="dxa"/>
            <w:tcBorders>
              <w:top w:val="nil"/>
              <w:left w:val="nil"/>
              <w:bottom w:val="nil"/>
              <w:right w:val="nil"/>
            </w:tcBorders>
            <w:shd w:val="clear" w:color="auto" w:fill="auto"/>
            <w:noWrap/>
            <w:vAlign w:val="bottom"/>
            <w:hideMark/>
          </w:tcPr>
          <w:p w14:paraId="272C4588" w14:textId="2F35691C" w:rsidR="00420BB0" w:rsidRPr="008F70F9" w:rsidRDefault="00420BB0" w:rsidP="00420BB0">
            <w:pPr>
              <w:spacing w:after="0" w:line="240" w:lineRule="auto"/>
              <w:jc w:val="right"/>
              <w:rPr>
                <w:rFonts w:ascii="Arial" w:hAnsi="Arial" w:cs="Arial"/>
                <w:sz w:val="16"/>
                <w:szCs w:val="16"/>
              </w:rPr>
            </w:pPr>
            <w:r>
              <w:rPr>
                <w:rFonts w:ascii="Arial" w:hAnsi="Arial" w:cs="Arial"/>
                <w:sz w:val="16"/>
                <w:szCs w:val="16"/>
              </w:rPr>
              <w:t>3,010</w:t>
            </w:r>
          </w:p>
        </w:tc>
        <w:tc>
          <w:tcPr>
            <w:tcW w:w="940" w:type="dxa"/>
            <w:tcBorders>
              <w:top w:val="nil"/>
              <w:left w:val="nil"/>
              <w:bottom w:val="nil"/>
              <w:right w:val="nil"/>
            </w:tcBorders>
            <w:shd w:val="clear" w:color="000000" w:fill="E6E6E6"/>
            <w:noWrap/>
            <w:vAlign w:val="bottom"/>
            <w:hideMark/>
          </w:tcPr>
          <w:p w14:paraId="68744CB1" w14:textId="2F0E2459" w:rsidR="00420BB0" w:rsidRPr="008F70F9" w:rsidRDefault="00420BB0" w:rsidP="00420BB0">
            <w:pPr>
              <w:spacing w:after="0" w:line="240" w:lineRule="auto"/>
              <w:jc w:val="right"/>
              <w:rPr>
                <w:rFonts w:ascii="Arial" w:hAnsi="Arial" w:cs="Arial"/>
                <w:sz w:val="16"/>
                <w:szCs w:val="16"/>
              </w:rPr>
            </w:pPr>
            <w:r>
              <w:rPr>
                <w:rFonts w:ascii="Arial" w:hAnsi="Arial" w:cs="Arial"/>
                <w:sz w:val="16"/>
                <w:szCs w:val="16"/>
              </w:rPr>
              <w:t>5,849</w:t>
            </w:r>
          </w:p>
        </w:tc>
        <w:tc>
          <w:tcPr>
            <w:tcW w:w="940" w:type="dxa"/>
            <w:tcBorders>
              <w:top w:val="nil"/>
              <w:left w:val="nil"/>
              <w:bottom w:val="nil"/>
              <w:right w:val="nil"/>
            </w:tcBorders>
            <w:shd w:val="clear" w:color="auto" w:fill="auto"/>
            <w:noWrap/>
            <w:vAlign w:val="bottom"/>
            <w:hideMark/>
          </w:tcPr>
          <w:p w14:paraId="50AF1DC8" w14:textId="4C95479E" w:rsidR="00420BB0" w:rsidRPr="008F70F9" w:rsidRDefault="00420BB0" w:rsidP="00420BB0">
            <w:pPr>
              <w:spacing w:after="0" w:line="240" w:lineRule="auto"/>
              <w:jc w:val="right"/>
              <w:rPr>
                <w:rFonts w:ascii="Arial" w:hAnsi="Arial" w:cs="Arial"/>
                <w:sz w:val="16"/>
                <w:szCs w:val="16"/>
              </w:rPr>
            </w:pPr>
            <w:r>
              <w:rPr>
                <w:rFonts w:ascii="Arial" w:hAnsi="Arial" w:cs="Arial"/>
                <w:sz w:val="16"/>
                <w:szCs w:val="16"/>
              </w:rPr>
              <w:t>5,816</w:t>
            </w:r>
          </w:p>
        </w:tc>
        <w:tc>
          <w:tcPr>
            <w:tcW w:w="940" w:type="dxa"/>
            <w:tcBorders>
              <w:top w:val="nil"/>
              <w:left w:val="nil"/>
              <w:bottom w:val="nil"/>
              <w:right w:val="nil"/>
            </w:tcBorders>
            <w:shd w:val="clear" w:color="auto" w:fill="auto"/>
            <w:noWrap/>
            <w:vAlign w:val="bottom"/>
            <w:hideMark/>
          </w:tcPr>
          <w:p w14:paraId="691668AE" w14:textId="15E957B6" w:rsidR="00420BB0" w:rsidRPr="008F70F9" w:rsidRDefault="00420BB0" w:rsidP="00420BB0">
            <w:pPr>
              <w:spacing w:after="0" w:line="240" w:lineRule="auto"/>
              <w:jc w:val="right"/>
              <w:rPr>
                <w:rFonts w:ascii="Arial" w:hAnsi="Arial" w:cs="Arial"/>
                <w:sz w:val="16"/>
                <w:szCs w:val="16"/>
              </w:rPr>
            </w:pPr>
            <w:r>
              <w:rPr>
                <w:rFonts w:ascii="Arial" w:hAnsi="Arial" w:cs="Arial"/>
                <w:sz w:val="16"/>
                <w:szCs w:val="16"/>
              </w:rPr>
              <w:t>5,816</w:t>
            </w:r>
          </w:p>
        </w:tc>
        <w:tc>
          <w:tcPr>
            <w:tcW w:w="940" w:type="dxa"/>
            <w:tcBorders>
              <w:top w:val="nil"/>
              <w:left w:val="nil"/>
              <w:bottom w:val="nil"/>
              <w:right w:val="nil"/>
            </w:tcBorders>
            <w:shd w:val="clear" w:color="auto" w:fill="auto"/>
            <w:noWrap/>
            <w:vAlign w:val="bottom"/>
            <w:hideMark/>
          </w:tcPr>
          <w:p w14:paraId="1BBAD20D" w14:textId="33D69664" w:rsidR="00420BB0" w:rsidRPr="008F70F9" w:rsidRDefault="00420BB0" w:rsidP="00420BB0">
            <w:pPr>
              <w:spacing w:after="0" w:line="240" w:lineRule="auto"/>
              <w:jc w:val="right"/>
              <w:rPr>
                <w:rFonts w:ascii="Arial" w:hAnsi="Arial" w:cs="Arial"/>
                <w:sz w:val="16"/>
                <w:szCs w:val="16"/>
              </w:rPr>
            </w:pPr>
            <w:r>
              <w:rPr>
                <w:rFonts w:ascii="Arial" w:hAnsi="Arial" w:cs="Arial"/>
                <w:sz w:val="16"/>
                <w:szCs w:val="16"/>
              </w:rPr>
              <w:t>5,816</w:t>
            </w:r>
          </w:p>
        </w:tc>
      </w:tr>
      <w:tr w:rsidR="00420BB0" w:rsidRPr="008F70F9" w14:paraId="46D1B4AD" w14:textId="77777777" w:rsidTr="00420BB0">
        <w:trPr>
          <w:trHeight w:val="204"/>
        </w:trPr>
        <w:tc>
          <w:tcPr>
            <w:tcW w:w="2840" w:type="dxa"/>
            <w:tcBorders>
              <w:top w:val="nil"/>
              <w:left w:val="nil"/>
              <w:bottom w:val="nil"/>
              <w:right w:val="nil"/>
            </w:tcBorders>
            <w:shd w:val="clear" w:color="auto" w:fill="auto"/>
            <w:vAlign w:val="bottom"/>
            <w:hideMark/>
          </w:tcPr>
          <w:p w14:paraId="7D3C60C4" w14:textId="4005A6D2" w:rsidR="00420BB0" w:rsidRPr="008F70F9" w:rsidRDefault="0000369A" w:rsidP="00420BB0">
            <w:pPr>
              <w:spacing w:after="0" w:line="240" w:lineRule="auto"/>
              <w:jc w:val="right"/>
              <w:rPr>
                <w:rFonts w:ascii="Arial" w:hAnsi="Arial" w:cs="Arial"/>
                <w:b/>
                <w:bCs/>
                <w:sz w:val="16"/>
                <w:szCs w:val="16"/>
              </w:rPr>
            </w:pPr>
            <w:r>
              <w:rPr>
                <w:rFonts w:ascii="Arial" w:hAnsi="Arial" w:cs="Arial"/>
                <w:b/>
                <w:bCs/>
                <w:sz w:val="16"/>
                <w:szCs w:val="16"/>
              </w:rPr>
              <w:t>Total departmental expenses</w:t>
            </w:r>
          </w:p>
        </w:tc>
        <w:tc>
          <w:tcPr>
            <w:tcW w:w="940" w:type="dxa"/>
            <w:tcBorders>
              <w:top w:val="single" w:sz="4" w:space="0" w:color="auto"/>
              <w:left w:val="nil"/>
              <w:bottom w:val="single" w:sz="4" w:space="0" w:color="auto"/>
              <w:right w:val="nil"/>
            </w:tcBorders>
            <w:shd w:val="clear" w:color="auto" w:fill="auto"/>
            <w:noWrap/>
            <w:vAlign w:val="bottom"/>
            <w:hideMark/>
          </w:tcPr>
          <w:p w14:paraId="10592B54" w14:textId="4A5459C9" w:rsidR="00420BB0" w:rsidRPr="008F70F9" w:rsidRDefault="00420BB0" w:rsidP="00420BB0">
            <w:pPr>
              <w:spacing w:after="0" w:line="240" w:lineRule="auto"/>
              <w:jc w:val="right"/>
              <w:rPr>
                <w:rFonts w:ascii="Arial" w:hAnsi="Arial" w:cs="Arial"/>
                <w:b/>
                <w:bCs/>
                <w:sz w:val="16"/>
                <w:szCs w:val="16"/>
              </w:rPr>
            </w:pPr>
            <w:r>
              <w:rPr>
                <w:rFonts w:ascii="Arial" w:hAnsi="Arial" w:cs="Arial"/>
                <w:b/>
                <w:bCs/>
                <w:sz w:val="16"/>
                <w:szCs w:val="16"/>
              </w:rPr>
              <w:t>93,982</w:t>
            </w:r>
          </w:p>
        </w:tc>
        <w:tc>
          <w:tcPr>
            <w:tcW w:w="940" w:type="dxa"/>
            <w:tcBorders>
              <w:top w:val="single" w:sz="4" w:space="0" w:color="auto"/>
              <w:left w:val="nil"/>
              <w:bottom w:val="single" w:sz="4" w:space="0" w:color="auto"/>
              <w:right w:val="nil"/>
            </w:tcBorders>
            <w:shd w:val="clear" w:color="000000" w:fill="E6E6E6"/>
            <w:noWrap/>
            <w:vAlign w:val="bottom"/>
            <w:hideMark/>
          </w:tcPr>
          <w:p w14:paraId="47DFED30" w14:textId="21055D99" w:rsidR="00420BB0" w:rsidRPr="008F70F9" w:rsidRDefault="00420BB0" w:rsidP="00420BB0">
            <w:pPr>
              <w:spacing w:after="0" w:line="240" w:lineRule="auto"/>
              <w:jc w:val="right"/>
              <w:rPr>
                <w:rFonts w:ascii="Arial" w:hAnsi="Arial" w:cs="Arial"/>
                <w:b/>
                <w:bCs/>
                <w:sz w:val="16"/>
                <w:szCs w:val="16"/>
              </w:rPr>
            </w:pPr>
            <w:r>
              <w:rPr>
                <w:rFonts w:ascii="Arial" w:hAnsi="Arial" w:cs="Arial"/>
                <w:b/>
                <w:bCs/>
                <w:sz w:val="16"/>
                <w:szCs w:val="16"/>
              </w:rPr>
              <w:t>103,955</w:t>
            </w:r>
          </w:p>
        </w:tc>
        <w:tc>
          <w:tcPr>
            <w:tcW w:w="940" w:type="dxa"/>
            <w:tcBorders>
              <w:top w:val="single" w:sz="4" w:space="0" w:color="auto"/>
              <w:left w:val="nil"/>
              <w:bottom w:val="single" w:sz="4" w:space="0" w:color="auto"/>
              <w:right w:val="nil"/>
            </w:tcBorders>
            <w:shd w:val="clear" w:color="auto" w:fill="auto"/>
            <w:noWrap/>
            <w:vAlign w:val="bottom"/>
            <w:hideMark/>
          </w:tcPr>
          <w:p w14:paraId="749B22B3" w14:textId="65E4676F" w:rsidR="00420BB0" w:rsidRPr="008F70F9" w:rsidRDefault="00420BB0" w:rsidP="00420BB0">
            <w:pPr>
              <w:spacing w:after="0" w:line="240" w:lineRule="auto"/>
              <w:jc w:val="right"/>
              <w:rPr>
                <w:rFonts w:ascii="Arial" w:hAnsi="Arial" w:cs="Arial"/>
                <w:b/>
                <w:bCs/>
                <w:sz w:val="16"/>
                <w:szCs w:val="16"/>
              </w:rPr>
            </w:pPr>
            <w:r>
              <w:rPr>
                <w:rFonts w:ascii="Arial" w:hAnsi="Arial" w:cs="Arial"/>
                <w:b/>
                <w:bCs/>
                <w:sz w:val="16"/>
                <w:szCs w:val="16"/>
              </w:rPr>
              <w:t>106,485</w:t>
            </w:r>
          </w:p>
        </w:tc>
        <w:tc>
          <w:tcPr>
            <w:tcW w:w="940" w:type="dxa"/>
            <w:tcBorders>
              <w:top w:val="single" w:sz="4" w:space="0" w:color="auto"/>
              <w:left w:val="nil"/>
              <w:bottom w:val="single" w:sz="4" w:space="0" w:color="auto"/>
              <w:right w:val="nil"/>
            </w:tcBorders>
            <w:shd w:val="clear" w:color="auto" w:fill="auto"/>
            <w:noWrap/>
            <w:vAlign w:val="bottom"/>
            <w:hideMark/>
          </w:tcPr>
          <w:p w14:paraId="7E8F2C2D" w14:textId="0660F7A7" w:rsidR="00420BB0" w:rsidRPr="008F70F9" w:rsidRDefault="00420BB0" w:rsidP="00420BB0">
            <w:pPr>
              <w:spacing w:after="0" w:line="240" w:lineRule="auto"/>
              <w:jc w:val="right"/>
              <w:rPr>
                <w:rFonts w:ascii="Arial" w:hAnsi="Arial" w:cs="Arial"/>
                <w:b/>
                <w:bCs/>
                <w:sz w:val="16"/>
                <w:szCs w:val="16"/>
              </w:rPr>
            </w:pPr>
            <w:r>
              <w:rPr>
                <w:rFonts w:ascii="Arial" w:hAnsi="Arial" w:cs="Arial"/>
                <w:b/>
                <w:bCs/>
                <w:sz w:val="16"/>
                <w:szCs w:val="16"/>
              </w:rPr>
              <w:t>97,883</w:t>
            </w:r>
          </w:p>
        </w:tc>
        <w:tc>
          <w:tcPr>
            <w:tcW w:w="940" w:type="dxa"/>
            <w:tcBorders>
              <w:top w:val="single" w:sz="4" w:space="0" w:color="auto"/>
              <w:left w:val="nil"/>
              <w:bottom w:val="single" w:sz="4" w:space="0" w:color="auto"/>
              <w:right w:val="nil"/>
            </w:tcBorders>
            <w:shd w:val="clear" w:color="auto" w:fill="auto"/>
            <w:noWrap/>
            <w:vAlign w:val="bottom"/>
            <w:hideMark/>
          </w:tcPr>
          <w:p w14:paraId="559EC3FD" w14:textId="51096B7A" w:rsidR="00420BB0" w:rsidRPr="008F70F9" w:rsidRDefault="00420BB0" w:rsidP="00420BB0">
            <w:pPr>
              <w:spacing w:after="0" w:line="240" w:lineRule="auto"/>
              <w:jc w:val="right"/>
              <w:rPr>
                <w:rFonts w:ascii="Arial" w:hAnsi="Arial" w:cs="Arial"/>
                <w:b/>
                <w:bCs/>
                <w:sz w:val="16"/>
                <w:szCs w:val="16"/>
              </w:rPr>
            </w:pPr>
            <w:r>
              <w:rPr>
                <w:rFonts w:ascii="Arial" w:hAnsi="Arial" w:cs="Arial"/>
                <w:b/>
                <w:bCs/>
                <w:sz w:val="16"/>
                <w:szCs w:val="16"/>
              </w:rPr>
              <w:t>85,877</w:t>
            </w:r>
          </w:p>
        </w:tc>
      </w:tr>
      <w:tr w:rsidR="00420BB0" w:rsidRPr="008F70F9" w14:paraId="634947E1" w14:textId="77777777" w:rsidTr="00420BB0">
        <w:trPr>
          <w:trHeight w:val="204"/>
        </w:trPr>
        <w:tc>
          <w:tcPr>
            <w:tcW w:w="2840" w:type="dxa"/>
            <w:tcBorders>
              <w:top w:val="nil"/>
              <w:left w:val="nil"/>
              <w:bottom w:val="single" w:sz="4" w:space="0" w:color="auto"/>
              <w:right w:val="nil"/>
            </w:tcBorders>
            <w:shd w:val="clear" w:color="auto" w:fill="auto"/>
            <w:noWrap/>
            <w:vAlign w:val="bottom"/>
            <w:hideMark/>
          </w:tcPr>
          <w:p w14:paraId="760D1CAC" w14:textId="77777777" w:rsidR="00420BB0" w:rsidRPr="008F70F9" w:rsidRDefault="00420BB0" w:rsidP="00420BB0">
            <w:pPr>
              <w:spacing w:after="0" w:line="240" w:lineRule="auto"/>
              <w:rPr>
                <w:rFonts w:ascii="Arial" w:hAnsi="Arial" w:cs="Arial"/>
                <w:b/>
                <w:bCs/>
                <w:sz w:val="16"/>
                <w:szCs w:val="16"/>
              </w:rPr>
            </w:pPr>
            <w:r w:rsidRPr="008F70F9">
              <w:rPr>
                <w:rFonts w:ascii="Arial" w:hAnsi="Arial" w:cs="Arial"/>
                <w:b/>
                <w:bCs/>
                <w:sz w:val="16"/>
                <w:szCs w:val="16"/>
              </w:rPr>
              <w:t>Total expenses for Outcome 5</w:t>
            </w:r>
          </w:p>
        </w:tc>
        <w:tc>
          <w:tcPr>
            <w:tcW w:w="940" w:type="dxa"/>
            <w:tcBorders>
              <w:top w:val="nil"/>
              <w:left w:val="nil"/>
              <w:bottom w:val="single" w:sz="4" w:space="0" w:color="auto"/>
              <w:right w:val="nil"/>
            </w:tcBorders>
            <w:shd w:val="clear" w:color="auto" w:fill="auto"/>
            <w:noWrap/>
            <w:vAlign w:val="bottom"/>
            <w:hideMark/>
          </w:tcPr>
          <w:p w14:paraId="7011EBCA" w14:textId="716D0ECB" w:rsidR="00420BB0" w:rsidRPr="008F70F9" w:rsidRDefault="00420BB0" w:rsidP="00420BB0">
            <w:pPr>
              <w:spacing w:after="0" w:line="240" w:lineRule="auto"/>
              <w:jc w:val="right"/>
              <w:rPr>
                <w:rFonts w:ascii="Arial" w:hAnsi="Arial" w:cs="Arial"/>
                <w:b/>
                <w:bCs/>
                <w:sz w:val="16"/>
                <w:szCs w:val="16"/>
              </w:rPr>
            </w:pPr>
            <w:r>
              <w:rPr>
                <w:rFonts w:ascii="Arial" w:hAnsi="Arial" w:cs="Arial"/>
                <w:b/>
                <w:bCs/>
                <w:sz w:val="16"/>
                <w:szCs w:val="16"/>
              </w:rPr>
              <w:t>2,871,799</w:t>
            </w:r>
          </w:p>
        </w:tc>
        <w:tc>
          <w:tcPr>
            <w:tcW w:w="940" w:type="dxa"/>
            <w:tcBorders>
              <w:top w:val="nil"/>
              <w:left w:val="nil"/>
              <w:bottom w:val="single" w:sz="4" w:space="0" w:color="auto"/>
              <w:right w:val="nil"/>
            </w:tcBorders>
            <w:shd w:val="clear" w:color="000000" w:fill="E6E6E6"/>
            <w:noWrap/>
            <w:vAlign w:val="bottom"/>
            <w:hideMark/>
          </w:tcPr>
          <w:p w14:paraId="7A8FA794" w14:textId="7FDD7C07" w:rsidR="00420BB0" w:rsidRPr="008F70F9" w:rsidRDefault="00420BB0" w:rsidP="00420BB0">
            <w:pPr>
              <w:spacing w:after="0" w:line="240" w:lineRule="auto"/>
              <w:jc w:val="right"/>
              <w:rPr>
                <w:rFonts w:ascii="Arial" w:hAnsi="Arial" w:cs="Arial"/>
                <w:b/>
                <w:bCs/>
                <w:sz w:val="16"/>
                <w:szCs w:val="16"/>
              </w:rPr>
            </w:pPr>
            <w:r>
              <w:rPr>
                <w:rFonts w:ascii="Arial" w:hAnsi="Arial" w:cs="Arial"/>
                <w:b/>
                <w:bCs/>
                <w:sz w:val="16"/>
                <w:szCs w:val="16"/>
              </w:rPr>
              <w:t>3,142,191</w:t>
            </w:r>
          </w:p>
        </w:tc>
        <w:tc>
          <w:tcPr>
            <w:tcW w:w="940" w:type="dxa"/>
            <w:tcBorders>
              <w:top w:val="nil"/>
              <w:left w:val="nil"/>
              <w:bottom w:val="single" w:sz="4" w:space="0" w:color="auto"/>
              <w:right w:val="nil"/>
            </w:tcBorders>
            <w:shd w:val="clear" w:color="auto" w:fill="auto"/>
            <w:noWrap/>
            <w:vAlign w:val="bottom"/>
            <w:hideMark/>
          </w:tcPr>
          <w:p w14:paraId="741CDB10" w14:textId="6EEC032A" w:rsidR="00420BB0" w:rsidRPr="008F70F9" w:rsidRDefault="00420BB0" w:rsidP="00420BB0">
            <w:pPr>
              <w:spacing w:after="0" w:line="240" w:lineRule="auto"/>
              <w:jc w:val="right"/>
              <w:rPr>
                <w:rFonts w:ascii="Arial" w:hAnsi="Arial" w:cs="Arial"/>
                <w:b/>
                <w:bCs/>
                <w:sz w:val="16"/>
                <w:szCs w:val="16"/>
              </w:rPr>
            </w:pPr>
            <w:r>
              <w:rPr>
                <w:rFonts w:ascii="Arial" w:hAnsi="Arial" w:cs="Arial"/>
                <w:b/>
                <w:bCs/>
                <w:sz w:val="16"/>
                <w:szCs w:val="16"/>
              </w:rPr>
              <w:t>3,061,673</w:t>
            </w:r>
          </w:p>
        </w:tc>
        <w:tc>
          <w:tcPr>
            <w:tcW w:w="940" w:type="dxa"/>
            <w:tcBorders>
              <w:top w:val="nil"/>
              <w:left w:val="nil"/>
              <w:bottom w:val="single" w:sz="4" w:space="0" w:color="auto"/>
              <w:right w:val="nil"/>
            </w:tcBorders>
            <w:shd w:val="clear" w:color="auto" w:fill="auto"/>
            <w:noWrap/>
            <w:vAlign w:val="bottom"/>
            <w:hideMark/>
          </w:tcPr>
          <w:p w14:paraId="120CF039" w14:textId="6F424E60" w:rsidR="00420BB0" w:rsidRPr="008F70F9" w:rsidRDefault="00420BB0" w:rsidP="00420BB0">
            <w:pPr>
              <w:spacing w:after="0" w:line="240" w:lineRule="auto"/>
              <w:jc w:val="right"/>
              <w:rPr>
                <w:rFonts w:ascii="Arial" w:hAnsi="Arial" w:cs="Arial"/>
                <w:b/>
                <w:bCs/>
                <w:sz w:val="16"/>
                <w:szCs w:val="16"/>
              </w:rPr>
            </w:pPr>
            <w:r>
              <w:rPr>
                <w:rFonts w:ascii="Arial" w:hAnsi="Arial" w:cs="Arial"/>
                <w:b/>
                <w:bCs/>
                <w:sz w:val="16"/>
                <w:szCs w:val="16"/>
              </w:rPr>
              <w:t>3,062,738</w:t>
            </w:r>
          </w:p>
        </w:tc>
        <w:tc>
          <w:tcPr>
            <w:tcW w:w="940" w:type="dxa"/>
            <w:tcBorders>
              <w:top w:val="nil"/>
              <w:left w:val="nil"/>
              <w:bottom w:val="single" w:sz="4" w:space="0" w:color="auto"/>
              <w:right w:val="nil"/>
            </w:tcBorders>
            <w:shd w:val="clear" w:color="auto" w:fill="auto"/>
            <w:noWrap/>
            <w:vAlign w:val="bottom"/>
            <w:hideMark/>
          </w:tcPr>
          <w:p w14:paraId="1568747B" w14:textId="5DC5BD46" w:rsidR="00420BB0" w:rsidRPr="008F70F9" w:rsidRDefault="00420BB0" w:rsidP="00420BB0">
            <w:pPr>
              <w:spacing w:after="0" w:line="240" w:lineRule="auto"/>
              <w:jc w:val="right"/>
              <w:rPr>
                <w:rFonts w:ascii="Arial" w:hAnsi="Arial" w:cs="Arial"/>
                <w:b/>
                <w:bCs/>
                <w:sz w:val="16"/>
                <w:szCs w:val="16"/>
              </w:rPr>
            </w:pPr>
            <w:r>
              <w:rPr>
                <w:rFonts w:ascii="Arial" w:hAnsi="Arial" w:cs="Arial"/>
                <w:b/>
                <w:bCs/>
                <w:sz w:val="16"/>
                <w:szCs w:val="16"/>
              </w:rPr>
              <w:t>3,034,806</w:t>
            </w:r>
          </w:p>
        </w:tc>
      </w:tr>
    </w:tbl>
    <w:p w14:paraId="3A0C9698" w14:textId="1B9D24D3" w:rsidR="00115843" w:rsidRDefault="00115843" w:rsidP="00115843">
      <w:pPr>
        <w:spacing w:after="0" w:line="240" w:lineRule="auto"/>
        <w:rPr>
          <w:rFonts w:ascii="Arial" w:hAnsi="Arial" w:cs="Arial"/>
          <w:sz w:val="16"/>
        </w:rPr>
      </w:pPr>
    </w:p>
    <w:tbl>
      <w:tblPr>
        <w:tblW w:w="4888" w:type="pct"/>
        <w:tblLook w:val="04A0" w:firstRow="1" w:lastRow="0" w:firstColumn="1" w:lastColumn="0" w:noHBand="0" w:noVBand="1"/>
      </w:tblPr>
      <w:tblGrid>
        <w:gridCol w:w="2812"/>
        <w:gridCol w:w="962"/>
        <w:gridCol w:w="962"/>
        <w:gridCol w:w="962"/>
        <w:gridCol w:w="880"/>
        <w:gridCol w:w="959"/>
      </w:tblGrid>
      <w:tr w:rsidR="009712C7" w:rsidRPr="00420BB0" w14:paraId="463B772A" w14:textId="77777777" w:rsidTr="009712C7">
        <w:trPr>
          <w:trHeight w:val="204"/>
        </w:trPr>
        <w:tc>
          <w:tcPr>
            <w:tcW w:w="1865" w:type="pct"/>
            <w:tcBorders>
              <w:top w:val="single" w:sz="4" w:space="0" w:color="auto"/>
              <w:left w:val="nil"/>
              <w:bottom w:val="nil"/>
              <w:right w:val="nil"/>
            </w:tcBorders>
            <w:shd w:val="clear" w:color="auto" w:fill="auto"/>
            <w:vAlign w:val="bottom"/>
            <w:hideMark/>
          </w:tcPr>
          <w:p w14:paraId="0D180D25" w14:textId="48143C08" w:rsidR="009712C7" w:rsidRPr="00420BB0" w:rsidRDefault="009712C7" w:rsidP="009712C7">
            <w:pPr>
              <w:spacing w:after="0" w:line="240" w:lineRule="auto"/>
              <w:rPr>
                <w:rFonts w:ascii="Arial" w:hAnsi="Arial" w:cs="Arial"/>
                <w:b/>
                <w:bCs/>
                <w:color w:val="000000"/>
                <w:sz w:val="16"/>
                <w:szCs w:val="16"/>
              </w:rPr>
            </w:pPr>
            <w:r w:rsidRPr="00420BB0">
              <w:rPr>
                <w:rFonts w:ascii="Arial" w:hAnsi="Arial" w:cs="Arial"/>
                <w:b/>
                <w:bCs/>
                <w:color w:val="000000"/>
                <w:sz w:val="16"/>
                <w:szCs w:val="16"/>
              </w:rPr>
              <w:t>Movement of administered funds between years</w:t>
            </w:r>
            <w:r w:rsidRPr="00420BB0">
              <w:rPr>
                <w:rFonts w:ascii="Arial" w:hAnsi="Arial" w:cs="Arial"/>
                <w:bCs/>
                <w:color w:val="000000"/>
                <w:sz w:val="16"/>
                <w:szCs w:val="16"/>
                <w:vertAlign w:val="superscript"/>
              </w:rPr>
              <w:t>(e)</w:t>
            </w:r>
          </w:p>
        </w:tc>
        <w:tc>
          <w:tcPr>
            <w:tcW w:w="638" w:type="pct"/>
            <w:tcBorders>
              <w:top w:val="single" w:sz="4" w:space="0" w:color="auto"/>
              <w:left w:val="nil"/>
              <w:bottom w:val="single" w:sz="4" w:space="0" w:color="auto"/>
              <w:right w:val="nil"/>
            </w:tcBorders>
            <w:shd w:val="clear" w:color="auto" w:fill="auto"/>
          </w:tcPr>
          <w:p w14:paraId="6EBD0E05" w14:textId="562EFEE6" w:rsidR="009712C7" w:rsidRPr="00420BB0" w:rsidRDefault="009712C7" w:rsidP="009712C7">
            <w:pPr>
              <w:spacing w:after="0" w:line="240" w:lineRule="auto"/>
              <w:jc w:val="right"/>
              <w:rPr>
                <w:rFonts w:ascii="Arial" w:hAnsi="Arial" w:cs="Arial"/>
                <w:sz w:val="16"/>
                <w:szCs w:val="16"/>
              </w:rPr>
            </w:pPr>
            <w:r>
              <w:rPr>
                <w:rFonts w:ascii="Arial" w:hAnsi="Arial" w:cs="Arial"/>
                <w:sz w:val="16"/>
                <w:szCs w:val="16"/>
              </w:rPr>
              <w:t>2022-23 Estimated actual</w:t>
            </w:r>
            <w:r>
              <w:rPr>
                <w:rFonts w:ascii="Arial" w:hAnsi="Arial" w:cs="Arial"/>
                <w:sz w:val="16"/>
                <w:szCs w:val="16"/>
              </w:rPr>
              <w:br/>
              <w:t>$'000</w:t>
            </w:r>
          </w:p>
        </w:tc>
        <w:tc>
          <w:tcPr>
            <w:tcW w:w="638" w:type="pct"/>
            <w:tcBorders>
              <w:top w:val="single" w:sz="4" w:space="0" w:color="auto"/>
              <w:left w:val="nil"/>
              <w:bottom w:val="single" w:sz="4" w:space="0" w:color="auto"/>
              <w:right w:val="nil"/>
            </w:tcBorders>
            <w:shd w:val="clear" w:color="000000" w:fill="E6E6E6"/>
          </w:tcPr>
          <w:p w14:paraId="65CFBDE4" w14:textId="63F5B3F1" w:rsidR="009712C7" w:rsidRPr="00420BB0" w:rsidRDefault="009712C7" w:rsidP="009712C7">
            <w:pPr>
              <w:spacing w:after="0" w:line="240" w:lineRule="auto"/>
              <w:jc w:val="right"/>
              <w:rPr>
                <w:rFonts w:ascii="Arial" w:hAnsi="Arial" w:cs="Arial"/>
                <w:sz w:val="16"/>
                <w:szCs w:val="16"/>
              </w:rPr>
            </w:pPr>
            <w:r>
              <w:rPr>
                <w:rFonts w:ascii="Arial" w:hAnsi="Arial" w:cs="Arial"/>
                <w:sz w:val="16"/>
                <w:szCs w:val="16"/>
              </w:rPr>
              <w:t>2023-24</w:t>
            </w:r>
            <w:r>
              <w:rPr>
                <w:rFonts w:ascii="Arial" w:hAnsi="Arial" w:cs="Arial"/>
                <w:sz w:val="16"/>
                <w:szCs w:val="16"/>
              </w:rPr>
              <w:br/>
              <w:t>Budget</w:t>
            </w:r>
            <w:r>
              <w:rPr>
                <w:rFonts w:ascii="Arial" w:hAnsi="Arial" w:cs="Arial"/>
                <w:sz w:val="16"/>
                <w:szCs w:val="16"/>
              </w:rPr>
              <w:br/>
            </w:r>
            <w:r>
              <w:rPr>
                <w:rFonts w:ascii="Arial" w:hAnsi="Arial" w:cs="Arial"/>
                <w:sz w:val="16"/>
                <w:szCs w:val="16"/>
              </w:rPr>
              <w:br/>
              <w:t>$'000</w:t>
            </w:r>
          </w:p>
        </w:tc>
        <w:tc>
          <w:tcPr>
            <w:tcW w:w="638" w:type="pct"/>
            <w:tcBorders>
              <w:top w:val="single" w:sz="4" w:space="0" w:color="auto"/>
              <w:left w:val="nil"/>
              <w:bottom w:val="single" w:sz="4" w:space="0" w:color="auto"/>
              <w:right w:val="nil"/>
            </w:tcBorders>
            <w:shd w:val="clear" w:color="auto" w:fill="auto"/>
          </w:tcPr>
          <w:p w14:paraId="6DB4B934" w14:textId="6404FE17" w:rsidR="009712C7" w:rsidRPr="00420BB0" w:rsidRDefault="009712C7" w:rsidP="009712C7">
            <w:pPr>
              <w:spacing w:after="0" w:line="240" w:lineRule="auto"/>
              <w:jc w:val="right"/>
              <w:rPr>
                <w:rFonts w:ascii="Arial" w:hAnsi="Arial" w:cs="Arial"/>
                <w:sz w:val="16"/>
                <w:szCs w:val="16"/>
              </w:rPr>
            </w:pPr>
            <w:r>
              <w:rPr>
                <w:rFonts w:ascii="Arial" w:hAnsi="Arial" w:cs="Arial"/>
                <w:sz w:val="16"/>
                <w:szCs w:val="16"/>
              </w:rPr>
              <w:t>2024-25 Forward estimate</w:t>
            </w:r>
            <w:r>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auto"/>
          </w:tcPr>
          <w:p w14:paraId="4931F6E0" w14:textId="2E949485" w:rsidR="009712C7" w:rsidRPr="00420BB0" w:rsidRDefault="009712C7" w:rsidP="009712C7">
            <w:pPr>
              <w:spacing w:after="0" w:line="240" w:lineRule="auto"/>
              <w:jc w:val="right"/>
              <w:rPr>
                <w:rFonts w:ascii="Arial" w:hAnsi="Arial" w:cs="Arial"/>
                <w:sz w:val="16"/>
                <w:szCs w:val="16"/>
              </w:rPr>
            </w:pPr>
            <w:r>
              <w:rPr>
                <w:rFonts w:ascii="Arial" w:hAnsi="Arial" w:cs="Arial"/>
                <w:sz w:val="16"/>
                <w:szCs w:val="16"/>
              </w:rPr>
              <w:t>2025-26 Forward estimate</w:t>
            </w:r>
            <w:r>
              <w:rPr>
                <w:rFonts w:ascii="Arial" w:hAnsi="Arial" w:cs="Arial"/>
                <w:sz w:val="16"/>
                <w:szCs w:val="16"/>
              </w:rPr>
              <w:br/>
              <w:t>$'000</w:t>
            </w:r>
          </w:p>
        </w:tc>
        <w:tc>
          <w:tcPr>
            <w:tcW w:w="636" w:type="pct"/>
            <w:tcBorders>
              <w:top w:val="single" w:sz="4" w:space="0" w:color="auto"/>
              <w:left w:val="nil"/>
              <w:bottom w:val="single" w:sz="4" w:space="0" w:color="auto"/>
              <w:right w:val="nil"/>
            </w:tcBorders>
            <w:shd w:val="clear" w:color="auto" w:fill="auto"/>
          </w:tcPr>
          <w:p w14:paraId="1CD8DA4D" w14:textId="151275D4" w:rsidR="009712C7" w:rsidRPr="00420BB0" w:rsidRDefault="009712C7" w:rsidP="009712C7">
            <w:pPr>
              <w:spacing w:after="0" w:line="240" w:lineRule="auto"/>
              <w:jc w:val="right"/>
              <w:rPr>
                <w:rFonts w:ascii="Arial" w:hAnsi="Arial" w:cs="Arial"/>
                <w:sz w:val="16"/>
                <w:szCs w:val="16"/>
              </w:rPr>
            </w:pPr>
            <w:r>
              <w:rPr>
                <w:rFonts w:ascii="Arial" w:hAnsi="Arial" w:cs="Arial"/>
                <w:sz w:val="16"/>
                <w:szCs w:val="16"/>
              </w:rPr>
              <w:t>2026-27</w:t>
            </w:r>
            <w:r>
              <w:rPr>
                <w:rFonts w:ascii="Arial" w:hAnsi="Arial" w:cs="Arial"/>
                <w:sz w:val="16"/>
                <w:szCs w:val="16"/>
              </w:rPr>
              <w:br/>
              <w:t>Forward estimate</w:t>
            </w:r>
            <w:r>
              <w:rPr>
                <w:rFonts w:ascii="Arial" w:hAnsi="Arial" w:cs="Arial"/>
                <w:sz w:val="16"/>
                <w:szCs w:val="16"/>
              </w:rPr>
              <w:br/>
              <w:t>$'000</w:t>
            </w:r>
          </w:p>
        </w:tc>
      </w:tr>
      <w:tr w:rsidR="00420BB0" w:rsidRPr="00420BB0" w14:paraId="4C0641CA" w14:textId="77777777" w:rsidTr="009712C7">
        <w:trPr>
          <w:trHeight w:val="204"/>
        </w:trPr>
        <w:tc>
          <w:tcPr>
            <w:tcW w:w="1865" w:type="pct"/>
            <w:tcBorders>
              <w:top w:val="nil"/>
              <w:left w:val="nil"/>
              <w:bottom w:val="nil"/>
              <w:right w:val="nil"/>
            </w:tcBorders>
            <w:shd w:val="clear" w:color="auto" w:fill="auto"/>
            <w:noWrap/>
            <w:vAlign w:val="bottom"/>
            <w:hideMark/>
          </w:tcPr>
          <w:p w14:paraId="72577320" w14:textId="77777777" w:rsidR="00420BB0" w:rsidRPr="00420BB0" w:rsidRDefault="00420BB0" w:rsidP="00420BB0">
            <w:pPr>
              <w:spacing w:after="0" w:line="240" w:lineRule="auto"/>
              <w:rPr>
                <w:rFonts w:ascii="Arial" w:hAnsi="Arial" w:cs="Arial"/>
                <w:sz w:val="16"/>
                <w:szCs w:val="16"/>
              </w:rPr>
            </w:pPr>
            <w:r w:rsidRPr="00420BB0">
              <w:rPr>
                <w:rFonts w:ascii="Arial" w:hAnsi="Arial" w:cs="Arial"/>
                <w:sz w:val="16"/>
                <w:szCs w:val="16"/>
              </w:rPr>
              <w:t>Outcome 5:</w:t>
            </w:r>
          </w:p>
        </w:tc>
        <w:tc>
          <w:tcPr>
            <w:tcW w:w="638" w:type="pct"/>
            <w:tcBorders>
              <w:top w:val="nil"/>
              <w:left w:val="nil"/>
              <w:bottom w:val="nil"/>
              <w:right w:val="nil"/>
            </w:tcBorders>
            <w:shd w:val="clear" w:color="auto" w:fill="auto"/>
            <w:vAlign w:val="bottom"/>
            <w:hideMark/>
          </w:tcPr>
          <w:p w14:paraId="1FE88FE8" w14:textId="77777777" w:rsidR="00420BB0" w:rsidRPr="00420BB0" w:rsidRDefault="00420BB0" w:rsidP="00420BB0">
            <w:pPr>
              <w:spacing w:after="0" w:line="240" w:lineRule="auto"/>
              <w:jc w:val="right"/>
              <w:rPr>
                <w:rFonts w:ascii="Arial" w:hAnsi="Arial" w:cs="Arial"/>
                <w:sz w:val="16"/>
                <w:szCs w:val="16"/>
              </w:rPr>
            </w:pPr>
          </w:p>
        </w:tc>
        <w:tc>
          <w:tcPr>
            <w:tcW w:w="638" w:type="pct"/>
            <w:tcBorders>
              <w:top w:val="single" w:sz="4" w:space="0" w:color="auto"/>
              <w:left w:val="nil"/>
              <w:right w:val="nil"/>
            </w:tcBorders>
            <w:shd w:val="clear" w:color="000000" w:fill="E6E6E6"/>
            <w:vAlign w:val="bottom"/>
            <w:hideMark/>
          </w:tcPr>
          <w:p w14:paraId="37E585BB" w14:textId="5E94BF0E" w:rsidR="00420BB0" w:rsidRPr="00420BB0" w:rsidRDefault="00420BB0" w:rsidP="00420BB0">
            <w:pPr>
              <w:spacing w:after="0" w:line="240" w:lineRule="auto"/>
              <w:jc w:val="right"/>
              <w:rPr>
                <w:rFonts w:ascii="Arial" w:hAnsi="Arial" w:cs="Arial"/>
                <w:sz w:val="16"/>
                <w:szCs w:val="16"/>
              </w:rPr>
            </w:pPr>
          </w:p>
        </w:tc>
        <w:tc>
          <w:tcPr>
            <w:tcW w:w="638" w:type="pct"/>
            <w:tcBorders>
              <w:top w:val="nil"/>
              <w:left w:val="nil"/>
              <w:right w:val="nil"/>
            </w:tcBorders>
            <w:shd w:val="clear" w:color="auto" w:fill="auto"/>
            <w:vAlign w:val="bottom"/>
            <w:hideMark/>
          </w:tcPr>
          <w:p w14:paraId="7B483796" w14:textId="77777777" w:rsidR="00420BB0" w:rsidRPr="00420BB0" w:rsidRDefault="00420BB0" w:rsidP="00420BB0">
            <w:pPr>
              <w:spacing w:after="0" w:line="240" w:lineRule="auto"/>
              <w:jc w:val="right"/>
              <w:rPr>
                <w:rFonts w:ascii="Arial" w:hAnsi="Arial" w:cs="Arial"/>
                <w:sz w:val="16"/>
                <w:szCs w:val="16"/>
              </w:rPr>
            </w:pPr>
          </w:p>
        </w:tc>
        <w:tc>
          <w:tcPr>
            <w:tcW w:w="584" w:type="pct"/>
            <w:tcBorders>
              <w:top w:val="nil"/>
              <w:left w:val="nil"/>
              <w:bottom w:val="nil"/>
              <w:right w:val="nil"/>
            </w:tcBorders>
            <w:shd w:val="clear" w:color="auto" w:fill="auto"/>
            <w:vAlign w:val="bottom"/>
            <w:hideMark/>
          </w:tcPr>
          <w:p w14:paraId="1C8981D6" w14:textId="77777777" w:rsidR="00420BB0" w:rsidRPr="00420BB0" w:rsidRDefault="00420BB0" w:rsidP="00420BB0">
            <w:pPr>
              <w:spacing w:after="0" w:line="240" w:lineRule="auto"/>
              <w:jc w:val="right"/>
              <w:rPr>
                <w:rFonts w:ascii="Times New Roman" w:hAnsi="Times New Roman"/>
              </w:rPr>
            </w:pPr>
          </w:p>
        </w:tc>
        <w:tc>
          <w:tcPr>
            <w:tcW w:w="636" w:type="pct"/>
            <w:tcBorders>
              <w:top w:val="nil"/>
              <w:left w:val="nil"/>
              <w:bottom w:val="nil"/>
              <w:right w:val="nil"/>
            </w:tcBorders>
            <w:shd w:val="clear" w:color="auto" w:fill="auto"/>
            <w:vAlign w:val="bottom"/>
            <w:hideMark/>
          </w:tcPr>
          <w:p w14:paraId="6246AA75" w14:textId="77777777" w:rsidR="00420BB0" w:rsidRPr="00420BB0" w:rsidRDefault="00420BB0" w:rsidP="00420BB0">
            <w:pPr>
              <w:spacing w:after="0" w:line="240" w:lineRule="auto"/>
              <w:jc w:val="right"/>
              <w:rPr>
                <w:rFonts w:ascii="Times New Roman" w:hAnsi="Times New Roman"/>
              </w:rPr>
            </w:pPr>
          </w:p>
        </w:tc>
      </w:tr>
      <w:tr w:rsidR="00420BB0" w:rsidRPr="00420BB0" w14:paraId="7AB8C78D" w14:textId="77777777" w:rsidTr="009712C7">
        <w:trPr>
          <w:trHeight w:val="204"/>
        </w:trPr>
        <w:tc>
          <w:tcPr>
            <w:tcW w:w="1865" w:type="pct"/>
            <w:tcBorders>
              <w:top w:val="nil"/>
              <w:left w:val="nil"/>
              <w:bottom w:val="nil"/>
              <w:right w:val="nil"/>
            </w:tcBorders>
            <w:shd w:val="clear" w:color="auto" w:fill="auto"/>
            <w:vAlign w:val="bottom"/>
            <w:hideMark/>
          </w:tcPr>
          <w:p w14:paraId="2716C2D1" w14:textId="77777777" w:rsidR="00420BB0" w:rsidRPr="00420BB0" w:rsidRDefault="00420BB0" w:rsidP="007B5C33">
            <w:pPr>
              <w:spacing w:after="0" w:line="240" w:lineRule="auto"/>
              <w:ind w:left="113"/>
              <w:rPr>
                <w:rFonts w:ascii="Arial" w:hAnsi="Arial" w:cs="Arial"/>
                <w:sz w:val="16"/>
                <w:szCs w:val="16"/>
              </w:rPr>
            </w:pPr>
            <w:r w:rsidRPr="00420BB0">
              <w:rPr>
                <w:rFonts w:ascii="Arial" w:hAnsi="Arial" w:cs="Arial"/>
                <w:sz w:val="16"/>
                <w:szCs w:val="16"/>
              </w:rPr>
              <w:t>Program 5.1: Digital Technologies and Communications</w:t>
            </w:r>
          </w:p>
        </w:tc>
        <w:tc>
          <w:tcPr>
            <w:tcW w:w="638" w:type="pct"/>
            <w:tcBorders>
              <w:top w:val="nil"/>
              <w:left w:val="nil"/>
              <w:bottom w:val="nil"/>
              <w:right w:val="nil"/>
            </w:tcBorders>
            <w:shd w:val="clear" w:color="auto" w:fill="auto"/>
            <w:noWrap/>
            <w:vAlign w:val="bottom"/>
            <w:hideMark/>
          </w:tcPr>
          <w:p w14:paraId="2F3C9D00" w14:textId="0A98F3A6"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(1</w:t>
            </w:r>
            <w:r w:rsidR="00521014">
              <w:rPr>
                <w:rFonts w:ascii="Arial" w:hAnsi="Arial" w:cs="Arial"/>
                <w:sz w:val="16"/>
                <w:szCs w:val="16"/>
              </w:rPr>
              <w:t>01</w:t>
            </w:r>
            <w:r w:rsidRPr="00420BB0">
              <w:rPr>
                <w:rFonts w:ascii="Arial" w:hAnsi="Arial" w:cs="Arial"/>
                <w:sz w:val="16"/>
                <w:szCs w:val="16"/>
              </w:rPr>
              <w:t>,</w:t>
            </w:r>
            <w:r w:rsidR="00521014">
              <w:rPr>
                <w:rFonts w:ascii="Arial" w:hAnsi="Arial" w:cs="Arial"/>
                <w:sz w:val="16"/>
                <w:szCs w:val="16"/>
              </w:rPr>
              <w:t>163</w:t>
            </w:r>
            <w:r w:rsidRPr="00420BB0">
              <w:rPr>
                <w:rFonts w:ascii="Arial" w:hAnsi="Arial" w:cs="Arial"/>
                <w:sz w:val="16"/>
                <w:szCs w:val="16"/>
              </w:rPr>
              <w:t>)</w:t>
            </w:r>
          </w:p>
        </w:tc>
        <w:tc>
          <w:tcPr>
            <w:tcW w:w="638" w:type="pct"/>
            <w:tcBorders>
              <w:left w:val="nil"/>
              <w:bottom w:val="single" w:sz="4" w:space="0" w:color="auto"/>
              <w:right w:val="nil"/>
            </w:tcBorders>
            <w:shd w:val="clear" w:color="000000" w:fill="E6E6E6"/>
            <w:noWrap/>
            <w:vAlign w:val="bottom"/>
            <w:hideMark/>
          </w:tcPr>
          <w:p w14:paraId="435FD102" w14:textId="513A3DC9"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1</w:t>
            </w:r>
            <w:r w:rsidR="00521014">
              <w:rPr>
                <w:rFonts w:ascii="Arial" w:hAnsi="Arial" w:cs="Arial"/>
                <w:sz w:val="16"/>
                <w:szCs w:val="16"/>
              </w:rPr>
              <w:t>03</w:t>
            </w:r>
            <w:r w:rsidRPr="00420BB0">
              <w:rPr>
                <w:rFonts w:ascii="Arial" w:hAnsi="Arial" w:cs="Arial"/>
                <w:sz w:val="16"/>
                <w:szCs w:val="16"/>
              </w:rPr>
              <w:t>,</w:t>
            </w:r>
            <w:r w:rsidR="00521014">
              <w:rPr>
                <w:rFonts w:ascii="Arial" w:hAnsi="Arial" w:cs="Arial"/>
                <w:sz w:val="16"/>
                <w:szCs w:val="16"/>
              </w:rPr>
              <w:t>593</w:t>
            </w:r>
          </w:p>
        </w:tc>
        <w:tc>
          <w:tcPr>
            <w:tcW w:w="638" w:type="pct"/>
            <w:tcBorders>
              <w:left w:val="nil"/>
              <w:bottom w:val="nil"/>
              <w:right w:val="nil"/>
            </w:tcBorders>
            <w:shd w:val="clear" w:color="auto" w:fill="auto"/>
            <w:noWrap/>
            <w:vAlign w:val="bottom"/>
            <w:hideMark/>
          </w:tcPr>
          <w:p w14:paraId="4DE2028E" w14:textId="77777777"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(810)</w:t>
            </w:r>
          </w:p>
        </w:tc>
        <w:tc>
          <w:tcPr>
            <w:tcW w:w="584" w:type="pct"/>
            <w:tcBorders>
              <w:top w:val="nil"/>
              <w:left w:val="nil"/>
              <w:bottom w:val="nil"/>
              <w:right w:val="nil"/>
            </w:tcBorders>
            <w:shd w:val="clear" w:color="auto" w:fill="auto"/>
            <w:noWrap/>
            <w:vAlign w:val="bottom"/>
            <w:hideMark/>
          </w:tcPr>
          <w:p w14:paraId="7288F0B4" w14:textId="77777777"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(810)</w:t>
            </w:r>
          </w:p>
        </w:tc>
        <w:tc>
          <w:tcPr>
            <w:tcW w:w="636" w:type="pct"/>
            <w:tcBorders>
              <w:top w:val="nil"/>
              <w:left w:val="nil"/>
              <w:bottom w:val="nil"/>
              <w:right w:val="nil"/>
            </w:tcBorders>
            <w:shd w:val="clear" w:color="auto" w:fill="auto"/>
            <w:noWrap/>
            <w:vAlign w:val="bottom"/>
            <w:hideMark/>
          </w:tcPr>
          <w:p w14:paraId="0A87118B" w14:textId="77777777"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(810)</w:t>
            </w:r>
          </w:p>
        </w:tc>
      </w:tr>
      <w:tr w:rsidR="00420BB0" w:rsidRPr="00420BB0" w14:paraId="106BE794" w14:textId="77777777" w:rsidTr="009712C7">
        <w:trPr>
          <w:trHeight w:val="204"/>
        </w:trPr>
        <w:tc>
          <w:tcPr>
            <w:tcW w:w="1865" w:type="pct"/>
            <w:tcBorders>
              <w:top w:val="nil"/>
              <w:left w:val="nil"/>
              <w:bottom w:val="single" w:sz="4" w:space="0" w:color="auto"/>
              <w:right w:val="nil"/>
            </w:tcBorders>
            <w:shd w:val="clear" w:color="auto" w:fill="auto"/>
            <w:vAlign w:val="bottom"/>
            <w:hideMark/>
          </w:tcPr>
          <w:p w14:paraId="1DCC660F" w14:textId="77777777" w:rsidR="00420BB0" w:rsidRPr="00420BB0" w:rsidRDefault="00420BB0" w:rsidP="00420BB0">
            <w:pPr>
              <w:spacing w:after="0" w:line="240" w:lineRule="auto"/>
              <w:rPr>
                <w:rFonts w:ascii="Arial" w:hAnsi="Arial" w:cs="Arial"/>
                <w:b/>
                <w:bCs/>
                <w:sz w:val="16"/>
                <w:szCs w:val="16"/>
              </w:rPr>
            </w:pPr>
            <w:r w:rsidRPr="00420BB0">
              <w:rPr>
                <w:rFonts w:ascii="Arial" w:hAnsi="Arial" w:cs="Arial"/>
                <w:b/>
                <w:bCs/>
                <w:sz w:val="16"/>
                <w:szCs w:val="16"/>
              </w:rPr>
              <w:t>Total movement of administered funds between years</w:t>
            </w:r>
          </w:p>
        </w:tc>
        <w:tc>
          <w:tcPr>
            <w:tcW w:w="638" w:type="pct"/>
            <w:tcBorders>
              <w:top w:val="single" w:sz="4" w:space="0" w:color="auto"/>
              <w:left w:val="nil"/>
              <w:bottom w:val="single" w:sz="4" w:space="0" w:color="auto"/>
              <w:right w:val="nil"/>
            </w:tcBorders>
            <w:shd w:val="clear" w:color="auto" w:fill="auto"/>
            <w:noWrap/>
            <w:vAlign w:val="bottom"/>
            <w:hideMark/>
          </w:tcPr>
          <w:p w14:paraId="45740E69" w14:textId="1E3E16BD" w:rsidR="00420BB0" w:rsidRPr="00420BB0" w:rsidRDefault="00420BB0" w:rsidP="00420BB0">
            <w:pPr>
              <w:spacing w:after="0" w:line="240" w:lineRule="auto"/>
              <w:jc w:val="right"/>
              <w:rPr>
                <w:rFonts w:ascii="Arial" w:hAnsi="Arial" w:cs="Arial"/>
                <w:b/>
                <w:bCs/>
                <w:sz w:val="16"/>
                <w:szCs w:val="16"/>
              </w:rPr>
            </w:pPr>
            <w:r w:rsidRPr="00420BB0">
              <w:rPr>
                <w:rFonts w:ascii="Arial" w:hAnsi="Arial" w:cs="Arial"/>
                <w:b/>
                <w:bCs/>
                <w:sz w:val="16"/>
                <w:szCs w:val="16"/>
              </w:rPr>
              <w:t>(1</w:t>
            </w:r>
            <w:r w:rsidR="00521014">
              <w:rPr>
                <w:rFonts w:ascii="Arial" w:hAnsi="Arial" w:cs="Arial"/>
                <w:b/>
                <w:bCs/>
                <w:sz w:val="16"/>
                <w:szCs w:val="16"/>
              </w:rPr>
              <w:t>01</w:t>
            </w:r>
            <w:r w:rsidRPr="00420BB0">
              <w:rPr>
                <w:rFonts w:ascii="Arial" w:hAnsi="Arial" w:cs="Arial"/>
                <w:b/>
                <w:bCs/>
                <w:sz w:val="16"/>
                <w:szCs w:val="16"/>
              </w:rPr>
              <w:t>,</w:t>
            </w:r>
            <w:r w:rsidR="00521014">
              <w:rPr>
                <w:rFonts w:ascii="Arial" w:hAnsi="Arial" w:cs="Arial"/>
                <w:b/>
                <w:bCs/>
                <w:sz w:val="16"/>
                <w:szCs w:val="16"/>
              </w:rPr>
              <w:t>163</w:t>
            </w:r>
            <w:r w:rsidRPr="00420BB0">
              <w:rPr>
                <w:rFonts w:ascii="Arial" w:hAnsi="Arial" w:cs="Arial"/>
                <w:b/>
                <w:bCs/>
                <w:sz w:val="16"/>
                <w:szCs w:val="16"/>
              </w:rPr>
              <w:t>)</w:t>
            </w:r>
          </w:p>
        </w:tc>
        <w:tc>
          <w:tcPr>
            <w:tcW w:w="638" w:type="pct"/>
            <w:tcBorders>
              <w:top w:val="single" w:sz="4" w:space="0" w:color="auto"/>
              <w:left w:val="nil"/>
              <w:bottom w:val="single" w:sz="4" w:space="0" w:color="auto"/>
              <w:right w:val="nil"/>
            </w:tcBorders>
            <w:shd w:val="clear" w:color="000000" w:fill="E6E6E6"/>
            <w:noWrap/>
            <w:vAlign w:val="bottom"/>
            <w:hideMark/>
          </w:tcPr>
          <w:p w14:paraId="1059BE7E" w14:textId="56DAF3E0" w:rsidR="00420BB0" w:rsidRPr="00420BB0" w:rsidRDefault="00420BB0" w:rsidP="00420BB0">
            <w:pPr>
              <w:spacing w:after="0" w:line="240" w:lineRule="auto"/>
              <w:jc w:val="right"/>
              <w:rPr>
                <w:rFonts w:ascii="Arial" w:hAnsi="Arial" w:cs="Arial"/>
                <w:b/>
                <w:bCs/>
                <w:sz w:val="16"/>
                <w:szCs w:val="16"/>
              </w:rPr>
            </w:pPr>
            <w:r w:rsidRPr="00420BB0">
              <w:rPr>
                <w:rFonts w:ascii="Arial" w:hAnsi="Arial" w:cs="Arial"/>
                <w:b/>
                <w:bCs/>
                <w:sz w:val="16"/>
                <w:szCs w:val="16"/>
              </w:rPr>
              <w:t>1</w:t>
            </w:r>
            <w:r w:rsidR="00521014">
              <w:rPr>
                <w:rFonts w:ascii="Arial" w:hAnsi="Arial" w:cs="Arial"/>
                <w:b/>
                <w:bCs/>
                <w:sz w:val="16"/>
                <w:szCs w:val="16"/>
              </w:rPr>
              <w:t>03</w:t>
            </w:r>
            <w:r w:rsidRPr="00420BB0">
              <w:rPr>
                <w:rFonts w:ascii="Arial" w:hAnsi="Arial" w:cs="Arial"/>
                <w:b/>
                <w:bCs/>
                <w:sz w:val="16"/>
                <w:szCs w:val="16"/>
              </w:rPr>
              <w:t>,</w:t>
            </w:r>
            <w:r w:rsidR="00521014">
              <w:rPr>
                <w:rFonts w:ascii="Arial" w:hAnsi="Arial" w:cs="Arial"/>
                <w:b/>
                <w:bCs/>
                <w:sz w:val="16"/>
                <w:szCs w:val="16"/>
              </w:rPr>
              <w:t>593</w:t>
            </w:r>
          </w:p>
        </w:tc>
        <w:tc>
          <w:tcPr>
            <w:tcW w:w="638" w:type="pct"/>
            <w:tcBorders>
              <w:top w:val="single" w:sz="4" w:space="0" w:color="auto"/>
              <w:left w:val="nil"/>
              <w:bottom w:val="single" w:sz="4" w:space="0" w:color="auto"/>
              <w:right w:val="nil"/>
            </w:tcBorders>
            <w:shd w:val="clear" w:color="auto" w:fill="auto"/>
            <w:noWrap/>
            <w:vAlign w:val="bottom"/>
            <w:hideMark/>
          </w:tcPr>
          <w:p w14:paraId="5DEDB446" w14:textId="77777777" w:rsidR="00420BB0" w:rsidRPr="00420BB0" w:rsidRDefault="00420BB0" w:rsidP="00420BB0">
            <w:pPr>
              <w:spacing w:after="0" w:line="240" w:lineRule="auto"/>
              <w:jc w:val="right"/>
              <w:rPr>
                <w:rFonts w:ascii="Arial" w:hAnsi="Arial" w:cs="Arial"/>
                <w:b/>
                <w:bCs/>
                <w:sz w:val="16"/>
                <w:szCs w:val="16"/>
              </w:rPr>
            </w:pPr>
            <w:r w:rsidRPr="00420BB0">
              <w:rPr>
                <w:rFonts w:ascii="Arial" w:hAnsi="Arial" w:cs="Arial"/>
                <w:b/>
                <w:bCs/>
                <w:sz w:val="16"/>
                <w:szCs w:val="16"/>
              </w:rPr>
              <w:t>(810)</w:t>
            </w:r>
          </w:p>
        </w:tc>
        <w:tc>
          <w:tcPr>
            <w:tcW w:w="584" w:type="pct"/>
            <w:tcBorders>
              <w:top w:val="single" w:sz="4" w:space="0" w:color="auto"/>
              <w:left w:val="nil"/>
              <w:bottom w:val="single" w:sz="4" w:space="0" w:color="auto"/>
              <w:right w:val="nil"/>
            </w:tcBorders>
            <w:shd w:val="clear" w:color="auto" w:fill="auto"/>
            <w:noWrap/>
            <w:vAlign w:val="bottom"/>
            <w:hideMark/>
          </w:tcPr>
          <w:p w14:paraId="0329CCBB" w14:textId="77777777" w:rsidR="00420BB0" w:rsidRPr="00420BB0" w:rsidRDefault="00420BB0" w:rsidP="00420BB0">
            <w:pPr>
              <w:spacing w:after="0" w:line="240" w:lineRule="auto"/>
              <w:jc w:val="right"/>
              <w:rPr>
                <w:rFonts w:ascii="Arial" w:hAnsi="Arial" w:cs="Arial"/>
                <w:b/>
                <w:bCs/>
                <w:sz w:val="16"/>
                <w:szCs w:val="16"/>
              </w:rPr>
            </w:pPr>
            <w:r w:rsidRPr="00420BB0">
              <w:rPr>
                <w:rFonts w:ascii="Arial" w:hAnsi="Arial" w:cs="Arial"/>
                <w:b/>
                <w:bCs/>
                <w:sz w:val="16"/>
                <w:szCs w:val="16"/>
              </w:rPr>
              <w:t>(810)</w:t>
            </w:r>
          </w:p>
        </w:tc>
        <w:tc>
          <w:tcPr>
            <w:tcW w:w="636" w:type="pct"/>
            <w:tcBorders>
              <w:top w:val="single" w:sz="4" w:space="0" w:color="auto"/>
              <w:left w:val="nil"/>
              <w:bottom w:val="single" w:sz="4" w:space="0" w:color="auto"/>
              <w:right w:val="nil"/>
            </w:tcBorders>
            <w:shd w:val="clear" w:color="auto" w:fill="auto"/>
            <w:noWrap/>
            <w:vAlign w:val="bottom"/>
            <w:hideMark/>
          </w:tcPr>
          <w:p w14:paraId="759FD99A" w14:textId="77777777" w:rsidR="00420BB0" w:rsidRPr="00420BB0" w:rsidRDefault="00420BB0" w:rsidP="00420BB0">
            <w:pPr>
              <w:spacing w:after="0" w:line="240" w:lineRule="auto"/>
              <w:jc w:val="right"/>
              <w:rPr>
                <w:rFonts w:ascii="Arial" w:hAnsi="Arial" w:cs="Arial"/>
                <w:b/>
                <w:bCs/>
                <w:sz w:val="16"/>
                <w:szCs w:val="16"/>
              </w:rPr>
            </w:pPr>
            <w:r w:rsidRPr="00420BB0">
              <w:rPr>
                <w:rFonts w:ascii="Arial" w:hAnsi="Arial" w:cs="Arial"/>
                <w:b/>
                <w:bCs/>
                <w:sz w:val="16"/>
                <w:szCs w:val="16"/>
              </w:rPr>
              <w:t>(810)</w:t>
            </w:r>
          </w:p>
        </w:tc>
      </w:tr>
    </w:tbl>
    <w:p w14:paraId="769A624E" w14:textId="6FA7B987" w:rsidR="00420BB0" w:rsidRDefault="00420BB0" w:rsidP="00115843">
      <w:pPr>
        <w:spacing w:after="0" w:line="240" w:lineRule="auto"/>
        <w:rPr>
          <w:rFonts w:ascii="Arial" w:hAnsi="Arial" w:cs="Arial"/>
          <w:sz w:val="16"/>
        </w:rPr>
      </w:pPr>
    </w:p>
    <w:tbl>
      <w:tblPr>
        <w:tblW w:w="4720" w:type="dxa"/>
        <w:tblLook w:val="04A0" w:firstRow="1" w:lastRow="0" w:firstColumn="1" w:lastColumn="0" w:noHBand="0" w:noVBand="1"/>
      </w:tblPr>
      <w:tblGrid>
        <w:gridCol w:w="2840"/>
        <w:gridCol w:w="940"/>
        <w:gridCol w:w="940"/>
      </w:tblGrid>
      <w:tr w:rsidR="008F70F9" w:rsidRPr="008F70F9" w14:paraId="55BD1546" w14:textId="77777777" w:rsidTr="008F70F9">
        <w:trPr>
          <w:trHeight w:val="204"/>
        </w:trPr>
        <w:tc>
          <w:tcPr>
            <w:tcW w:w="2840" w:type="dxa"/>
            <w:tcBorders>
              <w:top w:val="single" w:sz="4" w:space="0" w:color="auto"/>
              <w:left w:val="nil"/>
              <w:bottom w:val="nil"/>
              <w:right w:val="nil"/>
            </w:tcBorders>
            <w:shd w:val="clear" w:color="auto" w:fill="auto"/>
            <w:noWrap/>
            <w:vAlign w:val="bottom"/>
            <w:hideMark/>
          </w:tcPr>
          <w:p w14:paraId="783EB23C" w14:textId="77777777" w:rsidR="008F70F9" w:rsidRPr="008F70F9" w:rsidRDefault="008F70F9" w:rsidP="008F70F9">
            <w:pPr>
              <w:spacing w:after="0" w:line="240" w:lineRule="auto"/>
              <w:rPr>
                <w:rFonts w:ascii="Arial" w:hAnsi="Arial" w:cs="Arial"/>
                <w:sz w:val="16"/>
                <w:szCs w:val="16"/>
              </w:rPr>
            </w:pPr>
            <w:r w:rsidRPr="008F70F9">
              <w:rPr>
                <w:rFonts w:ascii="Arial" w:hAnsi="Arial" w:cs="Arial"/>
                <w:sz w:val="16"/>
                <w:szCs w:val="16"/>
              </w:rPr>
              <w:t> </w:t>
            </w:r>
          </w:p>
        </w:tc>
        <w:tc>
          <w:tcPr>
            <w:tcW w:w="940" w:type="dxa"/>
            <w:tcBorders>
              <w:top w:val="single" w:sz="4" w:space="0" w:color="auto"/>
              <w:left w:val="nil"/>
              <w:bottom w:val="single" w:sz="4" w:space="0" w:color="auto"/>
              <w:right w:val="nil"/>
            </w:tcBorders>
            <w:shd w:val="clear" w:color="auto" w:fill="auto"/>
            <w:noWrap/>
            <w:vAlign w:val="bottom"/>
            <w:hideMark/>
          </w:tcPr>
          <w:p w14:paraId="18489040" w14:textId="77777777" w:rsidR="008F70F9" w:rsidRPr="008F70F9" w:rsidRDefault="008F70F9" w:rsidP="008F70F9">
            <w:pPr>
              <w:spacing w:after="0" w:line="240" w:lineRule="auto"/>
              <w:jc w:val="right"/>
              <w:rPr>
                <w:rFonts w:ascii="Arial" w:hAnsi="Arial" w:cs="Arial"/>
                <w:sz w:val="16"/>
                <w:szCs w:val="16"/>
              </w:rPr>
            </w:pPr>
            <w:r w:rsidRPr="008F70F9">
              <w:rPr>
                <w:rFonts w:ascii="Arial" w:hAnsi="Arial" w:cs="Arial"/>
                <w:sz w:val="16"/>
                <w:szCs w:val="16"/>
              </w:rPr>
              <w:t>2022-23</w:t>
            </w:r>
          </w:p>
        </w:tc>
        <w:tc>
          <w:tcPr>
            <w:tcW w:w="940" w:type="dxa"/>
            <w:tcBorders>
              <w:top w:val="single" w:sz="4" w:space="0" w:color="auto"/>
              <w:left w:val="nil"/>
              <w:bottom w:val="single" w:sz="4" w:space="0" w:color="auto"/>
              <w:right w:val="nil"/>
            </w:tcBorders>
            <w:shd w:val="clear" w:color="000000" w:fill="E6E6E6"/>
            <w:noWrap/>
            <w:vAlign w:val="bottom"/>
            <w:hideMark/>
          </w:tcPr>
          <w:p w14:paraId="32D2A2D2" w14:textId="77777777" w:rsidR="008F70F9" w:rsidRPr="008F70F9" w:rsidRDefault="008F70F9" w:rsidP="008F70F9">
            <w:pPr>
              <w:spacing w:after="0" w:line="240" w:lineRule="auto"/>
              <w:jc w:val="right"/>
              <w:rPr>
                <w:rFonts w:ascii="Arial" w:hAnsi="Arial" w:cs="Arial"/>
                <w:sz w:val="16"/>
                <w:szCs w:val="16"/>
              </w:rPr>
            </w:pPr>
            <w:r w:rsidRPr="008F70F9">
              <w:rPr>
                <w:rFonts w:ascii="Arial" w:hAnsi="Arial" w:cs="Arial"/>
                <w:sz w:val="16"/>
                <w:szCs w:val="16"/>
              </w:rPr>
              <w:t>2023-24</w:t>
            </w:r>
          </w:p>
        </w:tc>
      </w:tr>
      <w:tr w:rsidR="008F70F9" w:rsidRPr="008F70F9" w14:paraId="0386051A" w14:textId="77777777" w:rsidTr="008F70F9">
        <w:trPr>
          <w:trHeight w:val="204"/>
        </w:trPr>
        <w:tc>
          <w:tcPr>
            <w:tcW w:w="2840" w:type="dxa"/>
            <w:tcBorders>
              <w:top w:val="nil"/>
              <w:left w:val="nil"/>
              <w:bottom w:val="single" w:sz="4" w:space="0" w:color="auto"/>
              <w:right w:val="nil"/>
            </w:tcBorders>
            <w:shd w:val="clear" w:color="auto" w:fill="auto"/>
            <w:noWrap/>
            <w:vAlign w:val="bottom"/>
            <w:hideMark/>
          </w:tcPr>
          <w:p w14:paraId="51E6071B" w14:textId="77777777" w:rsidR="008F70F9" w:rsidRPr="008F70F9" w:rsidRDefault="008F70F9" w:rsidP="008F70F9">
            <w:pPr>
              <w:spacing w:after="0" w:line="240" w:lineRule="auto"/>
              <w:rPr>
                <w:rFonts w:ascii="Arial" w:hAnsi="Arial" w:cs="Arial"/>
                <w:b/>
                <w:bCs/>
                <w:sz w:val="16"/>
                <w:szCs w:val="16"/>
              </w:rPr>
            </w:pPr>
            <w:r w:rsidRPr="008F70F9">
              <w:rPr>
                <w:rFonts w:ascii="Arial" w:hAnsi="Arial" w:cs="Arial"/>
                <w:b/>
                <w:bCs/>
                <w:sz w:val="16"/>
                <w:szCs w:val="16"/>
              </w:rPr>
              <w:t>Average staffing level (number)</w:t>
            </w:r>
          </w:p>
        </w:tc>
        <w:tc>
          <w:tcPr>
            <w:tcW w:w="940" w:type="dxa"/>
            <w:tcBorders>
              <w:top w:val="nil"/>
              <w:left w:val="nil"/>
              <w:bottom w:val="single" w:sz="4" w:space="0" w:color="auto"/>
              <w:right w:val="nil"/>
            </w:tcBorders>
            <w:shd w:val="clear" w:color="auto" w:fill="auto"/>
            <w:noWrap/>
            <w:vAlign w:val="bottom"/>
            <w:hideMark/>
          </w:tcPr>
          <w:p w14:paraId="00AB6723" w14:textId="77777777" w:rsidR="008F70F9" w:rsidRPr="008F70F9" w:rsidRDefault="008F70F9" w:rsidP="008F70F9">
            <w:pPr>
              <w:spacing w:after="0" w:line="240" w:lineRule="auto"/>
              <w:jc w:val="right"/>
              <w:rPr>
                <w:rFonts w:ascii="Arial" w:hAnsi="Arial" w:cs="Arial"/>
                <w:sz w:val="16"/>
                <w:szCs w:val="16"/>
              </w:rPr>
            </w:pPr>
            <w:r w:rsidRPr="008F70F9">
              <w:rPr>
                <w:rFonts w:ascii="Arial" w:hAnsi="Arial" w:cs="Arial"/>
                <w:sz w:val="16"/>
                <w:szCs w:val="16"/>
              </w:rPr>
              <w:t xml:space="preserve">316 </w:t>
            </w:r>
          </w:p>
        </w:tc>
        <w:tc>
          <w:tcPr>
            <w:tcW w:w="940" w:type="dxa"/>
            <w:tcBorders>
              <w:top w:val="nil"/>
              <w:left w:val="nil"/>
              <w:bottom w:val="single" w:sz="4" w:space="0" w:color="auto"/>
              <w:right w:val="nil"/>
            </w:tcBorders>
            <w:shd w:val="clear" w:color="000000" w:fill="E6E6E6"/>
            <w:noWrap/>
            <w:vAlign w:val="bottom"/>
            <w:hideMark/>
          </w:tcPr>
          <w:p w14:paraId="4AA05267" w14:textId="58DA9CAB" w:rsidR="008F70F9" w:rsidRPr="008F70F9" w:rsidRDefault="008F70F9" w:rsidP="008F70F9">
            <w:pPr>
              <w:spacing w:after="0" w:line="240" w:lineRule="auto"/>
              <w:jc w:val="right"/>
              <w:rPr>
                <w:rFonts w:ascii="Arial" w:hAnsi="Arial" w:cs="Arial"/>
                <w:sz w:val="16"/>
                <w:szCs w:val="16"/>
              </w:rPr>
            </w:pPr>
            <w:r w:rsidRPr="008F70F9">
              <w:rPr>
                <w:rFonts w:ascii="Arial" w:hAnsi="Arial" w:cs="Arial"/>
                <w:sz w:val="16"/>
                <w:szCs w:val="16"/>
              </w:rPr>
              <w:t>3</w:t>
            </w:r>
            <w:r w:rsidR="00420BB0">
              <w:rPr>
                <w:rFonts w:ascii="Arial" w:hAnsi="Arial" w:cs="Arial"/>
                <w:sz w:val="16"/>
                <w:szCs w:val="16"/>
              </w:rPr>
              <w:t>5</w:t>
            </w:r>
            <w:r w:rsidRPr="008F70F9">
              <w:rPr>
                <w:rFonts w:ascii="Arial" w:hAnsi="Arial" w:cs="Arial"/>
                <w:sz w:val="16"/>
                <w:szCs w:val="16"/>
              </w:rPr>
              <w:t xml:space="preserve">2 </w:t>
            </w:r>
          </w:p>
        </w:tc>
      </w:tr>
    </w:tbl>
    <w:p w14:paraId="034D5965" w14:textId="60F0B662" w:rsidR="00985384" w:rsidRDefault="00985384" w:rsidP="00977C28">
      <w:pPr>
        <w:pStyle w:val="ListParagraph"/>
        <w:numPr>
          <w:ilvl w:val="0"/>
          <w:numId w:val="167"/>
        </w:numPr>
        <w:spacing w:before="60" w:after="0" w:line="240" w:lineRule="auto"/>
        <w:ind w:left="426" w:hanging="426"/>
        <w:rPr>
          <w:rFonts w:ascii="Arial" w:hAnsi="Arial" w:cs="Arial"/>
          <w:sz w:val="16"/>
        </w:rPr>
      </w:pPr>
      <w:r>
        <w:rPr>
          <w:rFonts w:ascii="Arial" w:hAnsi="Arial" w:cs="Arial"/>
          <w:sz w:val="16"/>
        </w:rPr>
        <w:t xml:space="preserve">Relates to appropriation for corporate entities provided through the </w:t>
      </w:r>
      <w:r w:rsidR="00E17F15">
        <w:rPr>
          <w:rFonts w:ascii="Arial" w:hAnsi="Arial" w:cs="Arial"/>
          <w:sz w:val="16"/>
        </w:rPr>
        <w:t>Department</w:t>
      </w:r>
      <w:r>
        <w:rPr>
          <w:rFonts w:ascii="Arial" w:hAnsi="Arial" w:cs="Arial"/>
          <w:sz w:val="16"/>
        </w:rPr>
        <w:t>.</w:t>
      </w:r>
    </w:p>
    <w:p w14:paraId="496B22B3" w14:textId="79533864" w:rsidR="00985384" w:rsidRDefault="00985384" w:rsidP="00977C28">
      <w:pPr>
        <w:pStyle w:val="ListParagraph"/>
        <w:numPr>
          <w:ilvl w:val="0"/>
          <w:numId w:val="167"/>
        </w:numPr>
        <w:spacing w:after="0" w:line="240" w:lineRule="auto"/>
        <w:ind w:left="426" w:hanging="426"/>
        <w:rPr>
          <w:rFonts w:ascii="Arial" w:hAnsi="Arial" w:cs="Arial"/>
          <w:sz w:val="16"/>
        </w:rPr>
      </w:pPr>
      <w:r>
        <w:rPr>
          <w:rFonts w:ascii="Arial" w:hAnsi="Arial" w:cs="Arial"/>
          <w:sz w:val="16"/>
        </w:rPr>
        <w:t xml:space="preserve">Administered ‘Expenses not requiring appropriation in the Budget year’ </w:t>
      </w:r>
      <w:r w:rsidR="007B34E6">
        <w:rPr>
          <w:rFonts w:ascii="Arial" w:hAnsi="Arial" w:cs="Arial"/>
          <w:sz w:val="16"/>
        </w:rPr>
        <w:t>comprise</w:t>
      </w:r>
      <w:r>
        <w:rPr>
          <w:rFonts w:ascii="Arial" w:hAnsi="Arial" w:cs="Arial"/>
          <w:sz w:val="16"/>
        </w:rPr>
        <w:t xml:space="preserve"> expenses relating to accruals, payments made from prior year appropriations and other non–cash expenses.</w:t>
      </w:r>
    </w:p>
    <w:p w14:paraId="2E1F10E9" w14:textId="77777777" w:rsidR="00985384" w:rsidRDefault="00985384" w:rsidP="00977C28">
      <w:pPr>
        <w:pStyle w:val="ListParagraph"/>
        <w:numPr>
          <w:ilvl w:val="0"/>
          <w:numId w:val="167"/>
        </w:numPr>
        <w:spacing w:after="0" w:line="240" w:lineRule="auto"/>
        <w:ind w:left="426" w:hanging="426"/>
        <w:rPr>
          <w:rFonts w:ascii="Arial" w:hAnsi="Arial" w:cs="Arial"/>
          <w:sz w:val="16"/>
        </w:rPr>
      </w:pPr>
      <w:r>
        <w:rPr>
          <w:rFonts w:ascii="Arial" w:hAnsi="Arial" w:cs="Arial"/>
          <w:sz w:val="16"/>
        </w:rPr>
        <w:t>Estimated expenses incurred in relation to receipts retained under section 74 of the PGPA Act.</w:t>
      </w:r>
    </w:p>
    <w:p w14:paraId="78D889FE" w14:textId="16ABFAEF" w:rsidR="00985384" w:rsidRDefault="00420BB0" w:rsidP="00977C28">
      <w:pPr>
        <w:pStyle w:val="ListParagraph"/>
        <w:numPr>
          <w:ilvl w:val="0"/>
          <w:numId w:val="167"/>
        </w:numPr>
        <w:spacing w:after="0" w:line="240" w:lineRule="auto"/>
        <w:ind w:left="426" w:hanging="426"/>
        <w:rPr>
          <w:rFonts w:ascii="Arial" w:hAnsi="Arial" w:cs="Arial"/>
          <w:sz w:val="16"/>
        </w:rPr>
      </w:pPr>
      <w:r w:rsidRPr="00420BB0">
        <w:rPr>
          <w:rFonts w:ascii="Arial" w:hAnsi="Arial" w:cs="Arial"/>
          <w:sz w:val="16"/>
        </w:rPr>
        <w:t>Departmental 'Expenses not requiring appropriation in the Budget year' are made up of depreciation expenses, amortisation expenses, and exclude right of use assets</w:t>
      </w:r>
      <w:r w:rsidR="00985384">
        <w:rPr>
          <w:rFonts w:ascii="Arial" w:hAnsi="Arial" w:cs="Arial"/>
          <w:sz w:val="16"/>
        </w:rPr>
        <w:t>.</w:t>
      </w:r>
    </w:p>
    <w:p w14:paraId="2632BCD4" w14:textId="608E22AE" w:rsidR="00985384" w:rsidRDefault="00985384" w:rsidP="00977C28">
      <w:pPr>
        <w:pStyle w:val="ListParagraph"/>
        <w:numPr>
          <w:ilvl w:val="0"/>
          <w:numId w:val="167"/>
        </w:numPr>
        <w:spacing w:after="0" w:line="240" w:lineRule="auto"/>
        <w:ind w:left="426" w:hanging="426"/>
        <w:rPr>
          <w:rFonts w:ascii="Arial" w:hAnsi="Arial" w:cs="Arial"/>
          <w:sz w:val="16"/>
        </w:rPr>
      </w:pPr>
      <w:r>
        <w:rPr>
          <w:rFonts w:ascii="Arial" w:hAnsi="Arial" w:cs="Arial"/>
          <w:sz w:val="16"/>
        </w:rPr>
        <w:t>Figures displayed as a negative (–) represent a decrease in funds and a positive (+) represent an increase in funds.</w:t>
      </w:r>
      <w:r w:rsidR="00A52F48">
        <w:rPr>
          <w:rFonts w:ascii="Arial" w:hAnsi="Arial" w:cs="Arial"/>
          <w:sz w:val="16"/>
        </w:rPr>
        <w:t xml:space="preserve"> Amounts do not include nfp items. </w:t>
      </w:r>
    </w:p>
    <w:p w14:paraId="0382C5B2" w14:textId="77777777" w:rsidR="00985384" w:rsidRDefault="00985384" w:rsidP="00985384">
      <w:pPr>
        <w:spacing w:line="240" w:lineRule="auto"/>
        <w:rPr>
          <w:rFonts w:ascii="Arial" w:hAnsi="Arial" w:cs="Arial"/>
          <w:sz w:val="16"/>
        </w:rPr>
      </w:pPr>
      <w:r>
        <w:rPr>
          <w:rFonts w:ascii="Arial" w:hAnsi="Arial" w:cs="Arial"/>
          <w:sz w:val="16"/>
        </w:rPr>
        <w:t>Note: Departmental appropriation splits and totals are indicative estimates and may change in the course of the budget year as government priorities change.</w:t>
      </w:r>
    </w:p>
    <w:p w14:paraId="20CDEB51" w14:textId="77777777" w:rsidR="00115843" w:rsidRDefault="00115843" w:rsidP="00115843">
      <w:pPr>
        <w:spacing w:after="0" w:line="240" w:lineRule="auto"/>
        <w:rPr>
          <w:rFonts w:ascii="Arial" w:hAnsi="Arial" w:cs="Arial"/>
          <w:sz w:val="16"/>
        </w:rPr>
      </w:pPr>
      <w:r>
        <w:rPr>
          <w:rFonts w:ascii="Arial" w:hAnsi="Arial" w:cs="Arial"/>
          <w:sz w:val="16"/>
        </w:rPr>
        <w:br w:type="page"/>
      </w:r>
    </w:p>
    <w:p w14:paraId="16C9557D" w14:textId="77777777" w:rsidR="00115843" w:rsidRPr="001A5D57" w:rsidRDefault="00115843" w:rsidP="00115843">
      <w:pPr>
        <w:spacing w:after="0"/>
        <w:rPr>
          <w:rStyle w:val="TableHeadingChar"/>
          <w:lang w:val="en-GB"/>
        </w:rPr>
      </w:pPr>
      <w:r w:rsidRPr="001A5D57">
        <w:rPr>
          <w:rStyle w:val="TableHeadingChar"/>
        </w:rPr>
        <w:lastRenderedPageBreak/>
        <w:t>Table 2.</w:t>
      </w:r>
      <w:r w:rsidRPr="001A5D57">
        <w:rPr>
          <w:rStyle w:val="TableHeadingChar"/>
          <w:lang w:val="en-GB"/>
        </w:rPr>
        <w:t>5</w:t>
      </w:r>
      <w:r w:rsidRPr="001A5D57">
        <w:rPr>
          <w:rStyle w:val="TableHeadingChar"/>
        </w:rPr>
        <w:t xml:space="preserve">.2: Program components of Outcome </w:t>
      </w:r>
      <w:r w:rsidRPr="001A5D57">
        <w:rPr>
          <w:rStyle w:val="TableHeadingChar"/>
          <w:lang w:val="en-GB"/>
        </w:rPr>
        <w:t>5</w:t>
      </w:r>
    </w:p>
    <w:tbl>
      <w:tblPr>
        <w:tblW w:w="5000" w:type="pct"/>
        <w:tblLook w:val="04A0" w:firstRow="1" w:lastRow="0" w:firstColumn="1" w:lastColumn="0" w:noHBand="0" w:noVBand="1"/>
      </w:tblPr>
      <w:tblGrid>
        <w:gridCol w:w="3070"/>
        <w:gridCol w:w="929"/>
        <w:gridCol w:w="928"/>
        <w:gridCol w:w="928"/>
        <w:gridCol w:w="928"/>
        <w:gridCol w:w="927"/>
      </w:tblGrid>
      <w:tr w:rsidR="00420BB0" w:rsidRPr="00420BB0" w14:paraId="2B64081A" w14:textId="77777777" w:rsidTr="00420BB0">
        <w:trPr>
          <w:trHeight w:val="204"/>
        </w:trPr>
        <w:tc>
          <w:tcPr>
            <w:tcW w:w="1991" w:type="pct"/>
            <w:tcBorders>
              <w:top w:val="single" w:sz="4" w:space="0" w:color="auto"/>
              <w:left w:val="nil"/>
              <w:bottom w:val="nil"/>
              <w:right w:val="nil"/>
            </w:tcBorders>
            <w:shd w:val="clear" w:color="auto" w:fill="auto"/>
            <w:noWrap/>
            <w:vAlign w:val="bottom"/>
            <w:hideMark/>
          </w:tcPr>
          <w:p w14:paraId="345C18B1" w14:textId="77777777" w:rsidR="00420BB0" w:rsidRPr="00420BB0" w:rsidRDefault="00420BB0" w:rsidP="00420BB0">
            <w:pPr>
              <w:spacing w:after="0" w:line="240" w:lineRule="auto"/>
              <w:rPr>
                <w:rFonts w:ascii="Arial" w:hAnsi="Arial" w:cs="Arial"/>
                <w:sz w:val="16"/>
                <w:szCs w:val="16"/>
              </w:rPr>
            </w:pPr>
            <w:r w:rsidRPr="00420BB0">
              <w:rPr>
                <w:rFonts w:ascii="Arial" w:hAnsi="Arial" w:cs="Arial"/>
                <w:sz w:val="16"/>
                <w:szCs w:val="16"/>
              </w:rPr>
              <w:t> </w:t>
            </w:r>
          </w:p>
        </w:tc>
        <w:tc>
          <w:tcPr>
            <w:tcW w:w="602" w:type="pct"/>
            <w:tcBorders>
              <w:top w:val="single" w:sz="4" w:space="0" w:color="auto"/>
              <w:left w:val="nil"/>
              <w:bottom w:val="nil"/>
              <w:right w:val="nil"/>
            </w:tcBorders>
            <w:shd w:val="clear" w:color="auto" w:fill="auto"/>
            <w:vAlign w:val="bottom"/>
            <w:hideMark/>
          </w:tcPr>
          <w:p w14:paraId="4C2BFAB1" w14:textId="77777777"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2022-23</w:t>
            </w:r>
            <w:r w:rsidRPr="00420BB0">
              <w:rPr>
                <w:rFonts w:ascii="Arial" w:hAnsi="Arial" w:cs="Arial"/>
                <w:sz w:val="16"/>
                <w:szCs w:val="16"/>
              </w:rPr>
              <w:br/>
              <w:t>Estimated  actual</w:t>
            </w:r>
            <w:r w:rsidRPr="00420BB0">
              <w:rPr>
                <w:rFonts w:ascii="Arial" w:hAnsi="Arial" w:cs="Arial"/>
                <w:sz w:val="16"/>
                <w:szCs w:val="16"/>
              </w:rPr>
              <w:br/>
              <w:t>$'000</w:t>
            </w:r>
          </w:p>
        </w:tc>
        <w:tc>
          <w:tcPr>
            <w:tcW w:w="602" w:type="pct"/>
            <w:tcBorders>
              <w:top w:val="single" w:sz="4" w:space="0" w:color="auto"/>
              <w:left w:val="nil"/>
              <w:bottom w:val="nil"/>
              <w:right w:val="nil"/>
            </w:tcBorders>
            <w:shd w:val="clear" w:color="000000" w:fill="E6E6E6"/>
            <w:vAlign w:val="bottom"/>
            <w:hideMark/>
          </w:tcPr>
          <w:p w14:paraId="4E3D4193" w14:textId="77777777"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2023-24</w:t>
            </w:r>
            <w:r w:rsidRPr="00420BB0">
              <w:rPr>
                <w:rFonts w:ascii="Arial" w:hAnsi="Arial" w:cs="Arial"/>
                <w:sz w:val="16"/>
                <w:szCs w:val="16"/>
              </w:rPr>
              <w:br/>
              <w:t xml:space="preserve"> Budget</w:t>
            </w:r>
            <w:r w:rsidRPr="00420BB0">
              <w:rPr>
                <w:rFonts w:ascii="Arial" w:hAnsi="Arial" w:cs="Arial"/>
                <w:sz w:val="16"/>
                <w:szCs w:val="16"/>
              </w:rPr>
              <w:br/>
              <w:t xml:space="preserve">                                      $'000</w:t>
            </w:r>
          </w:p>
        </w:tc>
        <w:tc>
          <w:tcPr>
            <w:tcW w:w="602" w:type="pct"/>
            <w:tcBorders>
              <w:top w:val="single" w:sz="4" w:space="0" w:color="auto"/>
              <w:left w:val="nil"/>
              <w:bottom w:val="nil"/>
              <w:right w:val="nil"/>
            </w:tcBorders>
            <w:shd w:val="clear" w:color="auto" w:fill="auto"/>
            <w:vAlign w:val="bottom"/>
            <w:hideMark/>
          </w:tcPr>
          <w:p w14:paraId="1F09861C" w14:textId="77777777"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2024-25</w:t>
            </w:r>
            <w:r w:rsidRPr="00420BB0">
              <w:rPr>
                <w:rFonts w:ascii="Arial" w:hAnsi="Arial" w:cs="Arial"/>
                <w:sz w:val="16"/>
                <w:szCs w:val="16"/>
              </w:rPr>
              <w:br/>
              <w:t>Forward estimate</w:t>
            </w:r>
            <w:r w:rsidRPr="00420BB0">
              <w:rPr>
                <w:rFonts w:ascii="Arial" w:hAnsi="Arial" w:cs="Arial"/>
                <w:sz w:val="16"/>
                <w:szCs w:val="16"/>
              </w:rPr>
              <w:br/>
              <w:t>$'000</w:t>
            </w:r>
          </w:p>
        </w:tc>
        <w:tc>
          <w:tcPr>
            <w:tcW w:w="602" w:type="pct"/>
            <w:tcBorders>
              <w:top w:val="single" w:sz="4" w:space="0" w:color="auto"/>
              <w:left w:val="nil"/>
              <w:bottom w:val="nil"/>
              <w:right w:val="nil"/>
            </w:tcBorders>
            <w:shd w:val="clear" w:color="auto" w:fill="auto"/>
            <w:vAlign w:val="bottom"/>
            <w:hideMark/>
          </w:tcPr>
          <w:p w14:paraId="4B6AB49E" w14:textId="77777777"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2025-26</w:t>
            </w:r>
            <w:r w:rsidRPr="00420BB0">
              <w:rPr>
                <w:rFonts w:ascii="Arial" w:hAnsi="Arial" w:cs="Arial"/>
                <w:sz w:val="16"/>
                <w:szCs w:val="16"/>
              </w:rPr>
              <w:br/>
              <w:t>Forward estimate</w:t>
            </w:r>
            <w:r w:rsidRPr="00420BB0">
              <w:rPr>
                <w:rFonts w:ascii="Arial" w:hAnsi="Arial" w:cs="Arial"/>
                <w:sz w:val="16"/>
                <w:szCs w:val="16"/>
              </w:rPr>
              <w:br/>
              <w:t>$'000</w:t>
            </w:r>
          </w:p>
        </w:tc>
        <w:tc>
          <w:tcPr>
            <w:tcW w:w="602" w:type="pct"/>
            <w:tcBorders>
              <w:top w:val="single" w:sz="4" w:space="0" w:color="auto"/>
              <w:left w:val="nil"/>
              <w:bottom w:val="nil"/>
              <w:right w:val="nil"/>
            </w:tcBorders>
            <w:shd w:val="clear" w:color="auto" w:fill="auto"/>
            <w:vAlign w:val="bottom"/>
            <w:hideMark/>
          </w:tcPr>
          <w:p w14:paraId="579FE012" w14:textId="77777777"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2026-27</w:t>
            </w:r>
            <w:r w:rsidRPr="00420BB0">
              <w:rPr>
                <w:rFonts w:ascii="Arial" w:hAnsi="Arial" w:cs="Arial"/>
                <w:sz w:val="16"/>
                <w:szCs w:val="16"/>
              </w:rPr>
              <w:br/>
              <w:t>Forward estimate</w:t>
            </w:r>
            <w:r w:rsidRPr="00420BB0">
              <w:rPr>
                <w:rFonts w:ascii="Arial" w:hAnsi="Arial" w:cs="Arial"/>
                <w:sz w:val="16"/>
                <w:szCs w:val="16"/>
              </w:rPr>
              <w:br/>
              <w:t>$'000</w:t>
            </w:r>
          </w:p>
        </w:tc>
      </w:tr>
      <w:tr w:rsidR="00420BB0" w:rsidRPr="00420BB0" w14:paraId="4FF0CD94" w14:textId="77777777" w:rsidTr="00420BB0">
        <w:trPr>
          <w:trHeight w:val="204"/>
        </w:trPr>
        <w:tc>
          <w:tcPr>
            <w:tcW w:w="5000" w:type="pct"/>
            <w:gridSpan w:val="6"/>
            <w:tcBorders>
              <w:top w:val="single" w:sz="4" w:space="0" w:color="auto"/>
              <w:left w:val="nil"/>
              <w:bottom w:val="single" w:sz="4" w:space="0" w:color="auto"/>
              <w:right w:val="nil"/>
            </w:tcBorders>
            <w:shd w:val="clear" w:color="000000" w:fill="E6E6E6"/>
            <w:noWrap/>
            <w:vAlign w:val="bottom"/>
            <w:hideMark/>
          </w:tcPr>
          <w:p w14:paraId="3797A70F" w14:textId="77777777" w:rsidR="00420BB0" w:rsidRPr="00420BB0" w:rsidRDefault="00420BB0" w:rsidP="00420BB0">
            <w:pPr>
              <w:spacing w:after="0" w:line="240" w:lineRule="auto"/>
              <w:rPr>
                <w:rFonts w:ascii="Arial" w:hAnsi="Arial" w:cs="Arial"/>
                <w:b/>
                <w:bCs/>
                <w:sz w:val="16"/>
                <w:szCs w:val="16"/>
              </w:rPr>
            </w:pPr>
            <w:r w:rsidRPr="00420BB0">
              <w:rPr>
                <w:rFonts w:ascii="Arial" w:hAnsi="Arial" w:cs="Arial"/>
                <w:b/>
                <w:bCs/>
                <w:sz w:val="16"/>
                <w:szCs w:val="16"/>
              </w:rPr>
              <w:t>Components for Program 5.1: Digital Technologies and Communications Services</w:t>
            </w:r>
          </w:p>
        </w:tc>
      </w:tr>
      <w:tr w:rsidR="00420BB0" w:rsidRPr="00420BB0" w14:paraId="0FDAE005" w14:textId="77777777" w:rsidTr="00420BB0">
        <w:trPr>
          <w:trHeight w:val="204"/>
        </w:trPr>
        <w:tc>
          <w:tcPr>
            <w:tcW w:w="1991" w:type="pct"/>
            <w:tcBorders>
              <w:top w:val="nil"/>
              <w:left w:val="nil"/>
              <w:bottom w:val="nil"/>
              <w:right w:val="nil"/>
            </w:tcBorders>
            <w:shd w:val="clear" w:color="auto" w:fill="auto"/>
            <w:noWrap/>
            <w:vAlign w:val="bottom"/>
            <w:hideMark/>
          </w:tcPr>
          <w:p w14:paraId="640B8C84" w14:textId="77777777" w:rsidR="00420BB0" w:rsidRPr="00420BB0" w:rsidRDefault="00420BB0" w:rsidP="00420BB0">
            <w:pPr>
              <w:spacing w:after="0" w:line="240" w:lineRule="auto"/>
              <w:rPr>
                <w:rFonts w:ascii="Arial" w:hAnsi="Arial" w:cs="Arial"/>
                <w:sz w:val="16"/>
                <w:szCs w:val="16"/>
              </w:rPr>
            </w:pPr>
            <w:r w:rsidRPr="00420BB0">
              <w:rPr>
                <w:rFonts w:ascii="Arial" w:hAnsi="Arial" w:cs="Arial"/>
                <w:sz w:val="16"/>
                <w:szCs w:val="16"/>
              </w:rPr>
              <w:t>Administered expenses:</w:t>
            </w:r>
          </w:p>
        </w:tc>
        <w:tc>
          <w:tcPr>
            <w:tcW w:w="602" w:type="pct"/>
            <w:tcBorders>
              <w:top w:val="nil"/>
              <w:left w:val="nil"/>
              <w:bottom w:val="nil"/>
              <w:right w:val="nil"/>
            </w:tcBorders>
            <w:shd w:val="clear" w:color="auto" w:fill="auto"/>
            <w:noWrap/>
            <w:vAlign w:val="bottom"/>
            <w:hideMark/>
          </w:tcPr>
          <w:p w14:paraId="2A1A976B" w14:textId="77777777" w:rsidR="00420BB0" w:rsidRPr="00420BB0" w:rsidRDefault="00420BB0" w:rsidP="00420BB0">
            <w:pPr>
              <w:spacing w:after="0" w:line="240" w:lineRule="auto"/>
              <w:jc w:val="right"/>
              <w:rPr>
                <w:rFonts w:ascii="Arial" w:hAnsi="Arial" w:cs="Arial"/>
                <w:sz w:val="16"/>
                <w:szCs w:val="16"/>
              </w:rPr>
            </w:pPr>
          </w:p>
        </w:tc>
        <w:tc>
          <w:tcPr>
            <w:tcW w:w="602" w:type="pct"/>
            <w:tcBorders>
              <w:top w:val="nil"/>
              <w:left w:val="nil"/>
              <w:bottom w:val="nil"/>
              <w:right w:val="nil"/>
            </w:tcBorders>
            <w:shd w:val="clear" w:color="000000" w:fill="E6E6E6"/>
            <w:noWrap/>
            <w:vAlign w:val="bottom"/>
            <w:hideMark/>
          </w:tcPr>
          <w:p w14:paraId="592FBA30" w14:textId="298A8D67" w:rsidR="00420BB0" w:rsidRPr="00420BB0" w:rsidRDefault="00420BB0" w:rsidP="00420BB0">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1706A6DF" w14:textId="77777777" w:rsidR="00420BB0" w:rsidRPr="00420BB0" w:rsidRDefault="00420BB0" w:rsidP="00420BB0">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753C6DE8" w14:textId="77777777" w:rsidR="00420BB0" w:rsidRPr="00420BB0" w:rsidRDefault="00420BB0" w:rsidP="00420BB0">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2A5166A0" w14:textId="77777777" w:rsidR="00420BB0" w:rsidRPr="00420BB0" w:rsidRDefault="00420BB0" w:rsidP="00420BB0">
            <w:pPr>
              <w:spacing w:after="0" w:line="240" w:lineRule="auto"/>
              <w:jc w:val="right"/>
              <w:rPr>
                <w:rFonts w:ascii="Arial" w:hAnsi="Arial" w:cs="Arial"/>
                <w:sz w:val="16"/>
                <w:szCs w:val="16"/>
              </w:rPr>
            </w:pPr>
          </w:p>
        </w:tc>
      </w:tr>
      <w:tr w:rsidR="00420BB0" w:rsidRPr="00420BB0" w14:paraId="1D885FAB" w14:textId="77777777" w:rsidTr="00420BB0">
        <w:trPr>
          <w:trHeight w:val="204"/>
        </w:trPr>
        <w:tc>
          <w:tcPr>
            <w:tcW w:w="1991" w:type="pct"/>
            <w:tcBorders>
              <w:top w:val="nil"/>
              <w:left w:val="nil"/>
              <w:bottom w:val="nil"/>
              <w:right w:val="nil"/>
            </w:tcBorders>
            <w:shd w:val="clear" w:color="auto" w:fill="auto"/>
            <w:vAlign w:val="bottom"/>
            <w:hideMark/>
          </w:tcPr>
          <w:p w14:paraId="5AD0D5C3" w14:textId="77777777" w:rsidR="00420BB0" w:rsidRPr="00420BB0" w:rsidRDefault="00420BB0" w:rsidP="00420BB0">
            <w:pPr>
              <w:spacing w:after="0" w:line="240" w:lineRule="auto"/>
              <w:ind w:left="113"/>
              <w:rPr>
                <w:rFonts w:ascii="Arial" w:hAnsi="Arial" w:cs="Arial"/>
                <w:sz w:val="16"/>
                <w:szCs w:val="16"/>
              </w:rPr>
            </w:pPr>
            <w:r w:rsidRPr="00420BB0">
              <w:rPr>
                <w:rFonts w:ascii="Arial" w:hAnsi="Arial" w:cs="Arial"/>
                <w:sz w:val="16"/>
                <w:szCs w:val="16"/>
              </w:rPr>
              <w:t>Amplifying Australia's Voice in the Pacific</w:t>
            </w:r>
          </w:p>
        </w:tc>
        <w:tc>
          <w:tcPr>
            <w:tcW w:w="602" w:type="pct"/>
            <w:tcBorders>
              <w:top w:val="nil"/>
              <w:left w:val="nil"/>
              <w:bottom w:val="nil"/>
              <w:right w:val="nil"/>
            </w:tcBorders>
            <w:shd w:val="clear" w:color="auto" w:fill="auto"/>
            <w:noWrap/>
            <w:vAlign w:val="bottom"/>
            <w:hideMark/>
          </w:tcPr>
          <w:p w14:paraId="18A591A7" w14:textId="435F70A6"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5,675</w:t>
            </w:r>
          </w:p>
        </w:tc>
        <w:tc>
          <w:tcPr>
            <w:tcW w:w="602" w:type="pct"/>
            <w:tcBorders>
              <w:top w:val="nil"/>
              <w:left w:val="nil"/>
              <w:bottom w:val="nil"/>
              <w:right w:val="nil"/>
            </w:tcBorders>
            <w:shd w:val="clear" w:color="000000" w:fill="E6E6E6"/>
            <w:noWrap/>
            <w:vAlign w:val="bottom"/>
            <w:hideMark/>
          </w:tcPr>
          <w:p w14:paraId="22D17828" w14:textId="3F716E0A"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5,675</w:t>
            </w:r>
          </w:p>
        </w:tc>
        <w:tc>
          <w:tcPr>
            <w:tcW w:w="602" w:type="pct"/>
            <w:tcBorders>
              <w:top w:val="nil"/>
              <w:left w:val="nil"/>
              <w:bottom w:val="nil"/>
              <w:right w:val="nil"/>
            </w:tcBorders>
            <w:shd w:val="clear" w:color="auto" w:fill="auto"/>
            <w:noWrap/>
            <w:vAlign w:val="bottom"/>
            <w:hideMark/>
          </w:tcPr>
          <w:p w14:paraId="58FB4AC1" w14:textId="7D975863"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5,675</w:t>
            </w:r>
          </w:p>
        </w:tc>
        <w:tc>
          <w:tcPr>
            <w:tcW w:w="602" w:type="pct"/>
            <w:tcBorders>
              <w:top w:val="nil"/>
              <w:left w:val="nil"/>
              <w:bottom w:val="nil"/>
              <w:right w:val="nil"/>
            </w:tcBorders>
            <w:shd w:val="clear" w:color="auto" w:fill="auto"/>
            <w:noWrap/>
            <w:vAlign w:val="bottom"/>
            <w:hideMark/>
          </w:tcPr>
          <w:p w14:paraId="3B6FBF1B" w14:textId="3226B73E"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5,675</w:t>
            </w:r>
          </w:p>
        </w:tc>
        <w:tc>
          <w:tcPr>
            <w:tcW w:w="602" w:type="pct"/>
            <w:tcBorders>
              <w:top w:val="nil"/>
              <w:left w:val="nil"/>
              <w:bottom w:val="nil"/>
              <w:right w:val="nil"/>
            </w:tcBorders>
            <w:shd w:val="clear" w:color="auto" w:fill="auto"/>
            <w:noWrap/>
            <w:vAlign w:val="bottom"/>
            <w:hideMark/>
          </w:tcPr>
          <w:p w14:paraId="4903455A" w14:textId="125080F2"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5,675</w:t>
            </w:r>
          </w:p>
        </w:tc>
      </w:tr>
      <w:tr w:rsidR="00420BB0" w:rsidRPr="00420BB0" w14:paraId="4D7815A9" w14:textId="77777777" w:rsidTr="00420BB0">
        <w:trPr>
          <w:trHeight w:val="204"/>
        </w:trPr>
        <w:tc>
          <w:tcPr>
            <w:tcW w:w="1991" w:type="pct"/>
            <w:tcBorders>
              <w:top w:val="nil"/>
              <w:left w:val="nil"/>
              <w:bottom w:val="nil"/>
              <w:right w:val="nil"/>
            </w:tcBorders>
            <w:shd w:val="clear" w:color="auto" w:fill="auto"/>
            <w:vAlign w:val="bottom"/>
            <w:hideMark/>
          </w:tcPr>
          <w:p w14:paraId="13CAF206" w14:textId="77777777" w:rsidR="00420BB0" w:rsidRPr="00420BB0" w:rsidRDefault="00420BB0" w:rsidP="00420BB0">
            <w:pPr>
              <w:spacing w:after="0" w:line="240" w:lineRule="auto"/>
              <w:ind w:left="113"/>
              <w:rPr>
                <w:rFonts w:ascii="Arial" w:hAnsi="Arial" w:cs="Arial"/>
                <w:sz w:val="16"/>
                <w:szCs w:val="16"/>
              </w:rPr>
            </w:pPr>
            <w:r w:rsidRPr="00420BB0">
              <w:rPr>
                <w:rFonts w:ascii="Arial" w:hAnsi="Arial" w:cs="Arial"/>
                <w:sz w:val="16"/>
                <w:szCs w:val="16"/>
              </w:rPr>
              <w:t>Australian 5G Innovation Initiative</w:t>
            </w:r>
          </w:p>
        </w:tc>
        <w:tc>
          <w:tcPr>
            <w:tcW w:w="602" w:type="pct"/>
            <w:tcBorders>
              <w:top w:val="nil"/>
              <w:left w:val="nil"/>
              <w:bottom w:val="nil"/>
              <w:right w:val="nil"/>
            </w:tcBorders>
            <w:shd w:val="clear" w:color="auto" w:fill="auto"/>
            <w:noWrap/>
            <w:vAlign w:val="bottom"/>
            <w:hideMark/>
          </w:tcPr>
          <w:p w14:paraId="6BB38DEB" w14:textId="356F78F7"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5,000</w:t>
            </w:r>
          </w:p>
        </w:tc>
        <w:tc>
          <w:tcPr>
            <w:tcW w:w="602" w:type="pct"/>
            <w:tcBorders>
              <w:top w:val="nil"/>
              <w:left w:val="nil"/>
              <w:bottom w:val="nil"/>
              <w:right w:val="nil"/>
            </w:tcBorders>
            <w:shd w:val="clear" w:color="000000" w:fill="E6E6E6"/>
            <w:noWrap/>
            <w:vAlign w:val="bottom"/>
            <w:hideMark/>
          </w:tcPr>
          <w:p w14:paraId="625863FC" w14:textId="1080664A"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74009EDF" w14:textId="28E0CE18"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56DBD988" w14:textId="534F44CF"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4B350E72" w14:textId="230FAE17"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w:t>
            </w:r>
          </w:p>
        </w:tc>
      </w:tr>
      <w:tr w:rsidR="00420BB0" w:rsidRPr="00420BB0" w14:paraId="7E5098E5" w14:textId="77777777" w:rsidTr="00420BB0">
        <w:trPr>
          <w:trHeight w:val="204"/>
        </w:trPr>
        <w:tc>
          <w:tcPr>
            <w:tcW w:w="1991" w:type="pct"/>
            <w:tcBorders>
              <w:top w:val="nil"/>
              <w:left w:val="nil"/>
              <w:bottom w:val="nil"/>
              <w:right w:val="nil"/>
            </w:tcBorders>
            <w:shd w:val="clear" w:color="auto" w:fill="auto"/>
            <w:vAlign w:val="bottom"/>
            <w:hideMark/>
          </w:tcPr>
          <w:p w14:paraId="12E3E3F7" w14:textId="42D54E17" w:rsidR="00420BB0" w:rsidRPr="00420BB0" w:rsidRDefault="00420BB0" w:rsidP="00420BB0">
            <w:pPr>
              <w:spacing w:after="0" w:line="240" w:lineRule="auto"/>
              <w:ind w:left="113"/>
              <w:rPr>
                <w:rFonts w:ascii="Arial" w:hAnsi="Arial" w:cs="Arial"/>
                <w:sz w:val="16"/>
                <w:szCs w:val="16"/>
              </w:rPr>
            </w:pPr>
            <w:r w:rsidRPr="00420BB0">
              <w:rPr>
                <w:rFonts w:ascii="Arial" w:hAnsi="Arial" w:cs="Arial"/>
                <w:sz w:val="16"/>
                <w:szCs w:val="16"/>
              </w:rPr>
              <w:t>Better Connectivity Plan for Regional and Rural Australia</w:t>
            </w:r>
            <w:r w:rsidRPr="00420BB0">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4BAD3FF7" w14:textId="2B96699F"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29,428</w:t>
            </w:r>
          </w:p>
        </w:tc>
        <w:tc>
          <w:tcPr>
            <w:tcW w:w="602" w:type="pct"/>
            <w:tcBorders>
              <w:top w:val="nil"/>
              <w:left w:val="nil"/>
              <w:bottom w:val="nil"/>
              <w:right w:val="nil"/>
            </w:tcBorders>
            <w:shd w:val="clear" w:color="000000" w:fill="E6E6E6"/>
            <w:noWrap/>
            <w:vAlign w:val="bottom"/>
            <w:hideMark/>
          </w:tcPr>
          <w:p w14:paraId="507BBA46" w14:textId="445EB441"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190,018</w:t>
            </w:r>
          </w:p>
        </w:tc>
        <w:tc>
          <w:tcPr>
            <w:tcW w:w="602" w:type="pct"/>
            <w:tcBorders>
              <w:top w:val="nil"/>
              <w:left w:val="nil"/>
              <w:bottom w:val="nil"/>
              <w:right w:val="nil"/>
            </w:tcBorders>
            <w:shd w:val="clear" w:color="auto" w:fill="auto"/>
            <w:noWrap/>
            <w:vAlign w:val="bottom"/>
            <w:hideMark/>
          </w:tcPr>
          <w:p w14:paraId="35A5FD93" w14:textId="00360400"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198,018</w:t>
            </w:r>
          </w:p>
        </w:tc>
        <w:tc>
          <w:tcPr>
            <w:tcW w:w="602" w:type="pct"/>
            <w:tcBorders>
              <w:top w:val="nil"/>
              <w:left w:val="nil"/>
              <w:bottom w:val="nil"/>
              <w:right w:val="nil"/>
            </w:tcBorders>
            <w:shd w:val="clear" w:color="auto" w:fill="auto"/>
            <w:noWrap/>
            <w:vAlign w:val="bottom"/>
            <w:hideMark/>
          </w:tcPr>
          <w:p w14:paraId="3BFDCAB1" w14:textId="33441412"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129,718</w:t>
            </w:r>
          </w:p>
        </w:tc>
        <w:tc>
          <w:tcPr>
            <w:tcW w:w="602" w:type="pct"/>
            <w:tcBorders>
              <w:top w:val="nil"/>
              <w:left w:val="nil"/>
              <w:bottom w:val="nil"/>
              <w:right w:val="nil"/>
            </w:tcBorders>
            <w:shd w:val="clear" w:color="auto" w:fill="auto"/>
            <w:noWrap/>
            <w:vAlign w:val="bottom"/>
            <w:hideMark/>
          </w:tcPr>
          <w:p w14:paraId="1255BD6C" w14:textId="55C2C67D"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108,818</w:t>
            </w:r>
          </w:p>
        </w:tc>
      </w:tr>
      <w:tr w:rsidR="00420BB0" w:rsidRPr="00420BB0" w14:paraId="44DFECDB" w14:textId="77777777" w:rsidTr="00420BB0">
        <w:trPr>
          <w:trHeight w:val="204"/>
        </w:trPr>
        <w:tc>
          <w:tcPr>
            <w:tcW w:w="1991" w:type="pct"/>
            <w:tcBorders>
              <w:top w:val="nil"/>
              <w:left w:val="nil"/>
              <w:bottom w:val="nil"/>
              <w:right w:val="nil"/>
            </w:tcBorders>
            <w:shd w:val="clear" w:color="auto" w:fill="auto"/>
            <w:vAlign w:val="bottom"/>
            <w:hideMark/>
          </w:tcPr>
          <w:p w14:paraId="75068006" w14:textId="77777777" w:rsidR="00420BB0" w:rsidRPr="00420BB0" w:rsidRDefault="00420BB0" w:rsidP="00420BB0">
            <w:pPr>
              <w:spacing w:after="0" w:line="240" w:lineRule="auto"/>
              <w:ind w:left="113"/>
              <w:rPr>
                <w:rFonts w:ascii="Arial" w:hAnsi="Arial" w:cs="Arial"/>
                <w:sz w:val="16"/>
                <w:szCs w:val="16"/>
              </w:rPr>
            </w:pPr>
            <w:r w:rsidRPr="00420BB0">
              <w:rPr>
                <w:rFonts w:ascii="Arial" w:hAnsi="Arial" w:cs="Arial"/>
                <w:sz w:val="16"/>
                <w:szCs w:val="16"/>
              </w:rPr>
              <w:t>Boost Education Opportunities for Families with No Home Internet</w:t>
            </w:r>
          </w:p>
        </w:tc>
        <w:tc>
          <w:tcPr>
            <w:tcW w:w="602" w:type="pct"/>
            <w:tcBorders>
              <w:top w:val="nil"/>
              <w:left w:val="nil"/>
              <w:bottom w:val="nil"/>
              <w:right w:val="nil"/>
            </w:tcBorders>
            <w:shd w:val="clear" w:color="auto" w:fill="auto"/>
            <w:noWrap/>
            <w:vAlign w:val="bottom"/>
            <w:hideMark/>
          </w:tcPr>
          <w:p w14:paraId="156A69AF" w14:textId="2C458A5E"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4,500</w:t>
            </w:r>
          </w:p>
        </w:tc>
        <w:tc>
          <w:tcPr>
            <w:tcW w:w="602" w:type="pct"/>
            <w:tcBorders>
              <w:top w:val="nil"/>
              <w:left w:val="nil"/>
              <w:bottom w:val="nil"/>
              <w:right w:val="nil"/>
            </w:tcBorders>
            <w:shd w:val="clear" w:color="000000" w:fill="E6E6E6"/>
            <w:noWrap/>
            <w:vAlign w:val="bottom"/>
            <w:hideMark/>
          </w:tcPr>
          <w:p w14:paraId="2E6509A9" w14:textId="02DA13A4"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75305CE0" w14:textId="033025BE"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5B67FE53" w14:textId="69248F1D"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3F94A738" w14:textId="3A933900"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w:t>
            </w:r>
          </w:p>
        </w:tc>
      </w:tr>
      <w:tr w:rsidR="00420BB0" w:rsidRPr="00420BB0" w14:paraId="15C3E87F" w14:textId="77777777" w:rsidTr="00420BB0">
        <w:trPr>
          <w:trHeight w:val="204"/>
        </w:trPr>
        <w:tc>
          <w:tcPr>
            <w:tcW w:w="1991" w:type="pct"/>
            <w:tcBorders>
              <w:top w:val="nil"/>
              <w:left w:val="nil"/>
              <w:bottom w:val="nil"/>
              <w:right w:val="nil"/>
            </w:tcBorders>
            <w:shd w:val="clear" w:color="auto" w:fill="auto"/>
            <w:vAlign w:val="bottom"/>
            <w:hideMark/>
          </w:tcPr>
          <w:p w14:paraId="5D8E5B68" w14:textId="275F8AC8" w:rsidR="00420BB0" w:rsidRPr="00420BB0" w:rsidRDefault="00420BB0" w:rsidP="00420BB0">
            <w:pPr>
              <w:spacing w:after="0" w:line="240" w:lineRule="auto"/>
              <w:ind w:left="113"/>
              <w:rPr>
                <w:rFonts w:ascii="Arial" w:hAnsi="Arial" w:cs="Arial"/>
                <w:sz w:val="16"/>
                <w:szCs w:val="16"/>
              </w:rPr>
            </w:pPr>
            <w:r w:rsidRPr="00420BB0">
              <w:rPr>
                <w:rFonts w:ascii="Arial" w:hAnsi="Arial" w:cs="Arial"/>
                <w:sz w:val="16"/>
                <w:szCs w:val="16"/>
              </w:rPr>
              <w:t>Cellular Broadcast Technologies</w:t>
            </w:r>
            <w:r w:rsidRPr="00420BB0">
              <w:rPr>
                <w:rFonts w:ascii="Arial" w:hAnsi="Arial" w:cs="Arial"/>
                <w:sz w:val="16"/>
                <w:szCs w:val="16"/>
                <w:vertAlign w:val="superscript"/>
              </w:rPr>
              <w:t>(b)</w:t>
            </w:r>
          </w:p>
        </w:tc>
        <w:tc>
          <w:tcPr>
            <w:tcW w:w="602" w:type="pct"/>
            <w:tcBorders>
              <w:top w:val="nil"/>
              <w:left w:val="nil"/>
              <w:bottom w:val="nil"/>
              <w:right w:val="nil"/>
            </w:tcBorders>
            <w:shd w:val="clear" w:color="auto" w:fill="auto"/>
            <w:noWrap/>
            <w:vAlign w:val="bottom"/>
            <w:hideMark/>
          </w:tcPr>
          <w:p w14:paraId="39559A6B" w14:textId="42DD1636" w:rsidR="00420BB0" w:rsidRPr="00420BB0" w:rsidRDefault="00902252" w:rsidP="00420BB0">
            <w:pPr>
              <w:spacing w:after="0" w:line="240" w:lineRule="auto"/>
              <w:jc w:val="right"/>
              <w:rPr>
                <w:rFonts w:ascii="Arial" w:hAnsi="Arial" w:cs="Arial"/>
                <w:sz w:val="16"/>
                <w:szCs w:val="16"/>
              </w:rPr>
            </w:pPr>
            <w:r>
              <w:rPr>
                <w:rFonts w:ascii="Arial" w:hAnsi="Arial" w:cs="Arial"/>
                <w:sz w:val="16"/>
                <w:szCs w:val="16"/>
              </w:rPr>
              <w:t>-</w:t>
            </w:r>
          </w:p>
        </w:tc>
        <w:tc>
          <w:tcPr>
            <w:tcW w:w="602" w:type="pct"/>
            <w:tcBorders>
              <w:top w:val="nil"/>
              <w:left w:val="nil"/>
              <w:bottom w:val="nil"/>
              <w:right w:val="nil"/>
            </w:tcBorders>
            <w:shd w:val="clear" w:color="000000" w:fill="E6E6E6"/>
            <w:noWrap/>
            <w:vAlign w:val="bottom"/>
            <w:hideMark/>
          </w:tcPr>
          <w:p w14:paraId="2411DB75" w14:textId="77777777"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nfp</w:t>
            </w:r>
          </w:p>
        </w:tc>
        <w:tc>
          <w:tcPr>
            <w:tcW w:w="602" w:type="pct"/>
            <w:tcBorders>
              <w:top w:val="nil"/>
              <w:left w:val="nil"/>
              <w:bottom w:val="nil"/>
              <w:right w:val="nil"/>
            </w:tcBorders>
            <w:shd w:val="clear" w:color="auto" w:fill="auto"/>
            <w:noWrap/>
            <w:vAlign w:val="bottom"/>
            <w:hideMark/>
          </w:tcPr>
          <w:p w14:paraId="5C1CD026" w14:textId="77777777"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nfp</w:t>
            </w:r>
          </w:p>
        </w:tc>
        <w:tc>
          <w:tcPr>
            <w:tcW w:w="602" w:type="pct"/>
            <w:tcBorders>
              <w:top w:val="nil"/>
              <w:left w:val="nil"/>
              <w:bottom w:val="nil"/>
              <w:right w:val="nil"/>
            </w:tcBorders>
            <w:shd w:val="clear" w:color="auto" w:fill="auto"/>
            <w:noWrap/>
            <w:vAlign w:val="bottom"/>
            <w:hideMark/>
          </w:tcPr>
          <w:p w14:paraId="586A27EE" w14:textId="0DC03403"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7B8AC567" w14:textId="219812BC"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w:t>
            </w:r>
          </w:p>
        </w:tc>
      </w:tr>
      <w:tr w:rsidR="00420BB0" w:rsidRPr="00420BB0" w14:paraId="7A5EDA90" w14:textId="77777777" w:rsidTr="00420BB0">
        <w:trPr>
          <w:trHeight w:val="204"/>
        </w:trPr>
        <w:tc>
          <w:tcPr>
            <w:tcW w:w="1991" w:type="pct"/>
            <w:tcBorders>
              <w:top w:val="nil"/>
              <w:left w:val="nil"/>
              <w:bottom w:val="nil"/>
              <w:right w:val="nil"/>
            </w:tcBorders>
            <w:shd w:val="clear" w:color="auto" w:fill="auto"/>
            <w:vAlign w:val="bottom"/>
            <w:hideMark/>
          </w:tcPr>
          <w:p w14:paraId="17BB0F27" w14:textId="77777777" w:rsidR="00420BB0" w:rsidRPr="00420BB0" w:rsidRDefault="00420BB0" w:rsidP="00420BB0">
            <w:pPr>
              <w:spacing w:after="0" w:line="240" w:lineRule="auto"/>
              <w:ind w:left="113"/>
              <w:rPr>
                <w:rFonts w:ascii="Arial" w:hAnsi="Arial" w:cs="Arial"/>
                <w:sz w:val="16"/>
                <w:szCs w:val="16"/>
              </w:rPr>
            </w:pPr>
            <w:r w:rsidRPr="00420BB0">
              <w:rPr>
                <w:rFonts w:ascii="Arial" w:hAnsi="Arial" w:cs="Arial"/>
                <w:sz w:val="16"/>
                <w:szCs w:val="16"/>
              </w:rPr>
              <w:t>Community Broadcasting Program</w:t>
            </w:r>
          </w:p>
        </w:tc>
        <w:tc>
          <w:tcPr>
            <w:tcW w:w="602" w:type="pct"/>
            <w:tcBorders>
              <w:top w:val="nil"/>
              <w:left w:val="nil"/>
              <w:bottom w:val="nil"/>
              <w:right w:val="nil"/>
            </w:tcBorders>
            <w:shd w:val="clear" w:color="auto" w:fill="auto"/>
            <w:noWrap/>
            <w:vAlign w:val="bottom"/>
            <w:hideMark/>
          </w:tcPr>
          <w:p w14:paraId="7E411BCA" w14:textId="62138040"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20,975</w:t>
            </w:r>
          </w:p>
        </w:tc>
        <w:tc>
          <w:tcPr>
            <w:tcW w:w="602" w:type="pct"/>
            <w:tcBorders>
              <w:top w:val="nil"/>
              <w:left w:val="nil"/>
              <w:bottom w:val="nil"/>
              <w:right w:val="nil"/>
            </w:tcBorders>
            <w:shd w:val="clear" w:color="000000" w:fill="E6E6E6"/>
            <w:noWrap/>
            <w:vAlign w:val="bottom"/>
            <w:hideMark/>
          </w:tcPr>
          <w:p w14:paraId="22D3FF4F" w14:textId="212BFBCE"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21,893</w:t>
            </w:r>
          </w:p>
        </w:tc>
        <w:tc>
          <w:tcPr>
            <w:tcW w:w="602" w:type="pct"/>
            <w:tcBorders>
              <w:top w:val="nil"/>
              <w:left w:val="nil"/>
              <w:bottom w:val="nil"/>
              <w:right w:val="nil"/>
            </w:tcBorders>
            <w:shd w:val="clear" w:color="auto" w:fill="auto"/>
            <w:noWrap/>
            <w:vAlign w:val="bottom"/>
            <w:hideMark/>
          </w:tcPr>
          <w:p w14:paraId="39F634F8" w14:textId="2F67DE89"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22,587</w:t>
            </w:r>
          </w:p>
        </w:tc>
        <w:tc>
          <w:tcPr>
            <w:tcW w:w="602" w:type="pct"/>
            <w:tcBorders>
              <w:top w:val="nil"/>
              <w:left w:val="nil"/>
              <w:bottom w:val="nil"/>
              <w:right w:val="nil"/>
            </w:tcBorders>
            <w:shd w:val="clear" w:color="auto" w:fill="auto"/>
            <w:noWrap/>
            <w:vAlign w:val="bottom"/>
            <w:hideMark/>
          </w:tcPr>
          <w:p w14:paraId="355ADB92" w14:textId="3ED0F94C"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23,026</w:t>
            </w:r>
          </w:p>
        </w:tc>
        <w:tc>
          <w:tcPr>
            <w:tcW w:w="602" w:type="pct"/>
            <w:tcBorders>
              <w:top w:val="nil"/>
              <w:left w:val="nil"/>
              <w:bottom w:val="nil"/>
              <w:right w:val="nil"/>
            </w:tcBorders>
            <w:shd w:val="clear" w:color="auto" w:fill="auto"/>
            <w:noWrap/>
            <w:vAlign w:val="bottom"/>
            <w:hideMark/>
          </w:tcPr>
          <w:p w14:paraId="79A642D5" w14:textId="71F8B60B"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23,535</w:t>
            </w:r>
          </w:p>
        </w:tc>
      </w:tr>
      <w:tr w:rsidR="00420BB0" w:rsidRPr="00420BB0" w14:paraId="0277F4D8" w14:textId="77777777" w:rsidTr="00420BB0">
        <w:trPr>
          <w:trHeight w:val="204"/>
        </w:trPr>
        <w:tc>
          <w:tcPr>
            <w:tcW w:w="1991" w:type="pct"/>
            <w:tcBorders>
              <w:top w:val="nil"/>
              <w:left w:val="nil"/>
              <w:bottom w:val="nil"/>
              <w:right w:val="nil"/>
            </w:tcBorders>
            <w:shd w:val="clear" w:color="auto" w:fill="auto"/>
            <w:vAlign w:val="bottom"/>
            <w:hideMark/>
          </w:tcPr>
          <w:p w14:paraId="23F3C9D0" w14:textId="77777777" w:rsidR="00420BB0" w:rsidRPr="00420BB0" w:rsidRDefault="00420BB0" w:rsidP="00420BB0">
            <w:pPr>
              <w:spacing w:after="0" w:line="240" w:lineRule="auto"/>
              <w:ind w:left="113"/>
              <w:rPr>
                <w:rFonts w:ascii="Arial" w:hAnsi="Arial" w:cs="Arial"/>
                <w:sz w:val="16"/>
                <w:szCs w:val="16"/>
              </w:rPr>
            </w:pPr>
            <w:r w:rsidRPr="00420BB0">
              <w:rPr>
                <w:rFonts w:ascii="Arial" w:hAnsi="Arial" w:cs="Arial"/>
                <w:sz w:val="16"/>
                <w:szCs w:val="16"/>
              </w:rPr>
              <w:t>Connecting Northern Australia</w:t>
            </w:r>
          </w:p>
        </w:tc>
        <w:tc>
          <w:tcPr>
            <w:tcW w:w="602" w:type="pct"/>
            <w:tcBorders>
              <w:top w:val="nil"/>
              <w:left w:val="nil"/>
              <w:bottom w:val="nil"/>
              <w:right w:val="nil"/>
            </w:tcBorders>
            <w:shd w:val="clear" w:color="auto" w:fill="auto"/>
            <w:noWrap/>
            <w:vAlign w:val="bottom"/>
            <w:hideMark/>
          </w:tcPr>
          <w:p w14:paraId="5A920202" w14:textId="6D6CB13D"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16,153</w:t>
            </w:r>
          </w:p>
        </w:tc>
        <w:tc>
          <w:tcPr>
            <w:tcW w:w="602" w:type="pct"/>
            <w:tcBorders>
              <w:top w:val="nil"/>
              <w:left w:val="nil"/>
              <w:bottom w:val="nil"/>
              <w:right w:val="nil"/>
            </w:tcBorders>
            <w:shd w:val="clear" w:color="000000" w:fill="E6E6E6"/>
            <w:noWrap/>
            <w:vAlign w:val="bottom"/>
            <w:hideMark/>
          </w:tcPr>
          <w:p w14:paraId="2E63F193" w14:textId="7DD86B11"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47,115</w:t>
            </w:r>
          </w:p>
        </w:tc>
        <w:tc>
          <w:tcPr>
            <w:tcW w:w="602" w:type="pct"/>
            <w:tcBorders>
              <w:top w:val="nil"/>
              <w:left w:val="nil"/>
              <w:bottom w:val="nil"/>
              <w:right w:val="nil"/>
            </w:tcBorders>
            <w:shd w:val="clear" w:color="auto" w:fill="auto"/>
            <w:noWrap/>
            <w:vAlign w:val="bottom"/>
            <w:hideMark/>
          </w:tcPr>
          <w:p w14:paraId="4B376EFE" w14:textId="72905964"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28A9D0E7" w14:textId="26C25906"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15C00477" w14:textId="08DE1339"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w:t>
            </w:r>
          </w:p>
        </w:tc>
      </w:tr>
      <w:tr w:rsidR="00420BB0" w:rsidRPr="00420BB0" w14:paraId="15B81C9D" w14:textId="77777777" w:rsidTr="00420BB0">
        <w:trPr>
          <w:trHeight w:val="204"/>
        </w:trPr>
        <w:tc>
          <w:tcPr>
            <w:tcW w:w="1991" w:type="pct"/>
            <w:tcBorders>
              <w:top w:val="nil"/>
              <w:left w:val="nil"/>
              <w:bottom w:val="nil"/>
              <w:right w:val="nil"/>
            </w:tcBorders>
            <w:shd w:val="clear" w:color="auto" w:fill="auto"/>
            <w:vAlign w:val="bottom"/>
            <w:hideMark/>
          </w:tcPr>
          <w:p w14:paraId="4EF8AB01" w14:textId="77777777" w:rsidR="00420BB0" w:rsidRPr="00420BB0" w:rsidRDefault="00420BB0" w:rsidP="00420BB0">
            <w:pPr>
              <w:spacing w:after="0" w:line="240" w:lineRule="auto"/>
              <w:ind w:left="113"/>
              <w:rPr>
                <w:rFonts w:ascii="Arial" w:hAnsi="Arial" w:cs="Arial"/>
                <w:sz w:val="16"/>
                <w:szCs w:val="16"/>
              </w:rPr>
            </w:pPr>
            <w:r w:rsidRPr="00420BB0">
              <w:rPr>
                <w:rFonts w:ascii="Arial" w:hAnsi="Arial" w:cs="Arial"/>
                <w:sz w:val="16"/>
                <w:szCs w:val="16"/>
              </w:rPr>
              <w:t>Consumer Representation Grants Program</w:t>
            </w:r>
          </w:p>
        </w:tc>
        <w:tc>
          <w:tcPr>
            <w:tcW w:w="602" w:type="pct"/>
            <w:tcBorders>
              <w:top w:val="nil"/>
              <w:left w:val="nil"/>
              <w:bottom w:val="nil"/>
              <w:right w:val="nil"/>
            </w:tcBorders>
            <w:shd w:val="clear" w:color="auto" w:fill="auto"/>
            <w:noWrap/>
            <w:vAlign w:val="bottom"/>
            <w:hideMark/>
          </w:tcPr>
          <w:p w14:paraId="34C52979" w14:textId="4A943597"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2,488</w:t>
            </w:r>
          </w:p>
        </w:tc>
        <w:tc>
          <w:tcPr>
            <w:tcW w:w="602" w:type="pct"/>
            <w:tcBorders>
              <w:top w:val="nil"/>
              <w:left w:val="nil"/>
              <w:bottom w:val="nil"/>
              <w:right w:val="nil"/>
            </w:tcBorders>
            <w:shd w:val="clear" w:color="000000" w:fill="E6E6E6"/>
            <w:noWrap/>
            <w:vAlign w:val="bottom"/>
            <w:hideMark/>
          </w:tcPr>
          <w:p w14:paraId="0AD4C4DA" w14:textId="32D8D16D"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2,624</w:t>
            </w:r>
          </w:p>
        </w:tc>
        <w:tc>
          <w:tcPr>
            <w:tcW w:w="602" w:type="pct"/>
            <w:tcBorders>
              <w:top w:val="nil"/>
              <w:left w:val="nil"/>
              <w:bottom w:val="nil"/>
              <w:right w:val="nil"/>
            </w:tcBorders>
            <w:shd w:val="clear" w:color="auto" w:fill="auto"/>
            <w:noWrap/>
            <w:vAlign w:val="bottom"/>
            <w:hideMark/>
          </w:tcPr>
          <w:p w14:paraId="1F909406" w14:textId="42E707D5"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2,721</w:t>
            </w:r>
          </w:p>
        </w:tc>
        <w:tc>
          <w:tcPr>
            <w:tcW w:w="602" w:type="pct"/>
            <w:tcBorders>
              <w:top w:val="nil"/>
              <w:left w:val="nil"/>
              <w:bottom w:val="nil"/>
              <w:right w:val="nil"/>
            </w:tcBorders>
            <w:shd w:val="clear" w:color="auto" w:fill="auto"/>
            <w:noWrap/>
            <w:vAlign w:val="bottom"/>
            <w:hideMark/>
          </w:tcPr>
          <w:p w14:paraId="088B5FD5" w14:textId="342449ED"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2,784</w:t>
            </w:r>
          </w:p>
        </w:tc>
        <w:tc>
          <w:tcPr>
            <w:tcW w:w="602" w:type="pct"/>
            <w:tcBorders>
              <w:top w:val="nil"/>
              <w:left w:val="nil"/>
              <w:bottom w:val="nil"/>
              <w:right w:val="nil"/>
            </w:tcBorders>
            <w:shd w:val="clear" w:color="auto" w:fill="auto"/>
            <w:noWrap/>
            <w:vAlign w:val="bottom"/>
            <w:hideMark/>
          </w:tcPr>
          <w:p w14:paraId="65E823F3" w14:textId="6F34D0E0"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2,847</w:t>
            </w:r>
          </w:p>
        </w:tc>
      </w:tr>
      <w:tr w:rsidR="00420BB0" w:rsidRPr="00420BB0" w14:paraId="55E4F97E" w14:textId="77777777" w:rsidTr="00420BB0">
        <w:trPr>
          <w:trHeight w:val="204"/>
        </w:trPr>
        <w:tc>
          <w:tcPr>
            <w:tcW w:w="1991" w:type="pct"/>
            <w:tcBorders>
              <w:top w:val="nil"/>
              <w:left w:val="nil"/>
              <w:bottom w:val="nil"/>
              <w:right w:val="nil"/>
            </w:tcBorders>
            <w:shd w:val="clear" w:color="auto" w:fill="auto"/>
            <w:vAlign w:val="bottom"/>
            <w:hideMark/>
          </w:tcPr>
          <w:p w14:paraId="532E65C3" w14:textId="28E320D8" w:rsidR="00420BB0" w:rsidRPr="00420BB0" w:rsidRDefault="00420BB0" w:rsidP="00420BB0">
            <w:pPr>
              <w:spacing w:after="0" w:line="240" w:lineRule="auto"/>
              <w:ind w:left="113"/>
              <w:rPr>
                <w:rFonts w:ascii="Arial" w:hAnsi="Arial" w:cs="Arial"/>
                <w:sz w:val="16"/>
                <w:szCs w:val="16"/>
              </w:rPr>
            </w:pPr>
            <w:r w:rsidRPr="00420BB0">
              <w:rPr>
                <w:rFonts w:ascii="Arial" w:hAnsi="Arial" w:cs="Arial"/>
                <w:sz w:val="16"/>
                <w:szCs w:val="16"/>
              </w:rPr>
              <w:t>Intellectual Property</w:t>
            </w:r>
            <w:r w:rsidRPr="00420BB0">
              <w:rPr>
                <w:rFonts w:ascii="Arial" w:hAnsi="Arial" w:cs="Arial"/>
                <w:sz w:val="16"/>
                <w:szCs w:val="16"/>
                <w:vertAlign w:val="superscript"/>
              </w:rPr>
              <w:t>(c)</w:t>
            </w:r>
            <w:r w:rsidRPr="00420BB0">
              <w:rPr>
                <w:rFonts w:ascii="Arial" w:hAnsi="Arial" w:cs="Arial"/>
                <w:sz w:val="16"/>
                <w:szCs w:val="16"/>
              </w:rPr>
              <w:t xml:space="preserve"> </w:t>
            </w:r>
          </w:p>
        </w:tc>
        <w:tc>
          <w:tcPr>
            <w:tcW w:w="602" w:type="pct"/>
            <w:tcBorders>
              <w:top w:val="nil"/>
              <w:left w:val="nil"/>
              <w:bottom w:val="nil"/>
              <w:right w:val="nil"/>
            </w:tcBorders>
            <w:shd w:val="clear" w:color="auto" w:fill="auto"/>
            <w:noWrap/>
            <w:vAlign w:val="bottom"/>
            <w:hideMark/>
          </w:tcPr>
          <w:p w14:paraId="3602C28E" w14:textId="583E2207"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3</w:t>
            </w:r>
          </w:p>
        </w:tc>
        <w:tc>
          <w:tcPr>
            <w:tcW w:w="602" w:type="pct"/>
            <w:tcBorders>
              <w:top w:val="nil"/>
              <w:left w:val="nil"/>
              <w:bottom w:val="nil"/>
              <w:right w:val="nil"/>
            </w:tcBorders>
            <w:shd w:val="clear" w:color="000000" w:fill="E6E6E6"/>
            <w:noWrap/>
            <w:vAlign w:val="bottom"/>
            <w:hideMark/>
          </w:tcPr>
          <w:p w14:paraId="22EE9DD3" w14:textId="62AC3BBC"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37297222" w14:textId="047C894C"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4C0C4AF5" w14:textId="38ABCE99"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0EA47339" w14:textId="3221A0F2"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w:t>
            </w:r>
          </w:p>
        </w:tc>
      </w:tr>
      <w:tr w:rsidR="00420BB0" w:rsidRPr="00420BB0" w14:paraId="7345C6B8" w14:textId="77777777" w:rsidTr="00420BB0">
        <w:trPr>
          <w:trHeight w:val="204"/>
        </w:trPr>
        <w:tc>
          <w:tcPr>
            <w:tcW w:w="1991" w:type="pct"/>
            <w:tcBorders>
              <w:top w:val="nil"/>
              <w:left w:val="nil"/>
              <w:bottom w:val="nil"/>
              <w:right w:val="nil"/>
            </w:tcBorders>
            <w:shd w:val="clear" w:color="auto" w:fill="auto"/>
            <w:vAlign w:val="bottom"/>
            <w:hideMark/>
          </w:tcPr>
          <w:p w14:paraId="4C4441EC" w14:textId="77777777" w:rsidR="00420BB0" w:rsidRPr="00420BB0" w:rsidRDefault="00420BB0" w:rsidP="00420BB0">
            <w:pPr>
              <w:spacing w:after="0" w:line="240" w:lineRule="auto"/>
              <w:ind w:left="113"/>
              <w:rPr>
                <w:rFonts w:ascii="Arial" w:hAnsi="Arial" w:cs="Arial"/>
                <w:sz w:val="16"/>
                <w:szCs w:val="16"/>
              </w:rPr>
            </w:pPr>
            <w:r w:rsidRPr="00420BB0">
              <w:rPr>
                <w:rFonts w:ascii="Arial" w:hAnsi="Arial" w:cs="Arial"/>
                <w:sz w:val="16"/>
                <w:szCs w:val="16"/>
              </w:rPr>
              <w:t>International Organisation Contributions</w:t>
            </w:r>
          </w:p>
        </w:tc>
        <w:tc>
          <w:tcPr>
            <w:tcW w:w="602" w:type="pct"/>
            <w:tcBorders>
              <w:top w:val="nil"/>
              <w:left w:val="nil"/>
              <w:bottom w:val="nil"/>
              <w:right w:val="nil"/>
            </w:tcBorders>
            <w:shd w:val="clear" w:color="auto" w:fill="auto"/>
            <w:noWrap/>
            <w:vAlign w:val="bottom"/>
            <w:hideMark/>
          </w:tcPr>
          <w:p w14:paraId="71A1CAD4" w14:textId="4F2823D4"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7,665</w:t>
            </w:r>
          </w:p>
        </w:tc>
        <w:tc>
          <w:tcPr>
            <w:tcW w:w="602" w:type="pct"/>
            <w:tcBorders>
              <w:top w:val="nil"/>
              <w:left w:val="nil"/>
              <w:bottom w:val="nil"/>
              <w:right w:val="nil"/>
            </w:tcBorders>
            <w:shd w:val="clear" w:color="000000" w:fill="E6E6E6"/>
            <w:noWrap/>
            <w:vAlign w:val="bottom"/>
            <w:hideMark/>
          </w:tcPr>
          <w:p w14:paraId="66EF2DE2" w14:textId="51F35388"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7,665</w:t>
            </w:r>
          </w:p>
        </w:tc>
        <w:tc>
          <w:tcPr>
            <w:tcW w:w="602" w:type="pct"/>
            <w:tcBorders>
              <w:top w:val="nil"/>
              <w:left w:val="nil"/>
              <w:bottom w:val="nil"/>
              <w:right w:val="nil"/>
            </w:tcBorders>
            <w:shd w:val="clear" w:color="auto" w:fill="auto"/>
            <w:noWrap/>
            <w:vAlign w:val="bottom"/>
            <w:hideMark/>
          </w:tcPr>
          <w:p w14:paraId="00C03583" w14:textId="7ED8683C"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7,683</w:t>
            </w:r>
          </w:p>
        </w:tc>
        <w:tc>
          <w:tcPr>
            <w:tcW w:w="602" w:type="pct"/>
            <w:tcBorders>
              <w:top w:val="nil"/>
              <w:left w:val="nil"/>
              <w:bottom w:val="nil"/>
              <w:right w:val="nil"/>
            </w:tcBorders>
            <w:shd w:val="clear" w:color="auto" w:fill="auto"/>
            <w:noWrap/>
            <w:vAlign w:val="bottom"/>
            <w:hideMark/>
          </w:tcPr>
          <w:p w14:paraId="68D1801C" w14:textId="4F23D236"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7,683</w:t>
            </w:r>
          </w:p>
        </w:tc>
        <w:tc>
          <w:tcPr>
            <w:tcW w:w="602" w:type="pct"/>
            <w:tcBorders>
              <w:top w:val="nil"/>
              <w:left w:val="nil"/>
              <w:bottom w:val="nil"/>
              <w:right w:val="nil"/>
            </w:tcBorders>
            <w:shd w:val="clear" w:color="auto" w:fill="auto"/>
            <w:noWrap/>
            <w:vAlign w:val="bottom"/>
            <w:hideMark/>
          </w:tcPr>
          <w:p w14:paraId="482CA1BE" w14:textId="2C444ABE"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7,683</w:t>
            </w:r>
          </w:p>
        </w:tc>
      </w:tr>
      <w:tr w:rsidR="00420BB0" w:rsidRPr="00420BB0" w14:paraId="67D704EA" w14:textId="77777777" w:rsidTr="00420BB0">
        <w:trPr>
          <w:trHeight w:val="204"/>
        </w:trPr>
        <w:tc>
          <w:tcPr>
            <w:tcW w:w="1991" w:type="pct"/>
            <w:tcBorders>
              <w:top w:val="nil"/>
              <w:left w:val="nil"/>
              <w:bottom w:val="nil"/>
              <w:right w:val="nil"/>
            </w:tcBorders>
            <w:shd w:val="clear" w:color="auto" w:fill="auto"/>
            <w:vAlign w:val="bottom"/>
            <w:hideMark/>
          </w:tcPr>
          <w:p w14:paraId="56E572BC" w14:textId="77777777" w:rsidR="00420BB0" w:rsidRPr="00420BB0" w:rsidRDefault="00420BB0" w:rsidP="00420BB0">
            <w:pPr>
              <w:spacing w:after="0" w:line="240" w:lineRule="auto"/>
              <w:ind w:left="113"/>
              <w:rPr>
                <w:rFonts w:ascii="Arial" w:hAnsi="Arial" w:cs="Arial"/>
                <w:sz w:val="16"/>
                <w:szCs w:val="16"/>
              </w:rPr>
            </w:pPr>
            <w:r w:rsidRPr="00420BB0">
              <w:rPr>
                <w:rFonts w:ascii="Arial" w:hAnsi="Arial" w:cs="Arial"/>
                <w:sz w:val="16"/>
                <w:szCs w:val="16"/>
              </w:rPr>
              <w:t>Journalist (Cadetship and Training)</w:t>
            </w:r>
          </w:p>
        </w:tc>
        <w:tc>
          <w:tcPr>
            <w:tcW w:w="602" w:type="pct"/>
            <w:tcBorders>
              <w:top w:val="nil"/>
              <w:left w:val="nil"/>
              <w:bottom w:val="nil"/>
              <w:right w:val="nil"/>
            </w:tcBorders>
            <w:shd w:val="clear" w:color="auto" w:fill="auto"/>
            <w:noWrap/>
            <w:vAlign w:val="bottom"/>
            <w:hideMark/>
          </w:tcPr>
          <w:p w14:paraId="3B6F73BC" w14:textId="52F42ECB"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4,543</w:t>
            </w:r>
          </w:p>
        </w:tc>
        <w:tc>
          <w:tcPr>
            <w:tcW w:w="602" w:type="pct"/>
            <w:tcBorders>
              <w:top w:val="nil"/>
              <w:left w:val="nil"/>
              <w:bottom w:val="nil"/>
              <w:right w:val="nil"/>
            </w:tcBorders>
            <w:shd w:val="clear" w:color="000000" w:fill="E6E6E6"/>
            <w:noWrap/>
            <w:vAlign w:val="bottom"/>
            <w:hideMark/>
          </w:tcPr>
          <w:p w14:paraId="3DB7BA2E" w14:textId="7CB3FE6E"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457</w:t>
            </w:r>
          </w:p>
        </w:tc>
        <w:tc>
          <w:tcPr>
            <w:tcW w:w="602" w:type="pct"/>
            <w:tcBorders>
              <w:top w:val="nil"/>
              <w:left w:val="nil"/>
              <w:bottom w:val="nil"/>
              <w:right w:val="nil"/>
            </w:tcBorders>
            <w:shd w:val="clear" w:color="auto" w:fill="auto"/>
            <w:noWrap/>
            <w:vAlign w:val="bottom"/>
            <w:hideMark/>
          </w:tcPr>
          <w:p w14:paraId="4C6E4A1B" w14:textId="2034B640"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3E1DCE04" w14:textId="21408B7F"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187551FD" w14:textId="44343D3C"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w:t>
            </w:r>
          </w:p>
        </w:tc>
      </w:tr>
      <w:tr w:rsidR="00420BB0" w:rsidRPr="00420BB0" w14:paraId="5FD04524" w14:textId="77777777" w:rsidTr="00420BB0">
        <w:trPr>
          <w:trHeight w:val="204"/>
        </w:trPr>
        <w:tc>
          <w:tcPr>
            <w:tcW w:w="1991" w:type="pct"/>
            <w:tcBorders>
              <w:top w:val="nil"/>
              <w:left w:val="nil"/>
              <w:bottom w:val="nil"/>
              <w:right w:val="nil"/>
            </w:tcBorders>
            <w:shd w:val="clear" w:color="auto" w:fill="auto"/>
            <w:vAlign w:val="bottom"/>
            <w:hideMark/>
          </w:tcPr>
          <w:p w14:paraId="3EE47314" w14:textId="77777777" w:rsidR="00420BB0" w:rsidRPr="00420BB0" w:rsidRDefault="00420BB0" w:rsidP="00420BB0">
            <w:pPr>
              <w:spacing w:after="0" w:line="240" w:lineRule="auto"/>
              <w:ind w:left="113"/>
              <w:rPr>
                <w:rFonts w:ascii="Arial" w:hAnsi="Arial" w:cs="Arial"/>
                <w:sz w:val="16"/>
                <w:szCs w:val="16"/>
              </w:rPr>
            </w:pPr>
            <w:r w:rsidRPr="00420BB0">
              <w:rPr>
                <w:rFonts w:ascii="Arial" w:hAnsi="Arial" w:cs="Arial"/>
                <w:sz w:val="16"/>
                <w:szCs w:val="16"/>
              </w:rPr>
              <w:t>Mobile Black Spot Program</w:t>
            </w:r>
          </w:p>
        </w:tc>
        <w:tc>
          <w:tcPr>
            <w:tcW w:w="602" w:type="pct"/>
            <w:tcBorders>
              <w:top w:val="nil"/>
              <w:left w:val="nil"/>
              <w:bottom w:val="nil"/>
              <w:right w:val="nil"/>
            </w:tcBorders>
            <w:shd w:val="clear" w:color="auto" w:fill="auto"/>
            <w:noWrap/>
            <w:vAlign w:val="bottom"/>
            <w:hideMark/>
          </w:tcPr>
          <w:p w14:paraId="5D1F9996" w14:textId="231E062F"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60,728</w:t>
            </w:r>
          </w:p>
        </w:tc>
        <w:tc>
          <w:tcPr>
            <w:tcW w:w="602" w:type="pct"/>
            <w:tcBorders>
              <w:top w:val="nil"/>
              <w:left w:val="nil"/>
              <w:bottom w:val="nil"/>
              <w:right w:val="nil"/>
            </w:tcBorders>
            <w:shd w:val="clear" w:color="000000" w:fill="E6E6E6"/>
            <w:noWrap/>
            <w:vAlign w:val="bottom"/>
            <w:hideMark/>
          </w:tcPr>
          <w:p w14:paraId="2053E8BC" w14:textId="51DFF551"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41,996</w:t>
            </w:r>
          </w:p>
        </w:tc>
        <w:tc>
          <w:tcPr>
            <w:tcW w:w="602" w:type="pct"/>
            <w:tcBorders>
              <w:top w:val="nil"/>
              <w:left w:val="nil"/>
              <w:bottom w:val="nil"/>
              <w:right w:val="nil"/>
            </w:tcBorders>
            <w:shd w:val="clear" w:color="auto" w:fill="auto"/>
            <w:noWrap/>
            <w:vAlign w:val="bottom"/>
            <w:hideMark/>
          </w:tcPr>
          <w:p w14:paraId="4E143496" w14:textId="17D2FFC4"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17,000</w:t>
            </w:r>
          </w:p>
        </w:tc>
        <w:tc>
          <w:tcPr>
            <w:tcW w:w="602" w:type="pct"/>
            <w:tcBorders>
              <w:top w:val="nil"/>
              <w:left w:val="nil"/>
              <w:bottom w:val="nil"/>
              <w:right w:val="nil"/>
            </w:tcBorders>
            <w:shd w:val="clear" w:color="auto" w:fill="auto"/>
            <w:noWrap/>
            <w:vAlign w:val="bottom"/>
            <w:hideMark/>
          </w:tcPr>
          <w:p w14:paraId="7832327C" w14:textId="14AAC5CB"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38C7B0A4" w14:textId="7672AA13"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w:t>
            </w:r>
          </w:p>
        </w:tc>
      </w:tr>
      <w:tr w:rsidR="00420BB0" w:rsidRPr="00420BB0" w14:paraId="5B850119" w14:textId="77777777" w:rsidTr="00420BB0">
        <w:trPr>
          <w:trHeight w:val="204"/>
        </w:trPr>
        <w:tc>
          <w:tcPr>
            <w:tcW w:w="1991" w:type="pct"/>
            <w:tcBorders>
              <w:top w:val="nil"/>
              <w:left w:val="nil"/>
              <w:bottom w:val="nil"/>
              <w:right w:val="nil"/>
            </w:tcBorders>
            <w:shd w:val="clear" w:color="auto" w:fill="auto"/>
            <w:vAlign w:val="bottom"/>
            <w:hideMark/>
          </w:tcPr>
          <w:p w14:paraId="53F94D72" w14:textId="77777777" w:rsidR="00420BB0" w:rsidRPr="00420BB0" w:rsidRDefault="00420BB0" w:rsidP="00420BB0">
            <w:pPr>
              <w:spacing w:after="0" w:line="240" w:lineRule="auto"/>
              <w:ind w:left="113"/>
              <w:rPr>
                <w:rFonts w:ascii="Arial" w:hAnsi="Arial" w:cs="Arial"/>
                <w:sz w:val="16"/>
                <w:szCs w:val="16"/>
              </w:rPr>
            </w:pPr>
            <w:r w:rsidRPr="00420BB0">
              <w:rPr>
                <w:rFonts w:ascii="Arial" w:hAnsi="Arial" w:cs="Arial"/>
                <w:sz w:val="16"/>
                <w:szCs w:val="16"/>
              </w:rPr>
              <w:t>News Media Assistance Program</w:t>
            </w:r>
          </w:p>
        </w:tc>
        <w:tc>
          <w:tcPr>
            <w:tcW w:w="602" w:type="pct"/>
            <w:tcBorders>
              <w:top w:val="nil"/>
              <w:left w:val="nil"/>
              <w:bottom w:val="nil"/>
              <w:right w:val="nil"/>
            </w:tcBorders>
            <w:shd w:val="clear" w:color="auto" w:fill="auto"/>
            <w:noWrap/>
            <w:vAlign w:val="bottom"/>
            <w:hideMark/>
          </w:tcPr>
          <w:p w14:paraId="1E1CE050" w14:textId="27F396FC"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900</w:t>
            </w:r>
          </w:p>
        </w:tc>
        <w:tc>
          <w:tcPr>
            <w:tcW w:w="602" w:type="pct"/>
            <w:tcBorders>
              <w:top w:val="nil"/>
              <w:left w:val="nil"/>
              <w:bottom w:val="nil"/>
              <w:right w:val="nil"/>
            </w:tcBorders>
            <w:shd w:val="clear" w:color="000000" w:fill="E6E6E6"/>
            <w:noWrap/>
            <w:vAlign w:val="bottom"/>
            <w:hideMark/>
          </w:tcPr>
          <w:p w14:paraId="54D624FE" w14:textId="46F41398"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3,100</w:t>
            </w:r>
          </w:p>
        </w:tc>
        <w:tc>
          <w:tcPr>
            <w:tcW w:w="602" w:type="pct"/>
            <w:tcBorders>
              <w:top w:val="nil"/>
              <w:left w:val="nil"/>
              <w:bottom w:val="nil"/>
              <w:right w:val="nil"/>
            </w:tcBorders>
            <w:shd w:val="clear" w:color="auto" w:fill="auto"/>
            <w:noWrap/>
            <w:vAlign w:val="bottom"/>
            <w:hideMark/>
          </w:tcPr>
          <w:p w14:paraId="36560C80" w14:textId="1CA08417"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1E2A5761" w14:textId="54F81FF9"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5966E5A6" w14:textId="4DEF8772"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w:t>
            </w:r>
          </w:p>
        </w:tc>
      </w:tr>
      <w:tr w:rsidR="00420BB0" w:rsidRPr="00420BB0" w14:paraId="48D8CCE9" w14:textId="77777777" w:rsidTr="00420BB0">
        <w:trPr>
          <w:trHeight w:val="204"/>
        </w:trPr>
        <w:tc>
          <w:tcPr>
            <w:tcW w:w="1991" w:type="pct"/>
            <w:tcBorders>
              <w:top w:val="nil"/>
              <w:left w:val="nil"/>
              <w:bottom w:val="nil"/>
              <w:right w:val="nil"/>
            </w:tcBorders>
            <w:shd w:val="clear" w:color="auto" w:fill="auto"/>
            <w:vAlign w:val="bottom"/>
            <w:hideMark/>
          </w:tcPr>
          <w:p w14:paraId="1887F639" w14:textId="77777777" w:rsidR="00420BB0" w:rsidRPr="00420BB0" w:rsidRDefault="00420BB0" w:rsidP="00420BB0">
            <w:pPr>
              <w:spacing w:after="0" w:line="240" w:lineRule="auto"/>
              <w:ind w:left="113"/>
              <w:rPr>
                <w:rFonts w:ascii="Arial" w:hAnsi="Arial" w:cs="Arial"/>
                <w:sz w:val="16"/>
                <w:szCs w:val="16"/>
              </w:rPr>
            </w:pPr>
            <w:r w:rsidRPr="00420BB0">
              <w:rPr>
                <w:rFonts w:ascii="Arial" w:hAnsi="Arial" w:cs="Arial"/>
                <w:sz w:val="16"/>
                <w:szCs w:val="16"/>
              </w:rPr>
              <w:t>Online Safety</w:t>
            </w:r>
          </w:p>
        </w:tc>
        <w:tc>
          <w:tcPr>
            <w:tcW w:w="602" w:type="pct"/>
            <w:tcBorders>
              <w:top w:val="nil"/>
              <w:left w:val="nil"/>
              <w:bottom w:val="nil"/>
              <w:right w:val="nil"/>
            </w:tcBorders>
            <w:shd w:val="clear" w:color="auto" w:fill="auto"/>
            <w:noWrap/>
            <w:vAlign w:val="bottom"/>
            <w:hideMark/>
          </w:tcPr>
          <w:p w14:paraId="32FDAFE4" w14:textId="792C0125"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953</w:t>
            </w:r>
          </w:p>
        </w:tc>
        <w:tc>
          <w:tcPr>
            <w:tcW w:w="602" w:type="pct"/>
            <w:tcBorders>
              <w:top w:val="nil"/>
              <w:left w:val="nil"/>
              <w:bottom w:val="nil"/>
              <w:right w:val="nil"/>
            </w:tcBorders>
            <w:shd w:val="clear" w:color="000000" w:fill="E6E6E6"/>
            <w:noWrap/>
            <w:vAlign w:val="bottom"/>
            <w:hideMark/>
          </w:tcPr>
          <w:p w14:paraId="495186BC" w14:textId="2834D564"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3,240</w:t>
            </w:r>
          </w:p>
        </w:tc>
        <w:tc>
          <w:tcPr>
            <w:tcW w:w="602" w:type="pct"/>
            <w:tcBorders>
              <w:top w:val="nil"/>
              <w:left w:val="nil"/>
              <w:bottom w:val="nil"/>
              <w:right w:val="nil"/>
            </w:tcBorders>
            <w:shd w:val="clear" w:color="auto" w:fill="auto"/>
            <w:noWrap/>
            <w:vAlign w:val="bottom"/>
            <w:hideMark/>
          </w:tcPr>
          <w:p w14:paraId="57AAAA05" w14:textId="0DEB1501"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494965D8" w14:textId="0E917945"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1FD4FC1E" w14:textId="7DE5FE7D"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w:t>
            </w:r>
          </w:p>
        </w:tc>
      </w:tr>
      <w:tr w:rsidR="00420BB0" w:rsidRPr="00420BB0" w14:paraId="2A639ED4" w14:textId="77777777" w:rsidTr="00420BB0">
        <w:trPr>
          <w:trHeight w:val="204"/>
        </w:trPr>
        <w:tc>
          <w:tcPr>
            <w:tcW w:w="1991" w:type="pct"/>
            <w:tcBorders>
              <w:top w:val="nil"/>
              <w:left w:val="nil"/>
              <w:bottom w:val="nil"/>
              <w:right w:val="nil"/>
            </w:tcBorders>
            <w:shd w:val="clear" w:color="auto" w:fill="auto"/>
            <w:vAlign w:val="bottom"/>
            <w:hideMark/>
          </w:tcPr>
          <w:p w14:paraId="4039E175" w14:textId="77777777" w:rsidR="00420BB0" w:rsidRPr="00420BB0" w:rsidRDefault="00420BB0" w:rsidP="00420BB0">
            <w:pPr>
              <w:spacing w:after="0" w:line="240" w:lineRule="auto"/>
              <w:ind w:left="113"/>
              <w:rPr>
                <w:rFonts w:ascii="Arial" w:hAnsi="Arial" w:cs="Arial"/>
                <w:sz w:val="16"/>
                <w:szCs w:val="16"/>
              </w:rPr>
            </w:pPr>
            <w:r w:rsidRPr="00420BB0">
              <w:rPr>
                <w:rFonts w:ascii="Arial" w:hAnsi="Arial" w:cs="Arial"/>
                <w:sz w:val="16"/>
                <w:szCs w:val="16"/>
              </w:rPr>
              <w:t>Peri-Urban Mobile Program</w:t>
            </w:r>
          </w:p>
        </w:tc>
        <w:tc>
          <w:tcPr>
            <w:tcW w:w="602" w:type="pct"/>
            <w:tcBorders>
              <w:top w:val="nil"/>
              <w:left w:val="nil"/>
              <w:bottom w:val="nil"/>
              <w:right w:val="nil"/>
            </w:tcBorders>
            <w:shd w:val="clear" w:color="auto" w:fill="auto"/>
            <w:noWrap/>
            <w:vAlign w:val="bottom"/>
            <w:hideMark/>
          </w:tcPr>
          <w:p w14:paraId="078B250B" w14:textId="7B610AFA"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11,506</w:t>
            </w:r>
          </w:p>
        </w:tc>
        <w:tc>
          <w:tcPr>
            <w:tcW w:w="602" w:type="pct"/>
            <w:tcBorders>
              <w:top w:val="nil"/>
              <w:left w:val="nil"/>
              <w:bottom w:val="nil"/>
              <w:right w:val="nil"/>
            </w:tcBorders>
            <w:shd w:val="clear" w:color="000000" w:fill="E6E6E6"/>
            <w:noWrap/>
            <w:vAlign w:val="bottom"/>
            <w:hideMark/>
          </w:tcPr>
          <w:p w14:paraId="0018BAD1" w14:textId="54EF058A"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24,071</w:t>
            </w:r>
          </w:p>
        </w:tc>
        <w:tc>
          <w:tcPr>
            <w:tcW w:w="602" w:type="pct"/>
            <w:tcBorders>
              <w:top w:val="nil"/>
              <w:left w:val="nil"/>
              <w:bottom w:val="nil"/>
              <w:right w:val="nil"/>
            </w:tcBorders>
            <w:shd w:val="clear" w:color="auto" w:fill="auto"/>
            <w:noWrap/>
            <w:vAlign w:val="bottom"/>
            <w:hideMark/>
          </w:tcPr>
          <w:p w14:paraId="4FC390A8" w14:textId="70B46E8C"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11,520</w:t>
            </w:r>
          </w:p>
        </w:tc>
        <w:tc>
          <w:tcPr>
            <w:tcW w:w="602" w:type="pct"/>
            <w:tcBorders>
              <w:top w:val="nil"/>
              <w:left w:val="nil"/>
              <w:bottom w:val="nil"/>
              <w:right w:val="nil"/>
            </w:tcBorders>
            <w:shd w:val="clear" w:color="auto" w:fill="auto"/>
            <w:noWrap/>
            <w:vAlign w:val="bottom"/>
            <w:hideMark/>
          </w:tcPr>
          <w:p w14:paraId="1C9167BC" w14:textId="5501F4E2"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8,007</w:t>
            </w:r>
          </w:p>
        </w:tc>
        <w:tc>
          <w:tcPr>
            <w:tcW w:w="602" w:type="pct"/>
            <w:tcBorders>
              <w:top w:val="nil"/>
              <w:left w:val="nil"/>
              <w:bottom w:val="nil"/>
              <w:right w:val="nil"/>
            </w:tcBorders>
            <w:shd w:val="clear" w:color="auto" w:fill="auto"/>
            <w:noWrap/>
            <w:vAlign w:val="bottom"/>
            <w:hideMark/>
          </w:tcPr>
          <w:p w14:paraId="11454B3A" w14:textId="471C5E0A"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7,859</w:t>
            </w:r>
          </w:p>
        </w:tc>
      </w:tr>
      <w:tr w:rsidR="00420BB0" w:rsidRPr="00420BB0" w14:paraId="4CB93DBC" w14:textId="77777777" w:rsidTr="00420BB0">
        <w:trPr>
          <w:trHeight w:val="204"/>
        </w:trPr>
        <w:tc>
          <w:tcPr>
            <w:tcW w:w="1991" w:type="pct"/>
            <w:tcBorders>
              <w:top w:val="nil"/>
              <w:left w:val="nil"/>
              <w:bottom w:val="nil"/>
              <w:right w:val="nil"/>
            </w:tcBorders>
            <w:shd w:val="clear" w:color="auto" w:fill="auto"/>
            <w:vAlign w:val="bottom"/>
            <w:hideMark/>
          </w:tcPr>
          <w:p w14:paraId="4AD0EBAE" w14:textId="77777777" w:rsidR="00420BB0" w:rsidRPr="00420BB0" w:rsidRDefault="00420BB0" w:rsidP="00420BB0">
            <w:pPr>
              <w:spacing w:after="0" w:line="240" w:lineRule="auto"/>
              <w:ind w:left="113"/>
              <w:rPr>
                <w:rFonts w:ascii="Arial" w:hAnsi="Arial" w:cs="Arial"/>
                <w:sz w:val="16"/>
                <w:szCs w:val="16"/>
              </w:rPr>
            </w:pPr>
            <w:r w:rsidRPr="00420BB0">
              <w:rPr>
                <w:rFonts w:ascii="Arial" w:hAnsi="Arial" w:cs="Arial"/>
                <w:sz w:val="16"/>
                <w:szCs w:val="16"/>
              </w:rPr>
              <w:t>Regional Backbone Blackspots Program</w:t>
            </w:r>
          </w:p>
        </w:tc>
        <w:tc>
          <w:tcPr>
            <w:tcW w:w="602" w:type="pct"/>
            <w:tcBorders>
              <w:top w:val="nil"/>
              <w:left w:val="nil"/>
              <w:bottom w:val="nil"/>
              <w:right w:val="nil"/>
            </w:tcBorders>
            <w:shd w:val="clear" w:color="auto" w:fill="auto"/>
            <w:noWrap/>
            <w:vAlign w:val="bottom"/>
            <w:hideMark/>
          </w:tcPr>
          <w:p w14:paraId="4BEE42AF" w14:textId="26507A9A"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7,925</w:t>
            </w:r>
          </w:p>
        </w:tc>
        <w:tc>
          <w:tcPr>
            <w:tcW w:w="602" w:type="pct"/>
            <w:tcBorders>
              <w:top w:val="nil"/>
              <w:left w:val="nil"/>
              <w:bottom w:val="nil"/>
              <w:right w:val="nil"/>
            </w:tcBorders>
            <w:shd w:val="clear" w:color="000000" w:fill="E6E6E6"/>
            <w:noWrap/>
            <w:vAlign w:val="bottom"/>
            <w:hideMark/>
          </w:tcPr>
          <w:p w14:paraId="0E811090" w14:textId="787C3F08"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7,925</w:t>
            </w:r>
          </w:p>
        </w:tc>
        <w:tc>
          <w:tcPr>
            <w:tcW w:w="602" w:type="pct"/>
            <w:tcBorders>
              <w:top w:val="nil"/>
              <w:left w:val="nil"/>
              <w:bottom w:val="nil"/>
              <w:right w:val="nil"/>
            </w:tcBorders>
            <w:shd w:val="clear" w:color="auto" w:fill="auto"/>
            <w:noWrap/>
            <w:vAlign w:val="bottom"/>
            <w:hideMark/>
          </w:tcPr>
          <w:p w14:paraId="086527C0" w14:textId="518B14FC"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7,925</w:t>
            </w:r>
          </w:p>
        </w:tc>
        <w:tc>
          <w:tcPr>
            <w:tcW w:w="602" w:type="pct"/>
            <w:tcBorders>
              <w:top w:val="nil"/>
              <w:left w:val="nil"/>
              <w:bottom w:val="nil"/>
              <w:right w:val="nil"/>
            </w:tcBorders>
            <w:shd w:val="clear" w:color="auto" w:fill="auto"/>
            <w:noWrap/>
            <w:vAlign w:val="bottom"/>
            <w:hideMark/>
          </w:tcPr>
          <w:p w14:paraId="2BB2B683" w14:textId="5FB0E3C8"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7,925</w:t>
            </w:r>
          </w:p>
        </w:tc>
        <w:tc>
          <w:tcPr>
            <w:tcW w:w="602" w:type="pct"/>
            <w:tcBorders>
              <w:top w:val="nil"/>
              <w:left w:val="nil"/>
              <w:bottom w:val="nil"/>
              <w:right w:val="nil"/>
            </w:tcBorders>
            <w:shd w:val="clear" w:color="auto" w:fill="auto"/>
            <w:noWrap/>
            <w:vAlign w:val="bottom"/>
            <w:hideMark/>
          </w:tcPr>
          <w:p w14:paraId="02107731" w14:textId="201F6080"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7,925</w:t>
            </w:r>
          </w:p>
        </w:tc>
      </w:tr>
      <w:tr w:rsidR="00420BB0" w:rsidRPr="00420BB0" w14:paraId="473BC403" w14:textId="77777777" w:rsidTr="00420BB0">
        <w:trPr>
          <w:trHeight w:val="204"/>
        </w:trPr>
        <w:tc>
          <w:tcPr>
            <w:tcW w:w="1991" w:type="pct"/>
            <w:tcBorders>
              <w:top w:val="nil"/>
              <w:left w:val="nil"/>
              <w:bottom w:val="nil"/>
              <w:right w:val="nil"/>
            </w:tcBorders>
            <w:shd w:val="clear" w:color="auto" w:fill="auto"/>
            <w:vAlign w:val="bottom"/>
            <w:hideMark/>
          </w:tcPr>
          <w:p w14:paraId="79823235" w14:textId="77777777" w:rsidR="00420BB0" w:rsidRPr="00420BB0" w:rsidRDefault="00420BB0" w:rsidP="00420BB0">
            <w:pPr>
              <w:spacing w:after="0" w:line="240" w:lineRule="auto"/>
              <w:ind w:left="113"/>
              <w:rPr>
                <w:rFonts w:ascii="Arial" w:hAnsi="Arial" w:cs="Arial"/>
                <w:sz w:val="16"/>
                <w:szCs w:val="16"/>
              </w:rPr>
            </w:pPr>
            <w:r w:rsidRPr="00420BB0">
              <w:rPr>
                <w:rFonts w:ascii="Arial" w:hAnsi="Arial" w:cs="Arial"/>
                <w:sz w:val="16"/>
                <w:szCs w:val="16"/>
              </w:rPr>
              <w:t>Regional Broadband Scheme</w:t>
            </w:r>
          </w:p>
        </w:tc>
        <w:tc>
          <w:tcPr>
            <w:tcW w:w="602" w:type="pct"/>
            <w:tcBorders>
              <w:top w:val="nil"/>
              <w:left w:val="nil"/>
              <w:bottom w:val="nil"/>
              <w:right w:val="nil"/>
            </w:tcBorders>
            <w:shd w:val="clear" w:color="auto" w:fill="auto"/>
            <w:noWrap/>
            <w:vAlign w:val="bottom"/>
            <w:hideMark/>
          </w:tcPr>
          <w:p w14:paraId="12CD1517" w14:textId="6EC5D71A"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759,052</w:t>
            </w:r>
          </w:p>
        </w:tc>
        <w:tc>
          <w:tcPr>
            <w:tcW w:w="602" w:type="pct"/>
            <w:tcBorders>
              <w:top w:val="nil"/>
              <w:left w:val="nil"/>
              <w:bottom w:val="nil"/>
              <w:right w:val="nil"/>
            </w:tcBorders>
            <w:shd w:val="clear" w:color="000000" w:fill="E6E6E6"/>
            <w:noWrap/>
            <w:vAlign w:val="bottom"/>
            <w:hideMark/>
          </w:tcPr>
          <w:p w14:paraId="60AED451" w14:textId="36DA0106"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790,762</w:t>
            </w:r>
          </w:p>
        </w:tc>
        <w:tc>
          <w:tcPr>
            <w:tcW w:w="602" w:type="pct"/>
            <w:tcBorders>
              <w:top w:val="nil"/>
              <w:left w:val="nil"/>
              <w:bottom w:val="nil"/>
              <w:right w:val="nil"/>
            </w:tcBorders>
            <w:shd w:val="clear" w:color="auto" w:fill="auto"/>
            <w:noWrap/>
            <w:vAlign w:val="bottom"/>
            <w:hideMark/>
          </w:tcPr>
          <w:p w14:paraId="2E1413C6" w14:textId="64661154"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822,528</w:t>
            </w:r>
          </w:p>
        </w:tc>
        <w:tc>
          <w:tcPr>
            <w:tcW w:w="602" w:type="pct"/>
            <w:tcBorders>
              <w:top w:val="nil"/>
              <w:left w:val="nil"/>
              <w:bottom w:val="nil"/>
              <w:right w:val="nil"/>
            </w:tcBorders>
            <w:shd w:val="clear" w:color="auto" w:fill="auto"/>
            <w:noWrap/>
            <w:vAlign w:val="bottom"/>
            <w:hideMark/>
          </w:tcPr>
          <w:p w14:paraId="53475F6E" w14:textId="3AB3AEAA"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879,895</w:t>
            </w:r>
          </w:p>
        </w:tc>
        <w:tc>
          <w:tcPr>
            <w:tcW w:w="602" w:type="pct"/>
            <w:tcBorders>
              <w:top w:val="nil"/>
              <w:left w:val="nil"/>
              <w:bottom w:val="nil"/>
              <w:right w:val="nil"/>
            </w:tcBorders>
            <w:shd w:val="clear" w:color="auto" w:fill="auto"/>
            <w:noWrap/>
            <w:vAlign w:val="bottom"/>
            <w:hideMark/>
          </w:tcPr>
          <w:p w14:paraId="7424EA41" w14:textId="1A407FDC"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879,895</w:t>
            </w:r>
          </w:p>
        </w:tc>
      </w:tr>
      <w:tr w:rsidR="00420BB0" w:rsidRPr="00420BB0" w14:paraId="6A0AFC8C" w14:textId="77777777" w:rsidTr="00420BB0">
        <w:trPr>
          <w:trHeight w:val="204"/>
        </w:trPr>
        <w:tc>
          <w:tcPr>
            <w:tcW w:w="1991" w:type="pct"/>
            <w:tcBorders>
              <w:top w:val="nil"/>
              <w:left w:val="nil"/>
              <w:bottom w:val="nil"/>
              <w:right w:val="nil"/>
            </w:tcBorders>
            <w:shd w:val="clear" w:color="auto" w:fill="auto"/>
            <w:vAlign w:val="bottom"/>
            <w:hideMark/>
          </w:tcPr>
          <w:p w14:paraId="5ADB7F6E" w14:textId="13FEED96" w:rsidR="00420BB0" w:rsidRPr="00420BB0" w:rsidRDefault="00420BB0" w:rsidP="00420BB0">
            <w:pPr>
              <w:spacing w:after="0" w:line="240" w:lineRule="auto"/>
              <w:ind w:left="113"/>
              <w:rPr>
                <w:rFonts w:ascii="Arial" w:hAnsi="Arial" w:cs="Arial"/>
                <w:sz w:val="16"/>
                <w:szCs w:val="16"/>
              </w:rPr>
            </w:pPr>
            <w:r w:rsidRPr="00420BB0">
              <w:rPr>
                <w:rFonts w:ascii="Arial" w:hAnsi="Arial" w:cs="Arial"/>
                <w:sz w:val="16"/>
                <w:szCs w:val="16"/>
              </w:rPr>
              <w:t>Regional Broadcasting</w:t>
            </w:r>
            <w:r w:rsidRPr="00420BB0">
              <w:rPr>
                <w:rFonts w:ascii="Arial" w:hAnsi="Arial" w:cs="Arial"/>
                <w:sz w:val="16"/>
                <w:szCs w:val="16"/>
                <w:vertAlign w:val="superscript"/>
              </w:rPr>
              <w:t>(d)</w:t>
            </w:r>
          </w:p>
        </w:tc>
        <w:tc>
          <w:tcPr>
            <w:tcW w:w="602" w:type="pct"/>
            <w:tcBorders>
              <w:top w:val="nil"/>
              <w:left w:val="nil"/>
              <w:bottom w:val="nil"/>
              <w:right w:val="nil"/>
            </w:tcBorders>
            <w:shd w:val="clear" w:color="auto" w:fill="auto"/>
            <w:noWrap/>
            <w:vAlign w:val="bottom"/>
            <w:hideMark/>
          </w:tcPr>
          <w:p w14:paraId="31B47EB8" w14:textId="3775D511"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14,610</w:t>
            </w:r>
          </w:p>
        </w:tc>
        <w:tc>
          <w:tcPr>
            <w:tcW w:w="602" w:type="pct"/>
            <w:tcBorders>
              <w:top w:val="nil"/>
              <w:left w:val="nil"/>
              <w:bottom w:val="nil"/>
              <w:right w:val="nil"/>
            </w:tcBorders>
            <w:shd w:val="clear" w:color="000000" w:fill="E6E6E6"/>
            <w:noWrap/>
            <w:vAlign w:val="bottom"/>
            <w:hideMark/>
          </w:tcPr>
          <w:p w14:paraId="746E37ED" w14:textId="77777777"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nfp</w:t>
            </w:r>
          </w:p>
        </w:tc>
        <w:tc>
          <w:tcPr>
            <w:tcW w:w="602" w:type="pct"/>
            <w:tcBorders>
              <w:top w:val="nil"/>
              <w:left w:val="nil"/>
              <w:bottom w:val="nil"/>
              <w:right w:val="nil"/>
            </w:tcBorders>
            <w:shd w:val="clear" w:color="auto" w:fill="auto"/>
            <w:noWrap/>
            <w:vAlign w:val="bottom"/>
            <w:hideMark/>
          </w:tcPr>
          <w:p w14:paraId="43646C32" w14:textId="77777777"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nfp</w:t>
            </w:r>
          </w:p>
        </w:tc>
        <w:tc>
          <w:tcPr>
            <w:tcW w:w="602" w:type="pct"/>
            <w:tcBorders>
              <w:top w:val="nil"/>
              <w:left w:val="nil"/>
              <w:bottom w:val="nil"/>
              <w:right w:val="nil"/>
            </w:tcBorders>
            <w:shd w:val="clear" w:color="auto" w:fill="auto"/>
            <w:noWrap/>
            <w:vAlign w:val="bottom"/>
            <w:hideMark/>
          </w:tcPr>
          <w:p w14:paraId="7E977F9E" w14:textId="77777777"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nfp</w:t>
            </w:r>
          </w:p>
        </w:tc>
        <w:tc>
          <w:tcPr>
            <w:tcW w:w="602" w:type="pct"/>
            <w:tcBorders>
              <w:top w:val="nil"/>
              <w:left w:val="nil"/>
              <w:bottom w:val="nil"/>
              <w:right w:val="nil"/>
            </w:tcBorders>
            <w:shd w:val="clear" w:color="auto" w:fill="auto"/>
            <w:noWrap/>
            <w:vAlign w:val="bottom"/>
            <w:hideMark/>
          </w:tcPr>
          <w:p w14:paraId="1507DF37" w14:textId="77777777"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nfp</w:t>
            </w:r>
          </w:p>
        </w:tc>
      </w:tr>
      <w:tr w:rsidR="00420BB0" w:rsidRPr="00420BB0" w14:paraId="106349C7" w14:textId="77777777" w:rsidTr="00420BB0">
        <w:trPr>
          <w:trHeight w:val="204"/>
        </w:trPr>
        <w:tc>
          <w:tcPr>
            <w:tcW w:w="1991" w:type="pct"/>
            <w:tcBorders>
              <w:top w:val="nil"/>
              <w:left w:val="nil"/>
              <w:bottom w:val="nil"/>
              <w:right w:val="nil"/>
            </w:tcBorders>
            <w:shd w:val="clear" w:color="auto" w:fill="auto"/>
            <w:vAlign w:val="bottom"/>
            <w:hideMark/>
          </w:tcPr>
          <w:p w14:paraId="42877035" w14:textId="77777777" w:rsidR="00420BB0" w:rsidRPr="00420BB0" w:rsidRDefault="00420BB0" w:rsidP="00420BB0">
            <w:pPr>
              <w:spacing w:after="0" w:line="240" w:lineRule="auto"/>
              <w:ind w:left="113"/>
              <w:rPr>
                <w:rFonts w:ascii="Arial" w:hAnsi="Arial" w:cs="Arial"/>
                <w:sz w:val="16"/>
                <w:szCs w:val="16"/>
              </w:rPr>
            </w:pPr>
            <w:r w:rsidRPr="00420BB0">
              <w:rPr>
                <w:rFonts w:ascii="Arial" w:hAnsi="Arial" w:cs="Arial"/>
                <w:sz w:val="16"/>
                <w:szCs w:val="16"/>
              </w:rPr>
              <w:t>Regional Connectivity</w:t>
            </w:r>
          </w:p>
        </w:tc>
        <w:tc>
          <w:tcPr>
            <w:tcW w:w="602" w:type="pct"/>
            <w:tcBorders>
              <w:top w:val="nil"/>
              <w:left w:val="nil"/>
              <w:bottom w:val="nil"/>
              <w:right w:val="nil"/>
            </w:tcBorders>
            <w:shd w:val="clear" w:color="auto" w:fill="auto"/>
            <w:noWrap/>
            <w:vAlign w:val="bottom"/>
            <w:hideMark/>
          </w:tcPr>
          <w:p w14:paraId="60E889ED" w14:textId="3E7BC538"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44,685</w:t>
            </w:r>
          </w:p>
        </w:tc>
        <w:tc>
          <w:tcPr>
            <w:tcW w:w="602" w:type="pct"/>
            <w:tcBorders>
              <w:top w:val="nil"/>
              <w:left w:val="nil"/>
              <w:bottom w:val="nil"/>
              <w:right w:val="nil"/>
            </w:tcBorders>
            <w:shd w:val="clear" w:color="000000" w:fill="E6E6E6"/>
            <w:noWrap/>
            <w:vAlign w:val="bottom"/>
            <w:hideMark/>
          </w:tcPr>
          <w:p w14:paraId="54003FC8" w14:textId="2D49B93B"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96,354</w:t>
            </w:r>
          </w:p>
        </w:tc>
        <w:tc>
          <w:tcPr>
            <w:tcW w:w="602" w:type="pct"/>
            <w:tcBorders>
              <w:top w:val="nil"/>
              <w:left w:val="nil"/>
              <w:bottom w:val="nil"/>
              <w:right w:val="nil"/>
            </w:tcBorders>
            <w:shd w:val="clear" w:color="auto" w:fill="auto"/>
            <w:noWrap/>
            <w:vAlign w:val="bottom"/>
            <w:hideMark/>
          </w:tcPr>
          <w:p w14:paraId="289BD112" w14:textId="0053D5A5"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7CB06B37" w14:textId="2B37B9D0"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170E085B" w14:textId="13E0341D"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w:t>
            </w:r>
          </w:p>
        </w:tc>
      </w:tr>
      <w:tr w:rsidR="00420BB0" w:rsidRPr="00420BB0" w14:paraId="09A88885" w14:textId="77777777" w:rsidTr="00420BB0">
        <w:trPr>
          <w:trHeight w:val="204"/>
        </w:trPr>
        <w:tc>
          <w:tcPr>
            <w:tcW w:w="1991" w:type="pct"/>
            <w:tcBorders>
              <w:top w:val="nil"/>
              <w:left w:val="nil"/>
              <w:bottom w:val="nil"/>
              <w:right w:val="nil"/>
            </w:tcBorders>
            <w:shd w:val="clear" w:color="auto" w:fill="auto"/>
            <w:vAlign w:val="bottom"/>
            <w:hideMark/>
          </w:tcPr>
          <w:p w14:paraId="4C120C0B" w14:textId="77777777" w:rsidR="00420BB0" w:rsidRPr="00420BB0" w:rsidRDefault="00420BB0" w:rsidP="00420BB0">
            <w:pPr>
              <w:spacing w:after="0" w:line="240" w:lineRule="auto"/>
              <w:ind w:left="113"/>
              <w:rPr>
                <w:rFonts w:ascii="Arial" w:hAnsi="Arial" w:cs="Arial"/>
                <w:sz w:val="16"/>
                <w:szCs w:val="16"/>
              </w:rPr>
            </w:pPr>
            <w:r w:rsidRPr="00420BB0">
              <w:rPr>
                <w:rFonts w:ascii="Arial" w:hAnsi="Arial" w:cs="Arial"/>
                <w:sz w:val="16"/>
                <w:szCs w:val="16"/>
              </w:rPr>
              <w:t>Safe Kids are eSmart Kids</w:t>
            </w:r>
          </w:p>
        </w:tc>
        <w:tc>
          <w:tcPr>
            <w:tcW w:w="602" w:type="pct"/>
            <w:tcBorders>
              <w:top w:val="nil"/>
              <w:left w:val="nil"/>
              <w:bottom w:val="nil"/>
              <w:right w:val="nil"/>
            </w:tcBorders>
            <w:shd w:val="clear" w:color="auto" w:fill="auto"/>
            <w:noWrap/>
            <w:vAlign w:val="bottom"/>
            <w:hideMark/>
          </w:tcPr>
          <w:p w14:paraId="6B64D70A" w14:textId="1B3BEC58"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w:t>
            </w:r>
          </w:p>
        </w:tc>
        <w:tc>
          <w:tcPr>
            <w:tcW w:w="602" w:type="pct"/>
            <w:tcBorders>
              <w:top w:val="nil"/>
              <w:left w:val="nil"/>
              <w:bottom w:val="nil"/>
              <w:right w:val="nil"/>
            </w:tcBorders>
            <w:shd w:val="clear" w:color="000000" w:fill="E6E6E6"/>
            <w:noWrap/>
            <w:vAlign w:val="bottom"/>
            <w:hideMark/>
          </w:tcPr>
          <w:p w14:paraId="169A7AB2" w14:textId="64E69B19"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1,883</w:t>
            </w:r>
          </w:p>
        </w:tc>
        <w:tc>
          <w:tcPr>
            <w:tcW w:w="602" w:type="pct"/>
            <w:tcBorders>
              <w:top w:val="nil"/>
              <w:left w:val="nil"/>
              <w:bottom w:val="nil"/>
              <w:right w:val="nil"/>
            </w:tcBorders>
            <w:shd w:val="clear" w:color="auto" w:fill="auto"/>
            <w:noWrap/>
            <w:vAlign w:val="bottom"/>
            <w:hideMark/>
          </w:tcPr>
          <w:p w14:paraId="3F61AD0C" w14:textId="7DD8F195"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2,078</w:t>
            </w:r>
          </w:p>
        </w:tc>
        <w:tc>
          <w:tcPr>
            <w:tcW w:w="602" w:type="pct"/>
            <w:tcBorders>
              <w:top w:val="nil"/>
              <w:left w:val="nil"/>
              <w:bottom w:val="nil"/>
              <w:right w:val="nil"/>
            </w:tcBorders>
            <w:shd w:val="clear" w:color="auto" w:fill="auto"/>
            <w:noWrap/>
            <w:vAlign w:val="bottom"/>
            <w:hideMark/>
          </w:tcPr>
          <w:p w14:paraId="2138698C" w14:textId="06B8E9BA"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2,039</w:t>
            </w:r>
          </w:p>
        </w:tc>
        <w:tc>
          <w:tcPr>
            <w:tcW w:w="602" w:type="pct"/>
            <w:tcBorders>
              <w:top w:val="nil"/>
              <w:left w:val="nil"/>
              <w:bottom w:val="nil"/>
              <w:right w:val="nil"/>
            </w:tcBorders>
            <w:shd w:val="clear" w:color="auto" w:fill="auto"/>
            <w:noWrap/>
            <w:vAlign w:val="bottom"/>
            <w:hideMark/>
          </w:tcPr>
          <w:p w14:paraId="0C35DE94" w14:textId="7EEB3D23"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w:t>
            </w:r>
          </w:p>
        </w:tc>
      </w:tr>
      <w:tr w:rsidR="00420BB0" w:rsidRPr="00420BB0" w14:paraId="2F89E330" w14:textId="77777777" w:rsidTr="00420BB0">
        <w:trPr>
          <w:trHeight w:val="204"/>
        </w:trPr>
        <w:tc>
          <w:tcPr>
            <w:tcW w:w="1991" w:type="pct"/>
            <w:tcBorders>
              <w:top w:val="nil"/>
              <w:left w:val="nil"/>
              <w:bottom w:val="nil"/>
              <w:right w:val="nil"/>
            </w:tcBorders>
            <w:shd w:val="clear" w:color="auto" w:fill="auto"/>
            <w:vAlign w:val="bottom"/>
            <w:hideMark/>
          </w:tcPr>
          <w:p w14:paraId="218A0500" w14:textId="77777777" w:rsidR="00420BB0" w:rsidRPr="00420BB0" w:rsidRDefault="00420BB0" w:rsidP="00420BB0">
            <w:pPr>
              <w:spacing w:after="0" w:line="240" w:lineRule="auto"/>
              <w:ind w:left="113"/>
              <w:rPr>
                <w:rFonts w:ascii="Arial" w:hAnsi="Arial" w:cs="Arial"/>
                <w:sz w:val="16"/>
                <w:szCs w:val="16"/>
              </w:rPr>
            </w:pPr>
            <w:r w:rsidRPr="00420BB0">
              <w:rPr>
                <w:rFonts w:ascii="Arial" w:hAnsi="Arial" w:cs="Arial"/>
                <w:sz w:val="16"/>
                <w:szCs w:val="16"/>
              </w:rPr>
              <w:t>Strengthening Telecommunications Against Natural Disasters</w:t>
            </w:r>
          </w:p>
        </w:tc>
        <w:tc>
          <w:tcPr>
            <w:tcW w:w="602" w:type="pct"/>
            <w:tcBorders>
              <w:top w:val="nil"/>
              <w:left w:val="nil"/>
              <w:bottom w:val="nil"/>
              <w:right w:val="nil"/>
            </w:tcBorders>
            <w:shd w:val="clear" w:color="auto" w:fill="auto"/>
            <w:noWrap/>
            <w:vAlign w:val="bottom"/>
            <w:hideMark/>
          </w:tcPr>
          <w:p w14:paraId="46EE8AB2" w14:textId="21956D3D"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9,201</w:t>
            </w:r>
          </w:p>
        </w:tc>
        <w:tc>
          <w:tcPr>
            <w:tcW w:w="602" w:type="pct"/>
            <w:tcBorders>
              <w:top w:val="nil"/>
              <w:left w:val="nil"/>
              <w:bottom w:val="nil"/>
              <w:right w:val="nil"/>
            </w:tcBorders>
            <w:shd w:val="clear" w:color="000000" w:fill="E6E6E6"/>
            <w:noWrap/>
            <w:vAlign w:val="bottom"/>
            <w:hideMark/>
          </w:tcPr>
          <w:p w14:paraId="484BA342" w14:textId="7C8C8B02"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4,751</w:t>
            </w:r>
          </w:p>
        </w:tc>
        <w:tc>
          <w:tcPr>
            <w:tcW w:w="602" w:type="pct"/>
            <w:tcBorders>
              <w:top w:val="nil"/>
              <w:left w:val="nil"/>
              <w:bottom w:val="nil"/>
              <w:right w:val="nil"/>
            </w:tcBorders>
            <w:shd w:val="clear" w:color="auto" w:fill="auto"/>
            <w:noWrap/>
            <w:vAlign w:val="bottom"/>
            <w:hideMark/>
          </w:tcPr>
          <w:p w14:paraId="18C2F797" w14:textId="36BDC15D"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0AA122D1" w14:textId="28AFED85"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62C15FED" w14:textId="0037CDE7"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w:t>
            </w:r>
          </w:p>
        </w:tc>
      </w:tr>
      <w:tr w:rsidR="00420BB0" w:rsidRPr="00420BB0" w14:paraId="007FF4DE" w14:textId="77777777" w:rsidTr="00420BB0">
        <w:trPr>
          <w:trHeight w:val="204"/>
        </w:trPr>
        <w:tc>
          <w:tcPr>
            <w:tcW w:w="1991" w:type="pct"/>
            <w:tcBorders>
              <w:top w:val="nil"/>
              <w:left w:val="nil"/>
              <w:bottom w:val="nil"/>
              <w:right w:val="nil"/>
            </w:tcBorders>
            <w:shd w:val="clear" w:color="auto" w:fill="auto"/>
            <w:vAlign w:val="bottom"/>
            <w:hideMark/>
          </w:tcPr>
          <w:p w14:paraId="57DD64FA" w14:textId="77777777" w:rsidR="00420BB0" w:rsidRPr="00420BB0" w:rsidRDefault="00420BB0" w:rsidP="00420BB0">
            <w:pPr>
              <w:spacing w:after="0" w:line="240" w:lineRule="auto"/>
              <w:ind w:left="113"/>
              <w:rPr>
                <w:rFonts w:ascii="Arial" w:hAnsi="Arial" w:cs="Arial"/>
                <w:sz w:val="16"/>
                <w:szCs w:val="16"/>
              </w:rPr>
            </w:pPr>
            <w:r w:rsidRPr="00420BB0">
              <w:rPr>
                <w:rFonts w:ascii="Arial" w:hAnsi="Arial" w:cs="Arial"/>
                <w:sz w:val="16"/>
                <w:szCs w:val="16"/>
              </w:rPr>
              <w:t>Supporting Media Literacy in CALD Communities</w:t>
            </w:r>
          </w:p>
        </w:tc>
        <w:tc>
          <w:tcPr>
            <w:tcW w:w="602" w:type="pct"/>
            <w:tcBorders>
              <w:top w:val="nil"/>
              <w:left w:val="nil"/>
              <w:bottom w:val="nil"/>
              <w:right w:val="nil"/>
            </w:tcBorders>
            <w:shd w:val="clear" w:color="auto" w:fill="auto"/>
            <w:noWrap/>
            <w:vAlign w:val="bottom"/>
            <w:hideMark/>
          </w:tcPr>
          <w:p w14:paraId="6377C208" w14:textId="77E2CE70"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w:t>
            </w:r>
          </w:p>
        </w:tc>
        <w:tc>
          <w:tcPr>
            <w:tcW w:w="602" w:type="pct"/>
            <w:tcBorders>
              <w:top w:val="nil"/>
              <w:left w:val="nil"/>
              <w:bottom w:val="nil"/>
              <w:right w:val="nil"/>
            </w:tcBorders>
            <w:shd w:val="clear" w:color="000000" w:fill="E6E6E6"/>
            <w:noWrap/>
            <w:vAlign w:val="bottom"/>
            <w:hideMark/>
          </w:tcPr>
          <w:p w14:paraId="045B8660" w14:textId="53168F61"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750</w:t>
            </w:r>
          </w:p>
        </w:tc>
        <w:tc>
          <w:tcPr>
            <w:tcW w:w="602" w:type="pct"/>
            <w:tcBorders>
              <w:top w:val="nil"/>
              <w:left w:val="nil"/>
              <w:bottom w:val="nil"/>
              <w:right w:val="nil"/>
            </w:tcBorders>
            <w:shd w:val="clear" w:color="auto" w:fill="auto"/>
            <w:noWrap/>
            <w:vAlign w:val="bottom"/>
            <w:hideMark/>
          </w:tcPr>
          <w:p w14:paraId="463EBFB5" w14:textId="23876BA9"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750</w:t>
            </w:r>
          </w:p>
        </w:tc>
        <w:tc>
          <w:tcPr>
            <w:tcW w:w="602" w:type="pct"/>
            <w:tcBorders>
              <w:top w:val="nil"/>
              <w:left w:val="nil"/>
              <w:bottom w:val="nil"/>
              <w:right w:val="nil"/>
            </w:tcBorders>
            <w:shd w:val="clear" w:color="auto" w:fill="auto"/>
            <w:noWrap/>
            <w:vAlign w:val="bottom"/>
            <w:hideMark/>
          </w:tcPr>
          <w:p w14:paraId="704D4A62" w14:textId="1D39E9B2"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602B8451" w14:textId="51C70716"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w:t>
            </w:r>
          </w:p>
        </w:tc>
      </w:tr>
      <w:tr w:rsidR="00420BB0" w:rsidRPr="00420BB0" w14:paraId="6EF6F79E" w14:textId="77777777" w:rsidTr="00420BB0">
        <w:trPr>
          <w:trHeight w:val="204"/>
        </w:trPr>
        <w:tc>
          <w:tcPr>
            <w:tcW w:w="1991" w:type="pct"/>
            <w:tcBorders>
              <w:top w:val="nil"/>
              <w:left w:val="nil"/>
              <w:bottom w:val="nil"/>
              <w:right w:val="nil"/>
            </w:tcBorders>
            <w:shd w:val="clear" w:color="auto" w:fill="auto"/>
            <w:vAlign w:val="bottom"/>
            <w:hideMark/>
          </w:tcPr>
          <w:p w14:paraId="47E1892B" w14:textId="77777777" w:rsidR="00420BB0" w:rsidRPr="00420BB0" w:rsidRDefault="00420BB0" w:rsidP="00420BB0">
            <w:pPr>
              <w:spacing w:after="0" w:line="240" w:lineRule="auto"/>
              <w:ind w:left="113"/>
              <w:rPr>
                <w:rFonts w:ascii="Arial" w:hAnsi="Arial" w:cs="Arial"/>
                <w:sz w:val="16"/>
                <w:szCs w:val="16"/>
              </w:rPr>
            </w:pPr>
            <w:r w:rsidRPr="00420BB0">
              <w:rPr>
                <w:rFonts w:ascii="Arial" w:hAnsi="Arial" w:cs="Arial"/>
                <w:sz w:val="16"/>
                <w:szCs w:val="16"/>
              </w:rPr>
              <w:t>Supporting Regional and Local Newspapers</w:t>
            </w:r>
          </w:p>
        </w:tc>
        <w:tc>
          <w:tcPr>
            <w:tcW w:w="602" w:type="pct"/>
            <w:tcBorders>
              <w:top w:val="nil"/>
              <w:left w:val="nil"/>
              <w:bottom w:val="nil"/>
              <w:right w:val="nil"/>
            </w:tcBorders>
            <w:shd w:val="clear" w:color="auto" w:fill="auto"/>
            <w:noWrap/>
            <w:vAlign w:val="bottom"/>
            <w:hideMark/>
          </w:tcPr>
          <w:p w14:paraId="32580A05" w14:textId="5B67C463"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15,000</w:t>
            </w:r>
          </w:p>
        </w:tc>
        <w:tc>
          <w:tcPr>
            <w:tcW w:w="602" w:type="pct"/>
            <w:tcBorders>
              <w:top w:val="nil"/>
              <w:left w:val="nil"/>
              <w:bottom w:val="nil"/>
              <w:right w:val="nil"/>
            </w:tcBorders>
            <w:shd w:val="clear" w:color="000000" w:fill="E6E6E6"/>
            <w:noWrap/>
            <w:vAlign w:val="bottom"/>
            <w:hideMark/>
          </w:tcPr>
          <w:p w14:paraId="7685271F" w14:textId="36E5EB4C"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6D3AD123" w14:textId="2D809A94"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047615BE" w14:textId="39B6DCAF"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412CCE66" w14:textId="373CF2E7"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w:t>
            </w:r>
          </w:p>
        </w:tc>
      </w:tr>
      <w:tr w:rsidR="00420BB0" w:rsidRPr="00420BB0" w14:paraId="16DD0A7C" w14:textId="77777777" w:rsidTr="00420BB0">
        <w:trPr>
          <w:trHeight w:val="204"/>
        </w:trPr>
        <w:tc>
          <w:tcPr>
            <w:tcW w:w="1991" w:type="pct"/>
            <w:tcBorders>
              <w:top w:val="nil"/>
              <w:left w:val="nil"/>
              <w:right w:val="nil"/>
            </w:tcBorders>
            <w:shd w:val="clear" w:color="auto" w:fill="auto"/>
            <w:vAlign w:val="bottom"/>
            <w:hideMark/>
          </w:tcPr>
          <w:p w14:paraId="13865D11" w14:textId="77777777" w:rsidR="00420BB0" w:rsidRPr="00420BB0" w:rsidRDefault="00420BB0" w:rsidP="00420BB0">
            <w:pPr>
              <w:spacing w:after="0" w:line="240" w:lineRule="auto"/>
              <w:ind w:left="113"/>
              <w:rPr>
                <w:rFonts w:ascii="Arial" w:hAnsi="Arial" w:cs="Arial"/>
                <w:sz w:val="16"/>
                <w:szCs w:val="16"/>
              </w:rPr>
            </w:pPr>
            <w:r w:rsidRPr="00420BB0">
              <w:rPr>
                <w:rFonts w:ascii="Arial" w:hAnsi="Arial" w:cs="Arial"/>
                <w:sz w:val="16"/>
                <w:szCs w:val="16"/>
              </w:rPr>
              <w:t>Supporting the Australian Associated Press</w:t>
            </w:r>
          </w:p>
        </w:tc>
        <w:tc>
          <w:tcPr>
            <w:tcW w:w="602" w:type="pct"/>
            <w:tcBorders>
              <w:top w:val="nil"/>
              <w:left w:val="nil"/>
              <w:right w:val="nil"/>
            </w:tcBorders>
            <w:shd w:val="clear" w:color="auto" w:fill="auto"/>
            <w:noWrap/>
            <w:vAlign w:val="bottom"/>
            <w:hideMark/>
          </w:tcPr>
          <w:p w14:paraId="24AD019C" w14:textId="383F4CC7"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1,800</w:t>
            </w:r>
          </w:p>
        </w:tc>
        <w:tc>
          <w:tcPr>
            <w:tcW w:w="602" w:type="pct"/>
            <w:tcBorders>
              <w:top w:val="nil"/>
              <w:left w:val="nil"/>
              <w:right w:val="nil"/>
            </w:tcBorders>
            <w:shd w:val="clear" w:color="000000" w:fill="E6E6E6"/>
            <w:noWrap/>
            <w:vAlign w:val="bottom"/>
            <w:hideMark/>
          </w:tcPr>
          <w:p w14:paraId="1C238C80" w14:textId="6F71455B"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3,200</w:t>
            </w:r>
          </w:p>
        </w:tc>
        <w:tc>
          <w:tcPr>
            <w:tcW w:w="602" w:type="pct"/>
            <w:tcBorders>
              <w:top w:val="nil"/>
              <w:left w:val="nil"/>
              <w:right w:val="nil"/>
            </w:tcBorders>
            <w:shd w:val="clear" w:color="auto" w:fill="auto"/>
            <w:noWrap/>
            <w:vAlign w:val="bottom"/>
            <w:hideMark/>
          </w:tcPr>
          <w:p w14:paraId="1AD1C146" w14:textId="677EB6CE"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w:t>
            </w:r>
          </w:p>
        </w:tc>
        <w:tc>
          <w:tcPr>
            <w:tcW w:w="602" w:type="pct"/>
            <w:tcBorders>
              <w:top w:val="nil"/>
              <w:left w:val="nil"/>
              <w:right w:val="nil"/>
            </w:tcBorders>
            <w:shd w:val="clear" w:color="auto" w:fill="auto"/>
            <w:noWrap/>
            <w:vAlign w:val="bottom"/>
            <w:hideMark/>
          </w:tcPr>
          <w:p w14:paraId="7BF06BCC" w14:textId="0337FBB2"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w:t>
            </w:r>
          </w:p>
        </w:tc>
        <w:tc>
          <w:tcPr>
            <w:tcW w:w="602" w:type="pct"/>
            <w:tcBorders>
              <w:top w:val="nil"/>
              <w:left w:val="nil"/>
              <w:right w:val="nil"/>
            </w:tcBorders>
            <w:shd w:val="clear" w:color="auto" w:fill="auto"/>
            <w:noWrap/>
            <w:vAlign w:val="bottom"/>
            <w:hideMark/>
          </w:tcPr>
          <w:p w14:paraId="51647B5A" w14:textId="15BF7CA3"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w:t>
            </w:r>
          </w:p>
        </w:tc>
      </w:tr>
      <w:tr w:rsidR="00420BB0" w:rsidRPr="00420BB0" w14:paraId="7E517D91" w14:textId="77777777" w:rsidTr="00420BB0">
        <w:trPr>
          <w:trHeight w:val="204"/>
        </w:trPr>
        <w:tc>
          <w:tcPr>
            <w:tcW w:w="1991" w:type="pct"/>
            <w:tcBorders>
              <w:top w:val="nil"/>
              <w:left w:val="nil"/>
              <w:bottom w:val="single" w:sz="4" w:space="0" w:color="auto"/>
              <w:right w:val="nil"/>
            </w:tcBorders>
            <w:shd w:val="clear" w:color="auto" w:fill="auto"/>
            <w:vAlign w:val="bottom"/>
            <w:hideMark/>
          </w:tcPr>
          <w:p w14:paraId="38E7E1E8" w14:textId="77777777" w:rsidR="00420BB0" w:rsidRPr="00420BB0" w:rsidRDefault="00420BB0" w:rsidP="00420BB0">
            <w:pPr>
              <w:spacing w:after="0" w:line="240" w:lineRule="auto"/>
              <w:ind w:left="113"/>
              <w:rPr>
                <w:rFonts w:ascii="Arial" w:hAnsi="Arial" w:cs="Arial"/>
                <w:sz w:val="16"/>
                <w:szCs w:val="16"/>
              </w:rPr>
            </w:pPr>
            <w:r w:rsidRPr="00420BB0">
              <w:rPr>
                <w:rFonts w:ascii="Arial" w:hAnsi="Arial" w:cs="Arial"/>
                <w:sz w:val="16"/>
                <w:szCs w:val="16"/>
              </w:rPr>
              <w:t>Supporting Underrepresented Sports</w:t>
            </w:r>
          </w:p>
        </w:tc>
        <w:tc>
          <w:tcPr>
            <w:tcW w:w="602" w:type="pct"/>
            <w:tcBorders>
              <w:top w:val="nil"/>
              <w:left w:val="nil"/>
              <w:bottom w:val="single" w:sz="4" w:space="0" w:color="auto"/>
              <w:right w:val="nil"/>
            </w:tcBorders>
            <w:shd w:val="clear" w:color="auto" w:fill="auto"/>
            <w:noWrap/>
            <w:vAlign w:val="bottom"/>
            <w:hideMark/>
          </w:tcPr>
          <w:p w14:paraId="32D2573A" w14:textId="6E1D29B1"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2,000</w:t>
            </w:r>
          </w:p>
        </w:tc>
        <w:tc>
          <w:tcPr>
            <w:tcW w:w="602" w:type="pct"/>
            <w:tcBorders>
              <w:top w:val="nil"/>
              <w:left w:val="nil"/>
              <w:bottom w:val="single" w:sz="4" w:space="0" w:color="auto"/>
              <w:right w:val="nil"/>
            </w:tcBorders>
            <w:shd w:val="clear" w:color="000000" w:fill="E6E6E6"/>
            <w:noWrap/>
            <w:vAlign w:val="bottom"/>
            <w:hideMark/>
          </w:tcPr>
          <w:p w14:paraId="4A690CA8" w14:textId="6FD57025"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w:t>
            </w:r>
          </w:p>
        </w:tc>
        <w:tc>
          <w:tcPr>
            <w:tcW w:w="602" w:type="pct"/>
            <w:tcBorders>
              <w:top w:val="nil"/>
              <w:left w:val="nil"/>
              <w:bottom w:val="single" w:sz="4" w:space="0" w:color="auto"/>
              <w:right w:val="nil"/>
            </w:tcBorders>
            <w:shd w:val="clear" w:color="auto" w:fill="auto"/>
            <w:noWrap/>
            <w:vAlign w:val="bottom"/>
            <w:hideMark/>
          </w:tcPr>
          <w:p w14:paraId="3B1778E6" w14:textId="6A3C3D97"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w:t>
            </w:r>
          </w:p>
        </w:tc>
        <w:tc>
          <w:tcPr>
            <w:tcW w:w="602" w:type="pct"/>
            <w:tcBorders>
              <w:top w:val="nil"/>
              <w:left w:val="nil"/>
              <w:bottom w:val="single" w:sz="4" w:space="0" w:color="auto"/>
              <w:right w:val="nil"/>
            </w:tcBorders>
            <w:shd w:val="clear" w:color="auto" w:fill="auto"/>
            <w:noWrap/>
            <w:vAlign w:val="bottom"/>
            <w:hideMark/>
          </w:tcPr>
          <w:p w14:paraId="0E85F0AA" w14:textId="2413B754"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w:t>
            </w:r>
          </w:p>
        </w:tc>
        <w:tc>
          <w:tcPr>
            <w:tcW w:w="602" w:type="pct"/>
            <w:tcBorders>
              <w:top w:val="nil"/>
              <w:left w:val="nil"/>
              <w:bottom w:val="single" w:sz="4" w:space="0" w:color="auto"/>
              <w:right w:val="nil"/>
            </w:tcBorders>
            <w:shd w:val="clear" w:color="auto" w:fill="auto"/>
            <w:noWrap/>
            <w:vAlign w:val="bottom"/>
            <w:hideMark/>
          </w:tcPr>
          <w:p w14:paraId="436E6CD2" w14:textId="236CD374" w:rsidR="00420BB0" w:rsidRPr="00420BB0" w:rsidRDefault="00420BB0" w:rsidP="00420BB0">
            <w:pPr>
              <w:spacing w:after="0" w:line="240" w:lineRule="auto"/>
              <w:jc w:val="right"/>
              <w:rPr>
                <w:rFonts w:ascii="Arial" w:hAnsi="Arial" w:cs="Arial"/>
                <w:sz w:val="16"/>
                <w:szCs w:val="16"/>
              </w:rPr>
            </w:pPr>
            <w:r w:rsidRPr="00420BB0">
              <w:rPr>
                <w:rFonts w:ascii="Arial" w:hAnsi="Arial" w:cs="Arial"/>
                <w:sz w:val="16"/>
                <w:szCs w:val="16"/>
              </w:rPr>
              <w:t>-</w:t>
            </w:r>
          </w:p>
        </w:tc>
      </w:tr>
    </w:tbl>
    <w:p w14:paraId="7C242EA5" w14:textId="67EDD7EF" w:rsidR="002C4C51" w:rsidRDefault="002C4C51">
      <w:pPr>
        <w:spacing w:after="0" w:line="240" w:lineRule="auto"/>
      </w:pPr>
      <w:r>
        <w:br w:type="page"/>
      </w:r>
    </w:p>
    <w:p w14:paraId="2A81DB78" w14:textId="77777777" w:rsidR="00FA669F" w:rsidRDefault="00FA669F">
      <w:pPr>
        <w:spacing w:after="0" w:line="240" w:lineRule="auto"/>
      </w:pPr>
    </w:p>
    <w:p w14:paraId="1F23F6CC" w14:textId="56D61DD1" w:rsidR="002C4C51" w:rsidRPr="001A5D57" w:rsidRDefault="002C4C51" w:rsidP="002C4C51">
      <w:pPr>
        <w:spacing w:after="0"/>
        <w:rPr>
          <w:rStyle w:val="TableHeadingChar"/>
          <w:lang w:val="en-GB"/>
        </w:rPr>
      </w:pPr>
      <w:r w:rsidRPr="001A5D57">
        <w:rPr>
          <w:rStyle w:val="TableHeadingChar"/>
        </w:rPr>
        <w:t>Table 2.</w:t>
      </w:r>
      <w:r w:rsidRPr="001A5D57">
        <w:rPr>
          <w:rStyle w:val="TableHeadingChar"/>
          <w:lang w:val="en-GB"/>
        </w:rPr>
        <w:t>5</w:t>
      </w:r>
      <w:r w:rsidRPr="001A5D57">
        <w:rPr>
          <w:rStyle w:val="TableHeadingChar"/>
        </w:rPr>
        <w:t xml:space="preserve">.2: Program components of Outcome </w:t>
      </w:r>
      <w:r w:rsidRPr="001A5D57">
        <w:rPr>
          <w:rStyle w:val="TableHeadingChar"/>
          <w:lang w:val="en-GB"/>
        </w:rPr>
        <w:t>5</w:t>
      </w:r>
      <w:r>
        <w:rPr>
          <w:rStyle w:val="TableHeadingChar"/>
          <w:lang w:val="en-GB"/>
        </w:rPr>
        <w:t xml:space="preserve"> (continued)</w:t>
      </w:r>
    </w:p>
    <w:tbl>
      <w:tblPr>
        <w:tblW w:w="5000" w:type="pct"/>
        <w:tblLook w:val="04A0" w:firstRow="1" w:lastRow="0" w:firstColumn="1" w:lastColumn="0" w:noHBand="0" w:noVBand="1"/>
      </w:tblPr>
      <w:tblGrid>
        <w:gridCol w:w="2989"/>
        <w:gridCol w:w="995"/>
        <w:gridCol w:w="931"/>
        <w:gridCol w:w="931"/>
        <w:gridCol w:w="931"/>
        <w:gridCol w:w="933"/>
      </w:tblGrid>
      <w:tr w:rsidR="002C4C51" w:rsidRPr="00326BCB" w14:paraId="1ABA5C1D" w14:textId="77777777" w:rsidTr="00420BB0">
        <w:trPr>
          <w:trHeight w:val="204"/>
        </w:trPr>
        <w:tc>
          <w:tcPr>
            <w:tcW w:w="1938" w:type="pct"/>
            <w:tcBorders>
              <w:top w:val="single" w:sz="4" w:space="0" w:color="auto"/>
              <w:left w:val="nil"/>
              <w:bottom w:val="nil"/>
              <w:right w:val="nil"/>
            </w:tcBorders>
            <w:shd w:val="clear" w:color="auto" w:fill="auto"/>
            <w:noWrap/>
            <w:vAlign w:val="bottom"/>
            <w:hideMark/>
          </w:tcPr>
          <w:p w14:paraId="41BFB7F7" w14:textId="77777777" w:rsidR="002C4C51" w:rsidRPr="00326BCB" w:rsidRDefault="002C4C51" w:rsidP="00AE662B">
            <w:pPr>
              <w:spacing w:after="0" w:line="240" w:lineRule="auto"/>
              <w:rPr>
                <w:rFonts w:ascii="Arial" w:hAnsi="Arial" w:cs="Arial"/>
                <w:sz w:val="16"/>
                <w:szCs w:val="16"/>
              </w:rPr>
            </w:pPr>
            <w:r w:rsidRPr="00326BCB">
              <w:rPr>
                <w:rFonts w:ascii="Arial" w:hAnsi="Arial" w:cs="Arial"/>
                <w:sz w:val="16"/>
                <w:szCs w:val="16"/>
              </w:rPr>
              <w:t> </w:t>
            </w:r>
          </w:p>
        </w:tc>
        <w:tc>
          <w:tcPr>
            <w:tcW w:w="645" w:type="pct"/>
            <w:tcBorders>
              <w:top w:val="single" w:sz="4" w:space="0" w:color="auto"/>
              <w:left w:val="nil"/>
              <w:bottom w:val="nil"/>
              <w:right w:val="nil"/>
            </w:tcBorders>
            <w:shd w:val="clear" w:color="auto" w:fill="auto"/>
            <w:vAlign w:val="bottom"/>
            <w:hideMark/>
          </w:tcPr>
          <w:p w14:paraId="73015FFC" w14:textId="3981FF0E" w:rsidR="002C4C51" w:rsidRPr="00326BCB" w:rsidRDefault="002C4C51" w:rsidP="00AE662B">
            <w:pPr>
              <w:spacing w:after="0" w:line="240" w:lineRule="auto"/>
              <w:jc w:val="right"/>
              <w:rPr>
                <w:rFonts w:ascii="Arial" w:hAnsi="Arial" w:cs="Arial"/>
                <w:sz w:val="16"/>
                <w:szCs w:val="16"/>
              </w:rPr>
            </w:pPr>
            <w:r w:rsidRPr="00326BCB">
              <w:rPr>
                <w:rFonts w:ascii="Arial" w:hAnsi="Arial" w:cs="Arial"/>
                <w:sz w:val="16"/>
                <w:szCs w:val="16"/>
              </w:rPr>
              <w:t>2022-23</w:t>
            </w:r>
            <w:r w:rsidRPr="00326BCB">
              <w:rPr>
                <w:rFonts w:ascii="Arial" w:hAnsi="Arial" w:cs="Arial"/>
                <w:sz w:val="16"/>
                <w:szCs w:val="16"/>
              </w:rPr>
              <w:br/>
              <w:t>Estimated actual</w:t>
            </w:r>
            <w:r w:rsidRPr="00326BCB">
              <w:rPr>
                <w:rFonts w:ascii="Arial" w:hAnsi="Arial" w:cs="Arial"/>
                <w:sz w:val="16"/>
                <w:szCs w:val="16"/>
              </w:rPr>
              <w:br/>
              <w:t>$'000</w:t>
            </w:r>
          </w:p>
        </w:tc>
        <w:tc>
          <w:tcPr>
            <w:tcW w:w="604" w:type="pct"/>
            <w:tcBorders>
              <w:top w:val="single" w:sz="4" w:space="0" w:color="auto"/>
              <w:left w:val="nil"/>
              <w:bottom w:val="nil"/>
              <w:right w:val="nil"/>
            </w:tcBorders>
            <w:shd w:val="clear" w:color="000000" w:fill="E6E6E6"/>
            <w:vAlign w:val="bottom"/>
            <w:hideMark/>
          </w:tcPr>
          <w:p w14:paraId="16CC3DE9" w14:textId="77777777" w:rsidR="002C4C51" w:rsidRPr="00326BCB" w:rsidRDefault="002C4C51" w:rsidP="00AE662B">
            <w:pPr>
              <w:spacing w:after="0" w:line="240" w:lineRule="auto"/>
              <w:jc w:val="right"/>
              <w:rPr>
                <w:rFonts w:ascii="Arial" w:hAnsi="Arial" w:cs="Arial"/>
                <w:sz w:val="16"/>
                <w:szCs w:val="16"/>
              </w:rPr>
            </w:pPr>
            <w:r w:rsidRPr="00326BCB">
              <w:rPr>
                <w:rFonts w:ascii="Arial" w:hAnsi="Arial" w:cs="Arial"/>
                <w:sz w:val="16"/>
                <w:szCs w:val="16"/>
              </w:rPr>
              <w:t>2023-24</w:t>
            </w:r>
            <w:r w:rsidRPr="00326BCB">
              <w:rPr>
                <w:rFonts w:ascii="Arial" w:hAnsi="Arial" w:cs="Arial"/>
                <w:sz w:val="16"/>
                <w:szCs w:val="16"/>
              </w:rPr>
              <w:br/>
              <w:t xml:space="preserve"> Budget</w:t>
            </w:r>
            <w:r w:rsidRPr="00326BCB">
              <w:rPr>
                <w:rFonts w:ascii="Arial" w:hAnsi="Arial" w:cs="Arial"/>
                <w:sz w:val="16"/>
                <w:szCs w:val="16"/>
              </w:rPr>
              <w:br/>
              <w:t xml:space="preserve">                                      $'000</w:t>
            </w:r>
          </w:p>
        </w:tc>
        <w:tc>
          <w:tcPr>
            <w:tcW w:w="604" w:type="pct"/>
            <w:tcBorders>
              <w:top w:val="single" w:sz="4" w:space="0" w:color="auto"/>
              <w:left w:val="nil"/>
              <w:bottom w:val="nil"/>
              <w:right w:val="nil"/>
            </w:tcBorders>
            <w:shd w:val="clear" w:color="auto" w:fill="auto"/>
            <w:vAlign w:val="bottom"/>
            <w:hideMark/>
          </w:tcPr>
          <w:p w14:paraId="346FD4C2" w14:textId="77777777" w:rsidR="002C4C51" w:rsidRPr="00326BCB" w:rsidRDefault="002C4C51" w:rsidP="00AE662B">
            <w:pPr>
              <w:spacing w:after="0" w:line="240" w:lineRule="auto"/>
              <w:jc w:val="right"/>
              <w:rPr>
                <w:rFonts w:ascii="Arial" w:hAnsi="Arial" w:cs="Arial"/>
                <w:sz w:val="16"/>
                <w:szCs w:val="16"/>
              </w:rPr>
            </w:pPr>
            <w:r w:rsidRPr="00326BCB">
              <w:rPr>
                <w:rFonts w:ascii="Arial" w:hAnsi="Arial" w:cs="Arial"/>
                <w:sz w:val="16"/>
                <w:szCs w:val="16"/>
              </w:rPr>
              <w:t>2024-25</w:t>
            </w:r>
            <w:r w:rsidRPr="00326BCB">
              <w:rPr>
                <w:rFonts w:ascii="Arial" w:hAnsi="Arial" w:cs="Arial"/>
                <w:sz w:val="16"/>
                <w:szCs w:val="16"/>
              </w:rPr>
              <w:br/>
              <w:t>Forward estimate</w:t>
            </w:r>
            <w:r w:rsidRPr="00326BCB">
              <w:rPr>
                <w:rFonts w:ascii="Arial" w:hAnsi="Arial" w:cs="Arial"/>
                <w:sz w:val="16"/>
                <w:szCs w:val="16"/>
              </w:rPr>
              <w:br/>
              <w:t>$'000</w:t>
            </w:r>
          </w:p>
        </w:tc>
        <w:tc>
          <w:tcPr>
            <w:tcW w:w="604" w:type="pct"/>
            <w:tcBorders>
              <w:top w:val="single" w:sz="4" w:space="0" w:color="auto"/>
              <w:left w:val="nil"/>
              <w:bottom w:val="nil"/>
              <w:right w:val="nil"/>
            </w:tcBorders>
            <w:shd w:val="clear" w:color="auto" w:fill="auto"/>
            <w:vAlign w:val="bottom"/>
            <w:hideMark/>
          </w:tcPr>
          <w:p w14:paraId="4141EA66" w14:textId="77777777" w:rsidR="002C4C51" w:rsidRPr="00326BCB" w:rsidRDefault="002C4C51" w:rsidP="00AE662B">
            <w:pPr>
              <w:spacing w:after="0" w:line="240" w:lineRule="auto"/>
              <w:jc w:val="right"/>
              <w:rPr>
                <w:rFonts w:ascii="Arial" w:hAnsi="Arial" w:cs="Arial"/>
                <w:sz w:val="16"/>
                <w:szCs w:val="16"/>
              </w:rPr>
            </w:pPr>
            <w:r w:rsidRPr="00326BCB">
              <w:rPr>
                <w:rFonts w:ascii="Arial" w:hAnsi="Arial" w:cs="Arial"/>
                <w:sz w:val="16"/>
                <w:szCs w:val="16"/>
              </w:rPr>
              <w:t>2025-26</w:t>
            </w:r>
            <w:r w:rsidRPr="00326BCB">
              <w:rPr>
                <w:rFonts w:ascii="Arial" w:hAnsi="Arial" w:cs="Arial"/>
                <w:sz w:val="16"/>
                <w:szCs w:val="16"/>
              </w:rPr>
              <w:br/>
              <w:t>Forward estimate</w:t>
            </w:r>
            <w:r w:rsidRPr="00326BCB">
              <w:rPr>
                <w:rFonts w:ascii="Arial" w:hAnsi="Arial" w:cs="Arial"/>
                <w:sz w:val="16"/>
                <w:szCs w:val="16"/>
              </w:rPr>
              <w:br/>
              <w:t>$'000</w:t>
            </w:r>
          </w:p>
        </w:tc>
        <w:tc>
          <w:tcPr>
            <w:tcW w:w="606" w:type="pct"/>
            <w:tcBorders>
              <w:top w:val="single" w:sz="4" w:space="0" w:color="auto"/>
              <w:left w:val="nil"/>
              <w:bottom w:val="nil"/>
              <w:right w:val="nil"/>
            </w:tcBorders>
            <w:shd w:val="clear" w:color="auto" w:fill="auto"/>
            <w:vAlign w:val="bottom"/>
            <w:hideMark/>
          </w:tcPr>
          <w:p w14:paraId="18CA0F51" w14:textId="77777777" w:rsidR="002C4C51" w:rsidRPr="00326BCB" w:rsidRDefault="002C4C51" w:rsidP="00AE662B">
            <w:pPr>
              <w:spacing w:after="0" w:line="240" w:lineRule="auto"/>
              <w:jc w:val="right"/>
              <w:rPr>
                <w:rFonts w:ascii="Arial" w:hAnsi="Arial" w:cs="Arial"/>
                <w:sz w:val="16"/>
                <w:szCs w:val="16"/>
              </w:rPr>
            </w:pPr>
            <w:r w:rsidRPr="00326BCB">
              <w:rPr>
                <w:rFonts w:ascii="Arial" w:hAnsi="Arial" w:cs="Arial"/>
                <w:sz w:val="16"/>
                <w:szCs w:val="16"/>
              </w:rPr>
              <w:t>2026-27</w:t>
            </w:r>
            <w:r w:rsidRPr="00326BCB">
              <w:rPr>
                <w:rFonts w:ascii="Arial" w:hAnsi="Arial" w:cs="Arial"/>
                <w:sz w:val="16"/>
                <w:szCs w:val="16"/>
              </w:rPr>
              <w:br/>
              <w:t>Forward estimate</w:t>
            </w:r>
            <w:r w:rsidRPr="00326BCB">
              <w:rPr>
                <w:rFonts w:ascii="Arial" w:hAnsi="Arial" w:cs="Arial"/>
                <w:sz w:val="16"/>
                <w:szCs w:val="16"/>
              </w:rPr>
              <w:br/>
              <w:t>$'000</w:t>
            </w:r>
          </w:p>
        </w:tc>
      </w:tr>
      <w:tr w:rsidR="002C4C51" w:rsidRPr="00326BCB" w14:paraId="2DD7A1AD" w14:textId="77777777" w:rsidTr="00DC091E">
        <w:trPr>
          <w:trHeight w:val="204"/>
        </w:trPr>
        <w:tc>
          <w:tcPr>
            <w:tcW w:w="5000" w:type="pct"/>
            <w:gridSpan w:val="6"/>
            <w:tcBorders>
              <w:top w:val="single" w:sz="4" w:space="0" w:color="auto"/>
              <w:left w:val="nil"/>
              <w:bottom w:val="single" w:sz="4" w:space="0" w:color="auto"/>
              <w:right w:val="nil"/>
            </w:tcBorders>
            <w:shd w:val="clear" w:color="000000" w:fill="E6E6E6"/>
            <w:noWrap/>
            <w:vAlign w:val="bottom"/>
            <w:hideMark/>
          </w:tcPr>
          <w:p w14:paraId="7A6C7529" w14:textId="77777777" w:rsidR="002C4C51" w:rsidRPr="00326BCB" w:rsidRDefault="002C4C51" w:rsidP="00AE662B">
            <w:pPr>
              <w:spacing w:after="0" w:line="240" w:lineRule="auto"/>
              <w:rPr>
                <w:rFonts w:ascii="Arial" w:hAnsi="Arial" w:cs="Arial"/>
                <w:b/>
                <w:bCs/>
                <w:sz w:val="16"/>
                <w:szCs w:val="16"/>
              </w:rPr>
            </w:pPr>
            <w:r w:rsidRPr="00326BCB">
              <w:rPr>
                <w:rFonts w:ascii="Arial" w:hAnsi="Arial" w:cs="Arial"/>
                <w:b/>
                <w:bCs/>
                <w:sz w:val="16"/>
                <w:szCs w:val="16"/>
              </w:rPr>
              <w:t>Components for Program 5.1: Digital Technologies and Communications Services</w:t>
            </w:r>
          </w:p>
        </w:tc>
      </w:tr>
      <w:tr w:rsidR="00326BCB" w:rsidRPr="00326BCB" w14:paraId="4FE1B874" w14:textId="77777777" w:rsidTr="00420BB0">
        <w:trPr>
          <w:trHeight w:val="204"/>
        </w:trPr>
        <w:tc>
          <w:tcPr>
            <w:tcW w:w="1938" w:type="pct"/>
            <w:tcBorders>
              <w:top w:val="nil"/>
              <w:left w:val="nil"/>
              <w:bottom w:val="nil"/>
              <w:right w:val="nil"/>
            </w:tcBorders>
            <w:shd w:val="clear" w:color="auto" w:fill="auto"/>
            <w:noWrap/>
            <w:vAlign w:val="bottom"/>
            <w:hideMark/>
          </w:tcPr>
          <w:p w14:paraId="20C3A496" w14:textId="77777777" w:rsidR="00326BCB" w:rsidRPr="00326BCB" w:rsidRDefault="00326BCB" w:rsidP="00326BCB">
            <w:pPr>
              <w:spacing w:after="0" w:line="240" w:lineRule="auto"/>
              <w:rPr>
                <w:rFonts w:ascii="Arial" w:hAnsi="Arial" w:cs="Arial"/>
                <w:sz w:val="16"/>
                <w:szCs w:val="16"/>
              </w:rPr>
            </w:pPr>
            <w:r w:rsidRPr="00326BCB">
              <w:rPr>
                <w:rFonts w:ascii="Arial" w:hAnsi="Arial" w:cs="Arial"/>
                <w:sz w:val="16"/>
                <w:szCs w:val="16"/>
              </w:rPr>
              <w:t>Special Accounts</w:t>
            </w:r>
          </w:p>
        </w:tc>
        <w:tc>
          <w:tcPr>
            <w:tcW w:w="645" w:type="pct"/>
            <w:tcBorders>
              <w:top w:val="nil"/>
              <w:left w:val="nil"/>
              <w:bottom w:val="nil"/>
              <w:right w:val="nil"/>
            </w:tcBorders>
            <w:shd w:val="clear" w:color="auto" w:fill="auto"/>
            <w:noWrap/>
            <w:vAlign w:val="bottom"/>
            <w:hideMark/>
          </w:tcPr>
          <w:p w14:paraId="0C8DD2E8" w14:textId="77777777" w:rsidR="00326BCB" w:rsidRPr="00326BCB" w:rsidRDefault="00326BCB" w:rsidP="00326BCB">
            <w:pPr>
              <w:spacing w:after="0" w:line="240" w:lineRule="auto"/>
              <w:ind w:firstLineChars="100" w:firstLine="160"/>
              <w:jc w:val="right"/>
              <w:rPr>
                <w:rFonts w:ascii="Arial" w:hAnsi="Arial" w:cs="Arial"/>
                <w:sz w:val="16"/>
                <w:szCs w:val="16"/>
              </w:rPr>
            </w:pPr>
          </w:p>
        </w:tc>
        <w:tc>
          <w:tcPr>
            <w:tcW w:w="604" w:type="pct"/>
            <w:tcBorders>
              <w:top w:val="nil"/>
              <w:left w:val="nil"/>
              <w:bottom w:val="nil"/>
              <w:right w:val="nil"/>
            </w:tcBorders>
            <w:shd w:val="clear" w:color="000000" w:fill="E6E6E6"/>
            <w:noWrap/>
            <w:vAlign w:val="bottom"/>
            <w:hideMark/>
          </w:tcPr>
          <w:p w14:paraId="37E0BB8A" w14:textId="77777777" w:rsidR="00326BCB" w:rsidRPr="00326BCB" w:rsidRDefault="00326BCB" w:rsidP="00326BCB">
            <w:pPr>
              <w:spacing w:after="0" w:line="240" w:lineRule="auto"/>
              <w:jc w:val="right"/>
              <w:rPr>
                <w:rFonts w:ascii="Arial" w:hAnsi="Arial" w:cs="Arial"/>
                <w:sz w:val="16"/>
                <w:szCs w:val="16"/>
              </w:rPr>
            </w:pPr>
            <w:r w:rsidRPr="00326BCB">
              <w:rPr>
                <w:rFonts w:ascii="Arial" w:hAnsi="Arial" w:cs="Arial"/>
                <w:sz w:val="16"/>
                <w:szCs w:val="16"/>
              </w:rPr>
              <w:t> </w:t>
            </w:r>
          </w:p>
        </w:tc>
        <w:tc>
          <w:tcPr>
            <w:tcW w:w="604" w:type="pct"/>
            <w:tcBorders>
              <w:top w:val="nil"/>
              <w:left w:val="nil"/>
              <w:bottom w:val="nil"/>
              <w:right w:val="nil"/>
            </w:tcBorders>
            <w:shd w:val="clear" w:color="auto" w:fill="auto"/>
            <w:noWrap/>
            <w:vAlign w:val="bottom"/>
            <w:hideMark/>
          </w:tcPr>
          <w:p w14:paraId="43876BE2" w14:textId="77777777" w:rsidR="00326BCB" w:rsidRPr="00326BCB" w:rsidRDefault="00326BCB" w:rsidP="00326BCB">
            <w:pPr>
              <w:spacing w:after="0" w:line="240" w:lineRule="auto"/>
              <w:jc w:val="right"/>
              <w:rPr>
                <w:rFonts w:ascii="Arial" w:hAnsi="Arial" w:cs="Arial"/>
                <w:sz w:val="16"/>
                <w:szCs w:val="16"/>
              </w:rPr>
            </w:pPr>
          </w:p>
        </w:tc>
        <w:tc>
          <w:tcPr>
            <w:tcW w:w="604" w:type="pct"/>
            <w:tcBorders>
              <w:top w:val="nil"/>
              <w:left w:val="nil"/>
              <w:bottom w:val="nil"/>
              <w:right w:val="nil"/>
            </w:tcBorders>
            <w:shd w:val="clear" w:color="auto" w:fill="auto"/>
            <w:noWrap/>
            <w:vAlign w:val="bottom"/>
            <w:hideMark/>
          </w:tcPr>
          <w:p w14:paraId="3D429345" w14:textId="77777777" w:rsidR="00326BCB" w:rsidRPr="00326BCB" w:rsidRDefault="00326BCB" w:rsidP="00326BCB">
            <w:pPr>
              <w:spacing w:after="0" w:line="240" w:lineRule="auto"/>
              <w:jc w:val="right"/>
              <w:rPr>
                <w:rFonts w:ascii="Times New Roman" w:hAnsi="Times New Roman"/>
              </w:rPr>
            </w:pPr>
          </w:p>
        </w:tc>
        <w:tc>
          <w:tcPr>
            <w:tcW w:w="606" w:type="pct"/>
            <w:tcBorders>
              <w:top w:val="nil"/>
              <w:left w:val="nil"/>
              <w:bottom w:val="nil"/>
              <w:right w:val="nil"/>
            </w:tcBorders>
            <w:shd w:val="clear" w:color="auto" w:fill="auto"/>
            <w:noWrap/>
            <w:vAlign w:val="bottom"/>
            <w:hideMark/>
          </w:tcPr>
          <w:p w14:paraId="3E18938F" w14:textId="77777777" w:rsidR="00326BCB" w:rsidRPr="00326BCB" w:rsidRDefault="00326BCB" w:rsidP="00326BCB">
            <w:pPr>
              <w:spacing w:after="0" w:line="240" w:lineRule="auto"/>
              <w:jc w:val="right"/>
              <w:rPr>
                <w:rFonts w:ascii="Times New Roman" w:hAnsi="Times New Roman"/>
              </w:rPr>
            </w:pPr>
          </w:p>
        </w:tc>
      </w:tr>
      <w:tr w:rsidR="00326BCB" w:rsidRPr="00326BCB" w14:paraId="1E49FD0F" w14:textId="77777777" w:rsidTr="00420BB0">
        <w:trPr>
          <w:trHeight w:val="204"/>
        </w:trPr>
        <w:tc>
          <w:tcPr>
            <w:tcW w:w="1938" w:type="pct"/>
            <w:tcBorders>
              <w:top w:val="nil"/>
              <w:left w:val="nil"/>
              <w:bottom w:val="nil"/>
              <w:right w:val="nil"/>
            </w:tcBorders>
            <w:shd w:val="clear" w:color="auto" w:fill="auto"/>
            <w:vAlign w:val="bottom"/>
            <w:hideMark/>
          </w:tcPr>
          <w:p w14:paraId="216E1C60" w14:textId="77777777" w:rsidR="00326BCB" w:rsidRPr="00326BCB" w:rsidRDefault="00326BCB" w:rsidP="002C4C51">
            <w:pPr>
              <w:spacing w:after="0" w:line="240" w:lineRule="auto"/>
              <w:ind w:left="113"/>
              <w:rPr>
                <w:rFonts w:ascii="Arial" w:hAnsi="Arial" w:cs="Arial"/>
                <w:sz w:val="16"/>
                <w:szCs w:val="16"/>
              </w:rPr>
            </w:pPr>
            <w:r w:rsidRPr="00326BCB">
              <w:rPr>
                <w:rFonts w:ascii="Arial" w:hAnsi="Arial" w:cs="Arial"/>
                <w:sz w:val="16"/>
                <w:szCs w:val="16"/>
              </w:rPr>
              <w:t>Public Interest Telecommunications Services Special Account</w:t>
            </w:r>
          </w:p>
        </w:tc>
        <w:tc>
          <w:tcPr>
            <w:tcW w:w="645" w:type="pct"/>
            <w:tcBorders>
              <w:top w:val="nil"/>
              <w:left w:val="nil"/>
              <w:bottom w:val="nil"/>
              <w:right w:val="nil"/>
            </w:tcBorders>
            <w:shd w:val="clear" w:color="auto" w:fill="auto"/>
            <w:noWrap/>
            <w:vAlign w:val="bottom"/>
            <w:hideMark/>
          </w:tcPr>
          <w:p w14:paraId="18434760" w14:textId="77777777" w:rsidR="00326BCB" w:rsidRPr="00326BCB" w:rsidRDefault="00326BCB" w:rsidP="00326BCB">
            <w:pPr>
              <w:spacing w:after="0" w:line="240" w:lineRule="auto"/>
              <w:ind w:firstLineChars="200" w:firstLine="320"/>
              <w:jc w:val="right"/>
              <w:rPr>
                <w:rFonts w:ascii="Arial" w:hAnsi="Arial" w:cs="Arial"/>
                <w:sz w:val="16"/>
                <w:szCs w:val="16"/>
              </w:rPr>
            </w:pPr>
          </w:p>
        </w:tc>
        <w:tc>
          <w:tcPr>
            <w:tcW w:w="604" w:type="pct"/>
            <w:tcBorders>
              <w:top w:val="nil"/>
              <w:left w:val="nil"/>
              <w:bottom w:val="nil"/>
              <w:right w:val="nil"/>
            </w:tcBorders>
            <w:shd w:val="clear" w:color="000000" w:fill="E6E6E6"/>
            <w:noWrap/>
            <w:vAlign w:val="bottom"/>
            <w:hideMark/>
          </w:tcPr>
          <w:p w14:paraId="6815DFB3" w14:textId="77777777" w:rsidR="00326BCB" w:rsidRPr="00326BCB" w:rsidRDefault="00326BCB" w:rsidP="00326BCB">
            <w:pPr>
              <w:spacing w:after="0" w:line="240" w:lineRule="auto"/>
              <w:jc w:val="right"/>
              <w:rPr>
                <w:rFonts w:ascii="Arial" w:hAnsi="Arial" w:cs="Arial"/>
                <w:sz w:val="16"/>
                <w:szCs w:val="16"/>
              </w:rPr>
            </w:pPr>
            <w:r w:rsidRPr="00326BCB">
              <w:rPr>
                <w:rFonts w:ascii="Arial" w:hAnsi="Arial" w:cs="Arial"/>
                <w:sz w:val="16"/>
                <w:szCs w:val="16"/>
              </w:rPr>
              <w:t> </w:t>
            </w:r>
          </w:p>
        </w:tc>
        <w:tc>
          <w:tcPr>
            <w:tcW w:w="604" w:type="pct"/>
            <w:tcBorders>
              <w:top w:val="nil"/>
              <w:left w:val="nil"/>
              <w:bottom w:val="nil"/>
              <w:right w:val="nil"/>
            </w:tcBorders>
            <w:shd w:val="clear" w:color="auto" w:fill="auto"/>
            <w:noWrap/>
            <w:vAlign w:val="bottom"/>
            <w:hideMark/>
          </w:tcPr>
          <w:p w14:paraId="2A33CE37" w14:textId="77777777" w:rsidR="00326BCB" w:rsidRPr="00326BCB" w:rsidRDefault="00326BCB" w:rsidP="00326BCB">
            <w:pPr>
              <w:spacing w:after="0" w:line="240" w:lineRule="auto"/>
              <w:jc w:val="right"/>
              <w:rPr>
                <w:rFonts w:ascii="Arial" w:hAnsi="Arial" w:cs="Arial"/>
                <w:sz w:val="16"/>
                <w:szCs w:val="16"/>
              </w:rPr>
            </w:pPr>
          </w:p>
        </w:tc>
        <w:tc>
          <w:tcPr>
            <w:tcW w:w="604" w:type="pct"/>
            <w:tcBorders>
              <w:top w:val="nil"/>
              <w:left w:val="nil"/>
              <w:bottom w:val="nil"/>
              <w:right w:val="nil"/>
            </w:tcBorders>
            <w:shd w:val="clear" w:color="auto" w:fill="auto"/>
            <w:noWrap/>
            <w:vAlign w:val="bottom"/>
            <w:hideMark/>
          </w:tcPr>
          <w:p w14:paraId="207AD4F2" w14:textId="77777777" w:rsidR="00326BCB" w:rsidRPr="00326BCB" w:rsidRDefault="00326BCB" w:rsidP="00326BCB">
            <w:pPr>
              <w:spacing w:after="0" w:line="240" w:lineRule="auto"/>
              <w:jc w:val="right"/>
              <w:rPr>
                <w:rFonts w:ascii="Times New Roman" w:hAnsi="Times New Roman"/>
              </w:rPr>
            </w:pPr>
          </w:p>
        </w:tc>
        <w:tc>
          <w:tcPr>
            <w:tcW w:w="606" w:type="pct"/>
            <w:tcBorders>
              <w:top w:val="nil"/>
              <w:left w:val="nil"/>
              <w:bottom w:val="nil"/>
              <w:right w:val="nil"/>
            </w:tcBorders>
            <w:shd w:val="clear" w:color="auto" w:fill="auto"/>
            <w:noWrap/>
            <w:vAlign w:val="bottom"/>
            <w:hideMark/>
          </w:tcPr>
          <w:p w14:paraId="23480DE6" w14:textId="77777777" w:rsidR="00326BCB" w:rsidRPr="00326BCB" w:rsidRDefault="00326BCB" w:rsidP="00326BCB">
            <w:pPr>
              <w:spacing w:after="0" w:line="240" w:lineRule="auto"/>
              <w:jc w:val="right"/>
              <w:rPr>
                <w:rFonts w:ascii="Times New Roman" w:hAnsi="Times New Roman"/>
              </w:rPr>
            </w:pPr>
          </w:p>
        </w:tc>
      </w:tr>
      <w:tr w:rsidR="00420BB0" w:rsidRPr="00326BCB" w14:paraId="5DD204C3" w14:textId="77777777" w:rsidTr="00420BB0">
        <w:trPr>
          <w:trHeight w:val="204"/>
        </w:trPr>
        <w:tc>
          <w:tcPr>
            <w:tcW w:w="1938" w:type="pct"/>
            <w:tcBorders>
              <w:top w:val="nil"/>
              <w:left w:val="nil"/>
              <w:bottom w:val="nil"/>
              <w:right w:val="nil"/>
            </w:tcBorders>
            <w:shd w:val="clear" w:color="auto" w:fill="auto"/>
            <w:vAlign w:val="bottom"/>
            <w:hideMark/>
          </w:tcPr>
          <w:p w14:paraId="177DED63" w14:textId="77777777" w:rsidR="00420BB0" w:rsidRPr="00326BCB" w:rsidRDefault="00420BB0" w:rsidP="00420BB0">
            <w:pPr>
              <w:spacing w:after="0" w:line="240" w:lineRule="auto"/>
              <w:ind w:left="227"/>
              <w:rPr>
                <w:rFonts w:ascii="Arial" w:hAnsi="Arial" w:cs="Arial"/>
                <w:sz w:val="16"/>
                <w:szCs w:val="16"/>
              </w:rPr>
            </w:pPr>
            <w:r w:rsidRPr="00326BCB">
              <w:rPr>
                <w:rFonts w:ascii="Arial" w:hAnsi="Arial" w:cs="Arial"/>
                <w:sz w:val="16"/>
                <w:szCs w:val="16"/>
              </w:rPr>
              <w:t>National Relay Service</w:t>
            </w:r>
          </w:p>
        </w:tc>
        <w:tc>
          <w:tcPr>
            <w:tcW w:w="645" w:type="pct"/>
            <w:tcBorders>
              <w:top w:val="nil"/>
              <w:left w:val="nil"/>
              <w:bottom w:val="nil"/>
              <w:right w:val="nil"/>
            </w:tcBorders>
            <w:shd w:val="clear" w:color="auto" w:fill="auto"/>
            <w:noWrap/>
            <w:vAlign w:val="bottom"/>
            <w:hideMark/>
          </w:tcPr>
          <w:p w14:paraId="5508A6A3" w14:textId="52535A02" w:rsidR="00420BB0" w:rsidRPr="00326BCB" w:rsidRDefault="00420BB0" w:rsidP="00420BB0">
            <w:pPr>
              <w:spacing w:after="0" w:line="240" w:lineRule="auto"/>
              <w:jc w:val="right"/>
              <w:rPr>
                <w:rFonts w:ascii="Arial" w:hAnsi="Arial" w:cs="Arial"/>
                <w:sz w:val="16"/>
                <w:szCs w:val="16"/>
              </w:rPr>
            </w:pPr>
            <w:r w:rsidRPr="00420BB0">
              <w:rPr>
                <w:rFonts w:ascii="Arial" w:hAnsi="Arial" w:cs="Arial"/>
                <w:sz w:val="16"/>
                <w:szCs w:val="16"/>
              </w:rPr>
              <w:t>20,000</w:t>
            </w:r>
          </w:p>
        </w:tc>
        <w:tc>
          <w:tcPr>
            <w:tcW w:w="604" w:type="pct"/>
            <w:tcBorders>
              <w:top w:val="nil"/>
              <w:left w:val="nil"/>
              <w:bottom w:val="nil"/>
              <w:right w:val="nil"/>
            </w:tcBorders>
            <w:shd w:val="clear" w:color="000000" w:fill="E6E6E6"/>
            <w:noWrap/>
            <w:vAlign w:val="bottom"/>
            <w:hideMark/>
          </w:tcPr>
          <w:p w14:paraId="47ED937B" w14:textId="34AAAD46" w:rsidR="00420BB0" w:rsidRPr="00326BCB" w:rsidRDefault="00420BB0" w:rsidP="00420BB0">
            <w:pPr>
              <w:spacing w:after="0" w:line="240" w:lineRule="auto"/>
              <w:jc w:val="right"/>
              <w:rPr>
                <w:rFonts w:ascii="Arial" w:hAnsi="Arial" w:cs="Arial"/>
                <w:sz w:val="16"/>
                <w:szCs w:val="16"/>
              </w:rPr>
            </w:pPr>
            <w:r w:rsidRPr="00420BB0">
              <w:rPr>
                <w:rFonts w:ascii="Arial" w:hAnsi="Arial" w:cs="Arial"/>
                <w:sz w:val="16"/>
                <w:szCs w:val="16"/>
              </w:rPr>
              <w:t>20,000</w:t>
            </w:r>
          </w:p>
        </w:tc>
        <w:tc>
          <w:tcPr>
            <w:tcW w:w="604" w:type="pct"/>
            <w:tcBorders>
              <w:top w:val="nil"/>
              <w:left w:val="nil"/>
              <w:bottom w:val="nil"/>
              <w:right w:val="nil"/>
            </w:tcBorders>
            <w:shd w:val="clear" w:color="auto" w:fill="auto"/>
            <w:noWrap/>
            <w:vAlign w:val="bottom"/>
            <w:hideMark/>
          </w:tcPr>
          <w:p w14:paraId="003FAE7A" w14:textId="54C42071" w:rsidR="00420BB0" w:rsidRPr="00326BCB" w:rsidRDefault="00420BB0" w:rsidP="00420BB0">
            <w:pPr>
              <w:spacing w:after="0" w:line="240" w:lineRule="auto"/>
              <w:jc w:val="right"/>
              <w:rPr>
                <w:rFonts w:ascii="Arial" w:hAnsi="Arial" w:cs="Arial"/>
                <w:sz w:val="16"/>
                <w:szCs w:val="16"/>
              </w:rPr>
            </w:pPr>
            <w:r w:rsidRPr="00420BB0">
              <w:rPr>
                <w:rFonts w:ascii="Arial" w:hAnsi="Arial" w:cs="Arial"/>
                <w:sz w:val="16"/>
                <w:szCs w:val="16"/>
              </w:rPr>
              <w:t>20,000</w:t>
            </w:r>
          </w:p>
        </w:tc>
        <w:tc>
          <w:tcPr>
            <w:tcW w:w="604" w:type="pct"/>
            <w:tcBorders>
              <w:top w:val="nil"/>
              <w:left w:val="nil"/>
              <w:bottom w:val="nil"/>
              <w:right w:val="nil"/>
            </w:tcBorders>
            <w:shd w:val="clear" w:color="auto" w:fill="auto"/>
            <w:noWrap/>
            <w:vAlign w:val="bottom"/>
            <w:hideMark/>
          </w:tcPr>
          <w:p w14:paraId="26153B2A" w14:textId="1A1CE6B3" w:rsidR="00420BB0" w:rsidRPr="00326BCB" w:rsidRDefault="00420BB0" w:rsidP="00420BB0">
            <w:pPr>
              <w:spacing w:after="0" w:line="240" w:lineRule="auto"/>
              <w:jc w:val="right"/>
              <w:rPr>
                <w:rFonts w:ascii="Arial" w:hAnsi="Arial" w:cs="Arial"/>
                <w:sz w:val="16"/>
                <w:szCs w:val="16"/>
              </w:rPr>
            </w:pPr>
            <w:r w:rsidRPr="00420BB0">
              <w:rPr>
                <w:rFonts w:ascii="Arial" w:hAnsi="Arial" w:cs="Arial"/>
                <w:sz w:val="16"/>
                <w:szCs w:val="16"/>
              </w:rPr>
              <w:t>20,000</w:t>
            </w:r>
          </w:p>
        </w:tc>
        <w:tc>
          <w:tcPr>
            <w:tcW w:w="606" w:type="pct"/>
            <w:tcBorders>
              <w:top w:val="nil"/>
              <w:left w:val="nil"/>
              <w:bottom w:val="nil"/>
              <w:right w:val="nil"/>
            </w:tcBorders>
            <w:shd w:val="clear" w:color="auto" w:fill="auto"/>
            <w:noWrap/>
            <w:vAlign w:val="bottom"/>
            <w:hideMark/>
          </w:tcPr>
          <w:p w14:paraId="178B809F" w14:textId="4B8D2B9C" w:rsidR="00420BB0" w:rsidRPr="00326BCB" w:rsidRDefault="00420BB0" w:rsidP="00420BB0">
            <w:pPr>
              <w:spacing w:after="0" w:line="240" w:lineRule="auto"/>
              <w:jc w:val="right"/>
              <w:rPr>
                <w:rFonts w:ascii="Arial" w:hAnsi="Arial" w:cs="Arial"/>
                <w:sz w:val="16"/>
                <w:szCs w:val="16"/>
              </w:rPr>
            </w:pPr>
            <w:r w:rsidRPr="00420BB0">
              <w:rPr>
                <w:rFonts w:ascii="Arial" w:hAnsi="Arial" w:cs="Arial"/>
                <w:sz w:val="16"/>
                <w:szCs w:val="16"/>
              </w:rPr>
              <w:t>20,000</w:t>
            </w:r>
          </w:p>
        </w:tc>
      </w:tr>
      <w:tr w:rsidR="00420BB0" w:rsidRPr="00326BCB" w14:paraId="162D9E27" w14:textId="77777777" w:rsidTr="00420BB0">
        <w:trPr>
          <w:trHeight w:val="204"/>
        </w:trPr>
        <w:tc>
          <w:tcPr>
            <w:tcW w:w="1938" w:type="pct"/>
            <w:tcBorders>
              <w:top w:val="nil"/>
              <w:left w:val="nil"/>
              <w:bottom w:val="nil"/>
              <w:right w:val="nil"/>
            </w:tcBorders>
            <w:shd w:val="clear" w:color="auto" w:fill="auto"/>
            <w:vAlign w:val="bottom"/>
            <w:hideMark/>
          </w:tcPr>
          <w:p w14:paraId="5D0DA519" w14:textId="77777777" w:rsidR="00420BB0" w:rsidRPr="00326BCB" w:rsidRDefault="00420BB0" w:rsidP="00420BB0">
            <w:pPr>
              <w:spacing w:after="0" w:line="240" w:lineRule="auto"/>
              <w:ind w:left="227"/>
              <w:rPr>
                <w:rFonts w:ascii="Arial" w:hAnsi="Arial" w:cs="Arial"/>
                <w:sz w:val="16"/>
                <w:szCs w:val="16"/>
              </w:rPr>
            </w:pPr>
            <w:r w:rsidRPr="00326BCB">
              <w:rPr>
                <w:rFonts w:ascii="Arial" w:hAnsi="Arial" w:cs="Arial"/>
                <w:sz w:val="16"/>
                <w:szCs w:val="16"/>
              </w:rPr>
              <w:t>Universal Service Obligation</w:t>
            </w:r>
          </w:p>
        </w:tc>
        <w:tc>
          <w:tcPr>
            <w:tcW w:w="645" w:type="pct"/>
            <w:tcBorders>
              <w:top w:val="nil"/>
              <w:left w:val="nil"/>
              <w:bottom w:val="nil"/>
              <w:right w:val="nil"/>
            </w:tcBorders>
            <w:shd w:val="clear" w:color="auto" w:fill="auto"/>
            <w:noWrap/>
            <w:vAlign w:val="bottom"/>
            <w:hideMark/>
          </w:tcPr>
          <w:p w14:paraId="6F839E60" w14:textId="773C0B1B" w:rsidR="00420BB0" w:rsidRPr="00326BCB" w:rsidRDefault="00420BB0" w:rsidP="00420BB0">
            <w:pPr>
              <w:spacing w:after="0" w:line="240" w:lineRule="auto"/>
              <w:jc w:val="right"/>
              <w:rPr>
                <w:rFonts w:ascii="Arial" w:hAnsi="Arial" w:cs="Arial"/>
                <w:sz w:val="16"/>
                <w:szCs w:val="16"/>
              </w:rPr>
            </w:pPr>
            <w:r w:rsidRPr="00420BB0">
              <w:rPr>
                <w:rFonts w:ascii="Arial" w:hAnsi="Arial" w:cs="Arial"/>
                <w:sz w:val="16"/>
                <w:szCs w:val="16"/>
              </w:rPr>
              <w:t>270,000</w:t>
            </w:r>
          </w:p>
        </w:tc>
        <w:tc>
          <w:tcPr>
            <w:tcW w:w="604" w:type="pct"/>
            <w:tcBorders>
              <w:top w:val="nil"/>
              <w:left w:val="nil"/>
              <w:bottom w:val="nil"/>
              <w:right w:val="nil"/>
            </w:tcBorders>
            <w:shd w:val="clear" w:color="000000" w:fill="E6E6E6"/>
            <w:noWrap/>
            <w:vAlign w:val="bottom"/>
            <w:hideMark/>
          </w:tcPr>
          <w:p w14:paraId="275FB11A" w14:textId="1B9005B4" w:rsidR="00420BB0" w:rsidRPr="00326BCB" w:rsidRDefault="00420BB0" w:rsidP="00420BB0">
            <w:pPr>
              <w:spacing w:after="0" w:line="240" w:lineRule="auto"/>
              <w:jc w:val="right"/>
              <w:rPr>
                <w:rFonts w:ascii="Arial" w:hAnsi="Arial" w:cs="Arial"/>
                <w:sz w:val="16"/>
                <w:szCs w:val="16"/>
              </w:rPr>
            </w:pPr>
            <w:r w:rsidRPr="00420BB0">
              <w:rPr>
                <w:rFonts w:ascii="Arial" w:hAnsi="Arial" w:cs="Arial"/>
                <w:sz w:val="16"/>
                <w:szCs w:val="16"/>
              </w:rPr>
              <w:t>270,000</w:t>
            </w:r>
          </w:p>
        </w:tc>
        <w:tc>
          <w:tcPr>
            <w:tcW w:w="604" w:type="pct"/>
            <w:tcBorders>
              <w:top w:val="nil"/>
              <w:left w:val="nil"/>
              <w:bottom w:val="nil"/>
              <w:right w:val="nil"/>
            </w:tcBorders>
            <w:shd w:val="clear" w:color="auto" w:fill="auto"/>
            <w:noWrap/>
            <w:vAlign w:val="bottom"/>
            <w:hideMark/>
          </w:tcPr>
          <w:p w14:paraId="1D19FF66" w14:textId="1148C3C7" w:rsidR="00420BB0" w:rsidRPr="00326BCB" w:rsidRDefault="00420BB0" w:rsidP="00420BB0">
            <w:pPr>
              <w:spacing w:after="0" w:line="240" w:lineRule="auto"/>
              <w:jc w:val="right"/>
              <w:rPr>
                <w:rFonts w:ascii="Arial" w:hAnsi="Arial" w:cs="Arial"/>
                <w:sz w:val="16"/>
                <w:szCs w:val="16"/>
              </w:rPr>
            </w:pPr>
            <w:r w:rsidRPr="00420BB0">
              <w:rPr>
                <w:rFonts w:ascii="Arial" w:hAnsi="Arial" w:cs="Arial"/>
                <w:sz w:val="16"/>
                <w:szCs w:val="16"/>
              </w:rPr>
              <w:t>270,000</w:t>
            </w:r>
          </w:p>
        </w:tc>
        <w:tc>
          <w:tcPr>
            <w:tcW w:w="604" w:type="pct"/>
            <w:tcBorders>
              <w:top w:val="nil"/>
              <w:left w:val="nil"/>
              <w:bottom w:val="nil"/>
              <w:right w:val="nil"/>
            </w:tcBorders>
            <w:shd w:val="clear" w:color="auto" w:fill="auto"/>
            <w:noWrap/>
            <w:vAlign w:val="bottom"/>
            <w:hideMark/>
          </w:tcPr>
          <w:p w14:paraId="0967B470" w14:textId="1113BC00" w:rsidR="00420BB0" w:rsidRPr="00326BCB" w:rsidRDefault="00420BB0" w:rsidP="00420BB0">
            <w:pPr>
              <w:spacing w:after="0" w:line="240" w:lineRule="auto"/>
              <w:jc w:val="right"/>
              <w:rPr>
                <w:rFonts w:ascii="Arial" w:hAnsi="Arial" w:cs="Arial"/>
                <w:sz w:val="16"/>
                <w:szCs w:val="16"/>
              </w:rPr>
            </w:pPr>
            <w:r w:rsidRPr="00420BB0">
              <w:rPr>
                <w:rFonts w:ascii="Arial" w:hAnsi="Arial" w:cs="Arial"/>
                <w:sz w:val="16"/>
                <w:szCs w:val="16"/>
              </w:rPr>
              <w:t>270,000</w:t>
            </w:r>
          </w:p>
        </w:tc>
        <w:tc>
          <w:tcPr>
            <w:tcW w:w="606" w:type="pct"/>
            <w:tcBorders>
              <w:top w:val="nil"/>
              <w:left w:val="nil"/>
              <w:bottom w:val="nil"/>
              <w:right w:val="nil"/>
            </w:tcBorders>
            <w:shd w:val="clear" w:color="auto" w:fill="auto"/>
            <w:noWrap/>
            <w:vAlign w:val="bottom"/>
            <w:hideMark/>
          </w:tcPr>
          <w:p w14:paraId="6A81F1FE" w14:textId="0F707ECE" w:rsidR="00420BB0" w:rsidRPr="00326BCB" w:rsidRDefault="00420BB0" w:rsidP="00420BB0">
            <w:pPr>
              <w:spacing w:after="0" w:line="240" w:lineRule="auto"/>
              <w:jc w:val="right"/>
              <w:rPr>
                <w:rFonts w:ascii="Arial" w:hAnsi="Arial" w:cs="Arial"/>
                <w:sz w:val="16"/>
                <w:szCs w:val="16"/>
              </w:rPr>
            </w:pPr>
            <w:r w:rsidRPr="00420BB0">
              <w:rPr>
                <w:rFonts w:ascii="Arial" w:hAnsi="Arial" w:cs="Arial"/>
                <w:sz w:val="16"/>
                <w:szCs w:val="16"/>
              </w:rPr>
              <w:t>270,000</w:t>
            </w:r>
          </w:p>
        </w:tc>
      </w:tr>
      <w:tr w:rsidR="00420BB0" w:rsidRPr="00326BCB" w14:paraId="37158176" w14:textId="77777777" w:rsidTr="00420BB0">
        <w:trPr>
          <w:trHeight w:val="204"/>
        </w:trPr>
        <w:tc>
          <w:tcPr>
            <w:tcW w:w="1938" w:type="pct"/>
            <w:tcBorders>
              <w:top w:val="nil"/>
              <w:left w:val="nil"/>
              <w:bottom w:val="nil"/>
              <w:right w:val="nil"/>
            </w:tcBorders>
            <w:shd w:val="clear" w:color="auto" w:fill="auto"/>
            <w:vAlign w:val="bottom"/>
            <w:hideMark/>
          </w:tcPr>
          <w:p w14:paraId="6F1901D3" w14:textId="77777777" w:rsidR="00420BB0" w:rsidRPr="00326BCB" w:rsidRDefault="00420BB0" w:rsidP="00420BB0">
            <w:pPr>
              <w:spacing w:after="0" w:line="240" w:lineRule="auto"/>
              <w:ind w:left="227"/>
              <w:rPr>
                <w:rFonts w:ascii="Arial" w:hAnsi="Arial" w:cs="Arial"/>
                <w:sz w:val="16"/>
                <w:szCs w:val="16"/>
              </w:rPr>
            </w:pPr>
            <w:r w:rsidRPr="00326BCB">
              <w:rPr>
                <w:rFonts w:ascii="Arial" w:hAnsi="Arial" w:cs="Arial"/>
                <w:sz w:val="16"/>
                <w:szCs w:val="16"/>
              </w:rPr>
              <w:t>Other Public Interest Services</w:t>
            </w:r>
          </w:p>
        </w:tc>
        <w:tc>
          <w:tcPr>
            <w:tcW w:w="645" w:type="pct"/>
            <w:tcBorders>
              <w:top w:val="nil"/>
              <w:left w:val="nil"/>
              <w:bottom w:val="nil"/>
              <w:right w:val="nil"/>
            </w:tcBorders>
            <w:shd w:val="clear" w:color="auto" w:fill="auto"/>
            <w:noWrap/>
            <w:vAlign w:val="bottom"/>
            <w:hideMark/>
          </w:tcPr>
          <w:p w14:paraId="2D67FCAE" w14:textId="22C62625" w:rsidR="00420BB0" w:rsidRPr="00326BCB" w:rsidRDefault="00420BB0" w:rsidP="00420BB0">
            <w:pPr>
              <w:spacing w:after="0" w:line="240" w:lineRule="auto"/>
              <w:jc w:val="right"/>
              <w:rPr>
                <w:rFonts w:ascii="Arial" w:hAnsi="Arial" w:cs="Arial"/>
                <w:sz w:val="16"/>
                <w:szCs w:val="16"/>
              </w:rPr>
            </w:pPr>
            <w:r w:rsidRPr="00420BB0">
              <w:rPr>
                <w:rFonts w:ascii="Arial" w:hAnsi="Arial" w:cs="Arial"/>
                <w:sz w:val="16"/>
                <w:szCs w:val="16"/>
              </w:rPr>
              <w:t>39,064</w:t>
            </w:r>
          </w:p>
        </w:tc>
        <w:tc>
          <w:tcPr>
            <w:tcW w:w="604" w:type="pct"/>
            <w:tcBorders>
              <w:top w:val="nil"/>
              <w:left w:val="nil"/>
              <w:bottom w:val="nil"/>
              <w:right w:val="nil"/>
            </w:tcBorders>
            <w:shd w:val="clear" w:color="000000" w:fill="E6E6E6"/>
            <w:noWrap/>
            <w:vAlign w:val="bottom"/>
            <w:hideMark/>
          </w:tcPr>
          <w:p w14:paraId="095570F6" w14:textId="1CED6843" w:rsidR="00420BB0" w:rsidRPr="00326BCB" w:rsidRDefault="00420BB0" w:rsidP="00420BB0">
            <w:pPr>
              <w:spacing w:after="0" w:line="240" w:lineRule="auto"/>
              <w:jc w:val="right"/>
              <w:rPr>
                <w:rFonts w:ascii="Arial" w:hAnsi="Arial" w:cs="Arial"/>
                <w:sz w:val="16"/>
                <w:szCs w:val="16"/>
              </w:rPr>
            </w:pPr>
            <w:r w:rsidRPr="00420BB0">
              <w:rPr>
                <w:rFonts w:ascii="Arial" w:hAnsi="Arial" w:cs="Arial"/>
                <w:sz w:val="16"/>
                <w:szCs w:val="16"/>
              </w:rPr>
              <w:t>22,250</w:t>
            </w:r>
          </w:p>
        </w:tc>
        <w:tc>
          <w:tcPr>
            <w:tcW w:w="604" w:type="pct"/>
            <w:tcBorders>
              <w:top w:val="nil"/>
              <w:left w:val="nil"/>
              <w:bottom w:val="nil"/>
              <w:right w:val="nil"/>
            </w:tcBorders>
            <w:shd w:val="clear" w:color="auto" w:fill="auto"/>
            <w:noWrap/>
            <w:vAlign w:val="bottom"/>
            <w:hideMark/>
          </w:tcPr>
          <w:p w14:paraId="2DDB475D" w14:textId="698B537D" w:rsidR="00420BB0" w:rsidRPr="00326BCB" w:rsidRDefault="00420BB0" w:rsidP="00420BB0">
            <w:pPr>
              <w:spacing w:after="0" w:line="240" w:lineRule="auto"/>
              <w:jc w:val="right"/>
              <w:rPr>
                <w:rFonts w:ascii="Arial" w:hAnsi="Arial" w:cs="Arial"/>
                <w:sz w:val="16"/>
                <w:szCs w:val="16"/>
              </w:rPr>
            </w:pPr>
            <w:r w:rsidRPr="00420BB0">
              <w:rPr>
                <w:rFonts w:ascii="Arial" w:hAnsi="Arial" w:cs="Arial"/>
                <w:sz w:val="16"/>
                <w:szCs w:val="16"/>
              </w:rPr>
              <w:t>22,250</w:t>
            </w:r>
          </w:p>
        </w:tc>
        <w:tc>
          <w:tcPr>
            <w:tcW w:w="604" w:type="pct"/>
            <w:tcBorders>
              <w:top w:val="nil"/>
              <w:left w:val="nil"/>
              <w:bottom w:val="nil"/>
              <w:right w:val="nil"/>
            </w:tcBorders>
            <w:shd w:val="clear" w:color="auto" w:fill="auto"/>
            <w:noWrap/>
            <w:vAlign w:val="bottom"/>
            <w:hideMark/>
          </w:tcPr>
          <w:p w14:paraId="504D84E3" w14:textId="50275497" w:rsidR="00420BB0" w:rsidRPr="00326BCB" w:rsidRDefault="00420BB0" w:rsidP="00420BB0">
            <w:pPr>
              <w:spacing w:after="0" w:line="240" w:lineRule="auto"/>
              <w:jc w:val="right"/>
              <w:rPr>
                <w:rFonts w:ascii="Arial" w:hAnsi="Arial" w:cs="Arial"/>
                <w:sz w:val="16"/>
                <w:szCs w:val="16"/>
              </w:rPr>
            </w:pPr>
            <w:r w:rsidRPr="00420BB0">
              <w:rPr>
                <w:rFonts w:ascii="Arial" w:hAnsi="Arial" w:cs="Arial"/>
                <w:sz w:val="16"/>
                <w:szCs w:val="16"/>
              </w:rPr>
              <w:t>22,250</w:t>
            </w:r>
          </w:p>
        </w:tc>
        <w:tc>
          <w:tcPr>
            <w:tcW w:w="606" w:type="pct"/>
            <w:tcBorders>
              <w:top w:val="nil"/>
              <w:left w:val="nil"/>
              <w:bottom w:val="nil"/>
              <w:right w:val="nil"/>
            </w:tcBorders>
            <w:shd w:val="clear" w:color="auto" w:fill="auto"/>
            <w:noWrap/>
            <w:vAlign w:val="bottom"/>
            <w:hideMark/>
          </w:tcPr>
          <w:p w14:paraId="48EFEAF4" w14:textId="5FCF3B8A" w:rsidR="00420BB0" w:rsidRPr="00326BCB" w:rsidRDefault="00420BB0" w:rsidP="00420BB0">
            <w:pPr>
              <w:spacing w:after="0" w:line="240" w:lineRule="auto"/>
              <w:jc w:val="right"/>
              <w:rPr>
                <w:rFonts w:ascii="Arial" w:hAnsi="Arial" w:cs="Arial"/>
                <w:sz w:val="16"/>
                <w:szCs w:val="16"/>
              </w:rPr>
            </w:pPr>
            <w:r w:rsidRPr="00420BB0">
              <w:rPr>
                <w:rFonts w:ascii="Arial" w:hAnsi="Arial" w:cs="Arial"/>
                <w:sz w:val="16"/>
                <w:szCs w:val="16"/>
              </w:rPr>
              <w:t>22,250</w:t>
            </w:r>
          </w:p>
        </w:tc>
      </w:tr>
      <w:tr w:rsidR="00420BB0" w:rsidRPr="00326BCB" w14:paraId="731794DA" w14:textId="77777777" w:rsidTr="00420BB0">
        <w:trPr>
          <w:trHeight w:val="204"/>
        </w:trPr>
        <w:tc>
          <w:tcPr>
            <w:tcW w:w="1938" w:type="pct"/>
            <w:tcBorders>
              <w:top w:val="nil"/>
              <w:left w:val="nil"/>
              <w:bottom w:val="nil"/>
              <w:right w:val="nil"/>
            </w:tcBorders>
            <w:shd w:val="clear" w:color="auto" w:fill="auto"/>
            <w:vAlign w:val="bottom"/>
            <w:hideMark/>
          </w:tcPr>
          <w:p w14:paraId="4F145825" w14:textId="43AE2D77" w:rsidR="00420BB0" w:rsidRPr="00326BCB" w:rsidRDefault="00420BB0" w:rsidP="00420BB0">
            <w:pPr>
              <w:spacing w:after="0" w:line="240" w:lineRule="auto"/>
              <w:rPr>
                <w:rFonts w:ascii="Arial" w:hAnsi="Arial" w:cs="Arial"/>
                <w:sz w:val="16"/>
                <w:szCs w:val="16"/>
              </w:rPr>
            </w:pPr>
            <w:r w:rsidRPr="00326BCB">
              <w:rPr>
                <w:rFonts w:ascii="Arial" w:hAnsi="Arial" w:cs="Arial"/>
                <w:sz w:val="16"/>
                <w:szCs w:val="16"/>
              </w:rPr>
              <w:t>Payments to corporate entities</w:t>
            </w:r>
            <w:r w:rsidRPr="00326BCB">
              <w:rPr>
                <w:rFonts w:ascii="Arial" w:hAnsi="Arial" w:cs="Arial"/>
                <w:sz w:val="16"/>
                <w:szCs w:val="16"/>
                <w:vertAlign w:val="superscript"/>
              </w:rPr>
              <w:t>(</w:t>
            </w:r>
            <w:r w:rsidR="007B5C33">
              <w:rPr>
                <w:rFonts w:ascii="Arial" w:hAnsi="Arial" w:cs="Arial"/>
                <w:sz w:val="16"/>
                <w:szCs w:val="16"/>
                <w:vertAlign w:val="superscript"/>
              </w:rPr>
              <w:t>e</w:t>
            </w:r>
            <w:r w:rsidRPr="00326BCB">
              <w:rPr>
                <w:rFonts w:ascii="Arial" w:hAnsi="Arial" w:cs="Arial"/>
                <w:sz w:val="16"/>
                <w:szCs w:val="16"/>
                <w:vertAlign w:val="superscript"/>
              </w:rPr>
              <w:t>)</w:t>
            </w:r>
          </w:p>
        </w:tc>
        <w:tc>
          <w:tcPr>
            <w:tcW w:w="645" w:type="pct"/>
            <w:tcBorders>
              <w:top w:val="nil"/>
              <w:left w:val="nil"/>
              <w:bottom w:val="nil"/>
              <w:right w:val="nil"/>
            </w:tcBorders>
            <w:shd w:val="clear" w:color="auto" w:fill="auto"/>
            <w:noWrap/>
            <w:vAlign w:val="bottom"/>
            <w:hideMark/>
          </w:tcPr>
          <w:p w14:paraId="5A8659D5" w14:textId="77777777" w:rsidR="00420BB0" w:rsidRPr="00326BCB" w:rsidRDefault="00420BB0" w:rsidP="00420BB0">
            <w:pPr>
              <w:spacing w:after="0" w:line="240" w:lineRule="auto"/>
              <w:ind w:firstLineChars="100" w:firstLine="160"/>
              <w:jc w:val="right"/>
              <w:rPr>
                <w:rFonts w:ascii="Arial" w:hAnsi="Arial" w:cs="Arial"/>
                <w:sz w:val="16"/>
                <w:szCs w:val="16"/>
              </w:rPr>
            </w:pPr>
          </w:p>
        </w:tc>
        <w:tc>
          <w:tcPr>
            <w:tcW w:w="604" w:type="pct"/>
            <w:tcBorders>
              <w:top w:val="nil"/>
              <w:left w:val="nil"/>
              <w:bottom w:val="nil"/>
              <w:right w:val="nil"/>
            </w:tcBorders>
            <w:shd w:val="clear" w:color="000000" w:fill="E6E6E6"/>
            <w:noWrap/>
            <w:vAlign w:val="bottom"/>
            <w:hideMark/>
          </w:tcPr>
          <w:p w14:paraId="6F312AC6" w14:textId="13E36A0C" w:rsidR="00420BB0" w:rsidRPr="00326BCB" w:rsidRDefault="00420BB0" w:rsidP="00420BB0">
            <w:pPr>
              <w:spacing w:after="0" w:line="240" w:lineRule="auto"/>
              <w:jc w:val="right"/>
              <w:rPr>
                <w:rFonts w:ascii="Arial" w:hAnsi="Arial" w:cs="Arial"/>
                <w:sz w:val="16"/>
                <w:szCs w:val="16"/>
              </w:rPr>
            </w:pPr>
          </w:p>
        </w:tc>
        <w:tc>
          <w:tcPr>
            <w:tcW w:w="604" w:type="pct"/>
            <w:tcBorders>
              <w:top w:val="nil"/>
              <w:left w:val="nil"/>
              <w:bottom w:val="nil"/>
              <w:right w:val="nil"/>
            </w:tcBorders>
            <w:shd w:val="clear" w:color="auto" w:fill="auto"/>
            <w:noWrap/>
            <w:vAlign w:val="bottom"/>
            <w:hideMark/>
          </w:tcPr>
          <w:p w14:paraId="4C42EB6F" w14:textId="77777777" w:rsidR="00420BB0" w:rsidRPr="00326BCB" w:rsidRDefault="00420BB0" w:rsidP="00420BB0">
            <w:pPr>
              <w:spacing w:after="0" w:line="240" w:lineRule="auto"/>
              <w:jc w:val="right"/>
              <w:rPr>
                <w:rFonts w:ascii="Arial" w:hAnsi="Arial" w:cs="Arial"/>
                <w:sz w:val="16"/>
                <w:szCs w:val="16"/>
              </w:rPr>
            </w:pPr>
          </w:p>
        </w:tc>
        <w:tc>
          <w:tcPr>
            <w:tcW w:w="604" w:type="pct"/>
            <w:tcBorders>
              <w:top w:val="nil"/>
              <w:left w:val="nil"/>
              <w:bottom w:val="nil"/>
              <w:right w:val="nil"/>
            </w:tcBorders>
            <w:shd w:val="clear" w:color="auto" w:fill="auto"/>
            <w:noWrap/>
            <w:vAlign w:val="bottom"/>
            <w:hideMark/>
          </w:tcPr>
          <w:p w14:paraId="3E4EE4C1" w14:textId="77777777" w:rsidR="00420BB0" w:rsidRPr="00326BCB" w:rsidRDefault="00420BB0" w:rsidP="00420BB0">
            <w:pPr>
              <w:spacing w:after="0" w:line="240" w:lineRule="auto"/>
              <w:jc w:val="right"/>
              <w:rPr>
                <w:rFonts w:ascii="Times New Roman" w:hAnsi="Times New Roman"/>
              </w:rPr>
            </w:pPr>
          </w:p>
        </w:tc>
        <w:tc>
          <w:tcPr>
            <w:tcW w:w="606" w:type="pct"/>
            <w:tcBorders>
              <w:top w:val="nil"/>
              <w:left w:val="nil"/>
              <w:bottom w:val="nil"/>
              <w:right w:val="nil"/>
            </w:tcBorders>
            <w:shd w:val="clear" w:color="auto" w:fill="auto"/>
            <w:noWrap/>
            <w:vAlign w:val="bottom"/>
            <w:hideMark/>
          </w:tcPr>
          <w:p w14:paraId="73AA9B60" w14:textId="77777777" w:rsidR="00420BB0" w:rsidRPr="00326BCB" w:rsidRDefault="00420BB0" w:rsidP="00420BB0">
            <w:pPr>
              <w:spacing w:after="0" w:line="240" w:lineRule="auto"/>
              <w:jc w:val="right"/>
              <w:rPr>
                <w:rFonts w:ascii="Times New Roman" w:hAnsi="Times New Roman"/>
              </w:rPr>
            </w:pPr>
          </w:p>
        </w:tc>
      </w:tr>
      <w:tr w:rsidR="00420BB0" w:rsidRPr="00326BCB" w14:paraId="426F8819" w14:textId="77777777" w:rsidTr="00420BB0">
        <w:trPr>
          <w:trHeight w:val="204"/>
        </w:trPr>
        <w:tc>
          <w:tcPr>
            <w:tcW w:w="1938" w:type="pct"/>
            <w:tcBorders>
              <w:top w:val="nil"/>
              <w:left w:val="nil"/>
              <w:bottom w:val="nil"/>
              <w:right w:val="nil"/>
            </w:tcBorders>
            <w:shd w:val="clear" w:color="auto" w:fill="auto"/>
            <w:vAlign w:val="bottom"/>
            <w:hideMark/>
          </w:tcPr>
          <w:p w14:paraId="6AB66D72" w14:textId="77777777" w:rsidR="00420BB0" w:rsidRPr="00326BCB" w:rsidRDefault="00420BB0" w:rsidP="00420BB0">
            <w:pPr>
              <w:spacing w:after="0" w:line="240" w:lineRule="auto"/>
              <w:ind w:left="227"/>
              <w:rPr>
                <w:rFonts w:ascii="Arial" w:hAnsi="Arial" w:cs="Arial"/>
                <w:sz w:val="16"/>
                <w:szCs w:val="16"/>
              </w:rPr>
            </w:pPr>
            <w:r w:rsidRPr="00326BCB">
              <w:rPr>
                <w:rFonts w:ascii="Arial" w:hAnsi="Arial" w:cs="Arial"/>
                <w:sz w:val="16"/>
                <w:szCs w:val="16"/>
              </w:rPr>
              <w:t>Australian Broadcasting Corporation</w:t>
            </w:r>
          </w:p>
        </w:tc>
        <w:tc>
          <w:tcPr>
            <w:tcW w:w="645" w:type="pct"/>
            <w:tcBorders>
              <w:top w:val="nil"/>
              <w:left w:val="nil"/>
              <w:bottom w:val="nil"/>
              <w:right w:val="nil"/>
            </w:tcBorders>
            <w:shd w:val="clear" w:color="auto" w:fill="auto"/>
            <w:noWrap/>
            <w:vAlign w:val="bottom"/>
            <w:hideMark/>
          </w:tcPr>
          <w:p w14:paraId="7391B129" w14:textId="319C92DE" w:rsidR="00420BB0" w:rsidRPr="00326BCB" w:rsidRDefault="00420BB0" w:rsidP="00420BB0">
            <w:pPr>
              <w:spacing w:after="0" w:line="240" w:lineRule="auto"/>
              <w:jc w:val="right"/>
              <w:rPr>
                <w:rFonts w:ascii="Arial" w:hAnsi="Arial" w:cs="Arial"/>
                <w:sz w:val="16"/>
                <w:szCs w:val="16"/>
              </w:rPr>
            </w:pPr>
            <w:r w:rsidRPr="00420BB0">
              <w:rPr>
                <w:rFonts w:ascii="Arial" w:hAnsi="Arial" w:cs="Arial"/>
                <w:sz w:val="16"/>
                <w:szCs w:val="16"/>
              </w:rPr>
              <w:t>1,107,158</w:t>
            </w:r>
          </w:p>
        </w:tc>
        <w:tc>
          <w:tcPr>
            <w:tcW w:w="604" w:type="pct"/>
            <w:tcBorders>
              <w:top w:val="nil"/>
              <w:left w:val="nil"/>
              <w:bottom w:val="nil"/>
              <w:right w:val="nil"/>
            </w:tcBorders>
            <w:shd w:val="clear" w:color="000000" w:fill="E6E6E6"/>
            <w:noWrap/>
            <w:vAlign w:val="bottom"/>
            <w:hideMark/>
          </w:tcPr>
          <w:p w14:paraId="374670AD" w14:textId="498C3D6E" w:rsidR="00420BB0" w:rsidRPr="00326BCB" w:rsidRDefault="00420BB0" w:rsidP="00420BB0">
            <w:pPr>
              <w:spacing w:after="0" w:line="240" w:lineRule="auto"/>
              <w:jc w:val="right"/>
              <w:rPr>
                <w:rFonts w:ascii="Arial" w:hAnsi="Arial" w:cs="Arial"/>
                <w:sz w:val="16"/>
                <w:szCs w:val="16"/>
              </w:rPr>
            </w:pPr>
            <w:r w:rsidRPr="00420BB0">
              <w:rPr>
                <w:rFonts w:ascii="Arial" w:hAnsi="Arial" w:cs="Arial"/>
                <w:sz w:val="16"/>
                <w:szCs w:val="16"/>
              </w:rPr>
              <w:t>1,137,568</w:t>
            </w:r>
          </w:p>
        </w:tc>
        <w:tc>
          <w:tcPr>
            <w:tcW w:w="604" w:type="pct"/>
            <w:tcBorders>
              <w:top w:val="nil"/>
              <w:left w:val="nil"/>
              <w:bottom w:val="nil"/>
              <w:right w:val="nil"/>
            </w:tcBorders>
            <w:shd w:val="clear" w:color="auto" w:fill="auto"/>
            <w:noWrap/>
            <w:vAlign w:val="bottom"/>
            <w:hideMark/>
          </w:tcPr>
          <w:p w14:paraId="245D5D37" w14:textId="1D7BEEC8" w:rsidR="00420BB0" w:rsidRPr="00326BCB" w:rsidRDefault="00420BB0" w:rsidP="00420BB0">
            <w:pPr>
              <w:spacing w:after="0" w:line="240" w:lineRule="auto"/>
              <w:jc w:val="right"/>
              <w:rPr>
                <w:rFonts w:ascii="Arial" w:hAnsi="Arial" w:cs="Arial"/>
                <w:sz w:val="16"/>
                <w:szCs w:val="16"/>
              </w:rPr>
            </w:pPr>
            <w:r w:rsidRPr="00420BB0">
              <w:rPr>
                <w:rFonts w:ascii="Arial" w:hAnsi="Arial" w:cs="Arial"/>
                <w:sz w:val="16"/>
                <w:szCs w:val="16"/>
              </w:rPr>
              <w:t>1,196,101</w:t>
            </w:r>
          </w:p>
        </w:tc>
        <w:tc>
          <w:tcPr>
            <w:tcW w:w="604" w:type="pct"/>
            <w:tcBorders>
              <w:top w:val="nil"/>
              <w:left w:val="nil"/>
              <w:bottom w:val="nil"/>
              <w:right w:val="nil"/>
            </w:tcBorders>
            <w:shd w:val="clear" w:color="auto" w:fill="auto"/>
            <w:noWrap/>
            <w:vAlign w:val="bottom"/>
            <w:hideMark/>
          </w:tcPr>
          <w:p w14:paraId="2CCDBB95" w14:textId="07B0B1EC" w:rsidR="00420BB0" w:rsidRPr="00326BCB" w:rsidRDefault="00420BB0" w:rsidP="00420BB0">
            <w:pPr>
              <w:spacing w:after="0" w:line="240" w:lineRule="auto"/>
              <w:jc w:val="right"/>
              <w:rPr>
                <w:rFonts w:ascii="Arial" w:hAnsi="Arial" w:cs="Arial"/>
                <w:sz w:val="16"/>
                <w:szCs w:val="16"/>
              </w:rPr>
            </w:pPr>
            <w:r w:rsidRPr="00420BB0">
              <w:rPr>
                <w:rFonts w:ascii="Arial" w:hAnsi="Arial" w:cs="Arial"/>
                <w:sz w:val="16"/>
                <w:szCs w:val="16"/>
              </w:rPr>
              <w:t>1,229,215</w:t>
            </w:r>
          </w:p>
        </w:tc>
        <w:tc>
          <w:tcPr>
            <w:tcW w:w="606" w:type="pct"/>
            <w:tcBorders>
              <w:top w:val="nil"/>
              <w:left w:val="nil"/>
              <w:bottom w:val="nil"/>
              <w:right w:val="nil"/>
            </w:tcBorders>
            <w:shd w:val="clear" w:color="auto" w:fill="auto"/>
            <w:noWrap/>
            <w:vAlign w:val="bottom"/>
            <w:hideMark/>
          </w:tcPr>
          <w:p w14:paraId="6BA20A3C" w14:textId="292E52A7" w:rsidR="00420BB0" w:rsidRPr="00326BCB" w:rsidRDefault="00420BB0" w:rsidP="00420BB0">
            <w:pPr>
              <w:spacing w:after="0" w:line="240" w:lineRule="auto"/>
              <w:jc w:val="right"/>
              <w:rPr>
                <w:rFonts w:ascii="Arial" w:hAnsi="Arial" w:cs="Arial"/>
                <w:sz w:val="16"/>
                <w:szCs w:val="16"/>
              </w:rPr>
            </w:pPr>
            <w:r w:rsidRPr="00420BB0">
              <w:rPr>
                <w:rFonts w:ascii="Arial" w:hAnsi="Arial" w:cs="Arial"/>
                <w:sz w:val="16"/>
                <w:szCs w:val="16"/>
              </w:rPr>
              <w:t>1,227,626</w:t>
            </w:r>
          </w:p>
        </w:tc>
      </w:tr>
      <w:tr w:rsidR="00420BB0" w:rsidRPr="00326BCB" w14:paraId="36EFD2F0" w14:textId="77777777" w:rsidTr="00420BB0">
        <w:trPr>
          <w:trHeight w:val="204"/>
        </w:trPr>
        <w:tc>
          <w:tcPr>
            <w:tcW w:w="1938" w:type="pct"/>
            <w:tcBorders>
              <w:top w:val="nil"/>
              <w:left w:val="nil"/>
              <w:bottom w:val="nil"/>
              <w:right w:val="nil"/>
            </w:tcBorders>
            <w:shd w:val="clear" w:color="auto" w:fill="auto"/>
            <w:vAlign w:val="bottom"/>
            <w:hideMark/>
          </w:tcPr>
          <w:p w14:paraId="4BC4FAED" w14:textId="77777777" w:rsidR="00420BB0" w:rsidRPr="00326BCB" w:rsidRDefault="00420BB0" w:rsidP="00420BB0">
            <w:pPr>
              <w:spacing w:after="0" w:line="240" w:lineRule="auto"/>
              <w:ind w:left="227"/>
              <w:rPr>
                <w:rFonts w:ascii="Arial" w:hAnsi="Arial" w:cs="Arial"/>
                <w:sz w:val="16"/>
                <w:szCs w:val="16"/>
              </w:rPr>
            </w:pPr>
            <w:r w:rsidRPr="00326BCB">
              <w:rPr>
                <w:rFonts w:ascii="Arial" w:hAnsi="Arial" w:cs="Arial"/>
                <w:sz w:val="16"/>
                <w:szCs w:val="16"/>
              </w:rPr>
              <w:t>Special Broadcasting Service Corporation</w:t>
            </w:r>
          </w:p>
        </w:tc>
        <w:tc>
          <w:tcPr>
            <w:tcW w:w="645" w:type="pct"/>
            <w:tcBorders>
              <w:top w:val="nil"/>
              <w:left w:val="nil"/>
              <w:bottom w:val="single" w:sz="4" w:space="0" w:color="auto"/>
              <w:right w:val="nil"/>
            </w:tcBorders>
            <w:shd w:val="clear" w:color="auto" w:fill="auto"/>
            <w:noWrap/>
            <w:vAlign w:val="bottom"/>
            <w:hideMark/>
          </w:tcPr>
          <w:p w14:paraId="5EDB39C0" w14:textId="4BC91D62" w:rsidR="00420BB0" w:rsidRPr="00326BCB" w:rsidRDefault="00420BB0" w:rsidP="00420BB0">
            <w:pPr>
              <w:spacing w:after="0" w:line="240" w:lineRule="auto"/>
              <w:jc w:val="right"/>
              <w:rPr>
                <w:rFonts w:ascii="Arial" w:hAnsi="Arial" w:cs="Arial"/>
                <w:sz w:val="16"/>
                <w:szCs w:val="16"/>
              </w:rPr>
            </w:pPr>
            <w:r w:rsidRPr="00420BB0">
              <w:rPr>
                <w:rFonts w:ascii="Arial" w:hAnsi="Arial" w:cs="Arial"/>
                <w:sz w:val="16"/>
                <w:szCs w:val="16"/>
              </w:rPr>
              <w:t>316,805</w:t>
            </w:r>
          </w:p>
        </w:tc>
        <w:tc>
          <w:tcPr>
            <w:tcW w:w="604" w:type="pct"/>
            <w:tcBorders>
              <w:top w:val="nil"/>
              <w:left w:val="nil"/>
              <w:bottom w:val="single" w:sz="4" w:space="0" w:color="auto"/>
              <w:right w:val="nil"/>
            </w:tcBorders>
            <w:shd w:val="clear" w:color="000000" w:fill="E6E6E6"/>
            <w:noWrap/>
            <w:vAlign w:val="bottom"/>
            <w:hideMark/>
          </w:tcPr>
          <w:p w14:paraId="1B436AEC" w14:textId="28E7C92C" w:rsidR="00420BB0" w:rsidRPr="00326BCB" w:rsidRDefault="00420BB0" w:rsidP="00420BB0">
            <w:pPr>
              <w:spacing w:after="0" w:line="240" w:lineRule="auto"/>
              <w:jc w:val="right"/>
              <w:rPr>
                <w:rFonts w:ascii="Arial" w:hAnsi="Arial" w:cs="Arial"/>
                <w:sz w:val="16"/>
                <w:szCs w:val="16"/>
              </w:rPr>
            </w:pPr>
            <w:r w:rsidRPr="00420BB0">
              <w:rPr>
                <w:rFonts w:ascii="Arial" w:hAnsi="Arial" w:cs="Arial"/>
                <w:sz w:val="16"/>
                <w:szCs w:val="16"/>
              </w:rPr>
              <w:t>334,939</w:t>
            </w:r>
          </w:p>
        </w:tc>
        <w:tc>
          <w:tcPr>
            <w:tcW w:w="604" w:type="pct"/>
            <w:tcBorders>
              <w:top w:val="nil"/>
              <w:left w:val="nil"/>
              <w:bottom w:val="nil"/>
              <w:right w:val="nil"/>
            </w:tcBorders>
            <w:shd w:val="clear" w:color="auto" w:fill="auto"/>
            <w:noWrap/>
            <w:vAlign w:val="bottom"/>
            <w:hideMark/>
          </w:tcPr>
          <w:p w14:paraId="04698FFE" w14:textId="06AF61FC" w:rsidR="00420BB0" w:rsidRPr="00326BCB" w:rsidRDefault="00420BB0" w:rsidP="00420BB0">
            <w:pPr>
              <w:spacing w:after="0" w:line="240" w:lineRule="auto"/>
              <w:jc w:val="right"/>
              <w:rPr>
                <w:rFonts w:ascii="Arial" w:hAnsi="Arial" w:cs="Arial"/>
                <w:sz w:val="16"/>
                <w:szCs w:val="16"/>
              </w:rPr>
            </w:pPr>
            <w:r w:rsidRPr="00420BB0">
              <w:rPr>
                <w:rFonts w:ascii="Arial" w:hAnsi="Arial" w:cs="Arial"/>
                <w:sz w:val="16"/>
                <w:szCs w:val="16"/>
              </w:rPr>
              <w:t>348,352</w:t>
            </w:r>
          </w:p>
        </w:tc>
        <w:tc>
          <w:tcPr>
            <w:tcW w:w="604" w:type="pct"/>
            <w:tcBorders>
              <w:top w:val="nil"/>
              <w:left w:val="nil"/>
              <w:bottom w:val="nil"/>
              <w:right w:val="nil"/>
            </w:tcBorders>
            <w:shd w:val="clear" w:color="auto" w:fill="auto"/>
            <w:noWrap/>
            <w:vAlign w:val="bottom"/>
            <w:hideMark/>
          </w:tcPr>
          <w:p w14:paraId="60C5B5D9" w14:textId="152EC6E7" w:rsidR="00420BB0" w:rsidRPr="00326BCB" w:rsidRDefault="00420BB0" w:rsidP="00420BB0">
            <w:pPr>
              <w:spacing w:after="0" w:line="240" w:lineRule="auto"/>
              <w:jc w:val="right"/>
              <w:rPr>
                <w:rFonts w:ascii="Arial" w:hAnsi="Arial" w:cs="Arial"/>
                <w:sz w:val="16"/>
                <w:szCs w:val="16"/>
              </w:rPr>
            </w:pPr>
            <w:r w:rsidRPr="00420BB0">
              <w:rPr>
                <w:rFonts w:ascii="Arial" w:hAnsi="Arial" w:cs="Arial"/>
                <w:sz w:val="16"/>
                <w:szCs w:val="16"/>
              </w:rPr>
              <w:t>356,638</w:t>
            </w:r>
          </w:p>
        </w:tc>
        <w:tc>
          <w:tcPr>
            <w:tcW w:w="606" w:type="pct"/>
            <w:tcBorders>
              <w:top w:val="nil"/>
              <w:left w:val="nil"/>
              <w:bottom w:val="nil"/>
              <w:right w:val="nil"/>
            </w:tcBorders>
            <w:shd w:val="clear" w:color="auto" w:fill="auto"/>
            <w:noWrap/>
            <w:vAlign w:val="bottom"/>
            <w:hideMark/>
          </w:tcPr>
          <w:p w14:paraId="1BDE36FA" w14:textId="68983090" w:rsidR="00420BB0" w:rsidRPr="00326BCB" w:rsidRDefault="00420BB0" w:rsidP="00420BB0">
            <w:pPr>
              <w:spacing w:after="0" w:line="240" w:lineRule="auto"/>
              <w:jc w:val="right"/>
              <w:rPr>
                <w:rFonts w:ascii="Arial" w:hAnsi="Arial" w:cs="Arial"/>
                <w:sz w:val="16"/>
                <w:szCs w:val="16"/>
              </w:rPr>
            </w:pPr>
            <w:r w:rsidRPr="00420BB0">
              <w:rPr>
                <w:rFonts w:ascii="Arial" w:hAnsi="Arial" w:cs="Arial"/>
                <w:sz w:val="16"/>
                <w:szCs w:val="16"/>
              </w:rPr>
              <w:t>364,816</w:t>
            </w:r>
          </w:p>
        </w:tc>
      </w:tr>
      <w:tr w:rsidR="00420BB0" w:rsidRPr="00326BCB" w14:paraId="4F1CFAB8" w14:textId="77777777" w:rsidTr="00420BB0">
        <w:trPr>
          <w:trHeight w:val="204"/>
        </w:trPr>
        <w:tc>
          <w:tcPr>
            <w:tcW w:w="1938" w:type="pct"/>
            <w:tcBorders>
              <w:top w:val="nil"/>
              <w:left w:val="nil"/>
              <w:bottom w:val="single" w:sz="4" w:space="0" w:color="auto"/>
              <w:right w:val="nil"/>
            </w:tcBorders>
            <w:shd w:val="clear" w:color="auto" w:fill="auto"/>
            <w:noWrap/>
            <w:vAlign w:val="bottom"/>
            <w:hideMark/>
          </w:tcPr>
          <w:p w14:paraId="297C0AEB" w14:textId="77777777" w:rsidR="00420BB0" w:rsidRPr="00326BCB" w:rsidRDefault="00420BB0" w:rsidP="00420BB0">
            <w:pPr>
              <w:spacing w:after="0" w:line="240" w:lineRule="auto"/>
              <w:rPr>
                <w:rFonts w:ascii="Arial" w:hAnsi="Arial" w:cs="Arial"/>
                <w:b/>
                <w:bCs/>
                <w:sz w:val="16"/>
                <w:szCs w:val="16"/>
              </w:rPr>
            </w:pPr>
            <w:r w:rsidRPr="00326BCB">
              <w:rPr>
                <w:rFonts w:ascii="Arial" w:hAnsi="Arial" w:cs="Arial"/>
                <w:b/>
                <w:bCs/>
                <w:sz w:val="16"/>
                <w:szCs w:val="16"/>
              </w:rPr>
              <w:t>Total expenses for Program 5.1</w:t>
            </w:r>
          </w:p>
        </w:tc>
        <w:tc>
          <w:tcPr>
            <w:tcW w:w="645" w:type="pct"/>
            <w:tcBorders>
              <w:top w:val="single" w:sz="4" w:space="0" w:color="auto"/>
              <w:left w:val="nil"/>
              <w:bottom w:val="single" w:sz="4" w:space="0" w:color="auto"/>
              <w:right w:val="nil"/>
            </w:tcBorders>
            <w:shd w:val="clear" w:color="auto" w:fill="auto"/>
            <w:noWrap/>
            <w:vAlign w:val="bottom"/>
            <w:hideMark/>
          </w:tcPr>
          <w:p w14:paraId="16BBA906" w14:textId="62375D67" w:rsidR="00420BB0" w:rsidRPr="00326BCB" w:rsidRDefault="00420BB0" w:rsidP="00420BB0">
            <w:pPr>
              <w:spacing w:after="0" w:line="240" w:lineRule="auto"/>
              <w:jc w:val="right"/>
              <w:rPr>
                <w:rFonts w:ascii="Arial" w:hAnsi="Arial" w:cs="Arial"/>
                <w:b/>
                <w:bCs/>
                <w:sz w:val="16"/>
                <w:szCs w:val="16"/>
              </w:rPr>
            </w:pPr>
            <w:r w:rsidRPr="00420BB0">
              <w:rPr>
                <w:rFonts w:ascii="Arial" w:hAnsi="Arial" w:cs="Arial"/>
                <w:b/>
                <w:bCs/>
                <w:sz w:val="16"/>
                <w:szCs w:val="16"/>
              </w:rPr>
              <w:t>2,777,817</w:t>
            </w:r>
          </w:p>
        </w:tc>
        <w:tc>
          <w:tcPr>
            <w:tcW w:w="604" w:type="pct"/>
            <w:tcBorders>
              <w:top w:val="single" w:sz="4" w:space="0" w:color="auto"/>
              <w:left w:val="nil"/>
              <w:bottom w:val="single" w:sz="4" w:space="0" w:color="auto"/>
              <w:right w:val="nil"/>
            </w:tcBorders>
            <w:shd w:val="clear" w:color="000000" w:fill="E6E6E6"/>
            <w:noWrap/>
            <w:vAlign w:val="bottom"/>
            <w:hideMark/>
          </w:tcPr>
          <w:p w14:paraId="385001E1" w14:textId="07DE3972" w:rsidR="00420BB0" w:rsidRPr="00326BCB" w:rsidRDefault="00420BB0" w:rsidP="00420BB0">
            <w:pPr>
              <w:spacing w:after="0" w:line="240" w:lineRule="auto"/>
              <w:jc w:val="right"/>
              <w:rPr>
                <w:rFonts w:ascii="Arial" w:hAnsi="Arial" w:cs="Arial"/>
                <w:b/>
                <w:bCs/>
                <w:sz w:val="16"/>
                <w:szCs w:val="16"/>
              </w:rPr>
            </w:pPr>
            <w:r w:rsidRPr="00420BB0">
              <w:rPr>
                <w:rFonts w:ascii="Arial" w:hAnsi="Arial" w:cs="Arial"/>
                <w:b/>
                <w:bCs/>
                <w:sz w:val="16"/>
                <w:szCs w:val="16"/>
              </w:rPr>
              <w:t>3,038,236</w:t>
            </w:r>
          </w:p>
        </w:tc>
        <w:tc>
          <w:tcPr>
            <w:tcW w:w="604" w:type="pct"/>
            <w:tcBorders>
              <w:top w:val="single" w:sz="4" w:space="0" w:color="auto"/>
              <w:left w:val="nil"/>
              <w:bottom w:val="single" w:sz="4" w:space="0" w:color="auto"/>
              <w:right w:val="nil"/>
            </w:tcBorders>
            <w:shd w:val="clear" w:color="auto" w:fill="auto"/>
            <w:noWrap/>
            <w:vAlign w:val="bottom"/>
            <w:hideMark/>
          </w:tcPr>
          <w:p w14:paraId="7064DF24" w14:textId="24493C20" w:rsidR="00420BB0" w:rsidRPr="00326BCB" w:rsidRDefault="00420BB0" w:rsidP="00420BB0">
            <w:pPr>
              <w:spacing w:after="0" w:line="240" w:lineRule="auto"/>
              <w:jc w:val="right"/>
              <w:rPr>
                <w:rFonts w:ascii="Arial" w:hAnsi="Arial" w:cs="Arial"/>
                <w:b/>
                <w:bCs/>
                <w:sz w:val="16"/>
                <w:szCs w:val="16"/>
              </w:rPr>
            </w:pPr>
            <w:r w:rsidRPr="00420BB0">
              <w:rPr>
                <w:rFonts w:ascii="Arial" w:hAnsi="Arial" w:cs="Arial"/>
                <w:b/>
                <w:bCs/>
                <w:sz w:val="16"/>
                <w:szCs w:val="16"/>
              </w:rPr>
              <w:t>2,955,188</w:t>
            </w:r>
          </w:p>
        </w:tc>
        <w:tc>
          <w:tcPr>
            <w:tcW w:w="604" w:type="pct"/>
            <w:tcBorders>
              <w:top w:val="single" w:sz="4" w:space="0" w:color="auto"/>
              <w:left w:val="nil"/>
              <w:bottom w:val="single" w:sz="4" w:space="0" w:color="auto"/>
              <w:right w:val="nil"/>
            </w:tcBorders>
            <w:shd w:val="clear" w:color="auto" w:fill="auto"/>
            <w:noWrap/>
            <w:vAlign w:val="bottom"/>
            <w:hideMark/>
          </w:tcPr>
          <w:p w14:paraId="68D15014" w14:textId="5F92CDC4" w:rsidR="00420BB0" w:rsidRPr="00326BCB" w:rsidRDefault="00420BB0" w:rsidP="00420BB0">
            <w:pPr>
              <w:spacing w:after="0" w:line="240" w:lineRule="auto"/>
              <w:jc w:val="right"/>
              <w:rPr>
                <w:rFonts w:ascii="Arial" w:hAnsi="Arial" w:cs="Arial"/>
                <w:b/>
                <w:bCs/>
                <w:sz w:val="16"/>
                <w:szCs w:val="16"/>
              </w:rPr>
            </w:pPr>
            <w:r w:rsidRPr="00420BB0">
              <w:rPr>
                <w:rFonts w:ascii="Arial" w:hAnsi="Arial" w:cs="Arial"/>
                <w:b/>
                <w:bCs/>
                <w:sz w:val="16"/>
                <w:szCs w:val="16"/>
              </w:rPr>
              <w:t>2,964,855</w:t>
            </w:r>
          </w:p>
        </w:tc>
        <w:tc>
          <w:tcPr>
            <w:tcW w:w="606" w:type="pct"/>
            <w:tcBorders>
              <w:top w:val="single" w:sz="4" w:space="0" w:color="auto"/>
              <w:left w:val="nil"/>
              <w:bottom w:val="single" w:sz="4" w:space="0" w:color="auto"/>
              <w:right w:val="nil"/>
            </w:tcBorders>
            <w:shd w:val="clear" w:color="auto" w:fill="auto"/>
            <w:noWrap/>
            <w:vAlign w:val="bottom"/>
            <w:hideMark/>
          </w:tcPr>
          <w:p w14:paraId="40F9ED9A" w14:textId="1F2EC260" w:rsidR="00420BB0" w:rsidRPr="00326BCB" w:rsidRDefault="00420BB0" w:rsidP="00420BB0">
            <w:pPr>
              <w:spacing w:after="0" w:line="240" w:lineRule="auto"/>
              <w:jc w:val="right"/>
              <w:rPr>
                <w:rFonts w:ascii="Arial" w:hAnsi="Arial" w:cs="Arial"/>
                <w:b/>
                <w:bCs/>
                <w:sz w:val="16"/>
                <w:szCs w:val="16"/>
              </w:rPr>
            </w:pPr>
            <w:r w:rsidRPr="00420BB0">
              <w:rPr>
                <w:rFonts w:ascii="Arial" w:hAnsi="Arial" w:cs="Arial"/>
                <w:b/>
                <w:bCs/>
                <w:sz w:val="16"/>
                <w:szCs w:val="16"/>
              </w:rPr>
              <w:t>2,948,929</w:t>
            </w:r>
          </w:p>
        </w:tc>
      </w:tr>
    </w:tbl>
    <w:p w14:paraId="4A33CF61" w14:textId="39E5C27F" w:rsidR="00047A4C" w:rsidRDefault="00047A4C" w:rsidP="00047A4C">
      <w:pPr>
        <w:spacing w:before="60" w:after="0"/>
        <w:rPr>
          <w:rFonts w:ascii="Arial" w:hAnsi="Arial" w:cs="Arial"/>
          <w:sz w:val="16"/>
        </w:rPr>
      </w:pPr>
      <w:r>
        <w:rPr>
          <w:rFonts w:ascii="Arial" w:hAnsi="Arial" w:cs="Arial"/>
          <w:sz w:val="16"/>
        </w:rPr>
        <w:t>Table has been prepared inclusive of 2022-23 Additional Estimates figures.</w:t>
      </w:r>
    </w:p>
    <w:p w14:paraId="679D34D1" w14:textId="6993340A" w:rsidR="000F0C9E" w:rsidRDefault="002C4C51" w:rsidP="00977C28">
      <w:pPr>
        <w:pStyle w:val="ListParagraph"/>
        <w:numPr>
          <w:ilvl w:val="0"/>
          <w:numId w:val="113"/>
        </w:numPr>
        <w:spacing w:after="0" w:line="240" w:lineRule="auto"/>
        <w:ind w:left="426" w:hanging="426"/>
        <w:rPr>
          <w:rFonts w:ascii="Arial" w:hAnsi="Arial" w:cs="Arial"/>
          <w:sz w:val="16"/>
        </w:rPr>
      </w:pPr>
      <w:r w:rsidRPr="002C4C51">
        <w:rPr>
          <w:rFonts w:ascii="Arial" w:hAnsi="Arial" w:cs="Arial"/>
          <w:sz w:val="16"/>
        </w:rPr>
        <w:t>Includes funding for the Mobile Black Spot Program, improving communications resilience, on-farm connectivity, a national audit of mobile coverage, and extension of the Regional Tech Hub.</w:t>
      </w:r>
      <w:r w:rsidR="000F0C9E">
        <w:rPr>
          <w:rFonts w:ascii="Arial" w:hAnsi="Arial" w:cs="Arial"/>
          <w:sz w:val="16"/>
        </w:rPr>
        <w:t xml:space="preserve"> </w:t>
      </w:r>
    </w:p>
    <w:p w14:paraId="6438F414" w14:textId="6683C158" w:rsidR="00115843" w:rsidRDefault="00115843" w:rsidP="00977C28">
      <w:pPr>
        <w:pStyle w:val="ListParagraph"/>
        <w:numPr>
          <w:ilvl w:val="0"/>
          <w:numId w:val="113"/>
        </w:numPr>
        <w:spacing w:before="60" w:after="0" w:line="240" w:lineRule="auto"/>
        <w:ind w:left="426" w:hanging="426"/>
        <w:rPr>
          <w:rFonts w:ascii="Arial" w:hAnsi="Arial" w:cs="Arial"/>
          <w:sz w:val="16"/>
        </w:rPr>
      </w:pPr>
      <w:r w:rsidRPr="00DF30A2">
        <w:rPr>
          <w:rFonts w:ascii="Arial" w:hAnsi="Arial" w:cs="Arial"/>
          <w:sz w:val="16"/>
        </w:rPr>
        <w:t>‘nfp’ figures are not for publication due to commercial sensitivity, and are not included in totals</w:t>
      </w:r>
      <w:r>
        <w:rPr>
          <w:rFonts w:ascii="Arial" w:hAnsi="Arial" w:cs="Arial"/>
          <w:sz w:val="16"/>
        </w:rPr>
        <w:t>.</w:t>
      </w:r>
    </w:p>
    <w:p w14:paraId="6E1FE6F4" w14:textId="77777777" w:rsidR="00420BB0" w:rsidRDefault="00420BB0" w:rsidP="00977C28">
      <w:pPr>
        <w:pStyle w:val="ListParagraph"/>
        <w:numPr>
          <w:ilvl w:val="0"/>
          <w:numId w:val="113"/>
        </w:numPr>
        <w:spacing w:before="60" w:after="0" w:line="240" w:lineRule="auto"/>
        <w:ind w:left="426" w:hanging="426"/>
        <w:rPr>
          <w:rFonts w:ascii="Arial" w:hAnsi="Arial" w:cs="Arial"/>
          <w:sz w:val="16"/>
        </w:rPr>
      </w:pPr>
      <w:r w:rsidRPr="00420BB0">
        <w:rPr>
          <w:rFonts w:ascii="Arial" w:hAnsi="Arial" w:cs="Arial"/>
          <w:sz w:val="16"/>
        </w:rPr>
        <w:t xml:space="preserve">This program was transferred from the Department to the Attorney-General's Department as part of the amendment to the Administrative Arrangements Order (AAO) with effect on 1 July 2022. </w:t>
      </w:r>
    </w:p>
    <w:p w14:paraId="27E7FF34" w14:textId="309563BC" w:rsidR="002C4C51" w:rsidRDefault="002C4C51" w:rsidP="00977C28">
      <w:pPr>
        <w:pStyle w:val="ListParagraph"/>
        <w:numPr>
          <w:ilvl w:val="0"/>
          <w:numId w:val="113"/>
        </w:numPr>
        <w:spacing w:before="60" w:after="0" w:line="240" w:lineRule="auto"/>
        <w:ind w:left="426" w:hanging="426"/>
        <w:rPr>
          <w:rFonts w:ascii="Arial" w:hAnsi="Arial" w:cs="Arial"/>
          <w:sz w:val="16"/>
        </w:rPr>
      </w:pPr>
      <w:r w:rsidRPr="002C4C51">
        <w:rPr>
          <w:rFonts w:ascii="Arial" w:hAnsi="Arial" w:cs="Arial"/>
          <w:sz w:val="16"/>
        </w:rPr>
        <w:t>Includes funding to support Sustaining Remote and First Nations Broadcasting Services, an extension of funding for the Viewer Access Satellite Television (VAST) service from 2024-25 and additional funding for the Eastern VAST service in 2023-24. ‘nfp’ figures are not for publication due to commercial sensitivity, and are not included in totals.</w:t>
      </w:r>
    </w:p>
    <w:p w14:paraId="77F898AD" w14:textId="4783D750" w:rsidR="00115843" w:rsidRPr="009541F4" w:rsidRDefault="00115843" w:rsidP="00977C28">
      <w:pPr>
        <w:pStyle w:val="ListParagraph"/>
        <w:numPr>
          <w:ilvl w:val="0"/>
          <w:numId w:val="113"/>
        </w:numPr>
        <w:spacing w:before="60" w:after="0" w:line="240" w:lineRule="auto"/>
        <w:ind w:left="426" w:hanging="426"/>
        <w:rPr>
          <w:rFonts w:ascii="Arial" w:hAnsi="Arial" w:cs="Arial"/>
          <w:sz w:val="16"/>
        </w:rPr>
      </w:pPr>
      <w:r w:rsidRPr="009541F4">
        <w:rPr>
          <w:rFonts w:ascii="Arial" w:hAnsi="Arial" w:cs="Arial"/>
          <w:sz w:val="16"/>
        </w:rPr>
        <w:t xml:space="preserve">Relates to appropriation for corporate entities that is provided through the </w:t>
      </w:r>
      <w:r w:rsidR="00111C4F">
        <w:rPr>
          <w:rFonts w:ascii="Arial" w:hAnsi="Arial" w:cs="Arial"/>
          <w:sz w:val="16"/>
        </w:rPr>
        <w:t>D</w:t>
      </w:r>
      <w:r w:rsidRPr="009541F4">
        <w:rPr>
          <w:rFonts w:ascii="Arial" w:hAnsi="Arial" w:cs="Arial"/>
          <w:sz w:val="16"/>
        </w:rPr>
        <w:t>epartment.</w:t>
      </w:r>
    </w:p>
    <w:p w14:paraId="170616E4" w14:textId="77777777" w:rsidR="00115843" w:rsidRDefault="00115843" w:rsidP="00115843">
      <w:pPr>
        <w:spacing w:after="0" w:line="240" w:lineRule="auto"/>
        <w:rPr>
          <w:rFonts w:ascii="Arial" w:hAnsi="Arial" w:cs="Arial"/>
          <w:sz w:val="16"/>
        </w:rPr>
      </w:pPr>
      <w:r>
        <w:rPr>
          <w:rFonts w:ascii="Arial" w:hAnsi="Arial" w:cs="Arial"/>
          <w:sz w:val="16"/>
        </w:rPr>
        <w:br w:type="page"/>
      </w:r>
    </w:p>
    <w:p w14:paraId="5FA8EDFC" w14:textId="20E2B166" w:rsidR="00115843" w:rsidRPr="00F71634" w:rsidRDefault="00115843" w:rsidP="00115843">
      <w:pPr>
        <w:pStyle w:val="TableHeading"/>
      </w:pPr>
      <w:r w:rsidRPr="00F71634">
        <w:lastRenderedPageBreak/>
        <w:t>Table 2.</w:t>
      </w:r>
      <w:r>
        <w:rPr>
          <w:lang w:val="en-GB"/>
        </w:rPr>
        <w:t>5</w:t>
      </w:r>
      <w:r w:rsidRPr="00F71634">
        <w:t xml:space="preserve">.3: Performance </w:t>
      </w:r>
      <w:r>
        <w:t>measure</w:t>
      </w:r>
      <w:r w:rsidR="003B10D9">
        <w:rPr>
          <w:lang w:val="en-US"/>
        </w:rPr>
        <w:t>s</w:t>
      </w:r>
      <w:r w:rsidRPr="00F71634">
        <w:t xml:space="preserve"> for Outcome </w:t>
      </w:r>
      <w:r>
        <w:rPr>
          <w:lang w:val="en-GB"/>
        </w:rPr>
        <w:t>5</w:t>
      </w:r>
    </w:p>
    <w:p w14:paraId="6EBECF7C" w14:textId="30880924" w:rsidR="00115843" w:rsidRPr="00E37EAA" w:rsidRDefault="00115843" w:rsidP="00115843">
      <w:r w:rsidRPr="00E37EAA">
        <w:t xml:space="preserve">Table 2.5.3 details the performance measures for each program associated with Outcome 5.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w:t>
      </w:r>
      <w:r w:rsidR="003B10D9">
        <w:t>2023-24</w:t>
      </w:r>
      <w:r w:rsidRPr="00E37EAA">
        <w:t xml:space="preserve"> Budget measures that have created new programs or materially changed existing programs are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620"/>
        <w:gridCol w:w="3667"/>
      </w:tblGrid>
      <w:tr w:rsidR="00115843" w:rsidRPr="001B2F81" w14:paraId="673A690D" w14:textId="77777777" w:rsidTr="002F3AAF">
        <w:trPr>
          <w:trHeight w:val="569"/>
        </w:trPr>
        <w:tc>
          <w:tcPr>
            <w:tcW w:w="5000" w:type="pct"/>
            <w:gridSpan w:val="3"/>
            <w:shd w:val="clear" w:color="auto" w:fill="E6E6E6"/>
          </w:tcPr>
          <w:p w14:paraId="292ABA50" w14:textId="0886F74E" w:rsidR="00115843" w:rsidRPr="006D2076" w:rsidRDefault="00115843" w:rsidP="00FB0D02">
            <w:pPr>
              <w:spacing w:before="60" w:after="60" w:line="240" w:lineRule="auto"/>
              <w:rPr>
                <w:rFonts w:ascii="Arial" w:hAnsi="Arial" w:cs="Arial"/>
                <w:b/>
                <w:highlight w:val="yellow"/>
              </w:rPr>
            </w:pPr>
            <w:r w:rsidRPr="006D2076">
              <w:rPr>
                <w:rFonts w:ascii="Arial" w:eastAsia="Calibri" w:hAnsi="Arial" w:cs="Arial"/>
                <w:b/>
              </w:rPr>
              <w:t>Outcome 5</w:t>
            </w:r>
            <w:r w:rsidRPr="006D2076">
              <w:rPr>
                <w:rFonts w:ascii="Arial" w:hAnsi="Arial" w:cs="Arial"/>
              </w:rPr>
              <w:t xml:space="preserve"> – </w:t>
            </w:r>
            <w:r w:rsidRPr="006D2076">
              <w:rPr>
                <w:rFonts w:ascii="Arial" w:eastAsia="Calibri" w:hAnsi="Arial" w:cs="Arial"/>
              </w:rPr>
              <w:t>Promote an innovative and competitive communications sector</w:t>
            </w:r>
            <w:r w:rsidR="00111C4F">
              <w:rPr>
                <w:rFonts w:ascii="Arial" w:eastAsia="Calibri" w:hAnsi="Arial" w:cs="Arial"/>
              </w:rPr>
              <w:t>,</w:t>
            </w:r>
            <w:r w:rsidRPr="006D2076">
              <w:rPr>
                <w:rFonts w:ascii="Arial" w:eastAsia="Calibri" w:hAnsi="Arial" w:cs="Arial"/>
              </w:rPr>
              <w:t xml:space="preserve"> through policy development, advice and program delivery, so all Australians can realise the full potential of digital technologies and communications services</w:t>
            </w:r>
            <w:r w:rsidR="00390F61">
              <w:rPr>
                <w:rFonts w:ascii="Arial" w:eastAsia="Calibri" w:hAnsi="Arial" w:cs="Arial"/>
              </w:rPr>
              <w:t>.</w:t>
            </w:r>
          </w:p>
        </w:tc>
      </w:tr>
      <w:tr w:rsidR="00115843" w:rsidRPr="00C13A37" w14:paraId="4D436084" w14:textId="77777777" w:rsidTr="002F3AAF">
        <w:trPr>
          <w:trHeight w:val="522"/>
        </w:trPr>
        <w:tc>
          <w:tcPr>
            <w:tcW w:w="5000" w:type="pct"/>
            <w:gridSpan w:val="3"/>
            <w:shd w:val="clear" w:color="auto" w:fill="E6E6E6"/>
          </w:tcPr>
          <w:p w14:paraId="46DCF755" w14:textId="77777777" w:rsidR="00115843" w:rsidRPr="00C13A37" w:rsidRDefault="00115843" w:rsidP="00FA669F">
            <w:pPr>
              <w:spacing w:before="60" w:after="60" w:line="240" w:lineRule="auto"/>
              <w:rPr>
                <w:rFonts w:ascii="Arial" w:eastAsia="Calibri" w:hAnsi="Arial" w:cs="Arial"/>
                <w:b/>
                <w:sz w:val="18"/>
                <w:szCs w:val="18"/>
              </w:rPr>
            </w:pPr>
            <w:bookmarkStart w:id="35" w:name="DigitalTechnologiesCommsServices5_1"/>
            <w:r w:rsidRPr="00C13A37">
              <w:rPr>
                <w:rFonts w:ascii="Arial" w:eastAsia="Calibri" w:hAnsi="Arial" w:cs="Arial"/>
                <w:b/>
                <w:sz w:val="18"/>
                <w:szCs w:val="18"/>
              </w:rPr>
              <w:t>Program 5.1</w:t>
            </w:r>
            <w:r w:rsidRPr="00C13A37">
              <w:rPr>
                <w:rFonts w:ascii="Arial" w:eastAsia="Calibri" w:hAnsi="Arial" w:cs="Arial"/>
                <w:sz w:val="18"/>
                <w:szCs w:val="18"/>
              </w:rPr>
              <w:t xml:space="preserve"> </w:t>
            </w:r>
            <w:r w:rsidRPr="00C13A37">
              <w:rPr>
                <w:rFonts w:ascii="Arial" w:eastAsia="Calibri" w:hAnsi="Arial" w:cs="Arial"/>
                <w:b/>
                <w:sz w:val="18"/>
                <w:szCs w:val="18"/>
              </w:rPr>
              <w:t>– Digital Technologies and Communications Services</w:t>
            </w:r>
            <w:bookmarkEnd w:id="35"/>
          </w:p>
          <w:p w14:paraId="26094907" w14:textId="77777777" w:rsidR="00115843" w:rsidRPr="00C13A37" w:rsidRDefault="00115843" w:rsidP="00FB0D02">
            <w:pPr>
              <w:pStyle w:val="TableTextLeft"/>
              <w:rPr>
                <w:szCs w:val="18"/>
                <w:highlight w:val="yellow"/>
              </w:rPr>
            </w:pPr>
            <w:r w:rsidRPr="00C13A37">
              <w:rPr>
                <w:rFonts w:eastAsia="Calibri" w:cs="Arial"/>
                <w:szCs w:val="18"/>
                <w:lang w:eastAsia="en-US"/>
              </w:rPr>
              <w:t xml:space="preserve">To provide an environment in which all Australians can access and benefit from digital technologies and communications services, supporting inclusiveness and sustainable economic growth. </w:t>
            </w:r>
          </w:p>
        </w:tc>
      </w:tr>
      <w:tr w:rsidR="00115843" w:rsidRPr="001B2F81" w14:paraId="4452714C" w14:textId="77777777" w:rsidTr="00FB0D02">
        <w:trPr>
          <w:trHeight w:val="694"/>
        </w:trPr>
        <w:tc>
          <w:tcPr>
            <w:tcW w:w="918" w:type="pct"/>
            <w:tcBorders>
              <w:bottom w:val="double" w:sz="4" w:space="0" w:color="auto"/>
            </w:tcBorders>
          </w:tcPr>
          <w:p w14:paraId="2CDA9307" w14:textId="1E01D054" w:rsidR="00115843" w:rsidRPr="00160C23" w:rsidRDefault="00115843" w:rsidP="00FB0D02">
            <w:pPr>
              <w:tabs>
                <w:tab w:val="left" w:pos="709"/>
              </w:tabs>
              <w:spacing w:before="60" w:after="60"/>
              <w:rPr>
                <w:rFonts w:ascii="Arial" w:hAnsi="Arial" w:cs="Arial"/>
                <w:b/>
                <w:sz w:val="16"/>
                <w:szCs w:val="16"/>
              </w:rPr>
            </w:pPr>
            <w:r w:rsidRPr="00BE08C4">
              <w:rPr>
                <w:rFonts w:ascii="Arial" w:eastAsia="Calibri" w:hAnsi="Arial" w:cs="Arial"/>
                <w:b/>
                <w:sz w:val="16"/>
                <w:szCs w:val="16"/>
              </w:rPr>
              <w:t>Key Activities</w:t>
            </w:r>
          </w:p>
        </w:tc>
        <w:tc>
          <w:tcPr>
            <w:tcW w:w="4082" w:type="pct"/>
            <w:gridSpan w:val="2"/>
            <w:tcBorders>
              <w:bottom w:val="double" w:sz="4" w:space="0" w:color="auto"/>
            </w:tcBorders>
          </w:tcPr>
          <w:p w14:paraId="26109879" w14:textId="77777777" w:rsidR="00985384" w:rsidRPr="00985384" w:rsidRDefault="00985384" w:rsidP="00977C28">
            <w:pPr>
              <w:pStyle w:val="ListParagraph"/>
              <w:numPr>
                <w:ilvl w:val="0"/>
                <w:numId w:val="9"/>
              </w:numPr>
              <w:spacing w:before="60" w:after="60" w:line="240" w:lineRule="auto"/>
              <w:ind w:left="314" w:hanging="314"/>
              <w:rPr>
                <w:rFonts w:ascii="Arial" w:hAnsi="Arial" w:cs="Arial"/>
                <w:sz w:val="16"/>
                <w:szCs w:val="16"/>
              </w:rPr>
            </w:pPr>
            <w:r w:rsidRPr="00985384">
              <w:rPr>
                <w:rFonts w:ascii="Arial" w:hAnsi="Arial" w:cs="Arial"/>
                <w:sz w:val="16"/>
                <w:szCs w:val="16"/>
              </w:rPr>
              <w:t>Implementing and administering programs that expand digital connectivity including the Mobile Black Spot program, Peri-Urban Mobile Program and Regional Connectivity Program.</w:t>
            </w:r>
          </w:p>
          <w:p w14:paraId="65B6294E" w14:textId="77777777" w:rsidR="00985384" w:rsidRPr="00985384" w:rsidRDefault="00985384" w:rsidP="00977C28">
            <w:pPr>
              <w:pStyle w:val="ListParagraph"/>
              <w:numPr>
                <w:ilvl w:val="0"/>
                <w:numId w:val="9"/>
              </w:numPr>
              <w:spacing w:before="60" w:after="60" w:line="240" w:lineRule="auto"/>
              <w:ind w:left="314" w:hanging="314"/>
              <w:rPr>
                <w:rFonts w:ascii="Arial" w:hAnsi="Arial" w:cs="Arial"/>
                <w:sz w:val="16"/>
                <w:szCs w:val="16"/>
              </w:rPr>
            </w:pPr>
            <w:r w:rsidRPr="00985384">
              <w:rPr>
                <w:rFonts w:ascii="Arial" w:hAnsi="Arial" w:cs="Arial"/>
                <w:sz w:val="16"/>
                <w:szCs w:val="16"/>
              </w:rPr>
              <w:t>Provide advice to the government on communications policy and programs including regional and remote Australia.</w:t>
            </w:r>
          </w:p>
          <w:p w14:paraId="185B7CE4" w14:textId="77777777" w:rsidR="00985384" w:rsidRPr="00985384" w:rsidRDefault="00985384" w:rsidP="00977C28">
            <w:pPr>
              <w:pStyle w:val="ListParagraph"/>
              <w:numPr>
                <w:ilvl w:val="0"/>
                <w:numId w:val="9"/>
              </w:numPr>
              <w:spacing w:after="0" w:line="240" w:lineRule="auto"/>
              <w:ind w:left="312" w:hanging="312"/>
              <w:rPr>
                <w:rFonts w:ascii="Arial" w:hAnsi="Arial" w:cs="Arial"/>
                <w:sz w:val="16"/>
                <w:szCs w:val="16"/>
              </w:rPr>
            </w:pPr>
            <w:r w:rsidRPr="00985384">
              <w:rPr>
                <w:rFonts w:ascii="Arial" w:hAnsi="Arial" w:cs="Arial"/>
                <w:sz w:val="16"/>
                <w:szCs w:val="16"/>
              </w:rPr>
              <w:t>Provide policy advice and program delivery on the news and media industry.</w:t>
            </w:r>
          </w:p>
          <w:p w14:paraId="08D2EB5B" w14:textId="77777777" w:rsidR="00985384" w:rsidRPr="00985384" w:rsidRDefault="00985384" w:rsidP="00977C28">
            <w:pPr>
              <w:pStyle w:val="TableParagraph"/>
              <w:numPr>
                <w:ilvl w:val="0"/>
                <w:numId w:val="9"/>
              </w:numPr>
              <w:ind w:left="312" w:hanging="312"/>
              <w:rPr>
                <w:sz w:val="16"/>
              </w:rPr>
            </w:pPr>
            <w:r w:rsidRPr="00985384">
              <w:rPr>
                <w:sz w:val="16"/>
                <w:szCs w:val="16"/>
              </w:rPr>
              <w:t>Enabling safe, effective and inclusive communications services and technologies.</w:t>
            </w:r>
          </w:p>
          <w:p w14:paraId="60B96B33" w14:textId="1E9BC233" w:rsidR="00115843" w:rsidRPr="00F73512" w:rsidRDefault="00985384" w:rsidP="00977C28">
            <w:pPr>
              <w:numPr>
                <w:ilvl w:val="0"/>
                <w:numId w:val="9"/>
              </w:numPr>
              <w:spacing w:after="60" w:line="240" w:lineRule="auto"/>
              <w:ind w:left="312" w:hanging="312"/>
              <w:rPr>
                <w:rFonts w:ascii="Arial" w:hAnsi="Arial" w:cs="Arial"/>
                <w:sz w:val="16"/>
                <w:szCs w:val="16"/>
              </w:rPr>
            </w:pPr>
            <w:r w:rsidRPr="00985384">
              <w:rPr>
                <w:rFonts w:ascii="Arial" w:hAnsi="Arial" w:cs="Arial"/>
                <w:sz w:val="16"/>
              </w:rPr>
              <w:t>Protecting and promoting Australian content and classification.</w:t>
            </w:r>
          </w:p>
        </w:tc>
      </w:tr>
      <w:tr w:rsidR="00115843" w:rsidRPr="001B2F81" w14:paraId="19032298" w14:textId="77777777" w:rsidTr="00FB0D02">
        <w:trPr>
          <w:trHeight w:val="258"/>
        </w:trPr>
        <w:tc>
          <w:tcPr>
            <w:tcW w:w="918" w:type="pct"/>
            <w:tcBorders>
              <w:top w:val="double" w:sz="4" w:space="0" w:color="auto"/>
              <w:bottom w:val="single" w:sz="4" w:space="0" w:color="auto"/>
              <w:right w:val="single" w:sz="4" w:space="0" w:color="auto"/>
            </w:tcBorders>
          </w:tcPr>
          <w:p w14:paraId="29D14E6C" w14:textId="77777777" w:rsidR="00115843" w:rsidRPr="00160C23" w:rsidRDefault="00115843" w:rsidP="00FB0D02">
            <w:pPr>
              <w:pStyle w:val="TableTextBase"/>
              <w:rPr>
                <w:b/>
                <w:szCs w:val="16"/>
              </w:rPr>
            </w:pPr>
            <w:r w:rsidRPr="00160C23">
              <w:rPr>
                <w:b/>
                <w:szCs w:val="16"/>
              </w:rPr>
              <w:t>Year</w:t>
            </w:r>
          </w:p>
        </w:tc>
        <w:tc>
          <w:tcPr>
            <w:tcW w:w="1701" w:type="pct"/>
            <w:tcBorders>
              <w:top w:val="double" w:sz="4" w:space="0" w:color="auto"/>
              <w:left w:val="single" w:sz="4" w:space="0" w:color="auto"/>
              <w:bottom w:val="single" w:sz="4" w:space="0" w:color="auto"/>
              <w:right w:val="single" w:sz="4" w:space="0" w:color="auto"/>
            </w:tcBorders>
          </w:tcPr>
          <w:p w14:paraId="5DBA4898" w14:textId="77777777" w:rsidR="00115843" w:rsidRPr="00160C23" w:rsidRDefault="00115843" w:rsidP="00FB0D02">
            <w:pPr>
              <w:pStyle w:val="TableTextBase"/>
              <w:rPr>
                <w:rFonts w:cs="Arial"/>
                <w:b/>
                <w:szCs w:val="16"/>
              </w:rPr>
            </w:pPr>
            <w:r w:rsidRPr="00160C23">
              <w:rPr>
                <w:rFonts w:cs="Arial"/>
                <w:b/>
                <w:szCs w:val="16"/>
              </w:rPr>
              <w:t>Performance measures</w:t>
            </w:r>
          </w:p>
        </w:tc>
        <w:tc>
          <w:tcPr>
            <w:tcW w:w="2381" w:type="pct"/>
            <w:tcBorders>
              <w:top w:val="double" w:sz="4" w:space="0" w:color="auto"/>
              <w:left w:val="single" w:sz="4" w:space="0" w:color="auto"/>
              <w:bottom w:val="single" w:sz="4" w:space="0" w:color="auto"/>
            </w:tcBorders>
          </w:tcPr>
          <w:p w14:paraId="4E7FD45F" w14:textId="77777777" w:rsidR="00115843" w:rsidRPr="00160C23" w:rsidRDefault="00115843" w:rsidP="00FB0D02">
            <w:pPr>
              <w:pStyle w:val="TableTextBase"/>
              <w:rPr>
                <w:rFonts w:cs="Arial"/>
                <w:b/>
                <w:szCs w:val="16"/>
              </w:rPr>
            </w:pPr>
            <w:r>
              <w:rPr>
                <w:rFonts w:cs="Arial"/>
                <w:b/>
                <w:szCs w:val="16"/>
              </w:rPr>
              <w:t>Expected Performance</w:t>
            </w:r>
            <w:r w:rsidRPr="00160C23">
              <w:rPr>
                <w:rFonts w:cs="Arial"/>
                <w:b/>
                <w:szCs w:val="16"/>
              </w:rPr>
              <w:t xml:space="preserve"> Results</w:t>
            </w:r>
          </w:p>
        </w:tc>
      </w:tr>
      <w:tr w:rsidR="00985384" w:rsidRPr="001B2F81" w14:paraId="340F6A55" w14:textId="77777777" w:rsidTr="003B10D9">
        <w:trPr>
          <w:cantSplit/>
          <w:trHeight w:val="1009"/>
        </w:trPr>
        <w:tc>
          <w:tcPr>
            <w:tcW w:w="918" w:type="pct"/>
            <w:vMerge w:val="restart"/>
            <w:tcBorders>
              <w:top w:val="single" w:sz="4" w:space="0" w:color="auto"/>
              <w:right w:val="single" w:sz="4" w:space="0" w:color="auto"/>
            </w:tcBorders>
          </w:tcPr>
          <w:p w14:paraId="2852F225" w14:textId="75930A06" w:rsidR="00985384" w:rsidRPr="00FD292C" w:rsidRDefault="00985384" w:rsidP="00FB0D02">
            <w:pPr>
              <w:pStyle w:val="TableTextBase"/>
              <w:rPr>
                <w:sz w:val="16"/>
                <w:szCs w:val="16"/>
              </w:rPr>
            </w:pPr>
            <w:r>
              <w:rPr>
                <w:sz w:val="16"/>
                <w:szCs w:val="16"/>
              </w:rPr>
              <w:t>Current</w:t>
            </w:r>
            <w:r w:rsidRPr="00FD292C">
              <w:rPr>
                <w:sz w:val="16"/>
                <w:szCs w:val="16"/>
              </w:rPr>
              <w:t xml:space="preserve"> year </w:t>
            </w:r>
            <w:r w:rsidRPr="00FD292C">
              <w:rPr>
                <w:sz w:val="16"/>
                <w:szCs w:val="16"/>
              </w:rPr>
              <w:br/>
              <w:t>202</w:t>
            </w:r>
            <w:r>
              <w:rPr>
                <w:sz w:val="16"/>
                <w:szCs w:val="16"/>
              </w:rPr>
              <w:t>2</w:t>
            </w:r>
            <w:r w:rsidRPr="00FD292C">
              <w:rPr>
                <w:sz w:val="16"/>
                <w:szCs w:val="16"/>
              </w:rPr>
              <w:t>–2</w:t>
            </w:r>
            <w:r>
              <w:rPr>
                <w:sz w:val="16"/>
                <w:szCs w:val="16"/>
              </w:rPr>
              <w:t>3</w:t>
            </w:r>
          </w:p>
        </w:tc>
        <w:tc>
          <w:tcPr>
            <w:tcW w:w="1701" w:type="pct"/>
            <w:tcBorders>
              <w:top w:val="single" w:sz="4" w:space="0" w:color="auto"/>
              <w:left w:val="single" w:sz="4" w:space="0" w:color="auto"/>
              <w:bottom w:val="single" w:sz="4" w:space="0" w:color="auto"/>
              <w:right w:val="single" w:sz="4" w:space="0" w:color="auto"/>
            </w:tcBorders>
          </w:tcPr>
          <w:p w14:paraId="11202F84" w14:textId="5E1CEB75" w:rsidR="00985384" w:rsidRPr="00FD292C" w:rsidRDefault="00985384" w:rsidP="00FB0D02">
            <w:pPr>
              <w:pStyle w:val="TableTextBase"/>
              <w:rPr>
                <w:sz w:val="16"/>
                <w:szCs w:val="16"/>
              </w:rPr>
            </w:pPr>
            <w:r w:rsidRPr="00985384">
              <w:rPr>
                <w:rFonts w:eastAsia="Calibri" w:cs="Arial"/>
                <w:sz w:val="16"/>
                <w:szCs w:val="16"/>
                <w:lang w:eastAsia="en-US"/>
              </w:rPr>
              <w:t>Amount of new and improved mobile coverage delivered in regions under the Mobile Black Spot Program</w:t>
            </w:r>
          </w:p>
        </w:tc>
        <w:tc>
          <w:tcPr>
            <w:tcW w:w="2381" w:type="pct"/>
            <w:tcBorders>
              <w:top w:val="single" w:sz="4" w:space="0" w:color="auto"/>
              <w:left w:val="single" w:sz="4" w:space="0" w:color="auto"/>
              <w:bottom w:val="single" w:sz="4" w:space="0" w:color="auto"/>
            </w:tcBorders>
          </w:tcPr>
          <w:p w14:paraId="719700D9" w14:textId="09C76368" w:rsidR="00390F61" w:rsidRDefault="00390F61" w:rsidP="00FB0D02">
            <w:pPr>
              <w:tabs>
                <w:tab w:val="left" w:pos="204"/>
                <w:tab w:val="left" w:pos="396"/>
              </w:tabs>
              <w:spacing w:before="60" w:after="60" w:line="240" w:lineRule="auto"/>
              <w:rPr>
                <w:rFonts w:ascii="Arial" w:eastAsia="Calibri" w:hAnsi="Arial" w:cs="Arial"/>
                <w:sz w:val="16"/>
                <w:szCs w:val="16"/>
              </w:rPr>
            </w:pPr>
            <w:r>
              <w:rPr>
                <w:rFonts w:ascii="Arial" w:eastAsia="Calibri" w:hAnsi="Arial" w:cs="Arial"/>
                <w:sz w:val="16"/>
                <w:szCs w:val="16"/>
              </w:rPr>
              <w:t xml:space="preserve">Target: </w:t>
            </w:r>
            <w:r w:rsidRPr="00390F61">
              <w:rPr>
                <w:rFonts w:ascii="Arial" w:eastAsia="Calibri" w:hAnsi="Arial" w:cs="Arial"/>
                <w:sz w:val="16"/>
                <w:szCs w:val="16"/>
              </w:rPr>
              <w:t>≥90% of total contracted (predictive) coverage is delivered through new assets for which asset completion reports are received in the financial year</w:t>
            </w:r>
            <w:r w:rsidR="001066C8">
              <w:rPr>
                <w:rFonts w:ascii="Arial" w:eastAsia="Calibri" w:hAnsi="Arial" w:cs="Arial"/>
                <w:sz w:val="16"/>
                <w:szCs w:val="16"/>
              </w:rPr>
              <w:t>.</w:t>
            </w:r>
          </w:p>
          <w:p w14:paraId="6E364C06" w14:textId="5B83FD3D" w:rsidR="00985384" w:rsidRPr="00FD292C" w:rsidRDefault="00985384" w:rsidP="00390F61">
            <w:pPr>
              <w:tabs>
                <w:tab w:val="left" w:pos="204"/>
                <w:tab w:val="left" w:pos="396"/>
              </w:tabs>
              <w:spacing w:before="120" w:after="60" w:line="240" w:lineRule="auto"/>
              <w:rPr>
                <w:rFonts w:ascii="Arial" w:eastAsia="Calibri" w:hAnsi="Arial" w:cs="Arial"/>
                <w:sz w:val="16"/>
                <w:szCs w:val="16"/>
              </w:rPr>
            </w:pPr>
            <w:r w:rsidRPr="00985384">
              <w:rPr>
                <w:rFonts w:ascii="Arial" w:eastAsia="Calibri" w:hAnsi="Arial" w:cs="Arial"/>
                <w:sz w:val="16"/>
                <w:szCs w:val="16"/>
              </w:rPr>
              <w:t>Target expected to be met.</w:t>
            </w:r>
          </w:p>
        </w:tc>
      </w:tr>
      <w:tr w:rsidR="00985384" w:rsidRPr="001B2F81" w14:paraId="6BF7F80C" w14:textId="77777777" w:rsidTr="003B10D9">
        <w:trPr>
          <w:cantSplit/>
          <w:trHeight w:val="642"/>
        </w:trPr>
        <w:tc>
          <w:tcPr>
            <w:tcW w:w="918" w:type="pct"/>
            <w:vMerge/>
            <w:tcBorders>
              <w:right w:val="single" w:sz="4" w:space="0" w:color="auto"/>
            </w:tcBorders>
          </w:tcPr>
          <w:p w14:paraId="4E6F04F0" w14:textId="77777777" w:rsidR="00985384" w:rsidRPr="00FD292C" w:rsidRDefault="00985384" w:rsidP="00FB0D02">
            <w:pPr>
              <w:pStyle w:val="TableTextBase"/>
              <w:rPr>
                <w:sz w:val="16"/>
                <w:szCs w:val="16"/>
              </w:rPr>
            </w:pPr>
          </w:p>
        </w:tc>
        <w:tc>
          <w:tcPr>
            <w:tcW w:w="1701" w:type="pct"/>
            <w:tcBorders>
              <w:top w:val="single" w:sz="4" w:space="0" w:color="auto"/>
              <w:left w:val="single" w:sz="4" w:space="0" w:color="auto"/>
              <w:bottom w:val="single" w:sz="4" w:space="0" w:color="auto"/>
              <w:right w:val="single" w:sz="4" w:space="0" w:color="auto"/>
            </w:tcBorders>
          </w:tcPr>
          <w:p w14:paraId="141D3EA9" w14:textId="798D5330" w:rsidR="00985384" w:rsidRPr="00FD292C" w:rsidRDefault="00985384" w:rsidP="00FB0D02">
            <w:pPr>
              <w:pStyle w:val="TableTextBase"/>
              <w:rPr>
                <w:rFonts w:eastAsia="Calibri" w:cs="Arial"/>
                <w:sz w:val="16"/>
                <w:szCs w:val="16"/>
                <w:vertAlign w:val="superscript"/>
                <w:lang w:eastAsia="en-US"/>
              </w:rPr>
            </w:pPr>
            <w:r w:rsidRPr="00985384">
              <w:rPr>
                <w:rFonts w:eastAsia="Calibri" w:cs="Arial"/>
                <w:sz w:val="16"/>
                <w:szCs w:val="16"/>
                <w:lang w:eastAsia="en-US"/>
              </w:rPr>
              <w:t>Access to Viewer Access Satellite Television (VAST), for viewers in terrestrial blackspots to receive direct-to-home free to air television safety net service</w:t>
            </w:r>
          </w:p>
        </w:tc>
        <w:tc>
          <w:tcPr>
            <w:tcW w:w="2381" w:type="pct"/>
            <w:tcBorders>
              <w:top w:val="single" w:sz="4" w:space="0" w:color="auto"/>
              <w:left w:val="single" w:sz="4" w:space="0" w:color="auto"/>
              <w:bottom w:val="single" w:sz="4" w:space="0" w:color="auto"/>
            </w:tcBorders>
          </w:tcPr>
          <w:p w14:paraId="0DCA5675" w14:textId="140B5F5D" w:rsidR="00390F61" w:rsidRDefault="00390F61" w:rsidP="00FB0D02">
            <w:pPr>
              <w:pStyle w:val="TableTextBase"/>
              <w:rPr>
                <w:rFonts w:eastAsia="Calibri" w:cs="Arial"/>
                <w:sz w:val="16"/>
                <w:szCs w:val="16"/>
              </w:rPr>
            </w:pPr>
            <w:r>
              <w:rPr>
                <w:rFonts w:eastAsia="Calibri" w:cs="Arial"/>
                <w:sz w:val="16"/>
                <w:szCs w:val="16"/>
              </w:rPr>
              <w:t xml:space="preserve">Target: </w:t>
            </w:r>
            <w:r w:rsidRPr="00FD292C">
              <w:rPr>
                <w:rFonts w:eastAsia="Calibri" w:cs="Arial"/>
                <w:sz w:val="16"/>
                <w:szCs w:val="16"/>
                <w:lang w:eastAsia="en-US"/>
              </w:rPr>
              <w:t>In each financial year, satellite free-to-air television services, including on-air availability requirements, maintained in accordance with the legislative and contractual arrangements</w:t>
            </w:r>
            <w:r>
              <w:rPr>
                <w:rFonts w:eastAsia="Calibri" w:cs="Arial"/>
                <w:sz w:val="16"/>
                <w:szCs w:val="16"/>
                <w:lang w:eastAsia="en-US"/>
              </w:rPr>
              <w:t>.</w:t>
            </w:r>
          </w:p>
          <w:p w14:paraId="391B6B81" w14:textId="55112521" w:rsidR="00985384" w:rsidRPr="00FD292C" w:rsidRDefault="00985384" w:rsidP="00390F61">
            <w:pPr>
              <w:pStyle w:val="TableTextBase"/>
              <w:spacing w:before="120"/>
              <w:rPr>
                <w:sz w:val="16"/>
                <w:szCs w:val="16"/>
              </w:rPr>
            </w:pPr>
            <w:r w:rsidRPr="00985384">
              <w:rPr>
                <w:rFonts w:eastAsia="Calibri" w:cs="Arial"/>
                <w:sz w:val="16"/>
                <w:szCs w:val="16"/>
              </w:rPr>
              <w:t>Target expected to be met.</w:t>
            </w:r>
          </w:p>
        </w:tc>
      </w:tr>
      <w:tr w:rsidR="00985384" w:rsidRPr="001B2F81" w14:paraId="6F33566A" w14:textId="77777777" w:rsidTr="003B10D9">
        <w:trPr>
          <w:cantSplit/>
          <w:trHeight w:val="642"/>
        </w:trPr>
        <w:tc>
          <w:tcPr>
            <w:tcW w:w="918" w:type="pct"/>
            <w:vMerge/>
            <w:tcBorders>
              <w:right w:val="single" w:sz="4" w:space="0" w:color="auto"/>
            </w:tcBorders>
          </w:tcPr>
          <w:p w14:paraId="7D42A8D9" w14:textId="77777777" w:rsidR="00985384" w:rsidRPr="00FD292C" w:rsidRDefault="00985384" w:rsidP="00FB0D02">
            <w:pPr>
              <w:pStyle w:val="TableTextBase"/>
              <w:rPr>
                <w:sz w:val="16"/>
                <w:szCs w:val="16"/>
              </w:rPr>
            </w:pPr>
          </w:p>
        </w:tc>
        <w:tc>
          <w:tcPr>
            <w:tcW w:w="1701" w:type="pct"/>
            <w:tcBorders>
              <w:top w:val="single" w:sz="4" w:space="0" w:color="auto"/>
              <w:left w:val="single" w:sz="4" w:space="0" w:color="auto"/>
              <w:bottom w:val="single" w:sz="4" w:space="0" w:color="auto"/>
              <w:right w:val="single" w:sz="4" w:space="0" w:color="auto"/>
            </w:tcBorders>
          </w:tcPr>
          <w:p w14:paraId="01548B2A" w14:textId="1780A888" w:rsidR="00985384" w:rsidRPr="00FD292C" w:rsidRDefault="00985384" w:rsidP="00FB0D02">
            <w:pPr>
              <w:pStyle w:val="TableTextBase"/>
              <w:rPr>
                <w:rFonts w:eastAsia="Calibri" w:cs="Arial"/>
                <w:sz w:val="16"/>
                <w:szCs w:val="16"/>
                <w:lang w:eastAsia="en-US"/>
              </w:rPr>
            </w:pPr>
            <w:r>
              <w:rPr>
                <w:rFonts w:eastAsia="Calibri"/>
                <w:sz w:val="16"/>
                <w:szCs w:val="16"/>
              </w:rPr>
              <w:t>Effectiveness of support for sustainability of news and media industry</w:t>
            </w:r>
            <w:r w:rsidR="00435F13" w:rsidRPr="00435F13">
              <w:rPr>
                <w:rFonts w:eastAsia="Calibri"/>
                <w:sz w:val="16"/>
                <w:szCs w:val="16"/>
                <w:vertAlign w:val="superscript"/>
              </w:rPr>
              <w:t>(a)</w:t>
            </w:r>
          </w:p>
        </w:tc>
        <w:tc>
          <w:tcPr>
            <w:tcW w:w="2381" w:type="pct"/>
            <w:tcBorders>
              <w:top w:val="single" w:sz="4" w:space="0" w:color="auto"/>
              <w:left w:val="single" w:sz="4" w:space="0" w:color="auto"/>
              <w:bottom w:val="single" w:sz="4" w:space="0" w:color="auto"/>
            </w:tcBorders>
          </w:tcPr>
          <w:p w14:paraId="3FAA0774" w14:textId="3A27DACB" w:rsidR="00390F61" w:rsidRPr="00FD292C" w:rsidRDefault="00390F61" w:rsidP="00390F61">
            <w:pPr>
              <w:spacing w:before="60" w:after="60" w:line="240" w:lineRule="auto"/>
              <w:ind w:right="-12"/>
              <w:rPr>
                <w:rFonts w:ascii="Arial" w:eastAsia="Calibri" w:hAnsi="Arial" w:cs="Arial"/>
                <w:sz w:val="16"/>
                <w:szCs w:val="16"/>
              </w:rPr>
            </w:pPr>
            <w:r>
              <w:rPr>
                <w:rFonts w:ascii="Arial" w:eastAsia="Calibri" w:hAnsi="Arial" w:cs="Arial"/>
                <w:sz w:val="16"/>
                <w:szCs w:val="16"/>
              </w:rPr>
              <w:t xml:space="preserve">Target: </w:t>
            </w:r>
            <w:r w:rsidRPr="00FD292C">
              <w:rPr>
                <w:rFonts w:ascii="Arial" w:eastAsia="Calibri" w:hAnsi="Arial" w:cs="Arial"/>
                <w:sz w:val="16"/>
                <w:szCs w:val="16"/>
              </w:rPr>
              <w:t>100% of grant opportunities are published/announced and 100% of grant agreements executed are consistent with the program objectives</w:t>
            </w:r>
            <w:r>
              <w:rPr>
                <w:rFonts w:ascii="Arial" w:eastAsia="Calibri" w:hAnsi="Arial" w:cs="Arial"/>
                <w:sz w:val="16"/>
                <w:szCs w:val="16"/>
              </w:rPr>
              <w:t>.</w:t>
            </w:r>
          </w:p>
          <w:p w14:paraId="3F539801" w14:textId="77777777" w:rsidR="00390F61" w:rsidRPr="00390F61" w:rsidRDefault="00390F61" w:rsidP="00390F61">
            <w:pPr>
              <w:spacing w:before="120" w:after="60" w:line="240" w:lineRule="auto"/>
              <w:ind w:right="-12"/>
              <w:rPr>
                <w:rFonts w:ascii="Arial" w:eastAsia="Calibri" w:hAnsi="Arial" w:cs="Arial"/>
                <w:sz w:val="16"/>
                <w:szCs w:val="16"/>
              </w:rPr>
            </w:pPr>
            <w:r w:rsidRPr="00390F61">
              <w:rPr>
                <w:rFonts w:ascii="Arial" w:eastAsia="Calibri" w:hAnsi="Arial" w:cs="Arial"/>
                <w:sz w:val="16"/>
                <w:szCs w:val="16"/>
              </w:rPr>
              <w:t>95% of eligible applicants received funds within 4 weeks of decision.</w:t>
            </w:r>
          </w:p>
          <w:p w14:paraId="236B8754" w14:textId="60A89B1D" w:rsidR="00985384" w:rsidRPr="00985384" w:rsidRDefault="00985384" w:rsidP="00390F61">
            <w:pPr>
              <w:spacing w:before="120" w:after="60" w:line="240" w:lineRule="auto"/>
              <w:ind w:right="-12"/>
              <w:rPr>
                <w:rFonts w:ascii="Arial" w:eastAsia="Calibri" w:hAnsi="Arial" w:cs="Arial"/>
                <w:sz w:val="16"/>
                <w:szCs w:val="16"/>
              </w:rPr>
            </w:pPr>
            <w:r w:rsidRPr="00985384">
              <w:rPr>
                <w:rFonts w:ascii="Arial" w:eastAsia="Calibri" w:hAnsi="Arial" w:cs="Arial"/>
                <w:sz w:val="16"/>
                <w:szCs w:val="16"/>
              </w:rPr>
              <w:t>Target expected to be met.</w:t>
            </w:r>
          </w:p>
        </w:tc>
      </w:tr>
      <w:tr w:rsidR="00985384" w:rsidRPr="001B2F81" w14:paraId="39CF4557" w14:textId="77777777" w:rsidTr="003B10D9">
        <w:trPr>
          <w:cantSplit/>
          <w:trHeight w:val="642"/>
        </w:trPr>
        <w:tc>
          <w:tcPr>
            <w:tcW w:w="918" w:type="pct"/>
            <w:vMerge/>
            <w:tcBorders>
              <w:right w:val="single" w:sz="4" w:space="0" w:color="auto"/>
            </w:tcBorders>
          </w:tcPr>
          <w:p w14:paraId="266EEA14" w14:textId="77777777" w:rsidR="00985384" w:rsidRPr="00FD292C" w:rsidRDefault="00985384" w:rsidP="00FB0D02">
            <w:pPr>
              <w:pStyle w:val="TableTextBase"/>
              <w:rPr>
                <w:sz w:val="16"/>
                <w:szCs w:val="16"/>
              </w:rPr>
            </w:pPr>
          </w:p>
        </w:tc>
        <w:tc>
          <w:tcPr>
            <w:tcW w:w="1701" w:type="pct"/>
            <w:tcBorders>
              <w:top w:val="single" w:sz="4" w:space="0" w:color="auto"/>
              <w:left w:val="single" w:sz="4" w:space="0" w:color="auto"/>
              <w:bottom w:val="single" w:sz="4" w:space="0" w:color="auto"/>
              <w:right w:val="single" w:sz="4" w:space="0" w:color="auto"/>
            </w:tcBorders>
          </w:tcPr>
          <w:p w14:paraId="0816BC17" w14:textId="6FAE9E29" w:rsidR="00985384" w:rsidRDefault="00985384" w:rsidP="00FB0D02">
            <w:pPr>
              <w:pStyle w:val="TableTextBase"/>
              <w:rPr>
                <w:rFonts w:eastAsia="Calibri"/>
                <w:sz w:val="16"/>
                <w:szCs w:val="16"/>
              </w:rPr>
            </w:pPr>
            <w:r>
              <w:rPr>
                <w:rFonts w:eastAsia="Calibri"/>
                <w:sz w:val="16"/>
                <w:szCs w:val="16"/>
              </w:rPr>
              <w:t>Affordability of telecommunications services (mobile and fixed) on offer</w:t>
            </w:r>
          </w:p>
        </w:tc>
        <w:tc>
          <w:tcPr>
            <w:tcW w:w="2381" w:type="pct"/>
            <w:tcBorders>
              <w:top w:val="single" w:sz="4" w:space="0" w:color="auto"/>
              <w:left w:val="single" w:sz="4" w:space="0" w:color="auto"/>
              <w:bottom w:val="single" w:sz="4" w:space="0" w:color="auto"/>
            </w:tcBorders>
          </w:tcPr>
          <w:p w14:paraId="3046EA93" w14:textId="662795A6" w:rsidR="00390F61" w:rsidRDefault="00390F61" w:rsidP="00FB0D02">
            <w:pPr>
              <w:spacing w:before="60" w:after="60" w:line="240" w:lineRule="auto"/>
              <w:ind w:right="-12"/>
              <w:rPr>
                <w:rFonts w:ascii="Arial" w:eastAsia="Calibri" w:hAnsi="Arial" w:cs="Arial"/>
                <w:sz w:val="16"/>
                <w:szCs w:val="16"/>
                <w:lang w:eastAsia="en-US"/>
              </w:rPr>
            </w:pPr>
            <w:r>
              <w:rPr>
                <w:rFonts w:ascii="Arial" w:eastAsia="Calibri" w:hAnsi="Arial" w:cs="Arial"/>
                <w:sz w:val="16"/>
                <w:szCs w:val="16"/>
                <w:lang w:eastAsia="en-US"/>
              </w:rPr>
              <w:t xml:space="preserve">Target: </w:t>
            </w:r>
            <w:r w:rsidRPr="00390F61">
              <w:rPr>
                <w:rFonts w:ascii="Arial" w:eastAsia="Calibri" w:hAnsi="Arial" w:cs="Arial"/>
                <w:sz w:val="16"/>
                <w:szCs w:val="16"/>
                <w:lang w:eastAsia="en-US"/>
              </w:rPr>
              <w:t>Reporting in financial year indicates affordability is maintained or increased.</w:t>
            </w:r>
          </w:p>
          <w:p w14:paraId="6B3A6205" w14:textId="41D8ABE3" w:rsidR="00985384" w:rsidRPr="00985384" w:rsidRDefault="00985384" w:rsidP="00390F61">
            <w:pPr>
              <w:spacing w:before="120" w:after="60" w:line="240" w:lineRule="auto"/>
              <w:ind w:right="-12"/>
              <w:rPr>
                <w:rFonts w:ascii="Arial" w:eastAsia="Calibri" w:hAnsi="Arial" w:cs="Arial"/>
                <w:sz w:val="16"/>
                <w:szCs w:val="16"/>
              </w:rPr>
            </w:pPr>
            <w:r w:rsidRPr="00985384">
              <w:rPr>
                <w:rFonts w:ascii="Arial" w:eastAsia="Calibri" w:hAnsi="Arial" w:cs="Arial"/>
                <w:sz w:val="16"/>
                <w:szCs w:val="16"/>
              </w:rPr>
              <w:t>Target expected to be met.</w:t>
            </w:r>
          </w:p>
        </w:tc>
      </w:tr>
    </w:tbl>
    <w:p w14:paraId="22F3C971" w14:textId="232E8B5E" w:rsidR="00115843" w:rsidRDefault="00115843" w:rsidP="00115843">
      <w:r>
        <w:br w:type="page"/>
      </w:r>
    </w:p>
    <w:p w14:paraId="4BA56B77" w14:textId="77777777" w:rsidR="00FA669F" w:rsidRDefault="00FA669F" w:rsidP="00FA669F">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689"/>
        <w:gridCol w:w="3667"/>
      </w:tblGrid>
      <w:tr w:rsidR="00115843" w:rsidRPr="001B2F81" w14:paraId="48439CE3" w14:textId="77777777" w:rsidTr="00FB0D02">
        <w:trPr>
          <w:trHeight w:val="258"/>
        </w:trPr>
        <w:tc>
          <w:tcPr>
            <w:tcW w:w="873" w:type="pct"/>
            <w:tcBorders>
              <w:top w:val="double" w:sz="4" w:space="0" w:color="auto"/>
              <w:bottom w:val="single" w:sz="4" w:space="0" w:color="auto"/>
              <w:right w:val="single" w:sz="4" w:space="0" w:color="auto"/>
            </w:tcBorders>
          </w:tcPr>
          <w:p w14:paraId="7D83A8DF" w14:textId="77777777" w:rsidR="00115843" w:rsidRPr="00CD1CF1" w:rsidRDefault="00115843" w:rsidP="00FB0D02">
            <w:pPr>
              <w:pStyle w:val="TableTextBase"/>
              <w:rPr>
                <w:b/>
                <w:sz w:val="16"/>
                <w:szCs w:val="16"/>
              </w:rPr>
            </w:pPr>
            <w:r w:rsidRPr="00CD1CF1">
              <w:rPr>
                <w:b/>
                <w:sz w:val="16"/>
                <w:szCs w:val="16"/>
              </w:rPr>
              <w:t>Year</w:t>
            </w:r>
          </w:p>
        </w:tc>
        <w:tc>
          <w:tcPr>
            <w:tcW w:w="1746" w:type="pct"/>
            <w:tcBorders>
              <w:top w:val="double" w:sz="4" w:space="0" w:color="auto"/>
              <w:left w:val="single" w:sz="4" w:space="0" w:color="auto"/>
              <w:bottom w:val="single" w:sz="4" w:space="0" w:color="auto"/>
              <w:right w:val="single" w:sz="4" w:space="0" w:color="auto"/>
            </w:tcBorders>
          </w:tcPr>
          <w:p w14:paraId="3EF27563" w14:textId="77777777" w:rsidR="00115843" w:rsidRPr="00CD1CF1" w:rsidRDefault="00115843" w:rsidP="00FB0D02">
            <w:pPr>
              <w:pStyle w:val="TableTextBase"/>
              <w:rPr>
                <w:rFonts w:cs="Arial"/>
                <w:b/>
                <w:sz w:val="16"/>
                <w:szCs w:val="16"/>
              </w:rPr>
            </w:pPr>
            <w:r w:rsidRPr="00CD1CF1">
              <w:rPr>
                <w:rFonts w:cs="Arial"/>
                <w:b/>
                <w:sz w:val="16"/>
                <w:szCs w:val="16"/>
              </w:rPr>
              <w:t>Performance measures</w:t>
            </w:r>
          </w:p>
        </w:tc>
        <w:tc>
          <w:tcPr>
            <w:tcW w:w="2381" w:type="pct"/>
            <w:tcBorders>
              <w:top w:val="double" w:sz="4" w:space="0" w:color="auto"/>
              <w:left w:val="single" w:sz="4" w:space="0" w:color="auto"/>
              <w:bottom w:val="single" w:sz="4" w:space="0" w:color="auto"/>
            </w:tcBorders>
          </w:tcPr>
          <w:p w14:paraId="768E32E6" w14:textId="212416FC" w:rsidR="00115843" w:rsidRPr="00CD1CF1" w:rsidRDefault="00985384" w:rsidP="00FB0D02">
            <w:pPr>
              <w:pStyle w:val="TableTextBase"/>
              <w:rPr>
                <w:rFonts w:cs="Arial"/>
                <w:b/>
                <w:sz w:val="16"/>
                <w:szCs w:val="16"/>
              </w:rPr>
            </w:pPr>
            <w:r>
              <w:rPr>
                <w:rFonts w:cs="Arial"/>
                <w:b/>
                <w:sz w:val="16"/>
                <w:szCs w:val="16"/>
              </w:rPr>
              <w:t>Expect</w:t>
            </w:r>
            <w:r w:rsidR="00115843" w:rsidRPr="00CD1CF1">
              <w:rPr>
                <w:rFonts w:cs="Arial"/>
                <w:b/>
                <w:sz w:val="16"/>
                <w:szCs w:val="16"/>
              </w:rPr>
              <w:t>ed Performance Results</w:t>
            </w:r>
          </w:p>
        </w:tc>
      </w:tr>
      <w:tr w:rsidR="00115843" w:rsidRPr="001B2F81" w14:paraId="0E7399DC" w14:textId="77777777" w:rsidTr="00FB0D02">
        <w:trPr>
          <w:cantSplit/>
          <w:trHeight w:val="642"/>
        </w:trPr>
        <w:tc>
          <w:tcPr>
            <w:tcW w:w="873" w:type="pct"/>
            <w:vMerge w:val="restart"/>
            <w:tcBorders>
              <w:right w:val="single" w:sz="4" w:space="0" w:color="auto"/>
            </w:tcBorders>
          </w:tcPr>
          <w:p w14:paraId="64E689B4" w14:textId="638EE3B7" w:rsidR="00115843" w:rsidRPr="00FD292C" w:rsidRDefault="00985384" w:rsidP="00FB0D02">
            <w:pPr>
              <w:pStyle w:val="TableTextBase"/>
              <w:rPr>
                <w:sz w:val="16"/>
                <w:szCs w:val="16"/>
              </w:rPr>
            </w:pPr>
            <w:r>
              <w:rPr>
                <w:sz w:val="16"/>
                <w:szCs w:val="16"/>
              </w:rPr>
              <w:t>Current</w:t>
            </w:r>
            <w:r w:rsidR="00115843" w:rsidRPr="00FD292C">
              <w:rPr>
                <w:sz w:val="16"/>
                <w:szCs w:val="16"/>
              </w:rPr>
              <w:t xml:space="preserve"> year </w:t>
            </w:r>
            <w:r w:rsidR="00115843" w:rsidRPr="00FD292C">
              <w:rPr>
                <w:sz w:val="16"/>
                <w:szCs w:val="16"/>
              </w:rPr>
              <w:br/>
              <w:t>202</w:t>
            </w:r>
            <w:r>
              <w:rPr>
                <w:sz w:val="16"/>
                <w:szCs w:val="16"/>
              </w:rPr>
              <w:t>2</w:t>
            </w:r>
            <w:r w:rsidR="00115843" w:rsidRPr="00FD292C">
              <w:rPr>
                <w:sz w:val="16"/>
                <w:szCs w:val="16"/>
              </w:rPr>
              <w:t>–2</w:t>
            </w:r>
            <w:r>
              <w:rPr>
                <w:sz w:val="16"/>
                <w:szCs w:val="16"/>
              </w:rPr>
              <w:t>3</w:t>
            </w:r>
            <w:r w:rsidR="00115843" w:rsidRPr="00FD292C">
              <w:rPr>
                <w:sz w:val="16"/>
                <w:szCs w:val="16"/>
              </w:rPr>
              <w:t xml:space="preserve"> cont.</w:t>
            </w:r>
          </w:p>
        </w:tc>
        <w:tc>
          <w:tcPr>
            <w:tcW w:w="1746" w:type="pct"/>
            <w:tcBorders>
              <w:top w:val="single" w:sz="4" w:space="0" w:color="auto"/>
              <w:left w:val="single" w:sz="4" w:space="0" w:color="auto"/>
              <w:bottom w:val="single" w:sz="4" w:space="0" w:color="auto"/>
              <w:right w:val="single" w:sz="4" w:space="0" w:color="auto"/>
            </w:tcBorders>
          </w:tcPr>
          <w:p w14:paraId="56912A72" w14:textId="77777777" w:rsidR="00985384" w:rsidRPr="00985384" w:rsidRDefault="00985384" w:rsidP="00985384">
            <w:pPr>
              <w:pStyle w:val="TableTextBase"/>
              <w:rPr>
                <w:rFonts w:eastAsia="Calibri" w:cs="Arial"/>
                <w:sz w:val="16"/>
                <w:szCs w:val="16"/>
                <w:lang w:eastAsia="en-US"/>
              </w:rPr>
            </w:pPr>
            <w:r w:rsidRPr="00985384">
              <w:rPr>
                <w:rFonts w:eastAsia="Calibri" w:cs="Arial"/>
                <w:sz w:val="16"/>
                <w:szCs w:val="16"/>
                <w:lang w:eastAsia="en-US"/>
              </w:rPr>
              <w:t xml:space="preserve">Access to communications for people with a disability, indicated through: </w:t>
            </w:r>
          </w:p>
          <w:p w14:paraId="1A163D2B" w14:textId="55C6BFFE" w:rsidR="00985384" w:rsidRPr="00985384" w:rsidRDefault="00985384" w:rsidP="00977C28">
            <w:pPr>
              <w:pStyle w:val="TableTextBase"/>
              <w:numPr>
                <w:ilvl w:val="0"/>
                <w:numId w:val="168"/>
              </w:numPr>
              <w:ind w:left="389" w:hanging="389"/>
              <w:rPr>
                <w:rFonts w:eastAsia="Calibri" w:cs="Arial"/>
                <w:sz w:val="16"/>
                <w:szCs w:val="16"/>
                <w:lang w:eastAsia="en-US"/>
              </w:rPr>
            </w:pPr>
            <w:r w:rsidRPr="00985384">
              <w:rPr>
                <w:rFonts w:eastAsia="Calibri" w:cs="Arial"/>
                <w:sz w:val="16"/>
                <w:szCs w:val="16"/>
                <w:lang w:eastAsia="en-US"/>
              </w:rPr>
              <w:t xml:space="preserve">NRS performance. </w:t>
            </w:r>
          </w:p>
          <w:p w14:paraId="07A3DBEE" w14:textId="77777777" w:rsidR="00985384" w:rsidRDefault="00985384" w:rsidP="00977C28">
            <w:pPr>
              <w:pStyle w:val="TableTextBase"/>
              <w:numPr>
                <w:ilvl w:val="0"/>
                <w:numId w:val="168"/>
              </w:numPr>
              <w:ind w:left="389" w:hanging="389"/>
              <w:rPr>
                <w:rFonts w:eastAsia="Calibri" w:cs="Arial"/>
                <w:sz w:val="16"/>
                <w:szCs w:val="16"/>
                <w:lang w:eastAsia="en-US"/>
              </w:rPr>
            </w:pPr>
            <w:r w:rsidRPr="00985384">
              <w:rPr>
                <w:rFonts w:eastAsia="Calibri" w:cs="Arial"/>
                <w:sz w:val="16"/>
                <w:szCs w:val="16"/>
                <w:lang w:eastAsia="en-US"/>
              </w:rPr>
              <w:t>audio description implementation by the national broadcasters.</w:t>
            </w:r>
          </w:p>
          <w:p w14:paraId="7B3DA50A" w14:textId="3F1E4758" w:rsidR="00115843" w:rsidRPr="00985384" w:rsidRDefault="00985384" w:rsidP="00977C28">
            <w:pPr>
              <w:pStyle w:val="TableTextBase"/>
              <w:numPr>
                <w:ilvl w:val="0"/>
                <w:numId w:val="168"/>
              </w:numPr>
              <w:ind w:left="389" w:hanging="389"/>
              <w:rPr>
                <w:rFonts w:eastAsia="Calibri" w:cs="Arial"/>
                <w:sz w:val="16"/>
                <w:szCs w:val="16"/>
                <w:lang w:eastAsia="en-US"/>
              </w:rPr>
            </w:pPr>
            <w:r w:rsidRPr="00985384">
              <w:rPr>
                <w:rFonts w:eastAsia="Calibri" w:cs="Arial"/>
                <w:sz w:val="16"/>
                <w:szCs w:val="16"/>
                <w:lang w:eastAsia="en-US"/>
              </w:rPr>
              <w:t>broadcaster captioning compliance</w:t>
            </w:r>
          </w:p>
        </w:tc>
        <w:tc>
          <w:tcPr>
            <w:tcW w:w="2381" w:type="pct"/>
            <w:tcBorders>
              <w:top w:val="single" w:sz="4" w:space="0" w:color="auto"/>
              <w:left w:val="single" w:sz="4" w:space="0" w:color="auto"/>
              <w:bottom w:val="single" w:sz="4" w:space="0" w:color="auto"/>
            </w:tcBorders>
          </w:tcPr>
          <w:p w14:paraId="5ED57F9B" w14:textId="77777777" w:rsidR="00390F61" w:rsidRPr="00FD292C" w:rsidRDefault="00390F61" w:rsidP="00390F61">
            <w:pPr>
              <w:pStyle w:val="TableTextBase"/>
              <w:rPr>
                <w:rFonts w:cs="Arial"/>
                <w:sz w:val="16"/>
                <w:szCs w:val="16"/>
              </w:rPr>
            </w:pPr>
            <w:r>
              <w:rPr>
                <w:rFonts w:eastAsia="Calibri"/>
                <w:sz w:val="16"/>
                <w:szCs w:val="16"/>
              </w:rPr>
              <w:t xml:space="preserve">Target: </w:t>
            </w:r>
            <w:r w:rsidRPr="00FD292C">
              <w:rPr>
                <w:rFonts w:eastAsia="Calibri" w:cs="Arial"/>
                <w:sz w:val="16"/>
                <w:szCs w:val="16"/>
                <w:lang w:eastAsia="en-US"/>
              </w:rPr>
              <w:t>R</w:t>
            </w:r>
            <w:r w:rsidRPr="00FD292C">
              <w:rPr>
                <w:rFonts w:cs="Arial"/>
                <w:sz w:val="16"/>
                <w:szCs w:val="16"/>
              </w:rPr>
              <w:t>eporting in each financial year indicates access is maintained or improved</w:t>
            </w:r>
            <w:r>
              <w:rPr>
                <w:rFonts w:cs="Arial"/>
                <w:sz w:val="16"/>
                <w:szCs w:val="16"/>
              </w:rPr>
              <w:t>.</w:t>
            </w:r>
          </w:p>
          <w:p w14:paraId="3F8D3E7E" w14:textId="77777777" w:rsidR="00390F61" w:rsidRPr="00FD292C" w:rsidRDefault="00390F61" w:rsidP="00390F61">
            <w:pPr>
              <w:pStyle w:val="TableTextBase"/>
              <w:rPr>
                <w:rFonts w:cs="Arial"/>
                <w:sz w:val="16"/>
                <w:szCs w:val="16"/>
              </w:rPr>
            </w:pPr>
            <w:r w:rsidRPr="00FD292C">
              <w:rPr>
                <w:rFonts w:cs="Arial"/>
                <w:sz w:val="16"/>
                <w:szCs w:val="16"/>
              </w:rPr>
              <w:t>NRS: Provider meets or exceeds contractual service levels</w:t>
            </w:r>
            <w:r>
              <w:rPr>
                <w:rFonts w:cs="Arial"/>
                <w:sz w:val="16"/>
                <w:szCs w:val="16"/>
              </w:rPr>
              <w:t>.</w:t>
            </w:r>
          </w:p>
          <w:p w14:paraId="28A331CE" w14:textId="77777777" w:rsidR="00390F61" w:rsidRPr="00FD292C" w:rsidRDefault="00390F61" w:rsidP="00390F61">
            <w:pPr>
              <w:pStyle w:val="TableTextBase"/>
              <w:rPr>
                <w:rFonts w:cs="Arial"/>
                <w:sz w:val="16"/>
                <w:szCs w:val="16"/>
              </w:rPr>
            </w:pPr>
            <w:r w:rsidRPr="00FD292C">
              <w:rPr>
                <w:rFonts w:cs="Arial"/>
                <w:sz w:val="16"/>
                <w:szCs w:val="16"/>
              </w:rPr>
              <w:t>Audio description: National broadcasters provide no less than 14 hours per week, on average, of audio described content</w:t>
            </w:r>
            <w:r>
              <w:rPr>
                <w:rFonts w:cs="Arial"/>
                <w:sz w:val="16"/>
                <w:szCs w:val="16"/>
              </w:rPr>
              <w:t>.</w:t>
            </w:r>
          </w:p>
          <w:p w14:paraId="57713CCF" w14:textId="2DA7ECE7" w:rsidR="00390F61" w:rsidRDefault="00390F61" w:rsidP="00985384">
            <w:pPr>
              <w:pStyle w:val="TableParagraph"/>
              <w:spacing w:before="60" w:after="60"/>
              <w:rPr>
                <w:rFonts w:eastAsia="Calibri"/>
                <w:sz w:val="16"/>
                <w:szCs w:val="16"/>
              </w:rPr>
            </w:pPr>
            <w:r w:rsidRPr="00FD292C">
              <w:rPr>
                <w:sz w:val="16"/>
                <w:szCs w:val="16"/>
              </w:rPr>
              <w:t>Captioning: Broadcasters meet or exceed statutory captioning obligations</w:t>
            </w:r>
            <w:r>
              <w:rPr>
                <w:sz w:val="16"/>
                <w:szCs w:val="16"/>
              </w:rPr>
              <w:t>.</w:t>
            </w:r>
          </w:p>
          <w:p w14:paraId="4DECBF4C" w14:textId="630F27A8" w:rsidR="00115843" w:rsidRPr="00FD292C" w:rsidRDefault="00985384" w:rsidP="00390F61">
            <w:pPr>
              <w:pStyle w:val="TableParagraph"/>
              <w:spacing w:before="120" w:after="60"/>
              <w:rPr>
                <w:rFonts w:eastAsia="Calibri"/>
                <w:sz w:val="16"/>
                <w:szCs w:val="16"/>
              </w:rPr>
            </w:pPr>
            <w:r>
              <w:rPr>
                <w:rFonts w:eastAsia="Calibri"/>
                <w:sz w:val="16"/>
                <w:szCs w:val="16"/>
              </w:rPr>
              <w:t xml:space="preserve">Target expected to be met. </w:t>
            </w:r>
          </w:p>
        </w:tc>
      </w:tr>
      <w:tr w:rsidR="00115843" w:rsidRPr="001B2F81" w14:paraId="381AF5C1" w14:textId="77777777" w:rsidTr="00FB0D02">
        <w:trPr>
          <w:cantSplit/>
          <w:trHeight w:val="642"/>
        </w:trPr>
        <w:tc>
          <w:tcPr>
            <w:tcW w:w="873" w:type="pct"/>
            <w:vMerge/>
            <w:tcBorders>
              <w:right w:val="single" w:sz="4" w:space="0" w:color="auto"/>
            </w:tcBorders>
          </w:tcPr>
          <w:p w14:paraId="03E238D5" w14:textId="77777777" w:rsidR="00115843" w:rsidRPr="00FD292C" w:rsidRDefault="00115843" w:rsidP="00FB0D02">
            <w:pPr>
              <w:pStyle w:val="TableTextBase"/>
              <w:rPr>
                <w:sz w:val="16"/>
                <w:szCs w:val="16"/>
              </w:rPr>
            </w:pPr>
          </w:p>
        </w:tc>
        <w:tc>
          <w:tcPr>
            <w:tcW w:w="1746" w:type="pct"/>
            <w:tcBorders>
              <w:top w:val="single" w:sz="4" w:space="0" w:color="auto"/>
              <w:left w:val="single" w:sz="4" w:space="0" w:color="auto"/>
              <w:bottom w:val="single" w:sz="4" w:space="0" w:color="auto"/>
              <w:right w:val="single" w:sz="4" w:space="0" w:color="auto"/>
            </w:tcBorders>
          </w:tcPr>
          <w:p w14:paraId="18AB07CB" w14:textId="2FBFD4DA" w:rsidR="00115843" w:rsidRPr="00FD292C" w:rsidRDefault="00985384" w:rsidP="00FB0D02">
            <w:pPr>
              <w:pStyle w:val="TableTextBase"/>
              <w:rPr>
                <w:rFonts w:eastAsia="Calibri" w:cs="Arial"/>
                <w:sz w:val="16"/>
                <w:szCs w:val="16"/>
                <w:lang w:eastAsia="en-US"/>
              </w:rPr>
            </w:pPr>
            <w:r w:rsidRPr="00985384">
              <w:rPr>
                <w:rFonts w:eastAsia="Calibri" w:cs="Arial"/>
                <w:sz w:val="16"/>
                <w:szCs w:val="16"/>
                <w:lang w:eastAsia="en-US"/>
              </w:rPr>
              <w:t>Levels of consumer complaint in telecommunications and post sectors</w:t>
            </w:r>
          </w:p>
        </w:tc>
        <w:tc>
          <w:tcPr>
            <w:tcW w:w="2381" w:type="pct"/>
            <w:tcBorders>
              <w:top w:val="single" w:sz="4" w:space="0" w:color="auto"/>
              <w:left w:val="single" w:sz="4" w:space="0" w:color="auto"/>
              <w:bottom w:val="single" w:sz="4" w:space="0" w:color="auto"/>
            </w:tcBorders>
          </w:tcPr>
          <w:p w14:paraId="496D6C0D" w14:textId="2DA967CD" w:rsidR="00390F61" w:rsidRDefault="00390F61" w:rsidP="00985384">
            <w:pPr>
              <w:keepNext/>
              <w:keepLines/>
              <w:spacing w:before="60" w:after="60" w:line="240" w:lineRule="auto"/>
              <w:rPr>
                <w:rFonts w:ascii="Arial" w:eastAsia="Calibri" w:hAnsi="Arial" w:cs="Arial"/>
                <w:sz w:val="16"/>
                <w:szCs w:val="16"/>
              </w:rPr>
            </w:pPr>
            <w:r>
              <w:rPr>
                <w:rFonts w:ascii="Arial" w:eastAsia="Calibri" w:hAnsi="Arial" w:cs="Arial"/>
                <w:sz w:val="16"/>
                <w:szCs w:val="16"/>
              </w:rPr>
              <w:t xml:space="preserve">Target: </w:t>
            </w:r>
            <w:r w:rsidRPr="00390F61">
              <w:rPr>
                <w:rFonts w:ascii="Arial" w:eastAsia="Calibri" w:hAnsi="Arial" w:cs="Arial"/>
                <w:sz w:val="16"/>
                <w:szCs w:val="16"/>
              </w:rPr>
              <w:t>Twelve month reporting shows maintained or improved consumer experience.</w:t>
            </w:r>
          </w:p>
          <w:p w14:paraId="0A306C34" w14:textId="3B5510AC" w:rsidR="00985384" w:rsidRPr="00985384" w:rsidRDefault="00985384" w:rsidP="00390F61">
            <w:pPr>
              <w:keepNext/>
              <w:keepLines/>
              <w:spacing w:before="120" w:after="60" w:line="240" w:lineRule="auto"/>
              <w:rPr>
                <w:rFonts w:ascii="Arial" w:eastAsia="Calibri" w:hAnsi="Arial" w:cs="Arial"/>
                <w:sz w:val="16"/>
                <w:szCs w:val="16"/>
              </w:rPr>
            </w:pPr>
            <w:r w:rsidRPr="00985384">
              <w:rPr>
                <w:rFonts w:ascii="Arial" w:eastAsia="Calibri" w:hAnsi="Arial" w:cs="Arial"/>
                <w:sz w:val="16"/>
                <w:szCs w:val="16"/>
              </w:rPr>
              <w:t xml:space="preserve">Target expected to be met. </w:t>
            </w:r>
          </w:p>
          <w:p w14:paraId="063EF3C8" w14:textId="49D8D68A" w:rsidR="00115843" w:rsidRPr="00FD292C" w:rsidRDefault="00985384" w:rsidP="00390F61">
            <w:pPr>
              <w:keepNext/>
              <w:keepLines/>
              <w:spacing w:before="120" w:after="60" w:line="240" w:lineRule="auto"/>
              <w:rPr>
                <w:rFonts w:ascii="Arial" w:eastAsia="Calibri" w:hAnsi="Arial" w:cs="Arial"/>
                <w:sz w:val="16"/>
                <w:szCs w:val="16"/>
              </w:rPr>
            </w:pPr>
            <w:r w:rsidRPr="00985384">
              <w:rPr>
                <w:rFonts w:ascii="Arial" w:eastAsia="Calibri" w:hAnsi="Arial" w:cs="Arial"/>
                <w:sz w:val="16"/>
                <w:szCs w:val="16"/>
              </w:rPr>
              <w:t>Final reporting period for this measure. Further details will be included in the 2023–24 Corporate Plan.</w:t>
            </w:r>
          </w:p>
        </w:tc>
      </w:tr>
      <w:tr w:rsidR="00115843" w:rsidRPr="001B2F81" w14:paraId="36C9F5BC" w14:textId="77777777" w:rsidTr="00FB0D02">
        <w:trPr>
          <w:cantSplit/>
          <w:trHeight w:val="642"/>
        </w:trPr>
        <w:tc>
          <w:tcPr>
            <w:tcW w:w="873" w:type="pct"/>
            <w:vMerge/>
            <w:tcBorders>
              <w:right w:val="single" w:sz="4" w:space="0" w:color="auto"/>
            </w:tcBorders>
          </w:tcPr>
          <w:p w14:paraId="7D52CC7E" w14:textId="77777777" w:rsidR="00115843" w:rsidRPr="00FD292C" w:rsidRDefault="00115843" w:rsidP="00FB0D02">
            <w:pPr>
              <w:pStyle w:val="TableTextBase"/>
              <w:rPr>
                <w:sz w:val="16"/>
                <w:szCs w:val="16"/>
              </w:rPr>
            </w:pPr>
          </w:p>
        </w:tc>
        <w:tc>
          <w:tcPr>
            <w:tcW w:w="1746" w:type="pct"/>
            <w:tcBorders>
              <w:top w:val="single" w:sz="4" w:space="0" w:color="auto"/>
              <w:left w:val="single" w:sz="4" w:space="0" w:color="auto"/>
              <w:bottom w:val="single" w:sz="4" w:space="0" w:color="auto"/>
              <w:right w:val="single" w:sz="4" w:space="0" w:color="auto"/>
            </w:tcBorders>
          </w:tcPr>
          <w:p w14:paraId="6C7C06BD" w14:textId="5E851FC4" w:rsidR="00115843" w:rsidRPr="00FD292C" w:rsidRDefault="00985384" w:rsidP="00FB0D02">
            <w:pPr>
              <w:pStyle w:val="TableTextBase"/>
              <w:rPr>
                <w:rFonts w:eastAsia="Calibri" w:cs="Arial"/>
                <w:sz w:val="16"/>
                <w:szCs w:val="16"/>
                <w:vertAlign w:val="superscript"/>
                <w:lang w:eastAsia="en-US"/>
              </w:rPr>
            </w:pPr>
            <w:r w:rsidRPr="00985384">
              <w:rPr>
                <w:rFonts w:eastAsia="Calibri" w:cs="Arial"/>
                <w:sz w:val="16"/>
                <w:szCs w:val="16"/>
                <w:lang w:eastAsia="en-US"/>
              </w:rPr>
              <w:t>Effectiveness of the current Australian content and classification frameworks</w:t>
            </w:r>
            <w:r w:rsidRPr="00985384">
              <w:rPr>
                <w:rFonts w:eastAsia="Calibri" w:cs="Arial"/>
                <w:sz w:val="16"/>
                <w:szCs w:val="16"/>
                <w:vertAlign w:val="superscript"/>
                <w:lang w:eastAsia="en-US"/>
              </w:rPr>
              <w:t>(</w:t>
            </w:r>
            <w:r w:rsidR="00435F13">
              <w:rPr>
                <w:rFonts w:eastAsia="Calibri" w:cs="Arial"/>
                <w:sz w:val="16"/>
                <w:szCs w:val="16"/>
                <w:vertAlign w:val="superscript"/>
                <w:lang w:eastAsia="en-US"/>
              </w:rPr>
              <w:t>b</w:t>
            </w:r>
            <w:r w:rsidRPr="00985384">
              <w:rPr>
                <w:rFonts w:eastAsia="Calibri" w:cs="Arial"/>
                <w:sz w:val="16"/>
                <w:szCs w:val="16"/>
                <w:vertAlign w:val="superscript"/>
                <w:lang w:eastAsia="en-US"/>
              </w:rPr>
              <w:t>)</w:t>
            </w:r>
          </w:p>
        </w:tc>
        <w:tc>
          <w:tcPr>
            <w:tcW w:w="2381" w:type="pct"/>
            <w:tcBorders>
              <w:top w:val="single" w:sz="4" w:space="0" w:color="auto"/>
              <w:left w:val="single" w:sz="4" w:space="0" w:color="auto"/>
              <w:bottom w:val="single" w:sz="4" w:space="0" w:color="auto"/>
            </w:tcBorders>
          </w:tcPr>
          <w:p w14:paraId="2E521F67" w14:textId="77777777" w:rsidR="00390F61" w:rsidRPr="00FD292C" w:rsidRDefault="00390F61" w:rsidP="00390F61">
            <w:pPr>
              <w:spacing w:before="60" w:after="60" w:line="240" w:lineRule="auto"/>
              <w:ind w:right="-12"/>
              <w:rPr>
                <w:rFonts w:ascii="Arial" w:eastAsia="Calibri" w:hAnsi="Arial" w:cs="Arial"/>
                <w:sz w:val="16"/>
                <w:szCs w:val="16"/>
              </w:rPr>
            </w:pPr>
            <w:r>
              <w:rPr>
                <w:rFonts w:ascii="Arial" w:eastAsia="Calibri" w:hAnsi="Arial" w:cs="Arial"/>
                <w:sz w:val="16"/>
                <w:szCs w:val="16"/>
              </w:rPr>
              <w:t xml:space="preserve">Target: </w:t>
            </w:r>
            <w:r w:rsidRPr="00FD292C">
              <w:rPr>
                <w:rFonts w:ascii="Arial" w:eastAsia="Calibri" w:hAnsi="Arial" w:cs="Arial"/>
                <w:sz w:val="16"/>
                <w:szCs w:val="16"/>
              </w:rPr>
              <w:t>Reporting in each financial year shows organisations are meeting or exceeding statutory obligations:</w:t>
            </w:r>
          </w:p>
          <w:p w14:paraId="739D0CEC" w14:textId="77777777" w:rsidR="00390F61" w:rsidRDefault="00390F61" w:rsidP="00977C28">
            <w:pPr>
              <w:numPr>
                <w:ilvl w:val="0"/>
                <w:numId w:val="237"/>
              </w:numPr>
              <w:spacing w:before="60" w:after="60" w:line="240" w:lineRule="auto"/>
              <w:ind w:left="461" w:right="-12"/>
              <w:contextualSpacing/>
              <w:rPr>
                <w:rFonts w:ascii="Arial" w:eastAsia="Calibri" w:hAnsi="Arial" w:cs="Arial"/>
                <w:sz w:val="16"/>
                <w:szCs w:val="16"/>
              </w:rPr>
            </w:pPr>
            <w:r w:rsidRPr="00FD292C">
              <w:rPr>
                <w:rFonts w:ascii="Arial" w:eastAsia="Calibri" w:hAnsi="Arial" w:cs="Arial"/>
                <w:sz w:val="16"/>
                <w:szCs w:val="16"/>
              </w:rPr>
              <w:t>Australian content quota compliance and the existence of public data on Australian content available on streaming video on demand services</w:t>
            </w:r>
          </w:p>
          <w:p w14:paraId="32DCF569" w14:textId="2643017E" w:rsidR="00390F61" w:rsidRPr="00390F61" w:rsidRDefault="00390F61" w:rsidP="00977C28">
            <w:pPr>
              <w:numPr>
                <w:ilvl w:val="0"/>
                <w:numId w:val="237"/>
              </w:numPr>
              <w:spacing w:before="60" w:after="60" w:line="240" w:lineRule="auto"/>
              <w:ind w:left="461" w:right="-12"/>
              <w:contextualSpacing/>
              <w:rPr>
                <w:rFonts w:ascii="Arial" w:eastAsia="Calibri" w:hAnsi="Arial" w:cs="Arial"/>
                <w:sz w:val="16"/>
                <w:szCs w:val="16"/>
              </w:rPr>
            </w:pPr>
            <w:r w:rsidRPr="00390F61">
              <w:rPr>
                <w:rFonts w:ascii="Arial" w:eastAsia="Calibri" w:hAnsi="Arial" w:cs="Arial"/>
                <w:sz w:val="16"/>
                <w:szCs w:val="16"/>
              </w:rPr>
              <w:t>100% of Classification decisions by the Classification Board and Classification Review Board made and published on the National Classification Database within statutory timeframes.</w:t>
            </w:r>
          </w:p>
          <w:p w14:paraId="61F60927" w14:textId="35738561" w:rsidR="00115843" w:rsidRPr="00FD292C" w:rsidRDefault="00985384" w:rsidP="00390F61">
            <w:pPr>
              <w:keepNext/>
              <w:keepLines/>
              <w:spacing w:before="120" w:after="60" w:line="240" w:lineRule="auto"/>
              <w:rPr>
                <w:rFonts w:ascii="Arial" w:eastAsia="Calibri" w:hAnsi="Arial" w:cs="Arial"/>
                <w:sz w:val="16"/>
                <w:szCs w:val="16"/>
              </w:rPr>
            </w:pPr>
            <w:r w:rsidRPr="00985384">
              <w:rPr>
                <w:rFonts w:ascii="Arial" w:eastAsia="Calibri" w:hAnsi="Arial" w:cs="Arial"/>
                <w:sz w:val="16"/>
                <w:szCs w:val="16"/>
              </w:rPr>
              <w:t>Target expected to be partially met</w:t>
            </w:r>
            <w:r w:rsidR="001066C8">
              <w:rPr>
                <w:rFonts w:ascii="Arial" w:eastAsia="Calibri" w:hAnsi="Arial" w:cs="Arial"/>
                <w:sz w:val="16"/>
                <w:szCs w:val="16"/>
              </w:rPr>
              <w:t>.</w:t>
            </w:r>
          </w:p>
        </w:tc>
      </w:tr>
      <w:tr w:rsidR="00115843" w:rsidRPr="001B2F81" w14:paraId="5C8282F7" w14:textId="77777777" w:rsidTr="00FB0D02">
        <w:trPr>
          <w:cantSplit/>
          <w:trHeight w:val="297"/>
        </w:trPr>
        <w:tc>
          <w:tcPr>
            <w:tcW w:w="873" w:type="pct"/>
            <w:tcBorders>
              <w:top w:val="double" w:sz="4" w:space="0" w:color="auto"/>
              <w:left w:val="single" w:sz="4" w:space="0" w:color="auto"/>
              <w:bottom w:val="single" w:sz="4" w:space="0" w:color="auto"/>
              <w:right w:val="single" w:sz="4" w:space="0" w:color="auto"/>
            </w:tcBorders>
          </w:tcPr>
          <w:p w14:paraId="71664188" w14:textId="77777777" w:rsidR="00115843" w:rsidRPr="00CD1CF1" w:rsidRDefault="00115843" w:rsidP="00FB0D02">
            <w:pPr>
              <w:pStyle w:val="TableTextBase"/>
              <w:rPr>
                <w:b/>
                <w:sz w:val="16"/>
                <w:szCs w:val="16"/>
              </w:rPr>
            </w:pPr>
            <w:r w:rsidRPr="00CD1CF1">
              <w:rPr>
                <w:b/>
                <w:sz w:val="16"/>
                <w:szCs w:val="16"/>
              </w:rPr>
              <w:t>Year</w:t>
            </w:r>
          </w:p>
        </w:tc>
        <w:tc>
          <w:tcPr>
            <w:tcW w:w="1746" w:type="pct"/>
            <w:tcBorders>
              <w:top w:val="double" w:sz="4" w:space="0" w:color="auto"/>
              <w:left w:val="single" w:sz="4" w:space="0" w:color="auto"/>
              <w:bottom w:val="single" w:sz="4" w:space="0" w:color="auto"/>
              <w:right w:val="single" w:sz="4" w:space="0" w:color="auto"/>
            </w:tcBorders>
          </w:tcPr>
          <w:p w14:paraId="7AECF10B" w14:textId="77777777" w:rsidR="00115843" w:rsidRPr="00CD1CF1" w:rsidRDefault="00115843" w:rsidP="00FB0D02">
            <w:pPr>
              <w:pStyle w:val="TableTextBase"/>
              <w:rPr>
                <w:rFonts w:eastAsia="Calibri" w:cs="Arial"/>
                <w:b/>
                <w:sz w:val="16"/>
                <w:szCs w:val="16"/>
                <w:lang w:eastAsia="en-US"/>
              </w:rPr>
            </w:pPr>
            <w:r w:rsidRPr="00CD1CF1">
              <w:rPr>
                <w:rFonts w:eastAsia="Calibri" w:cs="Arial"/>
                <w:b/>
                <w:sz w:val="16"/>
                <w:szCs w:val="16"/>
                <w:lang w:eastAsia="en-US"/>
              </w:rPr>
              <w:t>Performance measures</w:t>
            </w:r>
          </w:p>
        </w:tc>
        <w:tc>
          <w:tcPr>
            <w:tcW w:w="2381" w:type="pct"/>
            <w:tcBorders>
              <w:top w:val="double" w:sz="4" w:space="0" w:color="auto"/>
              <w:left w:val="single" w:sz="4" w:space="0" w:color="auto"/>
              <w:bottom w:val="single" w:sz="4" w:space="0" w:color="auto"/>
              <w:right w:val="single" w:sz="4" w:space="0" w:color="auto"/>
            </w:tcBorders>
          </w:tcPr>
          <w:p w14:paraId="6EE82FE6" w14:textId="704F140B" w:rsidR="00115843" w:rsidRPr="00CD1CF1" w:rsidRDefault="00985384" w:rsidP="00FB0D02">
            <w:pPr>
              <w:spacing w:before="60" w:after="60" w:line="240" w:lineRule="auto"/>
              <w:ind w:right="-12"/>
              <w:rPr>
                <w:rFonts w:ascii="Arial" w:eastAsia="Calibri" w:hAnsi="Arial" w:cs="Arial"/>
                <w:b/>
                <w:sz w:val="16"/>
                <w:szCs w:val="16"/>
              </w:rPr>
            </w:pPr>
            <w:r>
              <w:rPr>
                <w:rFonts w:ascii="Arial" w:eastAsia="Calibri" w:hAnsi="Arial" w:cs="Arial"/>
                <w:b/>
                <w:sz w:val="16"/>
                <w:szCs w:val="16"/>
              </w:rPr>
              <w:t>Planned</w:t>
            </w:r>
            <w:r w:rsidR="00115843" w:rsidRPr="00CD1CF1">
              <w:rPr>
                <w:rFonts w:ascii="Arial" w:eastAsia="Calibri" w:hAnsi="Arial" w:cs="Arial"/>
                <w:b/>
                <w:sz w:val="16"/>
                <w:szCs w:val="16"/>
              </w:rPr>
              <w:t xml:space="preserve"> Performance Results</w:t>
            </w:r>
          </w:p>
        </w:tc>
      </w:tr>
      <w:tr w:rsidR="00115843" w:rsidRPr="001B2F81" w14:paraId="3C126809" w14:textId="77777777" w:rsidTr="00FB0D02">
        <w:trPr>
          <w:cantSplit/>
          <w:trHeight w:val="642"/>
        </w:trPr>
        <w:tc>
          <w:tcPr>
            <w:tcW w:w="873" w:type="pct"/>
            <w:vMerge w:val="restart"/>
            <w:tcBorders>
              <w:top w:val="single" w:sz="4" w:space="0" w:color="auto"/>
              <w:left w:val="single" w:sz="4" w:space="0" w:color="auto"/>
              <w:right w:val="single" w:sz="4" w:space="0" w:color="auto"/>
            </w:tcBorders>
          </w:tcPr>
          <w:p w14:paraId="15E713AD" w14:textId="5DEAD956" w:rsidR="00115843" w:rsidRPr="00FD292C" w:rsidRDefault="00985384" w:rsidP="00FB0D02">
            <w:pPr>
              <w:pStyle w:val="TableTextBase"/>
              <w:rPr>
                <w:sz w:val="16"/>
                <w:szCs w:val="16"/>
              </w:rPr>
            </w:pPr>
            <w:r>
              <w:rPr>
                <w:sz w:val="16"/>
                <w:szCs w:val="16"/>
              </w:rPr>
              <w:t>Budget</w:t>
            </w:r>
            <w:r w:rsidR="00115843" w:rsidRPr="00FD292C">
              <w:rPr>
                <w:sz w:val="16"/>
                <w:szCs w:val="16"/>
              </w:rPr>
              <w:t xml:space="preserve"> year 202</w:t>
            </w:r>
            <w:r>
              <w:rPr>
                <w:sz w:val="16"/>
                <w:szCs w:val="16"/>
              </w:rPr>
              <w:t>3</w:t>
            </w:r>
            <w:r w:rsidR="00115843" w:rsidRPr="00FD292C">
              <w:rPr>
                <w:sz w:val="16"/>
                <w:szCs w:val="16"/>
              </w:rPr>
              <w:t>–2</w:t>
            </w:r>
            <w:r>
              <w:rPr>
                <w:sz w:val="16"/>
                <w:szCs w:val="16"/>
              </w:rPr>
              <w:t>4</w:t>
            </w:r>
          </w:p>
        </w:tc>
        <w:tc>
          <w:tcPr>
            <w:tcW w:w="1746" w:type="pct"/>
            <w:tcBorders>
              <w:top w:val="single" w:sz="4" w:space="0" w:color="auto"/>
              <w:left w:val="single" w:sz="4" w:space="0" w:color="auto"/>
              <w:bottom w:val="single" w:sz="4" w:space="0" w:color="auto"/>
              <w:right w:val="single" w:sz="4" w:space="0" w:color="auto"/>
            </w:tcBorders>
          </w:tcPr>
          <w:p w14:paraId="5CEA946F" w14:textId="7CC37DA2" w:rsidR="00115843" w:rsidRPr="00FD292C" w:rsidRDefault="00985384" w:rsidP="00FB0D02">
            <w:pPr>
              <w:pStyle w:val="TableTextBase"/>
              <w:rPr>
                <w:rFonts w:eastAsia="Calibri" w:cs="Arial"/>
                <w:sz w:val="16"/>
                <w:szCs w:val="16"/>
                <w:lang w:eastAsia="en-US"/>
              </w:rPr>
            </w:pPr>
            <w:r w:rsidRPr="00985384">
              <w:rPr>
                <w:rFonts w:eastAsia="Calibri" w:cs="Arial"/>
                <w:sz w:val="16"/>
                <w:szCs w:val="16"/>
                <w:lang w:eastAsia="en-US"/>
              </w:rPr>
              <w:t>Amount of new and improved mobile coverage (in square kilometres) delivered in regions from base stations funded and built under the Mobile Black Spot Program</w:t>
            </w:r>
          </w:p>
        </w:tc>
        <w:tc>
          <w:tcPr>
            <w:tcW w:w="2381" w:type="pct"/>
            <w:tcBorders>
              <w:top w:val="single" w:sz="4" w:space="0" w:color="auto"/>
              <w:left w:val="single" w:sz="4" w:space="0" w:color="auto"/>
              <w:bottom w:val="single" w:sz="4" w:space="0" w:color="auto"/>
              <w:right w:val="single" w:sz="4" w:space="0" w:color="auto"/>
            </w:tcBorders>
          </w:tcPr>
          <w:p w14:paraId="0F0E8BB5" w14:textId="04BB98FB" w:rsidR="00115843" w:rsidRPr="00FD292C" w:rsidRDefault="00985384" w:rsidP="00FB0D02">
            <w:pPr>
              <w:spacing w:before="60" w:after="60" w:line="240" w:lineRule="auto"/>
              <w:ind w:right="-12"/>
              <w:rPr>
                <w:rFonts w:ascii="Arial" w:eastAsia="Calibri" w:hAnsi="Arial" w:cs="Arial"/>
                <w:sz w:val="16"/>
                <w:szCs w:val="16"/>
              </w:rPr>
            </w:pPr>
            <w:r w:rsidRPr="00985384">
              <w:rPr>
                <w:rFonts w:ascii="Arial" w:eastAsia="Calibri" w:hAnsi="Arial" w:cs="Arial"/>
                <w:sz w:val="16"/>
                <w:szCs w:val="16"/>
              </w:rPr>
              <w:t>≥90% of total contracted (predictive) coverage is delivered through new assets for which asset completion reports are received in the financial year.</w:t>
            </w:r>
          </w:p>
        </w:tc>
      </w:tr>
      <w:tr w:rsidR="00115843" w:rsidRPr="001B2F81" w14:paraId="11AA6CF5" w14:textId="77777777" w:rsidTr="00FB0D02">
        <w:trPr>
          <w:cantSplit/>
          <w:trHeight w:val="642"/>
        </w:trPr>
        <w:tc>
          <w:tcPr>
            <w:tcW w:w="873" w:type="pct"/>
            <w:vMerge/>
            <w:tcBorders>
              <w:left w:val="single" w:sz="4" w:space="0" w:color="auto"/>
              <w:right w:val="single" w:sz="4" w:space="0" w:color="auto"/>
            </w:tcBorders>
          </w:tcPr>
          <w:p w14:paraId="292DED79" w14:textId="77777777" w:rsidR="00115843" w:rsidRPr="00FD292C" w:rsidRDefault="00115843" w:rsidP="00FB0D02">
            <w:pPr>
              <w:pStyle w:val="TableTextBase"/>
              <w:rPr>
                <w:sz w:val="16"/>
                <w:szCs w:val="16"/>
              </w:rPr>
            </w:pPr>
          </w:p>
        </w:tc>
        <w:tc>
          <w:tcPr>
            <w:tcW w:w="1746" w:type="pct"/>
            <w:tcBorders>
              <w:top w:val="single" w:sz="4" w:space="0" w:color="auto"/>
              <w:left w:val="single" w:sz="4" w:space="0" w:color="auto"/>
              <w:bottom w:val="single" w:sz="4" w:space="0" w:color="auto"/>
              <w:right w:val="single" w:sz="4" w:space="0" w:color="auto"/>
            </w:tcBorders>
          </w:tcPr>
          <w:p w14:paraId="61FC0A61" w14:textId="64A6A705" w:rsidR="00115843" w:rsidRPr="00FD292C" w:rsidRDefault="00985384" w:rsidP="00FB0D02">
            <w:pPr>
              <w:pStyle w:val="TableTextBase"/>
              <w:rPr>
                <w:rFonts w:eastAsia="Calibri" w:cs="Arial"/>
                <w:sz w:val="16"/>
                <w:szCs w:val="16"/>
                <w:lang w:eastAsia="en-US"/>
              </w:rPr>
            </w:pPr>
            <w:r w:rsidRPr="00985384">
              <w:rPr>
                <w:rFonts w:eastAsia="Calibri" w:cs="Arial"/>
                <w:sz w:val="16"/>
                <w:szCs w:val="16"/>
                <w:lang w:eastAsia="en-US"/>
              </w:rPr>
              <w:t xml:space="preserve">Provision of the </w:t>
            </w:r>
            <w:r w:rsidR="00390F61">
              <w:rPr>
                <w:rFonts w:eastAsia="Calibri" w:cs="Arial"/>
                <w:sz w:val="16"/>
                <w:szCs w:val="16"/>
                <w:lang w:eastAsia="en-US"/>
              </w:rPr>
              <w:t>VAST</w:t>
            </w:r>
            <w:r w:rsidRPr="00985384">
              <w:rPr>
                <w:rFonts w:eastAsia="Calibri" w:cs="Arial"/>
                <w:sz w:val="16"/>
                <w:szCs w:val="16"/>
                <w:lang w:eastAsia="en-US"/>
              </w:rPr>
              <w:t xml:space="preserve"> services</w:t>
            </w:r>
          </w:p>
        </w:tc>
        <w:tc>
          <w:tcPr>
            <w:tcW w:w="2381" w:type="pct"/>
            <w:tcBorders>
              <w:top w:val="single" w:sz="4" w:space="0" w:color="auto"/>
              <w:left w:val="single" w:sz="4" w:space="0" w:color="auto"/>
              <w:bottom w:val="single" w:sz="4" w:space="0" w:color="auto"/>
              <w:right w:val="single" w:sz="4" w:space="0" w:color="auto"/>
            </w:tcBorders>
          </w:tcPr>
          <w:p w14:paraId="1A0D7767" w14:textId="09AE27AD" w:rsidR="00115843" w:rsidRPr="00FD292C" w:rsidRDefault="00985384" w:rsidP="00FB0D02">
            <w:pPr>
              <w:spacing w:before="60" w:after="60" w:line="240" w:lineRule="auto"/>
              <w:ind w:right="-12"/>
              <w:rPr>
                <w:rFonts w:ascii="Arial" w:eastAsia="Calibri" w:hAnsi="Arial" w:cs="Arial"/>
                <w:sz w:val="16"/>
                <w:szCs w:val="16"/>
              </w:rPr>
            </w:pPr>
            <w:r w:rsidRPr="00985384">
              <w:rPr>
                <w:rFonts w:ascii="Arial" w:eastAsia="Calibri" w:hAnsi="Arial" w:cs="Arial"/>
                <w:sz w:val="16"/>
                <w:szCs w:val="16"/>
              </w:rPr>
              <w:t>In each financial year, commercial free-to-air satellite television services are provided in accordance with the legislative and contractual arrangements.</w:t>
            </w:r>
          </w:p>
        </w:tc>
      </w:tr>
      <w:tr w:rsidR="00115843" w:rsidRPr="001B2F81" w14:paraId="62FE3EC3" w14:textId="77777777" w:rsidTr="00FB0D02">
        <w:trPr>
          <w:cantSplit/>
          <w:trHeight w:val="642"/>
        </w:trPr>
        <w:tc>
          <w:tcPr>
            <w:tcW w:w="873" w:type="pct"/>
            <w:vMerge/>
            <w:tcBorders>
              <w:left w:val="single" w:sz="4" w:space="0" w:color="auto"/>
              <w:right w:val="single" w:sz="4" w:space="0" w:color="auto"/>
            </w:tcBorders>
          </w:tcPr>
          <w:p w14:paraId="5222BF86" w14:textId="77777777" w:rsidR="00115843" w:rsidRPr="00FD292C" w:rsidRDefault="00115843" w:rsidP="00FB0D02">
            <w:pPr>
              <w:pStyle w:val="TableTextBase"/>
              <w:rPr>
                <w:sz w:val="16"/>
                <w:szCs w:val="16"/>
              </w:rPr>
            </w:pPr>
          </w:p>
        </w:tc>
        <w:tc>
          <w:tcPr>
            <w:tcW w:w="1746" w:type="pct"/>
            <w:tcBorders>
              <w:top w:val="single" w:sz="4" w:space="0" w:color="auto"/>
              <w:left w:val="single" w:sz="4" w:space="0" w:color="auto"/>
              <w:bottom w:val="single" w:sz="4" w:space="0" w:color="auto"/>
              <w:right w:val="single" w:sz="4" w:space="0" w:color="auto"/>
            </w:tcBorders>
          </w:tcPr>
          <w:p w14:paraId="1A1A5B22" w14:textId="7FB9A80D" w:rsidR="00115843" w:rsidRPr="00FD292C" w:rsidRDefault="00985384" w:rsidP="00FB0D02">
            <w:pPr>
              <w:pStyle w:val="TableTextBase"/>
              <w:rPr>
                <w:rFonts w:eastAsia="Calibri" w:cs="Arial"/>
                <w:sz w:val="16"/>
                <w:szCs w:val="16"/>
                <w:lang w:eastAsia="en-US"/>
              </w:rPr>
            </w:pPr>
            <w:r w:rsidRPr="00985384">
              <w:rPr>
                <w:rFonts w:eastAsia="Calibri" w:cs="Arial"/>
                <w:sz w:val="16"/>
                <w:szCs w:val="16"/>
                <w:lang w:eastAsia="en-US"/>
              </w:rPr>
              <w:t>Affordability of telecommunications services (mobile and fixed) on offer</w:t>
            </w:r>
          </w:p>
        </w:tc>
        <w:tc>
          <w:tcPr>
            <w:tcW w:w="2381" w:type="pct"/>
            <w:tcBorders>
              <w:top w:val="single" w:sz="4" w:space="0" w:color="auto"/>
              <w:left w:val="single" w:sz="4" w:space="0" w:color="auto"/>
              <w:bottom w:val="single" w:sz="4" w:space="0" w:color="auto"/>
              <w:right w:val="single" w:sz="4" w:space="0" w:color="auto"/>
            </w:tcBorders>
          </w:tcPr>
          <w:p w14:paraId="00694EBC" w14:textId="0A585F3C" w:rsidR="00115843" w:rsidRPr="00FD292C" w:rsidRDefault="00985384" w:rsidP="00FB0D02">
            <w:pPr>
              <w:spacing w:before="60" w:after="60" w:line="240" w:lineRule="auto"/>
              <w:ind w:right="-12"/>
              <w:rPr>
                <w:rFonts w:ascii="Arial" w:eastAsia="Calibri" w:hAnsi="Arial" w:cs="Arial"/>
                <w:sz w:val="16"/>
                <w:szCs w:val="16"/>
              </w:rPr>
            </w:pPr>
            <w:r w:rsidRPr="00985384">
              <w:rPr>
                <w:rFonts w:ascii="Arial" w:eastAsia="Calibri" w:hAnsi="Arial" w:cs="Arial"/>
                <w:sz w:val="16"/>
                <w:szCs w:val="16"/>
              </w:rPr>
              <w:t>Reporting in each financial year indicates affordability is maintained or increased.</w:t>
            </w:r>
          </w:p>
        </w:tc>
      </w:tr>
    </w:tbl>
    <w:p w14:paraId="622EF732" w14:textId="77777777" w:rsidR="00985384" w:rsidRDefault="00985384">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689"/>
        <w:gridCol w:w="3667"/>
      </w:tblGrid>
      <w:tr w:rsidR="00AC6BCC" w:rsidRPr="001B2F81" w14:paraId="1A5C178C" w14:textId="77777777" w:rsidTr="00AC6BCC">
        <w:trPr>
          <w:cantSplit/>
          <w:trHeight w:val="268"/>
        </w:trPr>
        <w:tc>
          <w:tcPr>
            <w:tcW w:w="873" w:type="pct"/>
            <w:tcBorders>
              <w:top w:val="double" w:sz="4" w:space="0" w:color="auto"/>
              <w:left w:val="single" w:sz="4" w:space="0" w:color="auto"/>
              <w:right w:val="single" w:sz="4" w:space="0" w:color="auto"/>
            </w:tcBorders>
          </w:tcPr>
          <w:p w14:paraId="3FB0040B" w14:textId="008F48F9" w:rsidR="00AC6BCC" w:rsidRPr="00AC6BCC" w:rsidRDefault="00AC6BCC" w:rsidP="00AC6BCC">
            <w:pPr>
              <w:pStyle w:val="TableTextBase"/>
              <w:rPr>
                <w:rFonts w:cs="Arial"/>
                <w:sz w:val="16"/>
                <w:szCs w:val="16"/>
              </w:rPr>
            </w:pPr>
            <w:r w:rsidRPr="00AC6BCC">
              <w:rPr>
                <w:rFonts w:cs="Arial"/>
                <w:b/>
                <w:spacing w:val="-4"/>
                <w:sz w:val="16"/>
              </w:rPr>
              <w:lastRenderedPageBreak/>
              <w:t>Year</w:t>
            </w:r>
          </w:p>
        </w:tc>
        <w:tc>
          <w:tcPr>
            <w:tcW w:w="1746" w:type="pct"/>
            <w:tcBorders>
              <w:top w:val="double" w:sz="4" w:space="0" w:color="auto"/>
              <w:left w:val="single" w:sz="4" w:space="0" w:color="auto"/>
              <w:bottom w:val="single" w:sz="4" w:space="0" w:color="auto"/>
              <w:right w:val="single" w:sz="4" w:space="0" w:color="auto"/>
            </w:tcBorders>
          </w:tcPr>
          <w:p w14:paraId="5E97E4FF" w14:textId="13EF306E" w:rsidR="00AC6BCC" w:rsidRPr="00AC6BCC" w:rsidRDefault="00AC6BCC" w:rsidP="00AC6BCC">
            <w:pPr>
              <w:pStyle w:val="TableTextBase"/>
              <w:rPr>
                <w:rFonts w:eastAsia="Calibri" w:cs="Arial"/>
                <w:sz w:val="16"/>
                <w:szCs w:val="16"/>
                <w:lang w:eastAsia="en-US"/>
              </w:rPr>
            </w:pPr>
            <w:r w:rsidRPr="00AC6BCC">
              <w:rPr>
                <w:rFonts w:cs="Arial"/>
                <w:b/>
                <w:sz w:val="16"/>
              </w:rPr>
              <w:t>Performance</w:t>
            </w:r>
            <w:r w:rsidRPr="00AC6BCC">
              <w:rPr>
                <w:rFonts w:cs="Arial"/>
                <w:b/>
                <w:spacing w:val="-10"/>
                <w:sz w:val="16"/>
              </w:rPr>
              <w:t xml:space="preserve"> </w:t>
            </w:r>
            <w:r w:rsidRPr="00AC6BCC">
              <w:rPr>
                <w:rFonts w:cs="Arial"/>
                <w:b/>
                <w:spacing w:val="-2"/>
                <w:sz w:val="16"/>
              </w:rPr>
              <w:t>measures</w:t>
            </w:r>
          </w:p>
        </w:tc>
        <w:tc>
          <w:tcPr>
            <w:tcW w:w="2381" w:type="pct"/>
            <w:tcBorders>
              <w:top w:val="double" w:sz="4" w:space="0" w:color="auto"/>
              <w:left w:val="single" w:sz="4" w:space="0" w:color="auto"/>
              <w:bottom w:val="single" w:sz="4" w:space="0" w:color="auto"/>
              <w:right w:val="single" w:sz="4" w:space="0" w:color="auto"/>
            </w:tcBorders>
          </w:tcPr>
          <w:p w14:paraId="04390406" w14:textId="5A21B9BD" w:rsidR="00AC6BCC" w:rsidRPr="00AC6BCC" w:rsidRDefault="00AC6BCC" w:rsidP="00AC6BCC">
            <w:pPr>
              <w:spacing w:before="60" w:after="60" w:line="240" w:lineRule="auto"/>
              <w:ind w:right="-12"/>
              <w:rPr>
                <w:rFonts w:ascii="Arial" w:eastAsia="Calibri" w:hAnsi="Arial" w:cs="Arial"/>
                <w:sz w:val="16"/>
                <w:szCs w:val="16"/>
              </w:rPr>
            </w:pPr>
            <w:r w:rsidRPr="00AC6BCC">
              <w:rPr>
                <w:rFonts w:ascii="Arial" w:hAnsi="Arial" w:cs="Arial"/>
                <w:b/>
                <w:sz w:val="16"/>
              </w:rPr>
              <w:t>Planned</w:t>
            </w:r>
            <w:r w:rsidRPr="00AC6BCC">
              <w:rPr>
                <w:rFonts w:ascii="Arial" w:hAnsi="Arial" w:cs="Arial"/>
                <w:b/>
                <w:spacing w:val="-8"/>
                <w:sz w:val="16"/>
              </w:rPr>
              <w:t xml:space="preserve"> </w:t>
            </w:r>
            <w:r w:rsidRPr="00AC6BCC">
              <w:rPr>
                <w:rFonts w:ascii="Arial" w:hAnsi="Arial" w:cs="Arial"/>
                <w:b/>
                <w:sz w:val="16"/>
              </w:rPr>
              <w:t>Performance</w:t>
            </w:r>
            <w:r w:rsidRPr="00AC6BCC">
              <w:rPr>
                <w:rFonts w:ascii="Arial" w:hAnsi="Arial" w:cs="Arial"/>
                <w:b/>
                <w:spacing w:val="-6"/>
                <w:sz w:val="16"/>
              </w:rPr>
              <w:t xml:space="preserve"> </w:t>
            </w:r>
            <w:r w:rsidRPr="00AC6BCC">
              <w:rPr>
                <w:rFonts w:ascii="Arial" w:hAnsi="Arial" w:cs="Arial"/>
                <w:b/>
                <w:spacing w:val="-2"/>
                <w:sz w:val="16"/>
              </w:rPr>
              <w:t>Results</w:t>
            </w:r>
          </w:p>
        </w:tc>
      </w:tr>
      <w:tr w:rsidR="00AC6BCC" w:rsidRPr="001B2F81" w14:paraId="4490C1F7" w14:textId="77777777" w:rsidTr="00FB0D02">
        <w:trPr>
          <w:cantSplit/>
          <w:trHeight w:val="642"/>
        </w:trPr>
        <w:tc>
          <w:tcPr>
            <w:tcW w:w="873" w:type="pct"/>
            <w:vMerge w:val="restart"/>
            <w:tcBorders>
              <w:left w:val="single" w:sz="4" w:space="0" w:color="auto"/>
              <w:right w:val="single" w:sz="4" w:space="0" w:color="auto"/>
            </w:tcBorders>
          </w:tcPr>
          <w:p w14:paraId="4EBAAF15" w14:textId="2DAE7180" w:rsidR="00AC6BCC" w:rsidRPr="00FD292C" w:rsidRDefault="00AC6BCC" w:rsidP="00AC6BCC">
            <w:pPr>
              <w:pStyle w:val="TableTextBase"/>
              <w:rPr>
                <w:sz w:val="16"/>
                <w:szCs w:val="16"/>
              </w:rPr>
            </w:pPr>
            <w:r>
              <w:rPr>
                <w:sz w:val="16"/>
                <w:szCs w:val="16"/>
              </w:rPr>
              <w:t>Budget</w:t>
            </w:r>
            <w:r w:rsidRPr="00FD292C">
              <w:rPr>
                <w:sz w:val="16"/>
                <w:szCs w:val="16"/>
              </w:rPr>
              <w:t xml:space="preserve"> year 202</w:t>
            </w:r>
            <w:r>
              <w:rPr>
                <w:sz w:val="16"/>
                <w:szCs w:val="16"/>
              </w:rPr>
              <w:t>3</w:t>
            </w:r>
            <w:r w:rsidRPr="00FD292C">
              <w:rPr>
                <w:sz w:val="16"/>
                <w:szCs w:val="16"/>
              </w:rPr>
              <w:t>–2</w:t>
            </w:r>
            <w:r>
              <w:rPr>
                <w:sz w:val="16"/>
                <w:szCs w:val="16"/>
              </w:rPr>
              <w:t>4 cont.</w:t>
            </w:r>
          </w:p>
        </w:tc>
        <w:tc>
          <w:tcPr>
            <w:tcW w:w="1746" w:type="pct"/>
            <w:tcBorders>
              <w:top w:val="single" w:sz="4" w:space="0" w:color="auto"/>
              <w:left w:val="single" w:sz="4" w:space="0" w:color="auto"/>
              <w:bottom w:val="single" w:sz="4" w:space="0" w:color="auto"/>
              <w:right w:val="single" w:sz="4" w:space="0" w:color="auto"/>
            </w:tcBorders>
          </w:tcPr>
          <w:p w14:paraId="65BC41C3" w14:textId="77777777" w:rsidR="00AC6BCC" w:rsidRPr="00AC6BCC" w:rsidRDefault="00AC6BCC" w:rsidP="00AC6BCC">
            <w:pPr>
              <w:pStyle w:val="TableTextBase"/>
              <w:rPr>
                <w:rFonts w:eastAsia="Calibri" w:cs="Arial"/>
                <w:sz w:val="16"/>
                <w:szCs w:val="16"/>
                <w:lang w:eastAsia="en-US"/>
              </w:rPr>
            </w:pPr>
            <w:r w:rsidRPr="00AC6BCC">
              <w:rPr>
                <w:rFonts w:eastAsia="Calibri" w:cs="Arial"/>
                <w:sz w:val="16"/>
                <w:szCs w:val="16"/>
                <w:lang w:eastAsia="en-US"/>
              </w:rPr>
              <w:t xml:space="preserve">Access to communications for people with a disability, indicated through: </w:t>
            </w:r>
          </w:p>
          <w:p w14:paraId="0233B47A" w14:textId="5445316D" w:rsidR="00AC6BCC" w:rsidRPr="00AC6BCC" w:rsidRDefault="00AC6BCC" w:rsidP="00977C28">
            <w:pPr>
              <w:pStyle w:val="TableTextBase"/>
              <w:numPr>
                <w:ilvl w:val="0"/>
                <w:numId w:val="169"/>
              </w:numPr>
              <w:ind w:left="389" w:hanging="389"/>
              <w:rPr>
                <w:rFonts w:eastAsia="Calibri" w:cs="Arial"/>
                <w:sz w:val="16"/>
                <w:szCs w:val="16"/>
                <w:lang w:eastAsia="en-US"/>
              </w:rPr>
            </w:pPr>
            <w:r w:rsidRPr="00AC6BCC">
              <w:rPr>
                <w:rFonts w:eastAsia="Calibri" w:cs="Arial"/>
                <w:sz w:val="16"/>
                <w:szCs w:val="16"/>
                <w:lang w:eastAsia="en-US"/>
              </w:rPr>
              <w:t>NRS performance</w:t>
            </w:r>
          </w:p>
          <w:p w14:paraId="5A8E3471" w14:textId="65332F68" w:rsidR="00AC6BCC" w:rsidRDefault="00AC6BCC" w:rsidP="00977C28">
            <w:pPr>
              <w:pStyle w:val="TableTextBase"/>
              <w:numPr>
                <w:ilvl w:val="0"/>
                <w:numId w:val="169"/>
              </w:numPr>
              <w:ind w:left="389" w:hanging="389"/>
              <w:rPr>
                <w:rFonts w:eastAsia="Calibri" w:cs="Arial"/>
                <w:sz w:val="16"/>
                <w:szCs w:val="16"/>
                <w:lang w:eastAsia="en-US"/>
              </w:rPr>
            </w:pPr>
            <w:r w:rsidRPr="00AC6BCC">
              <w:rPr>
                <w:rFonts w:eastAsia="Calibri" w:cs="Arial"/>
                <w:sz w:val="16"/>
                <w:szCs w:val="16"/>
                <w:lang w:eastAsia="en-US"/>
              </w:rPr>
              <w:t>Audio description implementation by the national broadcasters. This is a narrated sound track provided by the ABC and SBS for specific TV shows to provide accessibility to blind or vision impaired people</w:t>
            </w:r>
          </w:p>
          <w:p w14:paraId="6ADBA499" w14:textId="743182E6" w:rsidR="00AC6BCC" w:rsidRPr="00AC6BCC" w:rsidRDefault="00AC6BCC" w:rsidP="00977C28">
            <w:pPr>
              <w:pStyle w:val="TableTextBase"/>
              <w:numPr>
                <w:ilvl w:val="0"/>
                <w:numId w:val="169"/>
              </w:numPr>
              <w:ind w:left="389" w:hanging="389"/>
              <w:rPr>
                <w:rFonts w:eastAsia="Calibri" w:cs="Arial"/>
                <w:sz w:val="16"/>
                <w:szCs w:val="16"/>
                <w:lang w:eastAsia="en-US"/>
              </w:rPr>
            </w:pPr>
            <w:r w:rsidRPr="00AC6BCC">
              <w:rPr>
                <w:rFonts w:eastAsia="Calibri" w:cs="Arial"/>
                <w:sz w:val="16"/>
                <w:szCs w:val="16"/>
                <w:lang w:eastAsia="en-US"/>
              </w:rPr>
              <w:t>Broadcaster captioning compliance. This is a legislative requirement for all broadcasters for deaf and hearing-impaired people. There are different obligations for free-to-air broadcasters and pay TV. The ACMA is the regulator for these obligations and releases compliance data every year</w:t>
            </w:r>
          </w:p>
        </w:tc>
        <w:tc>
          <w:tcPr>
            <w:tcW w:w="2381" w:type="pct"/>
            <w:tcBorders>
              <w:top w:val="single" w:sz="4" w:space="0" w:color="auto"/>
              <w:left w:val="single" w:sz="4" w:space="0" w:color="auto"/>
              <w:bottom w:val="single" w:sz="4" w:space="0" w:color="auto"/>
              <w:right w:val="single" w:sz="4" w:space="0" w:color="auto"/>
            </w:tcBorders>
          </w:tcPr>
          <w:p w14:paraId="1F062521" w14:textId="77777777" w:rsidR="00AC6BCC" w:rsidRDefault="00AC6BCC" w:rsidP="00390F61">
            <w:pPr>
              <w:pStyle w:val="TableParagraph"/>
              <w:spacing w:before="60" w:after="60"/>
              <w:ind w:right="309"/>
              <w:rPr>
                <w:sz w:val="16"/>
                <w:szCs w:val="16"/>
              </w:rPr>
            </w:pPr>
            <w:r>
              <w:rPr>
                <w:sz w:val="16"/>
                <w:szCs w:val="16"/>
              </w:rPr>
              <w:t>Reporting in each financial year indicates access is maintained or improved.</w:t>
            </w:r>
          </w:p>
          <w:p w14:paraId="49CB2107" w14:textId="77777777" w:rsidR="00AC6BCC" w:rsidRDefault="00AC6BCC" w:rsidP="00977C28">
            <w:pPr>
              <w:pStyle w:val="TableParagraph"/>
              <w:numPr>
                <w:ilvl w:val="0"/>
                <w:numId w:val="170"/>
              </w:numPr>
              <w:spacing w:before="60" w:after="60"/>
              <w:ind w:left="397" w:right="309" w:hanging="397"/>
              <w:rPr>
                <w:sz w:val="16"/>
                <w:szCs w:val="16"/>
              </w:rPr>
            </w:pPr>
            <w:r>
              <w:rPr>
                <w:sz w:val="16"/>
                <w:szCs w:val="16"/>
              </w:rPr>
              <w:t>NRS: Provider meets or exceeds contractual service levels.</w:t>
            </w:r>
          </w:p>
          <w:p w14:paraId="46B7B021" w14:textId="77777777" w:rsidR="00AC6BCC" w:rsidRDefault="00AC6BCC" w:rsidP="00977C28">
            <w:pPr>
              <w:pStyle w:val="TableParagraph"/>
              <w:numPr>
                <w:ilvl w:val="0"/>
                <w:numId w:val="170"/>
              </w:numPr>
              <w:spacing w:before="60" w:after="60"/>
              <w:ind w:left="397" w:right="309" w:hanging="397"/>
              <w:rPr>
                <w:sz w:val="16"/>
                <w:szCs w:val="16"/>
              </w:rPr>
            </w:pPr>
            <w:r>
              <w:rPr>
                <w:sz w:val="16"/>
                <w:szCs w:val="16"/>
              </w:rPr>
              <w:t>Audio description: National broadcasters provide more than 30 hours per week, on average, of audio described content.</w:t>
            </w:r>
          </w:p>
          <w:p w14:paraId="6DF0A903" w14:textId="55BCCAAA" w:rsidR="00AC6BCC" w:rsidRPr="00AC6BCC" w:rsidRDefault="00AC6BCC" w:rsidP="00977C28">
            <w:pPr>
              <w:pStyle w:val="TableParagraph"/>
              <w:numPr>
                <w:ilvl w:val="0"/>
                <w:numId w:val="170"/>
              </w:numPr>
              <w:spacing w:before="60" w:after="60"/>
              <w:ind w:left="397" w:right="309" w:hanging="397"/>
              <w:rPr>
                <w:sz w:val="16"/>
                <w:szCs w:val="16"/>
              </w:rPr>
            </w:pPr>
            <w:r w:rsidRPr="00AC6BCC">
              <w:rPr>
                <w:sz w:val="16"/>
                <w:szCs w:val="16"/>
              </w:rPr>
              <w:t>Captioning: Broadcasters meet or exceed statutory captioning obligations.</w:t>
            </w:r>
          </w:p>
        </w:tc>
      </w:tr>
      <w:tr w:rsidR="00AC6BCC" w:rsidRPr="001B2F81" w14:paraId="203F0BF4" w14:textId="77777777" w:rsidTr="00FB0D02">
        <w:trPr>
          <w:cantSplit/>
          <w:trHeight w:val="642"/>
        </w:trPr>
        <w:tc>
          <w:tcPr>
            <w:tcW w:w="873" w:type="pct"/>
            <w:vMerge/>
            <w:tcBorders>
              <w:left w:val="single" w:sz="4" w:space="0" w:color="auto"/>
              <w:right w:val="single" w:sz="4" w:space="0" w:color="auto"/>
            </w:tcBorders>
          </w:tcPr>
          <w:p w14:paraId="006DED89" w14:textId="77777777" w:rsidR="00AC6BCC" w:rsidRPr="00FD292C" w:rsidRDefault="00AC6BCC" w:rsidP="00AC6BCC">
            <w:pPr>
              <w:pStyle w:val="TableTextBase"/>
              <w:rPr>
                <w:sz w:val="16"/>
                <w:szCs w:val="16"/>
              </w:rPr>
            </w:pPr>
          </w:p>
        </w:tc>
        <w:tc>
          <w:tcPr>
            <w:tcW w:w="1746" w:type="pct"/>
            <w:tcBorders>
              <w:top w:val="single" w:sz="4" w:space="0" w:color="auto"/>
              <w:left w:val="single" w:sz="4" w:space="0" w:color="auto"/>
              <w:bottom w:val="single" w:sz="4" w:space="0" w:color="auto"/>
              <w:right w:val="single" w:sz="4" w:space="0" w:color="auto"/>
            </w:tcBorders>
          </w:tcPr>
          <w:p w14:paraId="143E5B37" w14:textId="315885E4" w:rsidR="00AC6BCC" w:rsidRPr="00FD292C" w:rsidRDefault="00AC6BCC" w:rsidP="00AC6BCC">
            <w:pPr>
              <w:pStyle w:val="TableTextBase"/>
              <w:rPr>
                <w:rFonts w:eastAsia="Calibri" w:cs="Arial"/>
                <w:sz w:val="16"/>
                <w:szCs w:val="16"/>
                <w:lang w:eastAsia="en-US"/>
              </w:rPr>
            </w:pPr>
            <w:r w:rsidRPr="00AC6BCC">
              <w:rPr>
                <w:rFonts w:eastAsia="Calibri" w:cs="Arial"/>
                <w:i/>
                <w:sz w:val="16"/>
                <w:szCs w:val="16"/>
                <w:lang w:eastAsia="en-US"/>
              </w:rPr>
              <w:t>Effectiveness of the current Australian content and classification frameworks</w:t>
            </w:r>
            <w:r w:rsidRPr="00AC6BCC">
              <w:rPr>
                <w:rFonts w:eastAsia="Calibri" w:cs="Arial"/>
                <w:i/>
                <w:sz w:val="16"/>
                <w:szCs w:val="16"/>
                <w:vertAlign w:val="superscript"/>
                <w:lang w:eastAsia="en-US"/>
              </w:rPr>
              <w:t>.</w:t>
            </w:r>
            <w:r w:rsidR="00435F13">
              <w:rPr>
                <w:rFonts w:eastAsia="Calibri" w:cs="Arial"/>
                <w:i/>
                <w:sz w:val="16"/>
                <w:szCs w:val="16"/>
                <w:vertAlign w:val="superscript"/>
                <w:lang w:eastAsia="en-US"/>
              </w:rPr>
              <w:t>(</w:t>
            </w:r>
            <w:r w:rsidR="00435F13" w:rsidRPr="00435F13">
              <w:rPr>
                <w:rFonts w:eastAsia="Calibri" w:cs="Arial"/>
                <w:i/>
                <w:sz w:val="16"/>
                <w:szCs w:val="16"/>
                <w:vertAlign w:val="superscript"/>
                <w:lang w:eastAsia="en-US"/>
              </w:rPr>
              <w:t>b</w:t>
            </w:r>
            <w:r w:rsidRPr="00435F13">
              <w:rPr>
                <w:rFonts w:eastAsia="Calibri" w:cs="Arial"/>
                <w:i/>
                <w:sz w:val="16"/>
                <w:szCs w:val="16"/>
                <w:vertAlign w:val="superscript"/>
                <w:lang w:eastAsia="en-US"/>
              </w:rPr>
              <w:t>)</w:t>
            </w:r>
          </w:p>
        </w:tc>
        <w:tc>
          <w:tcPr>
            <w:tcW w:w="2381" w:type="pct"/>
            <w:tcBorders>
              <w:top w:val="single" w:sz="4" w:space="0" w:color="auto"/>
              <w:left w:val="single" w:sz="4" w:space="0" w:color="auto"/>
              <w:bottom w:val="single" w:sz="4" w:space="0" w:color="auto"/>
              <w:right w:val="single" w:sz="4" w:space="0" w:color="auto"/>
            </w:tcBorders>
          </w:tcPr>
          <w:p w14:paraId="316C3BCE" w14:textId="20F7DBEC" w:rsidR="00AC6BCC" w:rsidRPr="00AC6BCC" w:rsidRDefault="00AC6BCC" w:rsidP="00AC6BCC">
            <w:pPr>
              <w:spacing w:before="60" w:after="60" w:line="240" w:lineRule="auto"/>
              <w:ind w:right="-12"/>
              <w:rPr>
                <w:rFonts w:ascii="Arial" w:hAnsi="Arial" w:cs="Arial"/>
                <w:sz w:val="16"/>
                <w:szCs w:val="16"/>
              </w:rPr>
            </w:pPr>
            <w:r w:rsidRPr="00AC6BCC">
              <w:rPr>
                <w:rFonts w:ascii="Arial" w:hAnsi="Arial" w:cs="Arial"/>
                <w:i/>
                <w:sz w:val="16"/>
                <w:szCs w:val="16"/>
              </w:rPr>
              <w:t>Reporting in each financial year shows organisations are meeting or exceeding statutory obligations: Australian content quota compliance and the existence of public data on Australian content available on streaming video on demand services.</w:t>
            </w:r>
          </w:p>
        </w:tc>
      </w:tr>
      <w:tr w:rsidR="00AC6BCC" w:rsidRPr="001B2F81" w14:paraId="371DBEFE" w14:textId="77777777" w:rsidTr="001066C8">
        <w:trPr>
          <w:cantSplit/>
          <w:trHeight w:val="1383"/>
        </w:trPr>
        <w:tc>
          <w:tcPr>
            <w:tcW w:w="873" w:type="pct"/>
            <w:vMerge/>
            <w:tcBorders>
              <w:left w:val="single" w:sz="4" w:space="0" w:color="auto"/>
              <w:bottom w:val="single" w:sz="4" w:space="0" w:color="auto"/>
              <w:right w:val="single" w:sz="4" w:space="0" w:color="auto"/>
            </w:tcBorders>
          </w:tcPr>
          <w:p w14:paraId="2DBA595F" w14:textId="77777777" w:rsidR="00AC6BCC" w:rsidRPr="00FD292C" w:rsidRDefault="00AC6BCC" w:rsidP="00AC6BCC">
            <w:pPr>
              <w:pStyle w:val="TableTextBase"/>
              <w:rPr>
                <w:sz w:val="16"/>
                <w:szCs w:val="16"/>
              </w:rPr>
            </w:pPr>
          </w:p>
        </w:tc>
        <w:tc>
          <w:tcPr>
            <w:tcW w:w="1746" w:type="pct"/>
            <w:tcBorders>
              <w:top w:val="single" w:sz="4" w:space="0" w:color="auto"/>
              <w:left w:val="single" w:sz="4" w:space="0" w:color="auto"/>
              <w:bottom w:val="single" w:sz="4" w:space="0" w:color="auto"/>
              <w:right w:val="single" w:sz="4" w:space="0" w:color="auto"/>
            </w:tcBorders>
          </w:tcPr>
          <w:p w14:paraId="61036129" w14:textId="229FF63B" w:rsidR="00AC6BCC" w:rsidRPr="00FD292C" w:rsidRDefault="00AC6BCC" w:rsidP="00AC6BCC">
            <w:pPr>
              <w:pStyle w:val="TableTextBase"/>
              <w:rPr>
                <w:rFonts w:eastAsia="Calibri" w:cs="Arial"/>
                <w:sz w:val="16"/>
                <w:szCs w:val="16"/>
                <w:lang w:eastAsia="en-US"/>
              </w:rPr>
            </w:pPr>
            <w:r w:rsidRPr="00AC6BCC">
              <w:rPr>
                <w:rFonts w:eastAsia="Calibri" w:cs="Arial"/>
                <w:i/>
                <w:sz w:val="16"/>
                <w:szCs w:val="16"/>
                <w:lang w:eastAsia="en-US"/>
              </w:rPr>
              <w:t>Effectiveness of the current Australian classification framework</w:t>
            </w:r>
            <w:r w:rsidR="00390F61" w:rsidRPr="00390F61">
              <w:rPr>
                <w:rFonts w:eastAsia="Calibri" w:cs="Arial"/>
                <w:i/>
                <w:sz w:val="16"/>
                <w:szCs w:val="16"/>
                <w:vertAlign w:val="superscript"/>
                <w:lang w:eastAsia="en-US"/>
              </w:rPr>
              <w:t>(</w:t>
            </w:r>
            <w:r w:rsidR="00435F13" w:rsidRPr="00435F13">
              <w:rPr>
                <w:rFonts w:eastAsia="Calibri" w:cs="Arial"/>
                <w:i/>
                <w:sz w:val="16"/>
                <w:szCs w:val="16"/>
                <w:vertAlign w:val="superscript"/>
                <w:lang w:eastAsia="en-US"/>
              </w:rPr>
              <w:t>b</w:t>
            </w:r>
            <w:r w:rsidR="00390F61" w:rsidRPr="00435F13">
              <w:rPr>
                <w:rFonts w:eastAsia="Calibri" w:cs="Arial"/>
                <w:i/>
                <w:sz w:val="16"/>
                <w:szCs w:val="16"/>
                <w:vertAlign w:val="superscript"/>
                <w:lang w:eastAsia="en-US"/>
              </w:rPr>
              <w:t>)</w:t>
            </w:r>
          </w:p>
        </w:tc>
        <w:tc>
          <w:tcPr>
            <w:tcW w:w="2381" w:type="pct"/>
            <w:tcBorders>
              <w:top w:val="single" w:sz="4" w:space="0" w:color="auto"/>
              <w:left w:val="single" w:sz="4" w:space="0" w:color="auto"/>
              <w:bottom w:val="single" w:sz="4" w:space="0" w:color="auto"/>
              <w:right w:val="single" w:sz="4" w:space="0" w:color="auto"/>
            </w:tcBorders>
          </w:tcPr>
          <w:p w14:paraId="59C008C8" w14:textId="675DADF9" w:rsidR="00AC6BCC" w:rsidRPr="00FD292C" w:rsidRDefault="00AC6BCC" w:rsidP="001066C8">
            <w:pPr>
              <w:spacing w:before="60" w:after="0" w:line="240" w:lineRule="auto"/>
              <w:ind w:right="-12"/>
              <w:rPr>
                <w:rFonts w:ascii="Arial" w:eastAsia="Calibri" w:hAnsi="Arial" w:cs="Arial"/>
                <w:sz w:val="16"/>
                <w:szCs w:val="16"/>
              </w:rPr>
            </w:pPr>
            <w:r w:rsidRPr="00AC6BCC">
              <w:rPr>
                <w:rFonts w:ascii="Arial" w:eastAsia="Calibri" w:hAnsi="Arial" w:cs="Arial"/>
                <w:i/>
                <w:sz w:val="16"/>
                <w:szCs w:val="16"/>
              </w:rPr>
              <w:t>Reporting in each financial year shows organisations are meeting or exceeding statutory obligations: Informing the Australian public by publishing 100% of classification decisions made by the Classification Board and Classification Review Board on the publicly available National Classification Database.</w:t>
            </w:r>
          </w:p>
        </w:tc>
      </w:tr>
    </w:tbl>
    <w:p w14:paraId="0B34E40D" w14:textId="77777777" w:rsidR="00115843" w:rsidRDefault="00115843" w:rsidP="00115843">
      <w:pPr>
        <w:spacing w:after="0" w:line="240" w:lineRule="auto"/>
        <w:rPr>
          <w:rFonts w:ascii="Arial" w:hAnsi="Arial" w:cs="Arial"/>
          <w:sz w:val="16"/>
        </w:rPr>
      </w:pPr>
    </w:p>
    <w:p w14:paraId="071D8F08" w14:textId="5BDD2F10" w:rsidR="00115843" w:rsidRDefault="00115843" w:rsidP="00115843">
      <w:pPr>
        <w:spacing w:after="0" w:line="240" w:lineRule="auto"/>
        <w:rPr>
          <w:rFonts w:ascii="Arial" w:hAnsi="Arial" w:cs="Arial"/>
          <w:sz w:val="16"/>
        </w:rPr>
      </w:pPr>
      <w:r>
        <w:rPr>
          <w:rFonts w:ascii="Arial" w:hAnsi="Arial" w:cs="Arial"/>
          <w:sz w:val="16"/>
        </w:rPr>
        <w:br w:type="page"/>
      </w:r>
    </w:p>
    <w:p w14:paraId="4F6350ED" w14:textId="77777777" w:rsidR="00FA669F" w:rsidRDefault="00FA669F" w:rsidP="00115843">
      <w:pPr>
        <w:spacing w:after="0" w:line="240" w:lineRule="auto"/>
        <w:rPr>
          <w:rFonts w:ascii="Arial" w:hAnsi="Arial" w:cs="Arial"/>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689"/>
        <w:gridCol w:w="3667"/>
      </w:tblGrid>
      <w:tr w:rsidR="00115843" w:rsidRPr="00E1118D" w14:paraId="261977EB" w14:textId="77777777" w:rsidTr="00FB0D02">
        <w:trPr>
          <w:cantSplit/>
          <w:trHeight w:val="305"/>
        </w:trPr>
        <w:tc>
          <w:tcPr>
            <w:tcW w:w="873" w:type="pct"/>
            <w:tcBorders>
              <w:top w:val="double" w:sz="4" w:space="0" w:color="auto"/>
              <w:bottom w:val="single" w:sz="4" w:space="0" w:color="auto"/>
              <w:right w:val="single" w:sz="4" w:space="0" w:color="auto"/>
            </w:tcBorders>
          </w:tcPr>
          <w:p w14:paraId="1404E440" w14:textId="77777777" w:rsidR="00115843" w:rsidRPr="00CD1CF1" w:rsidRDefault="00115843" w:rsidP="00FB0D02">
            <w:pPr>
              <w:pStyle w:val="TableTextBase"/>
              <w:rPr>
                <w:sz w:val="16"/>
                <w:szCs w:val="16"/>
              </w:rPr>
            </w:pPr>
            <w:bookmarkStart w:id="36" w:name="_Hlk114146878"/>
            <w:r w:rsidRPr="00CD1CF1">
              <w:rPr>
                <w:b/>
                <w:sz w:val="16"/>
                <w:szCs w:val="16"/>
              </w:rPr>
              <w:t>Year</w:t>
            </w:r>
          </w:p>
        </w:tc>
        <w:tc>
          <w:tcPr>
            <w:tcW w:w="1746" w:type="pct"/>
            <w:tcBorders>
              <w:top w:val="double" w:sz="4" w:space="0" w:color="auto"/>
              <w:left w:val="single" w:sz="4" w:space="0" w:color="auto"/>
              <w:bottom w:val="single" w:sz="4" w:space="0" w:color="auto"/>
              <w:right w:val="single" w:sz="4" w:space="0" w:color="auto"/>
            </w:tcBorders>
          </w:tcPr>
          <w:p w14:paraId="1AB52386" w14:textId="77777777" w:rsidR="00115843" w:rsidRPr="00CD1CF1" w:rsidRDefault="00115843" w:rsidP="00FB0D02">
            <w:pPr>
              <w:pStyle w:val="TableTextBase"/>
              <w:rPr>
                <w:rFonts w:eastAsia="Calibri" w:cs="Arial"/>
                <w:sz w:val="16"/>
                <w:szCs w:val="16"/>
                <w:lang w:eastAsia="en-US"/>
              </w:rPr>
            </w:pPr>
            <w:r w:rsidRPr="00CD1CF1">
              <w:rPr>
                <w:b/>
                <w:sz w:val="16"/>
                <w:szCs w:val="16"/>
              </w:rPr>
              <w:t>Performance measures</w:t>
            </w:r>
          </w:p>
        </w:tc>
        <w:tc>
          <w:tcPr>
            <w:tcW w:w="2381" w:type="pct"/>
            <w:tcBorders>
              <w:top w:val="double" w:sz="4" w:space="0" w:color="auto"/>
              <w:left w:val="single" w:sz="4" w:space="0" w:color="auto"/>
              <w:bottom w:val="single" w:sz="4" w:space="0" w:color="auto"/>
            </w:tcBorders>
          </w:tcPr>
          <w:p w14:paraId="32208EF7" w14:textId="436C1175" w:rsidR="00115843" w:rsidRPr="00CD1CF1" w:rsidRDefault="00AC6BCC" w:rsidP="00FB0D02">
            <w:pPr>
              <w:spacing w:before="60" w:after="60" w:line="240" w:lineRule="auto"/>
              <w:ind w:right="-12"/>
              <w:rPr>
                <w:rFonts w:ascii="Arial" w:eastAsia="Calibri" w:hAnsi="Arial" w:cs="Arial"/>
                <w:sz w:val="16"/>
                <w:szCs w:val="16"/>
              </w:rPr>
            </w:pPr>
            <w:r>
              <w:rPr>
                <w:rFonts w:ascii="Arial" w:eastAsia="Calibri" w:hAnsi="Arial" w:cs="Arial"/>
                <w:b/>
                <w:sz w:val="16"/>
                <w:szCs w:val="16"/>
              </w:rPr>
              <w:t>Planned</w:t>
            </w:r>
            <w:r w:rsidR="00115843" w:rsidRPr="00CD1CF1">
              <w:rPr>
                <w:rFonts w:ascii="Arial" w:eastAsia="Calibri" w:hAnsi="Arial" w:cs="Arial"/>
                <w:b/>
                <w:sz w:val="16"/>
                <w:szCs w:val="16"/>
              </w:rPr>
              <w:t xml:space="preserve"> </w:t>
            </w:r>
            <w:r w:rsidR="00115843" w:rsidRPr="00CD1CF1">
              <w:rPr>
                <w:rFonts w:ascii="Arial" w:hAnsi="Arial"/>
                <w:b/>
                <w:sz w:val="16"/>
                <w:szCs w:val="16"/>
              </w:rPr>
              <w:t>Performance Results</w:t>
            </w:r>
          </w:p>
        </w:tc>
      </w:tr>
      <w:bookmarkEnd w:id="36"/>
      <w:tr w:rsidR="00AC6BCC" w:rsidRPr="00E1118D" w14:paraId="37A01EA7" w14:textId="77777777" w:rsidTr="00FB0D02">
        <w:trPr>
          <w:cantSplit/>
          <w:trHeight w:val="305"/>
        </w:trPr>
        <w:tc>
          <w:tcPr>
            <w:tcW w:w="873" w:type="pct"/>
            <w:vMerge w:val="restart"/>
            <w:tcBorders>
              <w:top w:val="single" w:sz="4" w:space="0" w:color="auto"/>
              <w:left w:val="single" w:sz="4" w:space="0" w:color="auto"/>
              <w:right w:val="single" w:sz="4" w:space="0" w:color="auto"/>
            </w:tcBorders>
          </w:tcPr>
          <w:p w14:paraId="09AD5FDF" w14:textId="52BB2052" w:rsidR="00AC6BCC" w:rsidRDefault="00AC6BCC" w:rsidP="00FB0D02">
            <w:pPr>
              <w:pStyle w:val="TableTextBase"/>
              <w:rPr>
                <w:sz w:val="16"/>
                <w:szCs w:val="16"/>
              </w:rPr>
            </w:pPr>
            <w:r>
              <w:rPr>
                <w:sz w:val="16"/>
                <w:szCs w:val="16"/>
              </w:rPr>
              <w:t>Forward Estimates</w:t>
            </w:r>
            <w:r w:rsidRPr="00FD292C">
              <w:rPr>
                <w:sz w:val="16"/>
                <w:szCs w:val="16"/>
              </w:rPr>
              <w:br/>
              <w:t>202</w:t>
            </w:r>
            <w:r>
              <w:rPr>
                <w:sz w:val="16"/>
                <w:szCs w:val="16"/>
              </w:rPr>
              <w:t>4</w:t>
            </w:r>
            <w:r w:rsidRPr="00FD292C">
              <w:rPr>
                <w:sz w:val="16"/>
                <w:szCs w:val="16"/>
              </w:rPr>
              <w:t>–2</w:t>
            </w:r>
            <w:r>
              <w:rPr>
                <w:sz w:val="16"/>
                <w:szCs w:val="16"/>
              </w:rPr>
              <w:t>7</w:t>
            </w:r>
          </w:p>
        </w:tc>
        <w:tc>
          <w:tcPr>
            <w:tcW w:w="1746" w:type="pct"/>
            <w:tcBorders>
              <w:top w:val="single" w:sz="4" w:space="0" w:color="auto"/>
              <w:left w:val="single" w:sz="4" w:space="0" w:color="auto"/>
              <w:bottom w:val="single" w:sz="4" w:space="0" w:color="auto"/>
              <w:right w:val="single" w:sz="4" w:space="0" w:color="auto"/>
            </w:tcBorders>
          </w:tcPr>
          <w:p w14:paraId="5B43AE13" w14:textId="4AF90978" w:rsidR="00AC6BCC" w:rsidRPr="00FD292C" w:rsidRDefault="00AC6BCC" w:rsidP="00FB0D02">
            <w:pPr>
              <w:pStyle w:val="TableTextBase"/>
              <w:rPr>
                <w:sz w:val="16"/>
                <w:szCs w:val="16"/>
              </w:rPr>
            </w:pPr>
            <w:r>
              <w:rPr>
                <w:rFonts w:eastAsia="Calibri"/>
                <w:sz w:val="16"/>
                <w:szCs w:val="16"/>
              </w:rPr>
              <w:t>As per 2023–24</w:t>
            </w:r>
          </w:p>
        </w:tc>
        <w:tc>
          <w:tcPr>
            <w:tcW w:w="2381" w:type="pct"/>
            <w:tcBorders>
              <w:top w:val="single" w:sz="4" w:space="0" w:color="auto"/>
              <w:left w:val="single" w:sz="4" w:space="0" w:color="auto"/>
              <w:bottom w:val="single" w:sz="4" w:space="0" w:color="auto"/>
              <w:right w:val="single" w:sz="4" w:space="0" w:color="auto"/>
            </w:tcBorders>
          </w:tcPr>
          <w:p w14:paraId="4E79F45B" w14:textId="7DEBD923" w:rsidR="00AC6BCC" w:rsidRPr="00AC6BCC" w:rsidRDefault="00AC6BCC" w:rsidP="00FB0D02">
            <w:pPr>
              <w:spacing w:before="60" w:after="60" w:line="240" w:lineRule="auto"/>
              <w:ind w:right="-12"/>
              <w:rPr>
                <w:rFonts w:ascii="Arial" w:hAnsi="Arial" w:cs="Arial"/>
                <w:sz w:val="16"/>
                <w:szCs w:val="16"/>
              </w:rPr>
            </w:pPr>
            <w:r w:rsidRPr="00AC6BCC">
              <w:rPr>
                <w:rFonts w:ascii="Arial" w:eastAsia="Calibri" w:hAnsi="Arial" w:cs="Arial"/>
                <w:sz w:val="16"/>
                <w:szCs w:val="16"/>
              </w:rPr>
              <w:t>As per 2023–24.</w:t>
            </w:r>
          </w:p>
        </w:tc>
      </w:tr>
      <w:tr w:rsidR="00AC6BCC" w:rsidRPr="00E1118D" w14:paraId="04197D8B" w14:textId="77777777" w:rsidTr="003B10D9">
        <w:trPr>
          <w:cantSplit/>
          <w:trHeight w:val="305"/>
        </w:trPr>
        <w:tc>
          <w:tcPr>
            <w:tcW w:w="873" w:type="pct"/>
            <w:vMerge/>
            <w:tcBorders>
              <w:left w:val="single" w:sz="4" w:space="0" w:color="auto"/>
              <w:right w:val="single" w:sz="4" w:space="0" w:color="auto"/>
            </w:tcBorders>
          </w:tcPr>
          <w:p w14:paraId="3A1A3236" w14:textId="53DFA946" w:rsidR="00AC6BCC" w:rsidRPr="00FD292C" w:rsidRDefault="00AC6BCC" w:rsidP="00FB0D02">
            <w:pPr>
              <w:pStyle w:val="TableTextBase"/>
              <w:rPr>
                <w:sz w:val="16"/>
                <w:szCs w:val="16"/>
              </w:rPr>
            </w:pPr>
            <w:bookmarkStart w:id="37" w:name="_Hlk115709989"/>
          </w:p>
        </w:tc>
        <w:tc>
          <w:tcPr>
            <w:tcW w:w="1746" w:type="pct"/>
            <w:tcBorders>
              <w:top w:val="single" w:sz="4" w:space="0" w:color="auto"/>
              <w:left w:val="single" w:sz="4" w:space="0" w:color="auto"/>
              <w:bottom w:val="single" w:sz="4" w:space="0" w:color="auto"/>
              <w:right w:val="single" w:sz="4" w:space="0" w:color="auto"/>
            </w:tcBorders>
          </w:tcPr>
          <w:p w14:paraId="1B84D0B4" w14:textId="77777777" w:rsidR="00AC6BCC" w:rsidRPr="004609FC" w:rsidRDefault="00AC6BCC" w:rsidP="00AC6BCC">
            <w:pPr>
              <w:pStyle w:val="TableTextBase"/>
              <w:rPr>
                <w:rFonts w:eastAsia="Calibri" w:cs="Arial"/>
                <w:sz w:val="16"/>
                <w:szCs w:val="16"/>
                <w:lang w:eastAsia="en-US"/>
              </w:rPr>
            </w:pPr>
            <w:r w:rsidRPr="004609FC">
              <w:rPr>
                <w:rFonts w:eastAsia="Calibri" w:cs="Arial"/>
                <w:sz w:val="16"/>
                <w:szCs w:val="16"/>
                <w:lang w:eastAsia="en-US"/>
              </w:rPr>
              <w:t xml:space="preserve">Access to communications for people with a disability, indicated through: </w:t>
            </w:r>
          </w:p>
          <w:p w14:paraId="51474BED" w14:textId="77777777" w:rsidR="00AC6BCC" w:rsidRPr="004609FC" w:rsidRDefault="00AC6BCC" w:rsidP="00977C28">
            <w:pPr>
              <w:pStyle w:val="TableTextBase"/>
              <w:numPr>
                <w:ilvl w:val="0"/>
                <w:numId w:val="114"/>
              </w:numPr>
              <w:rPr>
                <w:rFonts w:eastAsia="Calibri" w:cs="Arial"/>
                <w:sz w:val="16"/>
                <w:szCs w:val="16"/>
                <w:lang w:eastAsia="en-US"/>
              </w:rPr>
            </w:pPr>
            <w:r w:rsidRPr="004609FC">
              <w:rPr>
                <w:rFonts w:eastAsia="Calibri" w:cs="Arial"/>
                <w:sz w:val="16"/>
                <w:szCs w:val="16"/>
                <w:lang w:eastAsia="en-US"/>
              </w:rPr>
              <w:t>National Relay Service (NRS) performance.</w:t>
            </w:r>
          </w:p>
          <w:p w14:paraId="3738A854" w14:textId="77777777" w:rsidR="00AC6BCC" w:rsidRPr="004609FC" w:rsidRDefault="00AC6BCC" w:rsidP="00977C28">
            <w:pPr>
              <w:pStyle w:val="TableTextBase"/>
              <w:numPr>
                <w:ilvl w:val="0"/>
                <w:numId w:val="114"/>
              </w:numPr>
              <w:rPr>
                <w:rFonts w:eastAsia="Calibri" w:cs="Arial"/>
                <w:sz w:val="16"/>
                <w:szCs w:val="16"/>
                <w:lang w:eastAsia="en-US"/>
              </w:rPr>
            </w:pPr>
            <w:r w:rsidRPr="004609FC">
              <w:rPr>
                <w:rFonts w:eastAsia="Calibri" w:cs="Arial"/>
                <w:sz w:val="16"/>
                <w:szCs w:val="16"/>
                <w:lang w:eastAsia="en-US"/>
              </w:rPr>
              <w:t>Audio description implementation by the national broadcasters. This is a narrated sound track provided by the ABC and SBS for specific TV shows to provide accessibility to blind or vision impaired people.</w:t>
            </w:r>
          </w:p>
          <w:p w14:paraId="5A3253BE" w14:textId="4157B110" w:rsidR="00AC6BCC" w:rsidRPr="00FD292C" w:rsidRDefault="00AC6BCC" w:rsidP="00977C28">
            <w:pPr>
              <w:numPr>
                <w:ilvl w:val="0"/>
                <w:numId w:val="114"/>
              </w:numPr>
              <w:spacing w:before="60" w:after="60" w:line="240" w:lineRule="auto"/>
              <w:contextualSpacing/>
              <w:rPr>
                <w:rFonts w:ascii="Arial" w:hAnsi="Arial"/>
                <w:sz w:val="16"/>
                <w:szCs w:val="16"/>
              </w:rPr>
            </w:pPr>
            <w:r w:rsidRPr="004609FC">
              <w:rPr>
                <w:rFonts w:ascii="Arial" w:eastAsia="Calibri" w:hAnsi="Arial" w:cs="Arial"/>
                <w:sz w:val="16"/>
                <w:szCs w:val="16"/>
                <w:lang w:eastAsia="en-US"/>
              </w:rPr>
              <w:t>Broadcaster captioning compliance. This is a legislative requirement for all broadcasters for deaf and hearing-impaired people. There are different obligations for free-to-air broadcasters and pay TV. The ACMA is the regulator for these obligations and releases compliance data every year</w:t>
            </w:r>
          </w:p>
        </w:tc>
        <w:tc>
          <w:tcPr>
            <w:tcW w:w="2381" w:type="pct"/>
            <w:tcBorders>
              <w:top w:val="single" w:sz="4" w:space="0" w:color="auto"/>
              <w:left w:val="single" w:sz="4" w:space="0" w:color="auto"/>
              <w:bottom w:val="single" w:sz="4" w:space="0" w:color="auto"/>
              <w:right w:val="single" w:sz="4" w:space="0" w:color="auto"/>
            </w:tcBorders>
          </w:tcPr>
          <w:p w14:paraId="2BBCC68B" w14:textId="3740DBE6" w:rsidR="00AC6BCC" w:rsidRPr="00FD292C" w:rsidRDefault="004609FC" w:rsidP="00FB0D02">
            <w:pPr>
              <w:spacing w:before="60" w:after="60" w:line="240" w:lineRule="auto"/>
              <w:ind w:right="-12"/>
              <w:rPr>
                <w:rFonts w:ascii="Arial" w:hAnsi="Arial"/>
                <w:sz w:val="16"/>
                <w:szCs w:val="16"/>
              </w:rPr>
            </w:pPr>
            <w:r w:rsidRPr="004609FC">
              <w:rPr>
                <w:rFonts w:ascii="Arial" w:hAnsi="Arial"/>
                <w:sz w:val="16"/>
                <w:szCs w:val="16"/>
              </w:rPr>
              <w:t>Reporting in each financial year indicates access is maintained or improved.</w:t>
            </w:r>
          </w:p>
        </w:tc>
      </w:tr>
      <w:tr w:rsidR="00AC6BCC" w:rsidRPr="00E1118D" w14:paraId="07B6AD2A" w14:textId="77777777" w:rsidTr="00FB0D02">
        <w:trPr>
          <w:cantSplit/>
          <w:trHeight w:val="305"/>
        </w:trPr>
        <w:tc>
          <w:tcPr>
            <w:tcW w:w="873" w:type="pct"/>
            <w:vMerge/>
            <w:tcBorders>
              <w:left w:val="single" w:sz="4" w:space="0" w:color="auto"/>
              <w:right w:val="single" w:sz="4" w:space="0" w:color="auto"/>
            </w:tcBorders>
          </w:tcPr>
          <w:p w14:paraId="60F1F611" w14:textId="77777777" w:rsidR="00AC6BCC" w:rsidRPr="00FD292C" w:rsidRDefault="00AC6BCC" w:rsidP="00FB0D02">
            <w:pPr>
              <w:pStyle w:val="TableTextBase"/>
              <w:rPr>
                <w:b/>
                <w:sz w:val="16"/>
                <w:szCs w:val="16"/>
              </w:rPr>
            </w:pPr>
          </w:p>
        </w:tc>
        <w:tc>
          <w:tcPr>
            <w:tcW w:w="1746" w:type="pct"/>
            <w:tcBorders>
              <w:top w:val="single" w:sz="4" w:space="0" w:color="auto"/>
              <w:left w:val="single" w:sz="4" w:space="0" w:color="auto"/>
              <w:bottom w:val="single" w:sz="4" w:space="0" w:color="auto"/>
              <w:right w:val="single" w:sz="4" w:space="0" w:color="auto"/>
            </w:tcBorders>
          </w:tcPr>
          <w:p w14:paraId="3D79C956" w14:textId="3B24CEFB" w:rsidR="00AC6BCC" w:rsidRPr="00FD292C" w:rsidRDefault="00F7162F" w:rsidP="00FB0D02">
            <w:pPr>
              <w:pStyle w:val="TableTextBase"/>
              <w:rPr>
                <w:sz w:val="16"/>
                <w:szCs w:val="16"/>
              </w:rPr>
            </w:pPr>
            <w:r w:rsidRPr="00F7162F">
              <w:rPr>
                <w:i/>
                <w:sz w:val="16"/>
                <w:szCs w:val="16"/>
              </w:rPr>
              <w:t>Effectiveness of the current Australian content and classification frameworks</w:t>
            </w:r>
            <w:r w:rsidRPr="00F7162F">
              <w:rPr>
                <w:i/>
                <w:sz w:val="16"/>
                <w:szCs w:val="16"/>
                <w:vertAlign w:val="superscript"/>
              </w:rPr>
              <w:t>(</w:t>
            </w:r>
            <w:r w:rsidR="00435F13">
              <w:rPr>
                <w:i/>
                <w:sz w:val="16"/>
                <w:szCs w:val="16"/>
                <w:vertAlign w:val="superscript"/>
              </w:rPr>
              <w:t>b</w:t>
            </w:r>
            <w:r w:rsidRPr="00F7162F">
              <w:rPr>
                <w:i/>
                <w:sz w:val="16"/>
                <w:szCs w:val="16"/>
                <w:vertAlign w:val="superscript"/>
              </w:rPr>
              <w:t>)</w:t>
            </w:r>
          </w:p>
        </w:tc>
        <w:tc>
          <w:tcPr>
            <w:tcW w:w="2381" w:type="pct"/>
            <w:tcBorders>
              <w:top w:val="single" w:sz="4" w:space="0" w:color="auto"/>
              <w:left w:val="single" w:sz="4" w:space="0" w:color="auto"/>
              <w:bottom w:val="single" w:sz="4" w:space="0" w:color="auto"/>
              <w:right w:val="single" w:sz="4" w:space="0" w:color="auto"/>
            </w:tcBorders>
          </w:tcPr>
          <w:p w14:paraId="54276E13" w14:textId="08247695" w:rsidR="00AC6BCC" w:rsidRPr="00FD292C" w:rsidRDefault="00F7162F" w:rsidP="00FB0D02">
            <w:pPr>
              <w:spacing w:before="60" w:after="60" w:line="240" w:lineRule="auto"/>
              <w:ind w:right="-12"/>
              <w:rPr>
                <w:rFonts w:ascii="Arial" w:hAnsi="Arial"/>
                <w:sz w:val="16"/>
                <w:szCs w:val="16"/>
              </w:rPr>
            </w:pPr>
            <w:r w:rsidRPr="00F7162F">
              <w:rPr>
                <w:rFonts w:ascii="Arial" w:hAnsi="Arial"/>
                <w:i/>
                <w:sz w:val="16"/>
                <w:szCs w:val="16"/>
              </w:rPr>
              <w:t>Reporting in each financial year shows frameworks are effective, based on: Australian content quota compliance and the existence of public data on Australian content available on streaming video on demand services.</w:t>
            </w:r>
          </w:p>
        </w:tc>
      </w:tr>
      <w:tr w:rsidR="00AC6BCC" w:rsidRPr="00E1118D" w14:paraId="4647EBA8" w14:textId="77777777" w:rsidTr="00FB0D02">
        <w:trPr>
          <w:cantSplit/>
          <w:trHeight w:val="305"/>
        </w:trPr>
        <w:tc>
          <w:tcPr>
            <w:tcW w:w="873" w:type="pct"/>
            <w:vMerge/>
            <w:tcBorders>
              <w:left w:val="single" w:sz="4" w:space="0" w:color="auto"/>
              <w:right w:val="single" w:sz="4" w:space="0" w:color="auto"/>
            </w:tcBorders>
          </w:tcPr>
          <w:p w14:paraId="061DEB12" w14:textId="77777777" w:rsidR="00AC6BCC" w:rsidRPr="00FD292C" w:rsidRDefault="00AC6BCC" w:rsidP="00FB0D02">
            <w:pPr>
              <w:pStyle w:val="TableTextBase"/>
              <w:rPr>
                <w:b/>
                <w:sz w:val="16"/>
                <w:szCs w:val="16"/>
              </w:rPr>
            </w:pPr>
          </w:p>
        </w:tc>
        <w:tc>
          <w:tcPr>
            <w:tcW w:w="1746" w:type="pct"/>
            <w:tcBorders>
              <w:top w:val="single" w:sz="4" w:space="0" w:color="auto"/>
              <w:left w:val="single" w:sz="4" w:space="0" w:color="auto"/>
              <w:bottom w:val="single" w:sz="4" w:space="0" w:color="auto"/>
              <w:right w:val="single" w:sz="4" w:space="0" w:color="auto"/>
            </w:tcBorders>
          </w:tcPr>
          <w:p w14:paraId="44CFB79A" w14:textId="61D0DDC0" w:rsidR="00AC6BCC" w:rsidRPr="00FD292C" w:rsidRDefault="00F7162F" w:rsidP="00FB0D02">
            <w:pPr>
              <w:pStyle w:val="TableTextBase"/>
              <w:rPr>
                <w:sz w:val="16"/>
                <w:szCs w:val="16"/>
              </w:rPr>
            </w:pPr>
            <w:r w:rsidRPr="00F7162F">
              <w:rPr>
                <w:i/>
                <w:sz w:val="16"/>
                <w:szCs w:val="16"/>
              </w:rPr>
              <w:t xml:space="preserve">Effectiveness of the current Australian classification </w:t>
            </w:r>
            <w:r w:rsidR="00390F61" w:rsidRPr="00AC6BCC">
              <w:rPr>
                <w:rFonts w:eastAsia="Calibri" w:cs="Arial"/>
                <w:i/>
                <w:sz w:val="16"/>
                <w:szCs w:val="16"/>
                <w:lang w:eastAsia="en-US"/>
              </w:rPr>
              <w:t>framework</w:t>
            </w:r>
            <w:r w:rsidR="00390F61" w:rsidRPr="00390F61">
              <w:rPr>
                <w:rFonts w:eastAsia="Calibri" w:cs="Arial"/>
                <w:i/>
                <w:sz w:val="16"/>
                <w:szCs w:val="16"/>
                <w:vertAlign w:val="superscript"/>
                <w:lang w:eastAsia="en-US"/>
              </w:rPr>
              <w:t>(</w:t>
            </w:r>
            <w:r w:rsidR="00435F13">
              <w:rPr>
                <w:rFonts w:eastAsia="Calibri" w:cs="Arial"/>
                <w:i/>
                <w:sz w:val="16"/>
                <w:szCs w:val="16"/>
                <w:vertAlign w:val="superscript"/>
                <w:lang w:eastAsia="en-US"/>
              </w:rPr>
              <w:t>b</w:t>
            </w:r>
            <w:r w:rsidR="00390F61" w:rsidRPr="00390F61">
              <w:rPr>
                <w:rFonts w:eastAsia="Calibri" w:cs="Arial"/>
                <w:i/>
                <w:sz w:val="16"/>
                <w:szCs w:val="16"/>
                <w:vertAlign w:val="superscript"/>
                <w:lang w:eastAsia="en-US"/>
              </w:rPr>
              <w:t>)</w:t>
            </w:r>
          </w:p>
        </w:tc>
        <w:tc>
          <w:tcPr>
            <w:tcW w:w="2381" w:type="pct"/>
            <w:tcBorders>
              <w:top w:val="single" w:sz="4" w:space="0" w:color="auto"/>
              <w:left w:val="single" w:sz="4" w:space="0" w:color="auto"/>
              <w:bottom w:val="single" w:sz="4" w:space="0" w:color="auto"/>
              <w:right w:val="single" w:sz="4" w:space="0" w:color="auto"/>
            </w:tcBorders>
          </w:tcPr>
          <w:p w14:paraId="44172088" w14:textId="683089A6" w:rsidR="00AC6BCC" w:rsidRPr="00FD292C" w:rsidRDefault="00F7162F" w:rsidP="00FB0D02">
            <w:pPr>
              <w:spacing w:before="60" w:after="60" w:line="240" w:lineRule="auto"/>
              <w:ind w:right="-12"/>
              <w:rPr>
                <w:rFonts w:ascii="Arial" w:hAnsi="Arial"/>
                <w:sz w:val="16"/>
                <w:szCs w:val="16"/>
              </w:rPr>
            </w:pPr>
            <w:r w:rsidRPr="00F7162F">
              <w:rPr>
                <w:rFonts w:ascii="Arial" w:hAnsi="Arial"/>
                <w:i/>
                <w:sz w:val="16"/>
                <w:szCs w:val="16"/>
              </w:rPr>
              <w:t>Reporting in each financial year shows framework is effective, based on: Informing the Australian public by publishing 100% of classification decisions made by the Classification Board and Classification Review Board on the publicly available National Classification Database.</w:t>
            </w:r>
          </w:p>
        </w:tc>
      </w:tr>
    </w:tbl>
    <w:bookmarkEnd w:id="37"/>
    <w:p w14:paraId="61842C45" w14:textId="77777777" w:rsidR="00115843" w:rsidRPr="002D19CA" w:rsidRDefault="00115843" w:rsidP="00115843">
      <w:pPr>
        <w:spacing w:before="60" w:after="0" w:line="240" w:lineRule="auto"/>
        <w:rPr>
          <w:rFonts w:ascii="Arial" w:hAnsi="Arial" w:cs="Arial"/>
          <w:sz w:val="16"/>
        </w:rPr>
      </w:pPr>
      <w:r w:rsidRPr="00A5765A">
        <w:rPr>
          <w:rFonts w:ascii="Arial" w:hAnsi="Arial" w:cs="Arial"/>
          <w:sz w:val="16"/>
        </w:rPr>
        <w:t xml:space="preserve">New or modified performance measures that reflect new or materially changed programs are shown in </w:t>
      </w:r>
      <w:r w:rsidRPr="00A5765A">
        <w:rPr>
          <w:rFonts w:ascii="Arial" w:hAnsi="Arial" w:cs="Arial"/>
          <w:i/>
          <w:sz w:val="16"/>
        </w:rPr>
        <w:t>italics.</w:t>
      </w:r>
      <w:r w:rsidRPr="002D19CA">
        <w:rPr>
          <w:rFonts w:ascii="Arial" w:hAnsi="Arial" w:cs="Arial"/>
          <w:sz w:val="16"/>
        </w:rPr>
        <w:t xml:space="preserve"> </w:t>
      </w:r>
    </w:p>
    <w:p w14:paraId="36C8FB42" w14:textId="4D834C92" w:rsidR="00435F13" w:rsidRPr="00435F13" w:rsidRDefault="00435F13" w:rsidP="00977C28">
      <w:pPr>
        <w:pStyle w:val="ListParagraph"/>
        <w:numPr>
          <w:ilvl w:val="0"/>
          <w:numId w:val="115"/>
        </w:numPr>
        <w:spacing w:after="120" w:line="240" w:lineRule="auto"/>
        <w:rPr>
          <w:rFonts w:ascii="Arial" w:hAnsi="Arial" w:cs="Arial"/>
          <w:sz w:val="16"/>
        </w:rPr>
      </w:pPr>
      <w:r w:rsidRPr="00435F13">
        <w:rPr>
          <w:rFonts w:ascii="Arial" w:hAnsi="Arial" w:cs="Arial"/>
          <w:sz w:val="16"/>
        </w:rPr>
        <w:t>This measure has been removed for 2023-24 with work underway to develop an improved measure. Further exp</w:t>
      </w:r>
      <w:r>
        <w:rPr>
          <w:rFonts w:ascii="Arial" w:hAnsi="Arial" w:cs="Arial"/>
          <w:sz w:val="16"/>
        </w:rPr>
        <w:t>l</w:t>
      </w:r>
      <w:r w:rsidRPr="00435F13">
        <w:rPr>
          <w:rFonts w:ascii="Arial" w:hAnsi="Arial" w:cs="Arial"/>
          <w:sz w:val="16"/>
        </w:rPr>
        <w:t>anation</w:t>
      </w:r>
      <w:r>
        <w:rPr>
          <w:rFonts w:ascii="Arial" w:hAnsi="Arial" w:cs="Arial"/>
          <w:sz w:val="16"/>
        </w:rPr>
        <w:t xml:space="preserve"> will be provided in the 2023-24 Corporate Plan.</w:t>
      </w:r>
    </w:p>
    <w:p w14:paraId="2D754E5D" w14:textId="706A3D92" w:rsidR="004E26ED" w:rsidRPr="004E26ED" w:rsidRDefault="00115843" w:rsidP="00977C28">
      <w:pPr>
        <w:pStyle w:val="ListParagraph"/>
        <w:numPr>
          <w:ilvl w:val="0"/>
          <w:numId w:val="115"/>
        </w:numPr>
        <w:spacing w:after="60" w:line="240" w:lineRule="auto"/>
        <w:rPr>
          <w:rFonts w:ascii="Arial Bold" w:hAnsi="Arial Bold"/>
          <w:b/>
        </w:rPr>
      </w:pPr>
      <w:r w:rsidRPr="005C11A1">
        <w:rPr>
          <w:rFonts w:ascii="Arial" w:hAnsi="Arial" w:cs="Arial"/>
          <w:sz w:val="16"/>
          <w:szCs w:val="16"/>
        </w:rPr>
        <w:t>This measure is linked to Program 5.1 Digital Technologies and Communications Services and Program 6.1 Arts and Cultural Development.</w:t>
      </w:r>
      <w:bookmarkStart w:id="38" w:name="_Toc99295953"/>
    </w:p>
    <w:p w14:paraId="48AD6686" w14:textId="1DC97DAF" w:rsidR="00557DDF" w:rsidRPr="00557DDF" w:rsidRDefault="00557DDF" w:rsidP="00557DDF">
      <w:pPr>
        <w:spacing w:before="30" w:after="0" w:line="240" w:lineRule="auto"/>
        <w:ind w:right="55"/>
        <w:rPr>
          <w:rFonts w:ascii="Arial" w:hAnsi="Arial" w:cs="Arial"/>
          <w:sz w:val="16"/>
        </w:rPr>
      </w:pPr>
      <w:r w:rsidRPr="00557DDF">
        <w:rPr>
          <w:rFonts w:ascii="Arial" w:hAnsi="Arial" w:cs="Arial"/>
          <w:color w:val="000000"/>
          <w:sz w:val="16"/>
          <w:szCs w:val="16"/>
        </w:rPr>
        <w:t xml:space="preserve">The </w:t>
      </w:r>
      <w:r w:rsidR="00E17F15">
        <w:rPr>
          <w:rFonts w:ascii="Arial" w:hAnsi="Arial" w:cs="Arial"/>
          <w:color w:val="000000"/>
          <w:sz w:val="16"/>
          <w:szCs w:val="16"/>
        </w:rPr>
        <w:t>Department</w:t>
      </w:r>
      <w:r w:rsidRPr="00557DDF">
        <w:rPr>
          <w:rFonts w:ascii="Arial" w:hAnsi="Arial" w:cs="Arial"/>
          <w:color w:val="000000"/>
          <w:sz w:val="16"/>
          <w:szCs w:val="16"/>
        </w:rPr>
        <w:t xml:space="preserve"> has undertaken a suite of assessment and assurance activities regarding performance measures since the 2022</w:t>
      </w:r>
      <w:r w:rsidRPr="00557DDF">
        <w:rPr>
          <w:rFonts w:ascii="Arial" w:hAnsi="Arial" w:cs="Arial"/>
          <w:sz w:val="16"/>
          <w:szCs w:val="16"/>
        </w:rPr>
        <w:t>–</w:t>
      </w:r>
      <w:r w:rsidRPr="00557DDF">
        <w:rPr>
          <w:rFonts w:ascii="Arial" w:hAnsi="Arial" w:cs="Arial"/>
          <w:color w:val="000000"/>
          <w:sz w:val="16"/>
          <w:szCs w:val="16"/>
        </w:rPr>
        <w:t>23 Budget. As a result, a number of measures have been added, removed, or amended in the 2023</w:t>
      </w:r>
      <w:r w:rsidRPr="00557DDF">
        <w:rPr>
          <w:rFonts w:ascii="Arial" w:hAnsi="Arial" w:cs="Arial"/>
          <w:sz w:val="16"/>
          <w:szCs w:val="16"/>
        </w:rPr>
        <w:t>–</w:t>
      </w:r>
      <w:r w:rsidRPr="00557DDF">
        <w:rPr>
          <w:rFonts w:ascii="Arial" w:hAnsi="Arial" w:cs="Arial"/>
          <w:color w:val="000000"/>
          <w:sz w:val="16"/>
          <w:szCs w:val="16"/>
        </w:rPr>
        <w:t xml:space="preserve">24 Portfolio Budget Statements. Further details will be provided in the </w:t>
      </w:r>
      <w:r w:rsidR="0000369A">
        <w:rPr>
          <w:rFonts w:ascii="Arial" w:hAnsi="Arial" w:cs="Arial"/>
          <w:color w:val="000000"/>
          <w:sz w:val="16"/>
          <w:szCs w:val="16"/>
        </w:rPr>
        <w:t>Department’s</w:t>
      </w:r>
      <w:r w:rsidRPr="00557DDF">
        <w:rPr>
          <w:rFonts w:ascii="Arial" w:hAnsi="Arial" w:cs="Arial"/>
          <w:color w:val="000000"/>
          <w:sz w:val="16"/>
          <w:szCs w:val="16"/>
        </w:rPr>
        <w:t xml:space="preserve"> Corporate Plan 2023</w:t>
      </w:r>
      <w:r w:rsidRPr="00557DDF">
        <w:rPr>
          <w:rFonts w:ascii="Arial" w:hAnsi="Arial" w:cs="Arial"/>
          <w:sz w:val="16"/>
          <w:szCs w:val="16"/>
        </w:rPr>
        <w:t>–</w:t>
      </w:r>
      <w:r w:rsidRPr="00557DDF">
        <w:rPr>
          <w:rFonts w:ascii="Arial" w:hAnsi="Arial" w:cs="Arial"/>
          <w:color w:val="000000"/>
          <w:sz w:val="16"/>
          <w:szCs w:val="16"/>
        </w:rPr>
        <w:t>24.  </w:t>
      </w:r>
    </w:p>
    <w:p w14:paraId="072E0F0B" w14:textId="12A05F50" w:rsidR="00115843" w:rsidRPr="005C11A1" w:rsidRDefault="00115843" w:rsidP="004E26ED">
      <w:pPr>
        <w:pStyle w:val="ListParagraph"/>
        <w:spacing w:after="0" w:line="240" w:lineRule="auto"/>
        <w:ind w:left="420"/>
        <w:rPr>
          <w:rFonts w:ascii="Arial Bold" w:hAnsi="Arial Bold"/>
          <w:b/>
        </w:rPr>
      </w:pPr>
      <w:r>
        <w:br w:type="page"/>
      </w:r>
    </w:p>
    <w:p w14:paraId="0D03BAA4" w14:textId="77777777" w:rsidR="00115843" w:rsidRPr="00C000B8" w:rsidRDefault="00115843" w:rsidP="00115843">
      <w:pPr>
        <w:pStyle w:val="Heading3-ITRDCA"/>
      </w:pPr>
      <w:bookmarkStart w:id="39" w:name="_Toc117242352"/>
      <w:r w:rsidRPr="00C000B8">
        <w:lastRenderedPageBreak/>
        <w:t xml:space="preserve">2.6 </w:t>
      </w:r>
      <w:r w:rsidRPr="00C000B8">
        <w:tab/>
        <w:t>Budgeted expenses and performance for Outcome 6</w:t>
      </w:r>
      <w:bookmarkEnd w:id="38"/>
      <w:bookmarkEnd w:id="39"/>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115843" w:rsidRPr="00C13A37" w14:paraId="4195FAE6" w14:textId="77777777" w:rsidTr="00FB0D02">
        <w:tc>
          <w:tcPr>
            <w:tcW w:w="5000" w:type="pct"/>
            <w:shd w:val="clear" w:color="auto" w:fill="E6E6E6"/>
          </w:tcPr>
          <w:p w14:paraId="631BEE68" w14:textId="77777777" w:rsidR="00115843" w:rsidRPr="00C13A37" w:rsidRDefault="00115843" w:rsidP="00FB0D02">
            <w:pPr>
              <w:pStyle w:val="TableColumnHeadingLeft"/>
            </w:pPr>
            <w:r w:rsidRPr="00C13A37">
              <w:t>Outcome 6</w:t>
            </w:r>
            <w:r w:rsidRPr="00CD1CF1">
              <w:t>: Participation in, and access to, Australia’s arts and culture through developing and supporting cultural expression</w:t>
            </w:r>
          </w:p>
        </w:tc>
      </w:tr>
    </w:tbl>
    <w:p w14:paraId="31C731B5" w14:textId="77777777" w:rsidR="00115843" w:rsidRPr="005E6F2B" w:rsidRDefault="00115843" w:rsidP="00115843">
      <w:pPr>
        <w:pStyle w:val="NoSpacing"/>
      </w:pPr>
    </w:p>
    <w:p w14:paraId="41CAB2AA" w14:textId="77777777" w:rsidR="00115843" w:rsidRPr="0019217D" w:rsidRDefault="00115843" w:rsidP="00115843">
      <w:pPr>
        <w:pStyle w:val="Heading5"/>
        <w:rPr>
          <w:b/>
        </w:rPr>
      </w:pPr>
      <w:r w:rsidRPr="0019217D">
        <w:rPr>
          <w:b/>
        </w:rPr>
        <w:t>Budgeted expenses for Outcome 6</w:t>
      </w:r>
    </w:p>
    <w:p w14:paraId="1834E94B" w14:textId="77777777" w:rsidR="00115843" w:rsidRPr="00C13A37" w:rsidRDefault="00115843" w:rsidP="00115843">
      <w:r w:rsidRPr="00C13A37">
        <w:t>This table shows how much the Department intends to spend (on an accrual basis) on achieving the outcome, broken down by program, as well as by administered and departmental funding sources.</w:t>
      </w:r>
    </w:p>
    <w:p w14:paraId="40E6AB4D" w14:textId="77777777" w:rsidR="00115843" w:rsidRPr="00302493" w:rsidRDefault="00115843" w:rsidP="00115843">
      <w:pPr>
        <w:spacing w:after="0"/>
        <w:rPr>
          <w:rFonts w:ascii="Arial" w:hAnsi="Arial" w:cs="Arial"/>
          <w:b/>
        </w:rPr>
      </w:pPr>
      <w:r w:rsidRPr="00302493">
        <w:rPr>
          <w:rFonts w:ascii="Arial" w:hAnsi="Arial" w:cs="Arial"/>
          <w:b/>
        </w:rPr>
        <w:t>Table 2.6.1: Budgeted expenses for Outcome 6</w:t>
      </w:r>
    </w:p>
    <w:tbl>
      <w:tblPr>
        <w:tblW w:w="5000" w:type="pct"/>
        <w:tblLook w:val="04A0" w:firstRow="1" w:lastRow="0" w:firstColumn="1" w:lastColumn="0" w:noHBand="0" w:noVBand="1"/>
      </w:tblPr>
      <w:tblGrid>
        <w:gridCol w:w="3206"/>
        <w:gridCol w:w="14"/>
        <w:gridCol w:w="925"/>
        <w:gridCol w:w="6"/>
        <w:gridCol w:w="872"/>
        <w:gridCol w:w="15"/>
        <w:gridCol w:w="856"/>
        <w:gridCol w:w="34"/>
        <w:gridCol w:w="837"/>
        <w:gridCol w:w="56"/>
        <w:gridCol w:w="817"/>
        <w:gridCol w:w="72"/>
      </w:tblGrid>
      <w:tr w:rsidR="004E26ED" w:rsidRPr="004E26ED" w14:paraId="205ED9DF" w14:textId="77777777" w:rsidTr="002F7B17">
        <w:trPr>
          <w:gridAfter w:val="1"/>
          <w:wAfter w:w="46" w:type="pct"/>
          <w:trHeight w:val="204"/>
        </w:trPr>
        <w:tc>
          <w:tcPr>
            <w:tcW w:w="2090" w:type="pct"/>
            <w:gridSpan w:val="2"/>
            <w:tcBorders>
              <w:top w:val="single" w:sz="4" w:space="0" w:color="auto"/>
              <w:left w:val="nil"/>
              <w:bottom w:val="nil"/>
              <w:right w:val="nil"/>
            </w:tcBorders>
            <w:shd w:val="clear" w:color="auto" w:fill="auto"/>
            <w:noWrap/>
            <w:vAlign w:val="bottom"/>
            <w:hideMark/>
          </w:tcPr>
          <w:p w14:paraId="16E4B463" w14:textId="77777777" w:rsidR="004E26ED" w:rsidRPr="004E26ED" w:rsidRDefault="004E26ED" w:rsidP="004E26ED">
            <w:pPr>
              <w:spacing w:after="0" w:line="240" w:lineRule="auto"/>
              <w:rPr>
                <w:rFonts w:ascii="Arial" w:hAnsi="Arial" w:cs="Arial"/>
                <w:sz w:val="16"/>
                <w:szCs w:val="16"/>
              </w:rPr>
            </w:pPr>
            <w:r w:rsidRPr="004E26ED">
              <w:rPr>
                <w:rFonts w:ascii="Arial" w:hAnsi="Arial" w:cs="Arial"/>
                <w:sz w:val="16"/>
                <w:szCs w:val="16"/>
              </w:rPr>
              <w:t> </w:t>
            </w:r>
          </w:p>
        </w:tc>
        <w:tc>
          <w:tcPr>
            <w:tcW w:w="599" w:type="pct"/>
            <w:gridSpan w:val="2"/>
            <w:tcBorders>
              <w:top w:val="single" w:sz="4" w:space="0" w:color="auto"/>
              <w:left w:val="nil"/>
              <w:bottom w:val="nil"/>
              <w:right w:val="nil"/>
            </w:tcBorders>
            <w:shd w:val="clear" w:color="auto" w:fill="auto"/>
            <w:vAlign w:val="bottom"/>
            <w:hideMark/>
          </w:tcPr>
          <w:p w14:paraId="5EE8EE0A" w14:textId="77777777" w:rsidR="004E26ED" w:rsidRPr="004E26ED" w:rsidRDefault="004E26ED" w:rsidP="004E26ED">
            <w:pPr>
              <w:spacing w:after="0" w:line="240" w:lineRule="auto"/>
              <w:jc w:val="right"/>
              <w:rPr>
                <w:rFonts w:ascii="Arial" w:hAnsi="Arial" w:cs="Arial"/>
                <w:sz w:val="16"/>
                <w:szCs w:val="16"/>
              </w:rPr>
            </w:pPr>
            <w:r w:rsidRPr="004E26ED">
              <w:rPr>
                <w:rFonts w:ascii="Arial" w:hAnsi="Arial" w:cs="Arial"/>
                <w:sz w:val="16"/>
                <w:szCs w:val="16"/>
              </w:rPr>
              <w:t>2022-23</w:t>
            </w:r>
            <w:r w:rsidRPr="004E26ED">
              <w:rPr>
                <w:rFonts w:ascii="Arial" w:hAnsi="Arial" w:cs="Arial"/>
                <w:sz w:val="16"/>
                <w:szCs w:val="16"/>
              </w:rPr>
              <w:br/>
              <w:t>Estimated  actual</w:t>
            </w:r>
            <w:r w:rsidRPr="004E26ED">
              <w:rPr>
                <w:rFonts w:ascii="Arial" w:hAnsi="Arial" w:cs="Arial"/>
                <w:sz w:val="16"/>
                <w:szCs w:val="16"/>
              </w:rPr>
              <w:br/>
              <w:t>$'000</w:t>
            </w:r>
          </w:p>
        </w:tc>
        <w:tc>
          <w:tcPr>
            <w:tcW w:w="566" w:type="pct"/>
            <w:tcBorders>
              <w:top w:val="single" w:sz="4" w:space="0" w:color="auto"/>
              <w:left w:val="nil"/>
              <w:bottom w:val="nil"/>
              <w:right w:val="nil"/>
            </w:tcBorders>
            <w:shd w:val="clear" w:color="000000" w:fill="E6E6E6"/>
            <w:vAlign w:val="bottom"/>
            <w:hideMark/>
          </w:tcPr>
          <w:p w14:paraId="2900D8B1" w14:textId="77777777" w:rsidR="004E26ED" w:rsidRPr="004E26ED" w:rsidRDefault="004E26ED" w:rsidP="004E26ED">
            <w:pPr>
              <w:spacing w:after="0" w:line="240" w:lineRule="auto"/>
              <w:jc w:val="right"/>
              <w:rPr>
                <w:rFonts w:ascii="Arial" w:hAnsi="Arial" w:cs="Arial"/>
                <w:sz w:val="16"/>
                <w:szCs w:val="16"/>
              </w:rPr>
            </w:pPr>
            <w:r w:rsidRPr="004E26ED">
              <w:rPr>
                <w:rFonts w:ascii="Arial" w:hAnsi="Arial" w:cs="Arial"/>
                <w:sz w:val="16"/>
                <w:szCs w:val="16"/>
              </w:rPr>
              <w:t>2023-24</w:t>
            </w:r>
            <w:r w:rsidRPr="004E26ED">
              <w:rPr>
                <w:rFonts w:ascii="Arial" w:hAnsi="Arial" w:cs="Arial"/>
                <w:sz w:val="16"/>
                <w:szCs w:val="16"/>
              </w:rPr>
              <w:br/>
              <w:t xml:space="preserve"> Budget</w:t>
            </w:r>
            <w:r w:rsidRPr="004E26ED">
              <w:rPr>
                <w:rFonts w:ascii="Arial" w:hAnsi="Arial" w:cs="Arial"/>
                <w:sz w:val="16"/>
                <w:szCs w:val="16"/>
              </w:rPr>
              <w:br/>
              <w:t xml:space="preserve">                                      $'000</w:t>
            </w:r>
          </w:p>
        </w:tc>
        <w:tc>
          <w:tcPr>
            <w:tcW w:w="566" w:type="pct"/>
            <w:gridSpan w:val="2"/>
            <w:tcBorders>
              <w:top w:val="single" w:sz="4" w:space="0" w:color="auto"/>
              <w:left w:val="nil"/>
              <w:bottom w:val="nil"/>
              <w:right w:val="nil"/>
            </w:tcBorders>
            <w:shd w:val="clear" w:color="auto" w:fill="auto"/>
            <w:vAlign w:val="bottom"/>
            <w:hideMark/>
          </w:tcPr>
          <w:p w14:paraId="2085B6B9" w14:textId="77777777" w:rsidR="004E26ED" w:rsidRPr="004E26ED" w:rsidRDefault="004E26ED" w:rsidP="004E26ED">
            <w:pPr>
              <w:spacing w:after="0" w:line="240" w:lineRule="auto"/>
              <w:jc w:val="right"/>
              <w:rPr>
                <w:rFonts w:ascii="Arial" w:hAnsi="Arial" w:cs="Arial"/>
                <w:sz w:val="16"/>
                <w:szCs w:val="16"/>
              </w:rPr>
            </w:pPr>
            <w:r w:rsidRPr="004E26ED">
              <w:rPr>
                <w:rFonts w:ascii="Arial" w:hAnsi="Arial" w:cs="Arial"/>
                <w:sz w:val="16"/>
                <w:szCs w:val="16"/>
              </w:rPr>
              <w:t>2024-25</w:t>
            </w:r>
            <w:r w:rsidRPr="004E26ED">
              <w:rPr>
                <w:rFonts w:ascii="Arial" w:hAnsi="Arial" w:cs="Arial"/>
                <w:sz w:val="16"/>
                <w:szCs w:val="16"/>
              </w:rPr>
              <w:br/>
              <w:t>Forward estimate</w:t>
            </w:r>
            <w:r w:rsidRPr="004E26ED">
              <w:rPr>
                <w:rFonts w:ascii="Arial" w:hAnsi="Arial" w:cs="Arial"/>
                <w:sz w:val="16"/>
                <w:szCs w:val="16"/>
              </w:rPr>
              <w:br/>
              <w:t>$'000</w:t>
            </w:r>
          </w:p>
        </w:tc>
        <w:tc>
          <w:tcPr>
            <w:tcW w:w="566" w:type="pct"/>
            <w:gridSpan w:val="2"/>
            <w:tcBorders>
              <w:top w:val="single" w:sz="4" w:space="0" w:color="auto"/>
              <w:left w:val="nil"/>
              <w:bottom w:val="nil"/>
              <w:right w:val="nil"/>
            </w:tcBorders>
            <w:shd w:val="clear" w:color="auto" w:fill="auto"/>
            <w:vAlign w:val="bottom"/>
            <w:hideMark/>
          </w:tcPr>
          <w:p w14:paraId="44BFA86E" w14:textId="77777777" w:rsidR="004E26ED" w:rsidRPr="004E26ED" w:rsidRDefault="004E26ED" w:rsidP="004E26ED">
            <w:pPr>
              <w:spacing w:after="0" w:line="240" w:lineRule="auto"/>
              <w:jc w:val="right"/>
              <w:rPr>
                <w:rFonts w:ascii="Arial" w:hAnsi="Arial" w:cs="Arial"/>
                <w:sz w:val="16"/>
                <w:szCs w:val="16"/>
              </w:rPr>
            </w:pPr>
            <w:r w:rsidRPr="004E26ED">
              <w:rPr>
                <w:rFonts w:ascii="Arial" w:hAnsi="Arial" w:cs="Arial"/>
                <w:sz w:val="16"/>
                <w:szCs w:val="16"/>
              </w:rPr>
              <w:t>2025-26</w:t>
            </w:r>
            <w:r w:rsidRPr="004E26ED">
              <w:rPr>
                <w:rFonts w:ascii="Arial" w:hAnsi="Arial" w:cs="Arial"/>
                <w:sz w:val="16"/>
                <w:szCs w:val="16"/>
              </w:rPr>
              <w:br/>
              <w:t>Forward estimate</w:t>
            </w:r>
            <w:r w:rsidRPr="004E26ED">
              <w:rPr>
                <w:rFonts w:ascii="Arial" w:hAnsi="Arial" w:cs="Arial"/>
                <w:sz w:val="16"/>
                <w:szCs w:val="16"/>
              </w:rPr>
              <w:br/>
              <w:t>$'000</w:t>
            </w:r>
          </w:p>
        </w:tc>
        <w:tc>
          <w:tcPr>
            <w:tcW w:w="566" w:type="pct"/>
            <w:gridSpan w:val="2"/>
            <w:tcBorders>
              <w:top w:val="single" w:sz="4" w:space="0" w:color="auto"/>
              <w:left w:val="nil"/>
              <w:bottom w:val="nil"/>
              <w:right w:val="nil"/>
            </w:tcBorders>
            <w:shd w:val="clear" w:color="auto" w:fill="auto"/>
            <w:vAlign w:val="bottom"/>
            <w:hideMark/>
          </w:tcPr>
          <w:p w14:paraId="07AD59E8" w14:textId="77777777" w:rsidR="004E26ED" w:rsidRPr="004E26ED" w:rsidRDefault="004E26ED" w:rsidP="004E26ED">
            <w:pPr>
              <w:spacing w:after="0" w:line="240" w:lineRule="auto"/>
              <w:jc w:val="right"/>
              <w:rPr>
                <w:rFonts w:ascii="Arial" w:hAnsi="Arial" w:cs="Arial"/>
                <w:sz w:val="16"/>
                <w:szCs w:val="16"/>
              </w:rPr>
            </w:pPr>
            <w:r w:rsidRPr="004E26ED">
              <w:rPr>
                <w:rFonts w:ascii="Arial" w:hAnsi="Arial" w:cs="Arial"/>
                <w:sz w:val="16"/>
                <w:szCs w:val="16"/>
              </w:rPr>
              <w:t>2026-27</w:t>
            </w:r>
            <w:r w:rsidRPr="004E26ED">
              <w:rPr>
                <w:rFonts w:ascii="Arial" w:hAnsi="Arial" w:cs="Arial"/>
                <w:sz w:val="16"/>
                <w:szCs w:val="16"/>
              </w:rPr>
              <w:br/>
              <w:t>Forward estimate</w:t>
            </w:r>
            <w:r w:rsidRPr="004E26ED">
              <w:rPr>
                <w:rFonts w:ascii="Arial" w:hAnsi="Arial" w:cs="Arial"/>
                <w:sz w:val="16"/>
                <w:szCs w:val="16"/>
              </w:rPr>
              <w:br/>
              <w:t>$'000</w:t>
            </w:r>
          </w:p>
        </w:tc>
      </w:tr>
      <w:tr w:rsidR="004E26ED" w:rsidRPr="004E26ED" w14:paraId="776C0238" w14:textId="77777777" w:rsidTr="002F7B17">
        <w:trPr>
          <w:gridAfter w:val="1"/>
          <w:wAfter w:w="46" w:type="pct"/>
          <w:trHeight w:val="204"/>
        </w:trPr>
        <w:tc>
          <w:tcPr>
            <w:tcW w:w="2689" w:type="pct"/>
            <w:gridSpan w:val="4"/>
            <w:tcBorders>
              <w:top w:val="single" w:sz="4" w:space="0" w:color="auto"/>
              <w:left w:val="nil"/>
              <w:bottom w:val="single" w:sz="4" w:space="0" w:color="auto"/>
              <w:right w:val="nil"/>
            </w:tcBorders>
            <w:shd w:val="clear" w:color="000000" w:fill="E6E6E6"/>
            <w:noWrap/>
            <w:vAlign w:val="bottom"/>
            <w:hideMark/>
          </w:tcPr>
          <w:p w14:paraId="71D90983" w14:textId="77777777" w:rsidR="004E26ED" w:rsidRPr="004E26ED" w:rsidRDefault="004E26ED" w:rsidP="004E26ED">
            <w:pPr>
              <w:spacing w:after="0" w:line="240" w:lineRule="auto"/>
              <w:rPr>
                <w:rFonts w:ascii="Arial" w:hAnsi="Arial" w:cs="Arial"/>
                <w:b/>
                <w:bCs/>
                <w:sz w:val="16"/>
                <w:szCs w:val="16"/>
              </w:rPr>
            </w:pPr>
            <w:r w:rsidRPr="004E26ED">
              <w:rPr>
                <w:rFonts w:ascii="Arial" w:hAnsi="Arial" w:cs="Arial"/>
                <w:b/>
                <w:bCs/>
                <w:sz w:val="16"/>
                <w:szCs w:val="16"/>
              </w:rPr>
              <w:t>Program 6.1: Arts and Cultural Development</w:t>
            </w:r>
          </w:p>
        </w:tc>
        <w:tc>
          <w:tcPr>
            <w:tcW w:w="566" w:type="pct"/>
            <w:tcBorders>
              <w:top w:val="single" w:sz="4" w:space="0" w:color="auto"/>
              <w:left w:val="nil"/>
              <w:bottom w:val="single" w:sz="4" w:space="0" w:color="auto"/>
              <w:right w:val="nil"/>
            </w:tcBorders>
            <w:shd w:val="clear" w:color="000000" w:fill="E6E6E6"/>
            <w:noWrap/>
            <w:vAlign w:val="bottom"/>
            <w:hideMark/>
          </w:tcPr>
          <w:p w14:paraId="2E4EEE10" w14:textId="77777777" w:rsidR="004E26ED" w:rsidRPr="004E26ED" w:rsidRDefault="004E26ED" w:rsidP="002F7B17">
            <w:pPr>
              <w:spacing w:after="0" w:line="240" w:lineRule="auto"/>
              <w:jc w:val="right"/>
              <w:rPr>
                <w:rFonts w:ascii="Arial" w:hAnsi="Arial" w:cs="Arial"/>
                <w:sz w:val="16"/>
                <w:szCs w:val="16"/>
              </w:rPr>
            </w:pPr>
            <w:r w:rsidRPr="004E26ED">
              <w:rPr>
                <w:rFonts w:ascii="Arial" w:hAnsi="Arial" w:cs="Arial"/>
                <w:sz w:val="16"/>
                <w:szCs w:val="16"/>
              </w:rPr>
              <w:t> </w:t>
            </w:r>
          </w:p>
        </w:tc>
        <w:tc>
          <w:tcPr>
            <w:tcW w:w="566" w:type="pct"/>
            <w:gridSpan w:val="2"/>
            <w:tcBorders>
              <w:top w:val="single" w:sz="4" w:space="0" w:color="auto"/>
              <w:left w:val="nil"/>
              <w:bottom w:val="single" w:sz="4" w:space="0" w:color="auto"/>
              <w:right w:val="nil"/>
            </w:tcBorders>
            <w:shd w:val="clear" w:color="000000" w:fill="E6E6E6"/>
            <w:noWrap/>
            <w:vAlign w:val="bottom"/>
            <w:hideMark/>
          </w:tcPr>
          <w:p w14:paraId="250F9EE0" w14:textId="77777777" w:rsidR="004E26ED" w:rsidRPr="004E26ED" w:rsidRDefault="004E26ED" w:rsidP="002F7B17">
            <w:pPr>
              <w:spacing w:after="0" w:line="240" w:lineRule="auto"/>
              <w:jc w:val="right"/>
              <w:rPr>
                <w:rFonts w:ascii="Arial" w:hAnsi="Arial" w:cs="Arial"/>
                <w:sz w:val="16"/>
                <w:szCs w:val="16"/>
              </w:rPr>
            </w:pPr>
            <w:r w:rsidRPr="004E26ED">
              <w:rPr>
                <w:rFonts w:ascii="Arial" w:hAnsi="Arial" w:cs="Arial"/>
                <w:sz w:val="16"/>
                <w:szCs w:val="16"/>
              </w:rPr>
              <w:t> </w:t>
            </w:r>
          </w:p>
        </w:tc>
        <w:tc>
          <w:tcPr>
            <w:tcW w:w="566" w:type="pct"/>
            <w:gridSpan w:val="2"/>
            <w:tcBorders>
              <w:top w:val="single" w:sz="4" w:space="0" w:color="auto"/>
              <w:left w:val="nil"/>
              <w:bottom w:val="single" w:sz="4" w:space="0" w:color="auto"/>
              <w:right w:val="nil"/>
            </w:tcBorders>
            <w:shd w:val="clear" w:color="000000" w:fill="E6E6E6"/>
            <w:noWrap/>
            <w:vAlign w:val="bottom"/>
            <w:hideMark/>
          </w:tcPr>
          <w:p w14:paraId="634EC0A7" w14:textId="77777777" w:rsidR="004E26ED" w:rsidRPr="004E26ED" w:rsidRDefault="004E26ED" w:rsidP="002F7B17">
            <w:pPr>
              <w:spacing w:after="0" w:line="240" w:lineRule="auto"/>
              <w:jc w:val="right"/>
              <w:rPr>
                <w:rFonts w:ascii="Arial" w:hAnsi="Arial" w:cs="Arial"/>
                <w:sz w:val="16"/>
                <w:szCs w:val="16"/>
              </w:rPr>
            </w:pPr>
            <w:r w:rsidRPr="004E26ED">
              <w:rPr>
                <w:rFonts w:ascii="Arial" w:hAnsi="Arial" w:cs="Arial"/>
                <w:sz w:val="16"/>
                <w:szCs w:val="16"/>
              </w:rPr>
              <w:t> </w:t>
            </w:r>
          </w:p>
        </w:tc>
        <w:tc>
          <w:tcPr>
            <w:tcW w:w="566" w:type="pct"/>
            <w:gridSpan w:val="2"/>
            <w:tcBorders>
              <w:top w:val="single" w:sz="4" w:space="0" w:color="auto"/>
              <w:left w:val="nil"/>
              <w:bottom w:val="single" w:sz="4" w:space="0" w:color="auto"/>
              <w:right w:val="nil"/>
            </w:tcBorders>
            <w:shd w:val="clear" w:color="000000" w:fill="E6E6E6"/>
            <w:noWrap/>
            <w:vAlign w:val="bottom"/>
            <w:hideMark/>
          </w:tcPr>
          <w:p w14:paraId="5F41B93B" w14:textId="77777777" w:rsidR="004E26ED" w:rsidRPr="004E26ED" w:rsidRDefault="004E26ED" w:rsidP="002F7B17">
            <w:pPr>
              <w:spacing w:after="0" w:line="240" w:lineRule="auto"/>
              <w:jc w:val="right"/>
              <w:rPr>
                <w:rFonts w:ascii="Arial" w:hAnsi="Arial" w:cs="Arial"/>
                <w:sz w:val="16"/>
                <w:szCs w:val="16"/>
              </w:rPr>
            </w:pPr>
            <w:r w:rsidRPr="004E26ED">
              <w:rPr>
                <w:rFonts w:ascii="Arial" w:hAnsi="Arial" w:cs="Arial"/>
                <w:sz w:val="16"/>
                <w:szCs w:val="16"/>
              </w:rPr>
              <w:t> </w:t>
            </w:r>
          </w:p>
        </w:tc>
      </w:tr>
      <w:tr w:rsidR="004E26ED" w:rsidRPr="004E26ED" w14:paraId="7116E272" w14:textId="77777777" w:rsidTr="002F7B17">
        <w:trPr>
          <w:gridAfter w:val="1"/>
          <w:wAfter w:w="46" w:type="pct"/>
          <w:trHeight w:val="204"/>
        </w:trPr>
        <w:tc>
          <w:tcPr>
            <w:tcW w:w="2090" w:type="pct"/>
            <w:gridSpan w:val="2"/>
            <w:tcBorders>
              <w:top w:val="nil"/>
              <w:left w:val="nil"/>
              <w:bottom w:val="nil"/>
              <w:right w:val="nil"/>
            </w:tcBorders>
            <w:shd w:val="clear" w:color="auto" w:fill="auto"/>
            <w:vAlign w:val="bottom"/>
            <w:hideMark/>
          </w:tcPr>
          <w:p w14:paraId="059E0CDE" w14:textId="77777777" w:rsidR="004E26ED" w:rsidRPr="004E26ED" w:rsidRDefault="004E26ED" w:rsidP="004E26ED">
            <w:pPr>
              <w:spacing w:after="0" w:line="240" w:lineRule="auto"/>
              <w:rPr>
                <w:rFonts w:ascii="Arial" w:hAnsi="Arial" w:cs="Arial"/>
                <w:sz w:val="16"/>
                <w:szCs w:val="16"/>
              </w:rPr>
            </w:pPr>
            <w:r w:rsidRPr="004E26ED">
              <w:rPr>
                <w:rFonts w:ascii="Arial" w:hAnsi="Arial" w:cs="Arial"/>
                <w:sz w:val="16"/>
                <w:szCs w:val="16"/>
              </w:rPr>
              <w:t>Administered expenses</w:t>
            </w:r>
          </w:p>
        </w:tc>
        <w:tc>
          <w:tcPr>
            <w:tcW w:w="599" w:type="pct"/>
            <w:gridSpan w:val="2"/>
            <w:tcBorders>
              <w:top w:val="nil"/>
              <w:left w:val="nil"/>
              <w:bottom w:val="nil"/>
              <w:right w:val="nil"/>
            </w:tcBorders>
            <w:shd w:val="clear" w:color="auto" w:fill="auto"/>
            <w:noWrap/>
            <w:vAlign w:val="bottom"/>
            <w:hideMark/>
          </w:tcPr>
          <w:p w14:paraId="1B605121" w14:textId="77777777" w:rsidR="004E26ED" w:rsidRPr="004E26ED" w:rsidRDefault="004E26ED" w:rsidP="002F7B17">
            <w:pPr>
              <w:spacing w:after="0" w:line="240" w:lineRule="auto"/>
              <w:jc w:val="right"/>
              <w:rPr>
                <w:rFonts w:ascii="Arial" w:hAnsi="Arial" w:cs="Arial"/>
                <w:sz w:val="16"/>
                <w:szCs w:val="16"/>
              </w:rPr>
            </w:pPr>
          </w:p>
        </w:tc>
        <w:tc>
          <w:tcPr>
            <w:tcW w:w="566" w:type="pct"/>
            <w:tcBorders>
              <w:top w:val="nil"/>
              <w:left w:val="nil"/>
              <w:bottom w:val="nil"/>
              <w:right w:val="nil"/>
            </w:tcBorders>
            <w:shd w:val="clear" w:color="000000" w:fill="E6E6E6"/>
            <w:noWrap/>
            <w:vAlign w:val="bottom"/>
            <w:hideMark/>
          </w:tcPr>
          <w:p w14:paraId="59152678" w14:textId="56BB4CFB" w:rsidR="004E26ED" w:rsidRPr="004E26ED" w:rsidRDefault="004E26ED" w:rsidP="002F7B17">
            <w:pPr>
              <w:spacing w:after="0" w:line="240" w:lineRule="auto"/>
              <w:jc w:val="right"/>
              <w:rPr>
                <w:rFonts w:ascii="Arial" w:hAnsi="Arial" w:cs="Arial"/>
                <w:sz w:val="16"/>
                <w:szCs w:val="16"/>
              </w:rPr>
            </w:pPr>
          </w:p>
        </w:tc>
        <w:tc>
          <w:tcPr>
            <w:tcW w:w="566" w:type="pct"/>
            <w:gridSpan w:val="2"/>
            <w:tcBorders>
              <w:top w:val="nil"/>
              <w:left w:val="nil"/>
              <w:bottom w:val="nil"/>
              <w:right w:val="nil"/>
            </w:tcBorders>
            <w:shd w:val="clear" w:color="auto" w:fill="auto"/>
            <w:noWrap/>
            <w:vAlign w:val="bottom"/>
            <w:hideMark/>
          </w:tcPr>
          <w:p w14:paraId="1B71AE60" w14:textId="77777777" w:rsidR="004E26ED" w:rsidRPr="004E26ED" w:rsidRDefault="004E26ED" w:rsidP="002F7B17">
            <w:pPr>
              <w:spacing w:after="0" w:line="240" w:lineRule="auto"/>
              <w:jc w:val="right"/>
              <w:rPr>
                <w:rFonts w:ascii="Arial" w:hAnsi="Arial" w:cs="Arial"/>
                <w:sz w:val="16"/>
                <w:szCs w:val="16"/>
              </w:rPr>
            </w:pPr>
          </w:p>
        </w:tc>
        <w:tc>
          <w:tcPr>
            <w:tcW w:w="566" w:type="pct"/>
            <w:gridSpan w:val="2"/>
            <w:tcBorders>
              <w:top w:val="nil"/>
              <w:left w:val="nil"/>
              <w:bottom w:val="nil"/>
              <w:right w:val="nil"/>
            </w:tcBorders>
            <w:shd w:val="clear" w:color="auto" w:fill="auto"/>
            <w:noWrap/>
            <w:vAlign w:val="bottom"/>
            <w:hideMark/>
          </w:tcPr>
          <w:p w14:paraId="733B581D" w14:textId="77777777" w:rsidR="004E26ED" w:rsidRPr="004E26ED" w:rsidRDefault="004E26ED" w:rsidP="002F7B17">
            <w:pPr>
              <w:spacing w:after="0" w:line="240" w:lineRule="auto"/>
              <w:jc w:val="right"/>
              <w:rPr>
                <w:rFonts w:ascii="Times New Roman" w:hAnsi="Times New Roman"/>
              </w:rPr>
            </w:pPr>
          </w:p>
        </w:tc>
        <w:tc>
          <w:tcPr>
            <w:tcW w:w="566" w:type="pct"/>
            <w:gridSpan w:val="2"/>
            <w:tcBorders>
              <w:top w:val="nil"/>
              <w:left w:val="nil"/>
              <w:bottom w:val="nil"/>
              <w:right w:val="nil"/>
            </w:tcBorders>
            <w:shd w:val="clear" w:color="auto" w:fill="auto"/>
            <w:noWrap/>
            <w:vAlign w:val="bottom"/>
            <w:hideMark/>
          </w:tcPr>
          <w:p w14:paraId="46B03610" w14:textId="77777777" w:rsidR="004E26ED" w:rsidRPr="004E26ED" w:rsidRDefault="004E26ED" w:rsidP="002F7B17">
            <w:pPr>
              <w:spacing w:after="0" w:line="240" w:lineRule="auto"/>
              <w:jc w:val="right"/>
              <w:rPr>
                <w:rFonts w:ascii="Times New Roman" w:hAnsi="Times New Roman"/>
              </w:rPr>
            </w:pPr>
          </w:p>
        </w:tc>
      </w:tr>
      <w:tr w:rsidR="004E26ED" w:rsidRPr="004E26ED" w14:paraId="166EA600" w14:textId="77777777" w:rsidTr="002F7B17">
        <w:trPr>
          <w:gridAfter w:val="1"/>
          <w:wAfter w:w="46" w:type="pct"/>
          <w:trHeight w:val="204"/>
        </w:trPr>
        <w:tc>
          <w:tcPr>
            <w:tcW w:w="2090" w:type="pct"/>
            <w:gridSpan w:val="2"/>
            <w:tcBorders>
              <w:top w:val="nil"/>
              <w:left w:val="nil"/>
              <w:bottom w:val="nil"/>
              <w:right w:val="nil"/>
            </w:tcBorders>
            <w:shd w:val="clear" w:color="auto" w:fill="auto"/>
            <w:vAlign w:val="bottom"/>
            <w:hideMark/>
          </w:tcPr>
          <w:p w14:paraId="15FA1911" w14:textId="2195362C" w:rsidR="004E26ED" w:rsidRPr="004E26ED" w:rsidRDefault="004E26ED" w:rsidP="002F7B17">
            <w:pPr>
              <w:spacing w:after="0" w:line="240" w:lineRule="auto"/>
              <w:ind w:left="113"/>
              <w:rPr>
                <w:rFonts w:ascii="Arial" w:hAnsi="Arial" w:cs="Arial"/>
                <w:sz w:val="16"/>
                <w:szCs w:val="16"/>
              </w:rPr>
            </w:pPr>
            <w:r w:rsidRPr="004E26ED">
              <w:rPr>
                <w:rFonts w:ascii="Arial" w:hAnsi="Arial" w:cs="Arial"/>
                <w:sz w:val="16"/>
                <w:szCs w:val="16"/>
              </w:rPr>
              <w:t>Ordinary annual services (Appropriation Bill No. 1)</w:t>
            </w:r>
          </w:p>
        </w:tc>
        <w:tc>
          <w:tcPr>
            <w:tcW w:w="599" w:type="pct"/>
            <w:gridSpan w:val="2"/>
            <w:tcBorders>
              <w:top w:val="nil"/>
              <w:left w:val="nil"/>
              <w:bottom w:val="nil"/>
              <w:right w:val="nil"/>
            </w:tcBorders>
            <w:shd w:val="clear" w:color="auto" w:fill="auto"/>
            <w:noWrap/>
            <w:vAlign w:val="bottom"/>
            <w:hideMark/>
          </w:tcPr>
          <w:p w14:paraId="36A05926" w14:textId="6A852DD8" w:rsidR="004E26ED" w:rsidRPr="004E26ED" w:rsidRDefault="004E26ED" w:rsidP="002F7B17">
            <w:pPr>
              <w:spacing w:after="0" w:line="240" w:lineRule="auto"/>
              <w:jc w:val="right"/>
              <w:rPr>
                <w:rFonts w:ascii="Arial" w:hAnsi="Arial" w:cs="Arial"/>
                <w:sz w:val="16"/>
                <w:szCs w:val="16"/>
              </w:rPr>
            </w:pPr>
            <w:r w:rsidRPr="004E26ED">
              <w:rPr>
                <w:rFonts w:ascii="Arial" w:hAnsi="Arial" w:cs="Arial"/>
                <w:sz w:val="16"/>
                <w:szCs w:val="16"/>
              </w:rPr>
              <w:t>253,833</w:t>
            </w:r>
          </w:p>
        </w:tc>
        <w:tc>
          <w:tcPr>
            <w:tcW w:w="566" w:type="pct"/>
            <w:tcBorders>
              <w:top w:val="nil"/>
              <w:left w:val="nil"/>
              <w:bottom w:val="nil"/>
              <w:right w:val="nil"/>
            </w:tcBorders>
            <w:shd w:val="clear" w:color="000000" w:fill="E6E6E6"/>
            <w:noWrap/>
            <w:vAlign w:val="bottom"/>
            <w:hideMark/>
          </w:tcPr>
          <w:p w14:paraId="4088D495" w14:textId="123CB08E" w:rsidR="004E26ED" w:rsidRPr="004E26ED" w:rsidRDefault="004E26ED" w:rsidP="002F7B17">
            <w:pPr>
              <w:spacing w:after="0" w:line="240" w:lineRule="auto"/>
              <w:jc w:val="right"/>
              <w:rPr>
                <w:rFonts w:ascii="Arial" w:hAnsi="Arial" w:cs="Arial"/>
                <w:sz w:val="16"/>
                <w:szCs w:val="16"/>
              </w:rPr>
            </w:pPr>
            <w:r w:rsidRPr="004E26ED">
              <w:rPr>
                <w:rFonts w:ascii="Arial" w:hAnsi="Arial" w:cs="Arial"/>
                <w:sz w:val="16"/>
                <w:szCs w:val="16"/>
              </w:rPr>
              <w:t>293,739</w:t>
            </w:r>
          </w:p>
        </w:tc>
        <w:tc>
          <w:tcPr>
            <w:tcW w:w="566" w:type="pct"/>
            <w:gridSpan w:val="2"/>
            <w:tcBorders>
              <w:top w:val="nil"/>
              <w:left w:val="nil"/>
              <w:bottom w:val="nil"/>
              <w:right w:val="nil"/>
            </w:tcBorders>
            <w:shd w:val="clear" w:color="auto" w:fill="auto"/>
            <w:noWrap/>
            <w:vAlign w:val="bottom"/>
            <w:hideMark/>
          </w:tcPr>
          <w:p w14:paraId="5C50206F" w14:textId="3D4DFF71" w:rsidR="004E26ED" w:rsidRPr="004E26ED" w:rsidRDefault="004E26ED" w:rsidP="002F7B17">
            <w:pPr>
              <w:spacing w:after="0" w:line="240" w:lineRule="auto"/>
              <w:jc w:val="right"/>
              <w:rPr>
                <w:rFonts w:ascii="Arial" w:hAnsi="Arial" w:cs="Arial"/>
                <w:sz w:val="16"/>
                <w:szCs w:val="16"/>
              </w:rPr>
            </w:pPr>
            <w:r w:rsidRPr="004E26ED">
              <w:rPr>
                <w:rFonts w:ascii="Arial" w:hAnsi="Arial" w:cs="Arial"/>
                <w:sz w:val="16"/>
                <w:szCs w:val="16"/>
              </w:rPr>
              <w:t>304,589</w:t>
            </w:r>
          </w:p>
        </w:tc>
        <w:tc>
          <w:tcPr>
            <w:tcW w:w="566" w:type="pct"/>
            <w:gridSpan w:val="2"/>
            <w:tcBorders>
              <w:top w:val="nil"/>
              <w:left w:val="nil"/>
              <w:bottom w:val="nil"/>
              <w:right w:val="nil"/>
            </w:tcBorders>
            <w:shd w:val="clear" w:color="auto" w:fill="auto"/>
            <w:noWrap/>
            <w:vAlign w:val="bottom"/>
            <w:hideMark/>
          </w:tcPr>
          <w:p w14:paraId="08F92708" w14:textId="744D734E" w:rsidR="004E26ED" w:rsidRPr="004E26ED" w:rsidRDefault="004E26ED" w:rsidP="002F7B17">
            <w:pPr>
              <w:spacing w:after="0" w:line="240" w:lineRule="auto"/>
              <w:jc w:val="right"/>
              <w:rPr>
                <w:rFonts w:ascii="Arial" w:hAnsi="Arial" w:cs="Arial"/>
                <w:sz w:val="16"/>
                <w:szCs w:val="16"/>
              </w:rPr>
            </w:pPr>
            <w:r w:rsidRPr="004E26ED">
              <w:rPr>
                <w:rFonts w:ascii="Arial" w:hAnsi="Arial" w:cs="Arial"/>
                <w:sz w:val="16"/>
                <w:szCs w:val="16"/>
              </w:rPr>
              <w:t>271,642</w:t>
            </w:r>
          </w:p>
        </w:tc>
        <w:tc>
          <w:tcPr>
            <w:tcW w:w="566" w:type="pct"/>
            <w:gridSpan w:val="2"/>
            <w:tcBorders>
              <w:top w:val="nil"/>
              <w:left w:val="nil"/>
              <w:bottom w:val="nil"/>
              <w:right w:val="nil"/>
            </w:tcBorders>
            <w:shd w:val="clear" w:color="auto" w:fill="auto"/>
            <w:noWrap/>
            <w:vAlign w:val="bottom"/>
            <w:hideMark/>
          </w:tcPr>
          <w:p w14:paraId="595B162D" w14:textId="5A4D6EB2" w:rsidR="004E26ED" w:rsidRPr="004E26ED" w:rsidRDefault="004E26ED" w:rsidP="002F7B17">
            <w:pPr>
              <w:spacing w:after="0" w:line="240" w:lineRule="auto"/>
              <w:jc w:val="right"/>
              <w:rPr>
                <w:rFonts w:ascii="Arial" w:hAnsi="Arial" w:cs="Arial"/>
                <w:sz w:val="16"/>
                <w:szCs w:val="16"/>
              </w:rPr>
            </w:pPr>
            <w:r w:rsidRPr="004E26ED">
              <w:rPr>
                <w:rFonts w:ascii="Arial" w:hAnsi="Arial" w:cs="Arial"/>
                <w:sz w:val="16"/>
                <w:szCs w:val="16"/>
              </w:rPr>
              <w:t>240,159</w:t>
            </w:r>
          </w:p>
        </w:tc>
      </w:tr>
      <w:tr w:rsidR="004E26ED" w:rsidRPr="004E26ED" w14:paraId="68D99036" w14:textId="77777777" w:rsidTr="002F7B17">
        <w:trPr>
          <w:gridAfter w:val="1"/>
          <w:wAfter w:w="46" w:type="pct"/>
          <w:trHeight w:val="204"/>
        </w:trPr>
        <w:tc>
          <w:tcPr>
            <w:tcW w:w="2090" w:type="pct"/>
            <w:gridSpan w:val="2"/>
            <w:tcBorders>
              <w:top w:val="nil"/>
              <w:left w:val="nil"/>
              <w:bottom w:val="nil"/>
              <w:right w:val="nil"/>
            </w:tcBorders>
            <w:shd w:val="clear" w:color="auto" w:fill="auto"/>
            <w:vAlign w:val="bottom"/>
            <w:hideMark/>
          </w:tcPr>
          <w:p w14:paraId="2DE305D3" w14:textId="77777777" w:rsidR="004E26ED" w:rsidRPr="004E26ED" w:rsidRDefault="004E26ED" w:rsidP="002F7B17">
            <w:pPr>
              <w:spacing w:after="0" w:line="240" w:lineRule="auto"/>
              <w:ind w:left="113"/>
              <w:rPr>
                <w:rFonts w:ascii="Arial" w:hAnsi="Arial" w:cs="Arial"/>
                <w:sz w:val="16"/>
                <w:szCs w:val="16"/>
              </w:rPr>
            </w:pPr>
            <w:r w:rsidRPr="004E26ED">
              <w:rPr>
                <w:rFonts w:ascii="Arial" w:hAnsi="Arial" w:cs="Arial"/>
                <w:sz w:val="16"/>
                <w:szCs w:val="16"/>
              </w:rPr>
              <w:t>Special accounts</w:t>
            </w:r>
          </w:p>
        </w:tc>
        <w:tc>
          <w:tcPr>
            <w:tcW w:w="599" w:type="pct"/>
            <w:gridSpan w:val="2"/>
            <w:tcBorders>
              <w:top w:val="nil"/>
              <w:left w:val="nil"/>
              <w:bottom w:val="nil"/>
              <w:right w:val="nil"/>
            </w:tcBorders>
            <w:shd w:val="clear" w:color="auto" w:fill="auto"/>
            <w:noWrap/>
            <w:vAlign w:val="bottom"/>
            <w:hideMark/>
          </w:tcPr>
          <w:p w14:paraId="79632F7D" w14:textId="77777777" w:rsidR="004E26ED" w:rsidRPr="004E26ED" w:rsidRDefault="004E26ED" w:rsidP="002F7B17">
            <w:pPr>
              <w:spacing w:after="0" w:line="240" w:lineRule="auto"/>
              <w:ind w:firstLineChars="100" w:firstLine="160"/>
              <w:jc w:val="right"/>
              <w:rPr>
                <w:rFonts w:ascii="Arial" w:hAnsi="Arial" w:cs="Arial"/>
                <w:sz w:val="16"/>
                <w:szCs w:val="16"/>
              </w:rPr>
            </w:pPr>
          </w:p>
        </w:tc>
        <w:tc>
          <w:tcPr>
            <w:tcW w:w="566" w:type="pct"/>
            <w:tcBorders>
              <w:top w:val="nil"/>
              <w:left w:val="nil"/>
              <w:bottom w:val="nil"/>
              <w:right w:val="nil"/>
            </w:tcBorders>
            <w:shd w:val="clear" w:color="000000" w:fill="E6E6E6"/>
            <w:noWrap/>
            <w:vAlign w:val="bottom"/>
            <w:hideMark/>
          </w:tcPr>
          <w:p w14:paraId="6D21C552" w14:textId="679C8A23" w:rsidR="004E26ED" w:rsidRPr="004E26ED" w:rsidRDefault="004E26ED" w:rsidP="002F7B17">
            <w:pPr>
              <w:spacing w:after="0" w:line="240" w:lineRule="auto"/>
              <w:jc w:val="right"/>
              <w:rPr>
                <w:rFonts w:ascii="Arial" w:hAnsi="Arial" w:cs="Arial"/>
                <w:sz w:val="16"/>
                <w:szCs w:val="16"/>
              </w:rPr>
            </w:pPr>
          </w:p>
        </w:tc>
        <w:tc>
          <w:tcPr>
            <w:tcW w:w="566" w:type="pct"/>
            <w:gridSpan w:val="2"/>
            <w:tcBorders>
              <w:top w:val="nil"/>
              <w:left w:val="nil"/>
              <w:bottom w:val="nil"/>
              <w:right w:val="nil"/>
            </w:tcBorders>
            <w:shd w:val="clear" w:color="auto" w:fill="auto"/>
            <w:noWrap/>
            <w:vAlign w:val="bottom"/>
            <w:hideMark/>
          </w:tcPr>
          <w:p w14:paraId="439BBED2" w14:textId="77777777" w:rsidR="004E26ED" w:rsidRPr="004E26ED" w:rsidRDefault="004E26ED" w:rsidP="002F7B17">
            <w:pPr>
              <w:spacing w:after="0" w:line="240" w:lineRule="auto"/>
              <w:jc w:val="right"/>
              <w:rPr>
                <w:rFonts w:ascii="Arial" w:hAnsi="Arial" w:cs="Arial"/>
                <w:sz w:val="16"/>
                <w:szCs w:val="16"/>
              </w:rPr>
            </w:pPr>
          </w:p>
        </w:tc>
        <w:tc>
          <w:tcPr>
            <w:tcW w:w="566" w:type="pct"/>
            <w:gridSpan w:val="2"/>
            <w:tcBorders>
              <w:top w:val="nil"/>
              <w:left w:val="nil"/>
              <w:bottom w:val="nil"/>
              <w:right w:val="nil"/>
            </w:tcBorders>
            <w:shd w:val="clear" w:color="auto" w:fill="auto"/>
            <w:noWrap/>
            <w:vAlign w:val="bottom"/>
            <w:hideMark/>
          </w:tcPr>
          <w:p w14:paraId="48F444A6" w14:textId="77777777" w:rsidR="004E26ED" w:rsidRPr="004E26ED" w:rsidRDefault="004E26ED" w:rsidP="002F7B17">
            <w:pPr>
              <w:spacing w:after="0" w:line="240" w:lineRule="auto"/>
              <w:jc w:val="right"/>
              <w:rPr>
                <w:rFonts w:ascii="Times New Roman" w:hAnsi="Times New Roman"/>
              </w:rPr>
            </w:pPr>
          </w:p>
        </w:tc>
        <w:tc>
          <w:tcPr>
            <w:tcW w:w="566" w:type="pct"/>
            <w:gridSpan w:val="2"/>
            <w:tcBorders>
              <w:top w:val="nil"/>
              <w:left w:val="nil"/>
              <w:bottom w:val="nil"/>
              <w:right w:val="nil"/>
            </w:tcBorders>
            <w:shd w:val="clear" w:color="auto" w:fill="auto"/>
            <w:noWrap/>
            <w:vAlign w:val="bottom"/>
            <w:hideMark/>
          </w:tcPr>
          <w:p w14:paraId="5DFA5D49" w14:textId="77777777" w:rsidR="004E26ED" w:rsidRPr="004E26ED" w:rsidRDefault="004E26ED" w:rsidP="002F7B17">
            <w:pPr>
              <w:spacing w:after="0" w:line="240" w:lineRule="auto"/>
              <w:jc w:val="right"/>
              <w:rPr>
                <w:rFonts w:ascii="Times New Roman" w:hAnsi="Times New Roman"/>
              </w:rPr>
            </w:pPr>
          </w:p>
        </w:tc>
      </w:tr>
      <w:tr w:rsidR="004E26ED" w:rsidRPr="004E26ED" w14:paraId="3B9D70C1" w14:textId="77777777" w:rsidTr="002F7B17">
        <w:trPr>
          <w:gridAfter w:val="1"/>
          <w:wAfter w:w="46" w:type="pct"/>
          <w:trHeight w:val="204"/>
        </w:trPr>
        <w:tc>
          <w:tcPr>
            <w:tcW w:w="2090" w:type="pct"/>
            <w:gridSpan w:val="2"/>
            <w:tcBorders>
              <w:top w:val="nil"/>
              <w:left w:val="nil"/>
              <w:bottom w:val="nil"/>
              <w:right w:val="nil"/>
            </w:tcBorders>
            <w:shd w:val="clear" w:color="auto" w:fill="auto"/>
            <w:vAlign w:val="bottom"/>
            <w:hideMark/>
          </w:tcPr>
          <w:p w14:paraId="7D7E4786" w14:textId="77777777" w:rsidR="004E26ED" w:rsidRPr="004E26ED" w:rsidRDefault="004E26ED" w:rsidP="002F7B17">
            <w:pPr>
              <w:spacing w:after="0" w:line="240" w:lineRule="auto"/>
              <w:ind w:left="227"/>
              <w:rPr>
                <w:rFonts w:ascii="Arial" w:hAnsi="Arial" w:cs="Arial"/>
                <w:sz w:val="16"/>
                <w:szCs w:val="16"/>
              </w:rPr>
            </w:pPr>
            <w:r w:rsidRPr="004E26ED">
              <w:rPr>
                <w:rFonts w:ascii="Arial" w:hAnsi="Arial" w:cs="Arial"/>
                <w:sz w:val="16"/>
                <w:szCs w:val="16"/>
              </w:rPr>
              <w:t>National Cultural Heritage Account</w:t>
            </w:r>
          </w:p>
        </w:tc>
        <w:tc>
          <w:tcPr>
            <w:tcW w:w="599" w:type="pct"/>
            <w:gridSpan w:val="2"/>
            <w:tcBorders>
              <w:top w:val="nil"/>
              <w:left w:val="nil"/>
              <w:bottom w:val="nil"/>
              <w:right w:val="nil"/>
            </w:tcBorders>
            <w:shd w:val="clear" w:color="auto" w:fill="auto"/>
            <w:noWrap/>
            <w:vAlign w:val="bottom"/>
            <w:hideMark/>
          </w:tcPr>
          <w:p w14:paraId="708ACCB3" w14:textId="7B6C5AFF" w:rsidR="004E26ED" w:rsidRPr="004E26ED" w:rsidRDefault="004E26ED" w:rsidP="002F7B17">
            <w:pPr>
              <w:spacing w:after="0" w:line="240" w:lineRule="auto"/>
              <w:jc w:val="right"/>
              <w:rPr>
                <w:rFonts w:ascii="Arial" w:hAnsi="Arial" w:cs="Arial"/>
                <w:sz w:val="16"/>
                <w:szCs w:val="16"/>
              </w:rPr>
            </w:pPr>
            <w:r w:rsidRPr="004E26ED">
              <w:rPr>
                <w:rFonts w:ascii="Arial" w:hAnsi="Arial" w:cs="Arial"/>
                <w:sz w:val="16"/>
                <w:szCs w:val="16"/>
              </w:rPr>
              <w:t>500</w:t>
            </w:r>
          </w:p>
        </w:tc>
        <w:tc>
          <w:tcPr>
            <w:tcW w:w="566" w:type="pct"/>
            <w:tcBorders>
              <w:top w:val="nil"/>
              <w:left w:val="nil"/>
              <w:bottom w:val="nil"/>
              <w:right w:val="nil"/>
            </w:tcBorders>
            <w:shd w:val="clear" w:color="000000" w:fill="E6E6E6"/>
            <w:noWrap/>
            <w:vAlign w:val="bottom"/>
            <w:hideMark/>
          </w:tcPr>
          <w:p w14:paraId="17DBD3F5" w14:textId="06EBD343" w:rsidR="004E26ED" w:rsidRPr="004E26ED" w:rsidRDefault="004E26ED" w:rsidP="002F7B17">
            <w:pPr>
              <w:spacing w:after="0" w:line="240" w:lineRule="auto"/>
              <w:jc w:val="right"/>
              <w:rPr>
                <w:rFonts w:ascii="Arial" w:hAnsi="Arial" w:cs="Arial"/>
                <w:sz w:val="16"/>
                <w:szCs w:val="16"/>
              </w:rPr>
            </w:pPr>
            <w:r w:rsidRPr="004E26ED">
              <w:rPr>
                <w:rFonts w:ascii="Arial" w:hAnsi="Arial" w:cs="Arial"/>
                <w:sz w:val="16"/>
                <w:szCs w:val="16"/>
              </w:rPr>
              <w:t>500</w:t>
            </w:r>
          </w:p>
        </w:tc>
        <w:tc>
          <w:tcPr>
            <w:tcW w:w="566" w:type="pct"/>
            <w:gridSpan w:val="2"/>
            <w:tcBorders>
              <w:top w:val="nil"/>
              <w:left w:val="nil"/>
              <w:bottom w:val="nil"/>
              <w:right w:val="nil"/>
            </w:tcBorders>
            <w:shd w:val="clear" w:color="auto" w:fill="auto"/>
            <w:noWrap/>
            <w:vAlign w:val="bottom"/>
            <w:hideMark/>
          </w:tcPr>
          <w:p w14:paraId="675F2B41" w14:textId="2014771A" w:rsidR="004E26ED" w:rsidRPr="004E26ED" w:rsidRDefault="004E26ED" w:rsidP="002F7B17">
            <w:pPr>
              <w:spacing w:after="0" w:line="240" w:lineRule="auto"/>
              <w:jc w:val="right"/>
              <w:rPr>
                <w:rFonts w:ascii="Arial" w:hAnsi="Arial" w:cs="Arial"/>
                <w:sz w:val="16"/>
                <w:szCs w:val="16"/>
              </w:rPr>
            </w:pPr>
            <w:r w:rsidRPr="004E26ED">
              <w:rPr>
                <w:rFonts w:ascii="Arial" w:hAnsi="Arial" w:cs="Arial"/>
                <w:sz w:val="16"/>
                <w:szCs w:val="16"/>
              </w:rPr>
              <w:t>500</w:t>
            </w:r>
          </w:p>
        </w:tc>
        <w:tc>
          <w:tcPr>
            <w:tcW w:w="566" w:type="pct"/>
            <w:gridSpan w:val="2"/>
            <w:tcBorders>
              <w:top w:val="nil"/>
              <w:left w:val="nil"/>
              <w:bottom w:val="nil"/>
              <w:right w:val="nil"/>
            </w:tcBorders>
            <w:shd w:val="clear" w:color="auto" w:fill="auto"/>
            <w:noWrap/>
            <w:vAlign w:val="bottom"/>
            <w:hideMark/>
          </w:tcPr>
          <w:p w14:paraId="490B40DE" w14:textId="4C29D80B" w:rsidR="004E26ED" w:rsidRPr="004E26ED" w:rsidRDefault="004E26ED" w:rsidP="002F7B17">
            <w:pPr>
              <w:spacing w:after="0" w:line="240" w:lineRule="auto"/>
              <w:jc w:val="right"/>
              <w:rPr>
                <w:rFonts w:ascii="Arial" w:hAnsi="Arial" w:cs="Arial"/>
                <w:sz w:val="16"/>
                <w:szCs w:val="16"/>
              </w:rPr>
            </w:pPr>
            <w:r w:rsidRPr="004E26ED">
              <w:rPr>
                <w:rFonts w:ascii="Arial" w:hAnsi="Arial" w:cs="Arial"/>
                <w:sz w:val="16"/>
                <w:szCs w:val="16"/>
              </w:rPr>
              <w:t>500</w:t>
            </w:r>
          </w:p>
        </w:tc>
        <w:tc>
          <w:tcPr>
            <w:tcW w:w="566" w:type="pct"/>
            <w:gridSpan w:val="2"/>
            <w:tcBorders>
              <w:top w:val="nil"/>
              <w:left w:val="nil"/>
              <w:bottom w:val="nil"/>
              <w:right w:val="nil"/>
            </w:tcBorders>
            <w:shd w:val="clear" w:color="auto" w:fill="auto"/>
            <w:noWrap/>
            <w:vAlign w:val="bottom"/>
            <w:hideMark/>
          </w:tcPr>
          <w:p w14:paraId="4FC45FD6" w14:textId="7C51EF4A" w:rsidR="004E26ED" w:rsidRPr="004E26ED" w:rsidRDefault="004E26ED" w:rsidP="002F7B17">
            <w:pPr>
              <w:spacing w:after="0" w:line="240" w:lineRule="auto"/>
              <w:jc w:val="right"/>
              <w:rPr>
                <w:rFonts w:ascii="Arial" w:hAnsi="Arial" w:cs="Arial"/>
                <w:sz w:val="16"/>
                <w:szCs w:val="16"/>
              </w:rPr>
            </w:pPr>
            <w:r w:rsidRPr="004E26ED">
              <w:rPr>
                <w:rFonts w:ascii="Arial" w:hAnsi="Arial" w:cs="Arial"/>
                <w:sz w:val="16"/>
                <w:szCs w:val="16"/>
              </w:rPr>
              <w:t>500</w:t>
            </w:r>
          </w:p>
        </w:tc>
      </w:tr>
      <w:tr w:rsidR="004E26ED" w:rsidRPr="004E26ED" w14:paraId="7B43B144" w14:textId="77777777" w:rsidTr="002F7B17">
        <w:trPr>
          <w:gridAfter w:val="1"/>
          <w:wAfter w:w="46" w:type="pct"/>
          <w:trHeight w:val="204"/>
        </w:trPr>
        <w:tc>
          <w:tcPr>
            <w:tcW w:w="2090" w:type="pct"/>
            <w:gridSpan w:val="2"/>
            <w:tcBorders>
              <w:top w:val="nil"/>
              <w:left w:val="nil"/>
              <w:bottom w:val="nil"/>
              <w:right w:val="nil"/>
            </w:tcBorders>
            <w:shd w:val="clear" w:color="auto" w:fill="auto"/>
            <w:vAlign w:val="bottom"/>
            <w:hideMark/>
          </w:tcPr>
          <w:p w14:paraId="21FB780D" w14:textId="1F0FB369" w:rsidR="004E26ED" w:rsidRPr="004E26ED" w:rsidRDefault="004E26ED" w:rsidP="007B5C33">
            <w:pPr>
              <w:spacing w:after="0" w:line="240" w:lineRule="auto"/>
              <w:ind w:left="113"/>
              <w:rPr>
                <w:rFonts w:ascii="Arial" w:hAnsi="Arial" w:cs="Arial"/>
                <w:sz w:val="16"/>
                <w:szCs w:val="16"/>
              </w:rPr>
            </w:pPr>
            <w:r w:rsidRPr="004E26ED">
              <w:rPr>
                <w:rFonts w:ascii="Arial" w:hAnsi="Arial" w:cs="Arial"/>
                <w:sz w:val="16"/>
                <w:szCs w:val="16"/>
              </w:rPr>
              <w:t>Payments to corporate entities</w:t>
            </w:r>
            <w:r w:rsidRPr="004E26ED">
              <w:rPr>
                <w:rFonts w:ascii="Arial" w:hAnsi="Arial" w:cs="Arial"/>
                <w:sz w:val="16"/>
                <w:szCs w:val="16"/>
                <w:vertAlign w:val="superscript"/>
              </w:rPr>
              <w:t>(a)</w:t>
            </w:r>
          </w:p>
        </w:tc>
        <w:tc>
          <w:tcPr>
            <w:tcW w:w="599" w:type="pct"/>
            <w:gridSpan w:val="2"/>
            <w:tcBorders>
              <w:top w:val="nil"/>
              <w:left w:val="nil"/>
              <w:bottom w:val="nil"/>
              <w:right w:val="nil"/>
            </w:tcBorders>
            <w:shd w:val="clear" w:color="auto" w:fill="auto"/>
            <w:noWrap/>
            <w:vAlign w:val="bottom"/>
            <w:hideMark/>
          </w:tcPr>
          <w:p w14:paraId="47395FB1" w14:textId="6E55ED28" w:rsidR="004E26ED" w:rsidRPr="004E26ED" w:rsidRDefault="004E26ED" w:rsidP="002F7B17">
            <w:pPr>
              <w:spacing w:after="0" w:line="240" w:lineRule="auto"/>
              <w:jc w:val="right"/>
              <w:rPr>
                <w:rFonts w:ascii="Arial" w:hAnsi="Arial" w:cs="Arial"/>
                <w:sz w:val="16"/>
                <w:szCs w:val="16"/>
              </w:rPr>
            </w:pPr>
            <w:r w:rsidRPr="004E26ED">
              <w:rPr>
                <w:rFonts w:ascii="Arial" w:hAnsi="Arial" w:cs="Arial"/>
                <w:sz w:val="16"/>
                <w:szCs w:val="16"/>
              </w:rPr>
              <w:t>512,903</w:t>
            </w:r>
          </w:p>
        </w:tc>
        <w:tc>
          <w:tcPr>
            <w:tcW w:w="566" w:type="pct"/>
            <w:tcBorders>
              <w:top w:val="nil"/>
              <w:left w:val="nil"/>
              <w:bottom w:val="nil"/>
              <w:right w:val="nil"/>
            </w:tcBorders>
            <w:shd w:val="clear" w:color="000000" w:fill="E6E6E6"/>
            <w:noWrap/>
            <w:vAlign w:val="bottom"/>
            <w:hideMark/>
          </w:tcPr>
          <w:p w14:paraId="7F18E263" w14:textId="7177FA5C" w:rsidR="004E26ED" w:rsidRPr="004E26ED" w:rsidRDefault="004E26ED" w:rsidP="002F7B17">
            <w:pPr>
              <w:spacing w:after="0" w:line="240" w:lineRule="auto"/>
              <w:jc w:val="right"/>
              <w:rPr>
                <w:rFonts w:ascii="Arial" w:hAnsi="Arial" w:cs="Arial"/>
                <w:sz w:val="16"/>
                <w:szCs w:val="16"/>
              </w:rPr>
            </w:pPr>
            <w:r w:rsidRPr="004E26ED">
              <w:rPr>
                <w:rFonts w:ascii="Arial" w:hAnsi="Arial" w:cs="Arial"/>
                <w:sz w:val="16"/>
                <w:szCs w:val="16"/>
              </w:rPr>
              <w:t>595,515</w:t>
            </w:r>
          </w:p>
        </w:tc>
        <w:tc>
          <w:tcPr>
            <w:tcW w:w="566" w:type="pct"/>
            <w:gridSpan w:val="2"/>
            <w:tcBorders>
              <w:top w:val="nil"/>
              <w:left w:val="nil"/>
              <w:bottom w:val="nil"/>
              <w:right w:val="nil"/>
            </w:tcBorders>
            <w:shd w:val="clear" w:color="auto" w:fill="auto"/>
            <w:noWrap/>
            <w:vAlign w:val="bottom"/>
            <w:hideMark/>
          </w:tcPr>
          <w:p w14:paraId="78B1EF0A" w14:textId="22CC8BBE" w:rsidR="004E26ED" w:rsidRPr="004E26ED" w:rsidRDefault="004E26ED" w:rsidP="002F7B17">
            <w:pPr>
              <w:spacing w:after="0" w:line="240" w:lineRule="auto"/>
              <w:jc w:val="right"/>
              <w:rPr>
                <w:rFonts w:ascii="Arial" w:hAnsi="Arial" w:cs="Arial"/>
                <w:sz w:val="16"/>
                <w:szCs w:val="16"/>
              </w:rPr>
            </w:pPr>
            <w:r w:rsidRPr="004E26ED">
              <w:rPr>
                <w:rFonts w:ascii="Arial" w:hAnsi="Arial" w:cs="Arial"/>
                <w:sz w:val="16"/>
                <w:szCs w:val="16"/>
              </w:rPr>
              <w:t>642,671</w:t>
            </w:r>
          </w:p>
        </w:tc>
        <w:tc>
          <w:tcPr>
            <w:tcW w:w="566" w:type="pct"/>
            <w:gridSpan w:val="2"/>
            <w:tcBorders>
              <w:top w:val="nil"/>
              <w:left w:val="nil"/>
              <w:bottom w:val="nil"/>
              <w:right w:val="nil"/>
            </w:tcBorders>
            <w:shd w:val="clear" w:color="auto" w:fill="auto"/>
            <w:noWrap/>
            <w:vAlign w:val="bottom"/>
            <w:hideMark/>
          </w:tcPr>
          <w:p w14:paraId="5D2C553B" w14:textId="1C19B64B" w:rsidR="004E26ED" w:rsidRPr="004E26ED" w:rsidRDefault="004E26ED" w:rsidP="002F7B17">
            <w:pPr>
              <w:spacing w:after="0" w:line="240" w:lineRule="auto"/>
              <w:jc w:val="right"/>
              <w:rPr>
                <w:rFonts w:ascii="Arial" w:hAnsi="Arial" w:cs="Arial"/>
                <w:sz w:val="16"/>
                <w:szCs w:val="16"/>
              </w:rPr>
            </w:pPr>
            <w:r w:rsidRPr="004E26ED">
              <w:rPr>
                <w:rFonts w:ascii="Arial" w:hAnsi="Arial" w:cs="Arial"/>
                <w:sz w:val="16"/>
                <w:szCs w:val="16"/>
              </w:rPr>
              <w:t>661,631</w:t>
            </w:r>
          </w:p>
        </w:tc>
        <w:tc>
          <w:tcPr>
            <w:tcW w:w="566" w:type="pct"/>
            <w:gridSpan w:val="2"/>
            <w:tcBorders>
              <w:top w:val="nil"/>
              <w:left w:val="nil"/>
              <w:bottom w:val="nil"/>
              <w:right w:val="nil"/>
            </w:tcBorders>
            <w:shd w:val="clear" w:color="auto" w:fill="auto"/>
            <w:noWrap/>
            <w:vAlign w:val="bottom"/>
            <w:hideMark/>
          </w:tcPr>
          <w:p w14:paraId="08CEA95B" w14:textId="21730C8D" w:rsidR="004E26ED" w:rsidRPr="004E26ED" w:rsidRDefault="004E26ED" w:rsidP="002F7B17">
            <w:pPr>
              <w:spacing w:after="0" w:line="240" w:lineRule="auto"/>
              <w:jc w:val="right"/>
              <w:rPr>
                <w:rFonts w:ascii="Arial" w:hAnsi="Arial" w:cs="Arial"/>
                <w:sz w:val="16"/>
                <w:szCs w:val="16"/>
              </w:rPr>
            </w:pPr>
            <w:r w:rsidRPr="004E26ED">
              <w:rPr>
                <w:rFonts w:ascii="Arial" w:hAnsi="Arial" w:cs="Arial"/>
                <w:sz w:val="16"/>
                <w:szCs w:val="16"/>
              </w:rPr>
              <w:t>686,691</w:t>
            </w:r>
          </w:p>
        </w:tc>
      </w:tr>
      <w:tr w:rsidR="004E26ED" w:rsidRPr="004E26ED" w14:paraId="36844653" w14:textId="77777777" w:rsidTr="002F7B17">
        <w:trPr>
          <w:gridAfter w:val="1"/>
          <w:wAfter w:w="46" w:type="pct"/>
          <w:trHeight w:val="204"/>
        </w:trPr>
        <w:tc>
          <w:tcPr>
            <w:tcW w:w="2090" w:type="pct"/>
            <w:gridSpan w:val="2"/>
            <w:tcBorders>
              <w:top w:val="nil"/>
              <w:left w:val="nil"/>
              <w:bottom w:val="nil"/>
              <w:right w:val="nil"/>
            </w:tcBorders>
            <w:shd w:val="clear" w:color="auto" w:fill="auto"/>
            <w:vAlign w:val="bottom"/>
            <w:hideMark/>
          </w:tcPr>
          <w:p w14:paraId="6EF47A28" w14:textId="11FF8B20" w:rsidR="004E26ED" w:rsidRPr="004E26ED" w:rsidRDefault="004E26ED" w:rsidP="007B5C33">
            <w:pPr>
              <w:spacing w:after="0" w:line="240" w:lineRule="auto"/>
              <w:ind w:left="113"/>
              <w:rPr>
                <w:rFonts w:ascii="Arial" w:hAnsi="Arial" w:cs="Arial"/>
                <w:sz w:val="16"/>
                <w:szCs w:val="16"/>
              </w:rPr>
            </w:pPr>
            <w:r w:rsidRPr="004E26ED">
              <w:rPr>
                <w:rFonts w:ascii="Arial" w:hAnsi="Arial" w:cs="Arial"/>
                <w:sz w:val="16"/>
                <w:szCs w:val="16"/>
              </w:rPr>
              <w:t>Expenses not requiring appropriation in the Budget year</w:t>
            </w:r>
            <w:r w:rsidRPr="004E26ED">
              <w:rPr>
                <w:rFonts w:ascii="Arial" w:hAnsi="Arial" w:cs="Arial"/>
                <w:sz w:val="16"/>
                <w:szCs w:val="16"/>
                <w:vertAlign w:val="superscript"/>
              </w:rPr>
              <w:t>(b)</w:t>
            </w:r>
          </w:p>
        </w:tc>
        <w:tc>
          <w:tcPr>
            <w:tcW w:w="599" w:type="pct"/>
            <w:gridSpan w:val="2"/>
            <w:tcBorders>
              <w:top w:val="nil"/>
              <w:left w:val="nil"/>
              <w:bottom w:val="nil"/>
              <w:right w:val="nil"/>
            </w:tcBorders>
            <w:shd w:val="clear" w:color="auto" w:fill="auto"/>
            <w:noWrap/>
            <w:vAlign w:val="bottom"/>
            <w:hideMark/>
          </w:tcPr>
          <w:p w14:paraId="33FF457F" w14:textId="55B544A1" w:rsidR="004E26ED" w:rsidRPr="004E26ED" w:rsidRDefault="004E26ED" w:rsidP="002F7B17">
            <w:pPr>
              <w:spacing w:after="0" w:line="240" w:lineRule="auto"/>
              <w:jc w:val="right"/>
              <w:rPr>
                <w:rFonts w:ascii="Arial" w:hAnsi="Arial" w:cs="Arial"/>
                <w:sz w:val="16"/>
                <w:szCs w:val="16"/>
              </w:rPr>
            </w:pPr>
            <w:r w:rsidRPr="004E26ED">
              <w:rPr>
                <w:rFonts w:ascii="Arial" w:hAnsi="Arial" w:cs="Arial"/>
                <w:sz w:val="16"/>
                <w:szCs w:val="16"/>
              </w:rPr>
              <w:t>50,000</w:t>
            </w:r>
          </w:p>
        </w:tc>
        <w:tc>
          <w:tcPr>
            <w:tcW w:w="566" w:type="pct"/>
            <w:tcBorders>
              <w:top w:val="nil"/>
              <w:left w:val="nil"/>
              <w:bottom w:val="nil"/>
              <w:right w:val="nil"/>
            </w:tcBorders>
            <w:shd w:val="clear" w:color="000000" w:fill="E6E6E6"/>
            <w:noWrap/>
            <w:vAlign w:val="bottom"/>
            <w:hideMark/>
          </w:tcPr>
          <w:p w14:paraId="6319E171" w14:textId="2616B24D" w:rsidR="004E26ED" w:rsidRPr="004E26ED" w:rsidRDefault="004E26ED" w:rsidP="002F7B17">
            <w:pPr>
              <w:spacing w:after="0" w:line="240" w:lineRule="auto"/>
              <w:jc w:val="right"/>
              <w:rPr>
                <w:rFonts w:ascii="Arial" w:hAnsi="Arial" w:cs="Arial"/>
                <w:sz w:val="16"/>
                <w:szCs w:val="16"/>
              </w:rPr>
            </w:pPr>
            <w:r w:rsidRPr="004E26ED">
              <w:rPr>
                <w:rFonts w:ascii="Arial" w:hAnsi="Arial" w:cs="Arial"/>
                <w:sz w:val="16"/>
                <w:szCs w:val="16"/>
              </w:rPr>
              <w:t>-</w:t>
            </w:r>
          </w:p>
        </w:tc>
        <w:tc>
          <w:tcPr>
            <w:tcW w:w="566" w:type="pct"/>
            <w:gridSpan w:val="2"/>
            <w:tcBorders>
              <w:top w:val="nil"/>
              <w:left w:val="nil"/>
              <w:bottom w:val="nil"/>
              <w:right w:val="nil"/>
            </w:tcBorders>
            <w:shd w:val="clear" w:color="auto" w:fill="auto"/>
            <w:noWrap/>
            <w:vAlign w:val="bottom"/>
            <w:hideMark/>
          </w:tcPr>
          <w:p w14:paraId="72EA90C0" w14:textId="4FC2F755" w:rsidR="004E26ED" w:rsidRPr="004E26ED" w:rsidRDefault="004E26ED" w:rsidP="002F7B17">
            <w:pPr>
              <w:spacing w:after="0" w:line="240" w:lineRule="auto"/>
              <w:jc w:val="right"/>
              <w:rPr>
                <w:rFonts w:ascii="Arial" w:hAnsi="Arial" w:cs="Arial"/>
                <w:sz w:val="16"/>
                <w:szCs w:val="16"/>
              </w:rPr>
            </w:pPr>
            <w:r w:rsidRPr="004E26ED">
              <w:rPr>
                <w:rFonts w:ascii="Arial" w:hAnsi="Arial" w:cs="Arial"/>
                <w:sz w:val="16"/>
                <w:szCs w:val="16"/>
              </w:rPr>
              <w:t>-</w:t>
            </w:r>
          </w:p>
        </w:tc>
        <w:tc>
          <w:tcPr>
            <w:tcW w:w="566" w:type="pct"/>
            <w:gridSpan w:val="2"/>
            <w:tcBorders>
              <w:top w:val="nil"/>
              <w:left w:val="nil"/>
              <w:bottom w:val="nil"/>
              <w:right w:val="nil"/>
            </w:tcBorders>
            <w:shd w:val="clear" w:color="auto" w:fill="auto"/>
            <w:noWrap/>
            <w:vAlign w:val="bottom"/>
            <w:hideMark/>
          </w:tcPr>
          <w:p w14:paraId="2BC01AC0" w14:textId="05975D09" w:rsidR="004E26ED" w:rsidRPr="004E26ED" w:rsidRDefault="004E26ED" w:rsidP="002F7B17">
            <w:pPr>
              <w:spacing w:after="0" w:line="240" w:lineRule="auto"/>
              <w:jc w:val="right"/>
              <w:rPr>
                <w:rFonts w:ascii="Arial" w:hAnsi="Arial" w:cs="Arial"/>
                <w:sz w:val="16"/>
                <w:szCs w:val="16"/>
              </w:rPr>
            </w:pPr>
            <w:r w:rsidRPr="004E26ED">
              <w:rPr>
                <w:rFonts w:ascii="Arial" w:hAnsi="Arial" w:cs="Arial"/>
                <w:sz w:val="16"/>
                <w:szCs w:val="16"/>
              </w:rPr>
              <w:t>-</w:t>
            </w:r>
          </w:p>
        </w:tc>
        <w:tc>
          <w:tcPr>
            <w:tcW w:w="566" w:type="pct"/>
            <w:gridSpan w:val="2"/>
            <w:tcBorders>
              <w:top w:val="nil"/>
              <w:left w:val="nil"/>
              <w:bottom w:val="nil"/>
              <w:right w:val="nil"/>
            </w:tcBorders>
            <w:shd w:val="clear" w:color="auto" w:fill="auto"/>
            <w:noWrap/>
            <w:vAlign w:val="bottom"/>
            <w:hideMark/>
          </w:tcPr>
          <w:p w14:paraId="03CEFB1D" w14:textId="1AD8DDFD" w:rsidR="004E26ED" w:rsidRPr="004E26ED" w:rsidRDefault="004E26ED" w:rsidP="002F7B17">
            <w:pPr>
              <w:spacing w:after="0" w:line="240" w:lineRule="auto"/>
              <w:jc w:val="right"/>
              <w:rPr>
                <w:rFonts w:ascii="Arial" w:hAnsi="Arial" w:cs="Arial"/>
                <w:sz w:val="16"/>
                <w:szCs w:val="16"/>
              </w:rPr>
            </w:pPr>
            <w:r w:rsidRPr="004E26ED">
              <w:rPr>
                <w:rFonts w:ascii="Arial" w:hAnsi="Arial" w:cs="Arial"/>
                <w:sz w:val="16"/>
                <w:szCs w:val="16"/>
              </w:rPr>
              <w:t>-</w:t>
            </w:r>
          </w:p>
        </w:tc>
      </w:tr>
      <w:tr w:rsidR="004E26ED" w:rsidRPr="004E26ED" w14:paraId="404AC4D2" w14:textId="77777777" w:rsidTr="002F7B17">
        <w:trPr>
          <w:gridAfter w:val="1"/>
          <w:wAfter w:w="46" w:type="pct"/>
          <w:trHeight w:val="204"/>
        </w:trPr>
        <w:tc>
          <w:tcPr>
            <w:tcW w:w="2090" w:type="pct"/>
            <w:gridSpan w:val="2"/>
            <w:tcBorders>
              <w:top w:val="nil"/>
              <w:left w:val="nil"/>
              <w:bottom w:val="single" w:sz="4" w:space="0" w:color="auto"/>
              <w:right w:val="nil"/>
            </w:tcBorders>
            <w:shd w:val="clear" w:color="auto" w:fill="auto"/>
            <w:noWrap/>
            <w:vAlign w:val="bottom"/>
            <w:hideMark/>
          </w:tcPr>
          <w:p w14:paraId="0B8AC03D" w14:textId="77777777" w:rsidR="004E26ED" w:rsidRPr="004E26ED" w:rsidRDefault="004E26ED" w:rsidP="004E26ED">
            <w:pPr>
              <w:spacing w:after="0" w:line="240" w:lineRule="auto"/>
              <w:rPr>
                <w:rFonts w:ascii="Arial" w:hAnsi="Arial" w:cs="Arial"/>
                <w:b/>
                <w:bCs/>
                <w:sz w:val="16"/>
                <w:szCs w:val="16"/>
              </w:rPr>
            </w:pPr>
            <w:r w:rsidRPr="004E26ED">
              <w:rPr>
                <w:rFonts w:ascii="Arial" w:hAnsi="Arial" w:cs="Arial"/>
                <w:b/>
                <w:bCs/>
                <w:sz w:val="16"/>
                <w:szCs w:val="16"/>
              </w:rPr>
              <w:t>Total expenses for Program 6.1</w:t>
            </w:r>
          </w:p>
        </w:tc>
        <w:tc>
          <w:tcPr>
            <w:tcW w:w="599" w:type="pct"/>
            <w:gridSpan w:val="2"/>
            <w:tcBorders>
              <w:top w:val="single" w:sz="4" w:space="0" w:color="auto"/>
              <w:left w:val="nil"/>
              <w:bottom w:val="single" w:sz="4" w:space="0" w:color="auto"/>
              <w:right w:val="nil"/>
            </w:tcBorders>
            <w:shd w:val="clear" w:color="auto" w:fill="auto"/>
            <w:noWrap/>
            <w:vAlign w:val="bottom"/>
            <w:hideMark/>
          </w:tcPr>
          <w:p w14:paraId="64FD8EB8" w14:textId="0CC903D6" w:rsidR="004E26ED" w:rsidRPr="004E26ED" w:rsidRDefault="004E26ED" w:rsidP="002F7B17">
            <w:pPr>
              <w:spacing w:after="0" w:line="240" w:lineRule="auto"/>
              <w:jc w:val="right"/>
              <w:rPr>
                <w:rFonts w:ascii="Arial" w:hAnsi="Arial" w:cs="Arial"/>
                <w:b/>
                <w:bCs/>
                <w:sz w:val="16"/>
                <w:szCs w:val="16"/>
              </w:rPr>
            </w:pPr>
            <w:r w:rsidRPr="004E26ED">
              <w:rPr>
                <w:rFonts w:ascii="Arial" w:hAnsi="Arial" w:cs="Arial"/>
                <w:b/>
                <w:bCs/>
                <w:sz w:val="16"/>
                <w:szCs w:val="16"/>
              </w:rPr>
              <w:t>817,236</w:t>
            </w:r>
          </w:p>
        </w:tc>
        <w:tc>
          <w:tcPr>
            <w:tcW w:w="566" w:type="pct"/>
            <w:tcBorders>
              <w:top w:val="single" w:sz="4" w:space="0" w:color="auto"/>
              <w:left w:val="nil"/>
              <w:bottom w:val="single" w:sz="4" w:space="0" w:color="auto"/>
              <w:right w:val="nil"/>
            </w:tcBorders>
            <w:shd w:val="clear" w:color="000000" w:fill="E6E6E6"/>
            <w:noWrap/>
            <w:vAlign w:val="bottom"/>
            <w:hideMark/>
          </w:tcPr>
          <w:p w14:paraId="6E590946" w14:textId="16A4E2D1" w:rsidR="004E26ED" w:rsidRPr="004E26ED" w:rsidRDefault="004E26ED" w:rsidP="002F7B17">
            <w:pPr>
              <w:spacing w:after="0" w:line="240" w:lineRule="auto"/>
              <w:jc w:val="right"/>
              <w:rPr>
                <w:rFonts w:ascii="Arial" w:hAnsi="Arial" w:cs="Arial"/>
                <w:b/>
                <w:bCs/>
                <w:sz w:val="16"/>
                <w:szCs w:val="16"/>
              </w:rPr>
            </w:pPr>
            <w:r w:rsidRPr="004E26ED">
              <w:rPr>
                <w:rFonts w:ascii="Arial" w:hAnsi="Arial" w:cs="Arial"/>
                <w:b/>
                <w:bCs/>
                <w:sz w:val="16"/>
                <w:szCs w:val="16"/>
              </w:rPr>
              <w:t>889,754</w:t>
            </w:r>
          </w:p>
        </w:tc>
        <w:tc>
          <w:tcPr>
            <w:tcW w:w="566" w:type="pct"/>
            <w:gridSpan w:val="2"/>
            <w:tcBorders>
              <w:top w:val="single" w:sz="4" w:space="0" w:color="auto"/>
              <w:left w:val="nil"/>
              <w:bottom w:val="single" w:sz="4" w:space="0" w:color="auto"/>
              <w:right w:val="nil"/>
            </w:tcBorders>
            <w:shd w:val="clear" w:color="auto" w:fill="auto"/>
            <w:noWrap/>
            <w:vAlign w:val="bottom"/>
            <w:hideMark/>
          </w:tcPr>
          <w:p w14:paraId="68C5B9DD" w14:textId="4E9E16A2" w:rsidR="004E26ED" w:rsidRPr="004E26ED" w:rsidRDefault="004E26ED" w:rsidP="002F7B17">
            <w:pPr>
              <w:spacing w:after="0" w:line="240" w:lineRule="auto"/>
              <w:jc w:val="right"/>
              <w:rPr>
                <w:rFonts w:ascii="Arial" w:hAnsi="Arial" w:cs="Arial"/>
                <w:b/>
                <w:bCs/>
                <w:sz w:val="16"/>
                <w:szCs w:val="16"/>
              </w:rPr>
            </w:pPr>
            <w:r w:rsidRPr="004E26ED">
              <w:rPr>
                <w:rFonts w:ascii="Arial" w:hAnsi="Arial" w:cs="Arial"/>
                <w:b/>
                <w:bCs/>
                <w:sz w:val="16"/>
                <w:szCs w:val="16"/>
              </w:rPr>
              <w:t>947,760</w:t>
            </w:r>
          </w:p>
        </w:tc>
        <w:tc>
          <w:tcPr>
            <w:tcW w:w="566" w:type="pct"/>
            <w:gridSpan w:val="2"/>
            <w:tcBorders>
              <w:top w:val="single" w:sz="4" w:space="0" w:color="auto"/>
              <w:left w:val="nil"/>
              <w:bottom w:val="single" w:sz="4" w:space="0" w:color="auto"/>
              <w:right w:val="nil"/>
            </w:tcBorders>
            <w:shd w:val="clear" w:color="auto" w:fill="auto"/>
            <w:noWrap/>
            <w:vAlign w:val="bottom"/>
            <w:hideMark/>
          </w:tcPr>
          <w:p w14:paraId="047841CF" w14:textId="21D73339" w:rsidR="004E26ED" w:rsidRPr="004E26ED" w:rsidRDefault="004E26ED" w:rsidP="002F7B17">
            <w:pPr>
              <w:spacing w:after="0" w:line="240" w:lineRule="auto"/>
              <w:jc w:val="right"/>
              <w:rPr>
                <w:rFonts w:ascii="Arial" w:hAnsi="Arial" w:cs="Arial"/>
                <w:b/>
                <w:bCs/>
                <w:sz w:val="16"/>
                <w:szCs w:val="16"/>
              </w:rPr>
            </w:pPr>
            <w:r w:rsidRPr="004E26ED">
              <w:rPr>
                <w:rFonts w:ascii="Arial" w:hAnsi="Arial" w:cs="Arial"/>
                <w:b/>
                <w:bCs/>
                <w:sz w:val="16"/>
                <w:szCs w:val="16"/>
              </w:rPr>
              <w:t>933,773</w:t>
            </w:r>
          </w:p>
        </w:tc>
        <w:tc>
          <w:tcPr>
            <w:tcW w:w="566" w:type="pct"/>
            <w:gridSpan w:val="2"/>
            <w:tcBorders>
              <w:top w:val="single" w:sz="4" w:space="0" w:color="auto"/>
              <w:left w:val="nil"/>
              <w:bottom w:val="single" w:sz="4" w:space="0" w:color="auto"/>
              <w:right w:val="nil"/>
            </w:tcBorders>
            <w:shd w:val="clear" w:color="auto" w:fill="auto"/>
            <w:noWrap/>
            <w:vAlign w:val="bottom"/>
            <w:hideMark/>
          </w:tcPr>
          <w:p w14:paraId="1481529B" w14:textId="57D4DA89" w:rsidR="004E26ED" w:rsidRPr="004E26ED" w:rsidRDefault="004E26ED" w:rsidP="002F7B17">
            <w:pPr>
              <w:spacing w:after="0" w:line="240" w:lineRule="auto"/>
              <w:jc w:val="right"/>
              <w:rPr>
                <w:rFonts w:ascii="Arial" w:hAnsi="Arial" w:cs="Arial"/>
                <w:b/>
                <w:bCs/>
                <w:sz w:val="16"/>
                <w:szCs w:val="16"/>
              </w:rPr>
            </w:pPr>
            <w:r w:rsidRPr="004E26ED">
              <w:rPr>
                <w:rFonts w:ascii="Arial" w:hAnsi="Arial" w:cs="Arial"/>
                <w:b/>
                <w:bCs/>
                <w:sz w:val="16"/>
                <w:szCs w:val="16"/>
              </w:rPr>
              <w:t>927,350</w:t>
            </w:r>
          </w:p>
        </w:tc>
      </w:tr>
      <w:tr w:rsidR="002F7B17" w:rsidRPr="002F7B17" w14:paraId="716E9474" w14:textId="77777777" w:rsidTr="002F7B17">
        <w:trPr>
          <w:trHeight w:val="204"/>
        </w:trPr>
        <w:tc>
          <w:tcPr>
            <w:tcW w:w="2685" w:type="pct"/>
            <w:gridSpan w:val="3"/>
            <w:tcBorders>
              <w:top w:val="single" w:sz="4" w:space="0" w:color="auto"/>
              <w:left w:val="nil"/>
              <w:bottom w:val="single" w:sz="4" w:space="0" w:color="auto"/>
              <w:right w:val="nil"/>
            </w:tcBorders>
            <w:shd w:val="clear" w:color="000000" w:fill="E6E6E6"/>
            <w:noWrap/>
            <w:vAlign w:val="bottom"/>
            <w:hideMark/>
          </w:tcPr>
          <w:p w14:paraId="3EF75B62" w14:textId="77777777" w:rsidR="002F7B17" w:rsidRPr="002F7B17" w:rsidRDefault="002F7B17" w:rsidP="002F7B17">
            <w:pPr>
              <w:spacing w:after="0" w:line="240" w:lineRule="auto"/>
              <w:rPr>
                <w:rFonts w:ascii="Arial" w:hAnsi="Arial" w:cs="Arial"/>
                <w:b/>
                <w:bCs/>
                <w:sz w:val="16"/>
                <w:szCs w:val="16"/>
              </w:rPr>
            </w:pPr>
            <w:r w:rsidRPr="002F7B17">
              <w:rPr>
                <w:rFonts w:ascii="Arial" w:hAnsi="Arial" w:cs="Arial"/>
                <w:b/>
                <w:bCs/>
                <w:sz w:val="16"/>
                <w:szCs w:val="16"/>
              </w:rPr>
              <w:t>Program 6.2 Program Support for Outcome 6</w:t>
            </w:r>
          </w:p>
        </w:tc>
        <w:tc>
          <w:tcPr>
            <w:tcW w:w="579" w:type="pct"/>
            <w:gridSpan w:val="3"/>
            <w:tcBorders>
              <w:top w:val="single" w:sz="4" w:space="0" w:color="auto"/>
              <w:left w:val="nil"/>
              <w:bottom w:val="single" w:sz="4" w:space="0" w:color="auto"/>
              <w:right w:val="nil"/>
            </w:tcBorders>
            <w:shd w:val="clear" w:color="000000" w:fill="E6E6E6"/>
            <w:noWrap/>
            <w:vAlign w:val="bottom"/>
            <w:hideMark/>
          </w:tcPr>
          <w:p w14:paraId="3279A661" w14:textId="77777777"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 </w:t>
            </w:r>
          </w:p>
        </w:tc>
        <w:tc>
          <w:tcPr>
            <w:tcW w:w="579" w:type="pct"/>
            <w:gridSpan w:val="2"/>
            <w:tcBorders>
              <w:top w:val="single" w:sz="4" w:space="0" w:color="auto"/>
              <w:left w:val="nil"/>
              <w:bottom w:val="single" w:sz="4" w:space="0" w:color="auto"/>
              <w:right w:val="nil"/>
            </w:tcBorders>
            <w:shd w:val="clear" w:color="000000" w:fill="E6E6E6"/>
            <w:noWrap/>
            <w:vAlign w:val="bottom"/>
            <w:hideMark/>
          </w:tcPr>
          <w:p w14:paraId="7FF0A0AA" w14:textId="77777777"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 </w:t>
            </w:r>
          </w:p>
        </w:tc>
        <w:tc>
          <w:tcPr>
            <w:tcW w:w="579" w:type="pct"/>
            <w:gridSpan w:val="2"/>
            <w:tcBorders>
              <w:top w:val="single" w:sz="4" w:space="0" w:color="auto"/>
              <w:left w:val="nil"/>
              <w:bottom w:val="single" w:sz="4" w:space="0" w:color="auto"/>
              <w:right w:val="nil"/>
            </w:tcBorders>
            <w:shd w:val="clear" w:color="000000" w:fill="E6E6E6"/>
            <w:noWrap/>
            <w:vAlign w:val="bottom"/>
            <w:hideMark/>
          </w:tcPr>
          <w:p w14:paraId="4D509A42" w14:textId="77777777"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 </w:t>
            </w:r>
          </w:p>
        </w:tc>
        <w:tc>
          <w:tcPr>
            <w:tcW w:w="579" w:type="pct"/>
            <w:gridSpan w:val="2"/>
            <w:tcBorders>
              <w:top w:val="single" w:sz="4" w:space="0" w:color="auto"/>
              <w:left w:val="nil"/>
              <w:bottom w:val="single" w:sz="4" w:space="0" w:color="auto"/>
              <w:right w:val="nil"/>
            </w:tcBorders>
            <w:shd w:val="clear" w:color="000000" w:fill="E6E6E6"/>
            <w:noWrap/>
            <w:vAlign w:val="bottom"/>
            <w:hideMark/>
          </w:tcPr>
          <w:p w14:paraId="283AC399" w14:textId="77777777"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 </w:t>
            </w:r>
          </w:p>
        </w:tc>
      </w:tr>
      <w:tr w:rsidR="002F7B17" w:rsidRPr="002F7B17" w14:paraId="1627EC67" w14:textId="77777777" w:rsidTr="002F7B17">
        <w:trPr>
          <w:trHeight w:val="204"/>
        </w:trPr>
        <w:tc>
          <w:tcPr>
            <w:tcW w:w="2080" w:type="pct"/>
            <w:tcBorders>
              <w:top w:val="nil"/>
              <w:left w:val="nil"/>
              <w:bottom w:val="nil"/>
              <w:right w:val="nil"/>
            </w:tcBorders>
            <w:shd w:val="clear" w:color="auto" w:fill="auto"/>
            <w:noWrap/>
            <w:vAlign w:val="bottom"/>
            <w:hideMark/>
          </w:tcPr>
          <w:p w14:paraId="3A42181B" w14:textId="77777777" w:rsidR="002F7B17" w:rsidRPr="002F7B17" w:rsidRDefault="002F7B17" w:rsidP="002F7B17">
            <w:pPr>
              <w:spacing w:after="0" w:line="240" w:lineRule="auto"/>
              <w:rPr>
                <w:rFonts w:ascii="Arial" w:hAnsi="Arial" w:cs="Arial"/>
                <w:sz w:val="16"/>
                <w:szCs w:val="16"/>
              </w:rPr>
            </w:pPr>
            <w:r w:rsidRPr="002F7B17">
              <w:rPr>
                <w:rFonts w:ascii="Arial" w:hAnsi="Arial" w:cs="Arial"/>
                <w:sz w:val="16"/>
                <w:szCs w:val="16"/>
              </w:rPr>
              <w:t>Departmental expenses</w:t>
            </w:r>
          </w:p>
        </w:tc>
        <w:tc>
          <w:tcPr>
            <w:tcW w:w="606" w:type="pct"/>
            <w:gridSpan w:val="2"/>
            <w:tcBorders>
              <w:top w:val="nil"/>
              <w:left w:val="nil"/>
              <w:bottom w:val="nil"/>
              <w:right w:val="nil"/>
            </w:tcBorders>
            <w:shd w:val="clear" w:color="auto" w:fill="auto"/>
            <w:noWrap/>
            <w:vAlign w:val="bottom"/>
            <w:hideMark/>
          </w:tcPr>
          <w:p w14:paraId="14A3A84A" w14:textId="77777777" w:rsidR="002F7B17" w:rsidRPr="002F7B17" w:rsidRDefault="002F7B17" w:rsidP="002F7B17">
            <w:pPr>
              <w:spacing w:after="0" w:line="240" w:lineRule="auto"/>
              <w:jc w:val="right"/>
              <w:rPr>
                <w:rFonts w:ascii="Arial" w:hAnsi="Arial" w:cs="Arial"/>
                <w:sz w:val="16"/>
                <w:szCs w:val="16"/>
              </w:rPr>
            </w:pPr>
          </w:p>
        </w:tc>
        <w:tc>
          <w:tcPr>
            <w:tcW w:w="579" w:type="pct"/>
            <w:gridSpan w:val="3"/>
            <w:tcBorders>
              <w:top w:val="nil"/>
              <w:left w:val="nil"/>
              <w:bottom w:val="nil"/>
              <w:right w:val="nil"/>
            </w:tcBorders>
            <w:shd w:val="clear" w:color="000000" w:fill="E6E6E6"/>
            <w:noWrap/>
            <w:vAlign w:val="bottom"/>
            <w:hideMark/>
          </w:tcPr>
          <w:p w14:paraId="657BE89C" w14:textId="13061D5A" w:rsidR="002F7B17" w:rsidRPr="002F7B17" w:rsidRDefault="002F7B17" w:rsidP="002F7B17">
            <w:pPr>
              <w:spacing w:after="0" w:line="240" w:lineRule="auto"/>
              <w:jc w:val="right"/>
              <w:rPr>
                <w:rFonts w:ascii="Arial" w:hAnsi="Arial" w:cs="Arial"/>
                <w:sz w:val="16"/>
                <w:szCs w:val="16"/>
              </w:rPr>
            </w:pPr>
          </w:p>
        </w:tc>
        <w:tc>
          <w:tcPr>
            <w:tcW w:w="579" w:type="pct"/>
            <w:gridSpan w:val="2"/>
            <w:tcBorders>
              <w:top w:val="nil"/>
              <w:left w:val="nil"/>
              <w:bottom w:val="nil"/>
              <w:right w:val="nil"/>
            </w:tcBorders>
            <w:shd w:val="clear" w:color="auto" w:fill="auto"/>
            <w:noWrap/>
            <w:vAlign w:val="bottom"/>
            <w:hideMark/>
          </w:tcPr>
          <w:p w14:paraId="5D979EAF" w14:textId="77777777" w:rsidR="002F7B17" w:rsidRPr="002F7B17" w:rsidRDefault="002F7B17" w:rsidP="002F7B17">
            <w:pPr>
              <w:spacing w:after="0" w:line="240" w:lineRule="auto"/>
              <w:jc w:val="right"/>
              <w:rPr>
                <w:rFonts w:ascii="Arial" w:hAnsi="Arial" w:cs="Arial"/>
                <w:sz w:val="16"/>
                <w:szCs w:val="16"/>
              </w:rPr>
            </w:pPr>
          </w:p>
        </w:tc>
        <w:tc>
          <w:tcPr>
            <w:tcW w:w="579" w:type="pct"/>
            <w:gridSpan w:val="2"/>
            <w:tcBorders>
              <w:top w:val="nil"/>
              <w:left w:val="nil"/>
              <w:bottom w:val="nil"/>
              <w:right w:val="nil"/>
            </w:tcBorders>
            <w:shd w:val="clear" w:color="auto" w:fill="auto"/>
            <w:noWrap/>
            <w:vAlign w:val="bottom"/>
            <w:hideMark/>
          </w:tcPr>
          <w:p w14:paraId="1CAF7CA3" w14:textId="77777777" w:rsidR="002F7B17" w:rsidRPr="002F7B17" w:rsidRDefault="002F7B17" w:rsidP="002F7B17">
            <w:pPr>
              <w:spacing w:after="0" w:line="240" w:lineRule="auto"/>
              <w:jc w:val="right"/>
              <w:rPr>
                <w:rFonts w:ascii="Times New Roman" w:hAnsi="Times New Roman"/>
              </w:rPr>
            </w:pPr>
          </w:p>
        </w:tc>
        <w:tc>
          <w:tcPr>
            <w:tcW w:w="579" w:type="pct"/>
            <w:gridSpan w:val="2"/>
            <w:tcBorders>
              <w:top w:val="nil"/>
              <w:left w:val="nil"/>
              <w:bottom w:val="nil"/>
              <w:right w:val="nil"/>
            </w:tcBorders>
            <w:shd w:val="clear" w:color="auto" w:fill="auto"/>
            <w:noWrap/>
            <w:vAlign w:val="bottom"/>
            <w:hideMark/>
          </w:tcPr>
          <w:p w14:paraId="134D439F" w14:textId="77777777" w:rsidR="002F7B17" w:rsidRPr="002F7B17" w:rsidRDefault="002F7B17" w:rsidP="002F7B17">
            <w:pPr>
              <w:spacing w:after="0" w:line="240" w:lineRule="auto"/>
              <w:jc w:val="right"/>
              <w:rPr>
                <w:rFonts w:ascii="Times New Roman" w:hAnsi="Times New Roman"/>
              </w:rPr>
            </w:pPr>
          </w:p>
        </w:tc>
      </w:tr>
      <w:tr w:rsidR="002F7B17" w:rsidRPr="002F7B17" w14:paraId="46DCE5E0" w14:textId="77777777" w:rsidTr="002F7B17">
        <w:trPr>
          <w:trHeight w:val="204"/>
        </w:trPr>
        <w:tc>
          <w:tcPr>
            <w:tcW w:w="2080" w:type="pct"/>
            <w:tcBorders>
              <w:top w:val="nil"/>
              <w:left w:val="nil"/>
              <w:bottom w:val="nil"/>
              <w:right w:val="nil"/>
            </w:tcBorders>
            <w:shd w:val="clear" w:color="000000" w:fill="FFFFFF"/>
            <w:noWrap/>
            <w:vAlign w:val="bottom"/>
            <w:hideMark/>
          </w:tcPr>
          <w:p w14:paraId="14A4E364" w14:textId="77777777" w:rsidR="002F7B17" w:rsidRPr="002F7B17" w:rsidRDefault="002F7B17" w:rsidP="002F7B17">
            <w:pPr>
              <w:spacing w:after="0" w:line="240" w:lineRule="auto"/>
              <w:ind w:left="113"/>
              <w:rPr>
                <w:rFonts w:ascii="Arial" w:hAnsi="Arial" w:cs="Arial"/>
                <w:sz w:val="16"/>
                <w:szCs w:val="16"/>
              </w:rPr>
            </w:pPr>
            <w:r w:rsidRPr="002F7B17">
              <w:rPr>
                <w:rFonts w:ascii="Arial" w:hAnsi="Arial" w:cs="Arial"/>
                <w:sz w:val="16"/>
                <w:szCs w:val="16"/>
              </w:rPr>
              <w:t>Departmental appropriation</w:t>
            </w:r>
          </w:p>
        </w:tc>
        <w:tc>
          <w:tcPr>
            <w:tcW w:w="606" w:type="pct"/>
            <w:gridSpan w:val="2"/>
            <w:tcBorders>
              <w:top w:val="nil"/>
              <w:left w:val="nil"/>
              <w:bottom w:val="nil"/>
              <w:right w:val="nil"/>
            </w:tcBorders>
            <w:shd w:val="clear" w:color="auto" w:fill="auto"/>
            <w:noWrap/>
            <w:vAlign w:val="bottom"/>
            <w:hideMark/>
          </w:tcPr>
          <w:p w14:paraId="14B4411B" w14:textId="6CA0C708"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53,926</w:t>
            </w:r>
          </w:p>
        </w:tc>
        <w:tc>
          <w:tcPr>
            <w:tcW w:w="579" w:type="pct"/>
            <w:gridSpan w:val="3"/>
            <w:tcBorders>
              <w:top w:val="nil"/>
              <w:left w:val="nil"/>
              <w:bottom w:val="nil"/>
              <w:right w:val="nil"/>
            </w:tcBorders>
            <w:shd w:val="clear" w:color="000000" w:fill="E6E6E6"/>
            <w:noWrap/>
            <w:vAlign w:val="bottom"/>
            <w:hideMark/>
          </w:tcPr>
          <w:p w14:paraId="6232711D" w14:textId="6F0066BA"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55,193</w:t>
            </w:r>
          </w:p>
        </w:tc>
        <w:tc>
          <w:tcPr>
            <w:tcW w:w="579" w:type="pct"/>
            <w:gridSpan w:val="2"/>
            <w:tcBorders>
              <w:top w:val="nil"/>
              <w:left w:val="nil"/>
              <w:bottom w:val="nil"/>
              <w:right w:val="nil"/>
            </w:tcBorders>
            <w:shd w:val="clear" w:color="auto" w:fill="auto"/>
            <w:noWrap/>
            <w:vAlign w:val="bottom"/>
            <w:hideMark/>
          </w:tcPr>
          <w:p w14:paraId="442A4A3D" w14:textId="7D71F244"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50,019</w:t>
            </w:r>
          </w:p>
        </w:tc>
        <w:tc>
          <w:tcPr>
            <w:tcW w:w="579" w:type="pct"/>
            <w:gridSpan w:val="2"/>
            <w:tcBorders>
              <w:top w:val="nil"/>
              <w:left w:val="nil"/>
              <w:bottom w:val="nil"/>
              <w:right w:val="nil"/>
            </w:tcBorders>
            <w:shd w:val="clear" w:color="auto" w:fill="auto"/>
            <w:noWrap/>
            <w:vAlign w:val="bottom"/>
            <w:hideMark/>
          </w:tcPr>
          <w:p w14:paraId="256EE4CC" w14:textId="17680EEB"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49,267</w:t>
            </w:r>
          </w:p>
        </w:tc>
        <w:tc>
          <w:tcPr>
            <w:tcW w:w="579" w:type="pct"/>
            <w:gridSpan w:val="2"/>
            <w:tcBorders>
              <w:top w:val="nil"/>
              <w:left w:val="nil"/>
              <w:bottom w:val="nil"/>
              <w:right w:val="nil"/>
            </w:tcBorders>
            <w:shd w:val="clear" w:color="auto" w:fill="auto"/>
            <w:noWrap/>
            <w:vAlign w:val="bottom"/>
            <w:hideMark/>
          </w:tcPr>
          <w:p w14:paraId="2A4C2966" w14:textId="0E111CB9"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50,314</w:t>
            </w:r>
          </w:p>
        </w:tc>
      </w:tr>
      <w:tr w:rsidR="002F7B17" w:rsidRPr="002F7B17" w14:paraId="67CD7381" w14:textId="77777777" w:rsidTr="002F7B17">
        <w:trPr>
          <w:trHeight w:val="204"/>
        </w:trPr>
        <w:tc>
          <w:tcPr>
            <w:tcW w:w="2080" w:type="pct"/>
            <w:tcBorders>
              <w:top w:val="nil"/>
              <w:left w:val="nil"/>
              <w:bottom w:val="nil"/>
              <w:right w:val="nil"/>
            </w:tcBorders>
            <w:shd w:val="clear" w:color="000000" w:fill="FFFFFF"/>
            <w:vAlign w:val="bottom"/>
            <w:hideMark/>
          </w:tcPr>
          <w:p w14:paraId="236BA894" w14:textId="28367E7F" w:rsidR="002F7B17" w:rsidRPr="002F7B17" w:rsidRDefault="002F7B17" w:rsidP="002F7B17">
            <w:pPr>
              <w:spacing w:after="0" w:line="240" w:lineRule="auto"/>
              <w:ind w:left="113"/>
              <w:rPr>
                <w:rFonts w:ascii="Arial" w:hAnsi="Arial" w:cs="Arial"/>
                <w:sz w:val="16"/>
                <w:szCs w:val="16"/>
              </w:rPr>
            </w:pPr>
            <w:r w:rsidRPr="002F7B17">
              <w:rPr>
                <w:rFonts w:ascii="Arial" w:hAnsi="Arial" w:cs="Arial"/>
                <w:sz w:val="16"/>
                <w:szCs w:val="16"/>
              </w:rPr>
              <w:t>s74 External Revenue</w:t>
            </w:r>
            <w:r w:rsidRPr="002F7B17">
              <w:rPr>
                <w:rFonts w:ascii="Arial" w:hAnsi="Arial" w:cs="Arial"/>
                <w:sz w:val="16"/>
                <w:szCs w:val="16"/>
                <w:vertAlign w:val="superscript"/>
              </w:rPr>
              <w:t>(c)</w:t>
            </w:r>
          </w:p>
        </w:tc>
        <w:tc>
          <w:tcPr>
            <w:tcW w:w="606" w:type="pct"/>
            <w:gridSpan w:val="2"/>
            <w:tcBorders>
              <w:top w:val="nil"/>
              <w:left w:val="nil"/>
              <w:bottom w:val="nil"/>
              <w:right w:val="nil"/>
            </w:tcBorders>
            <w:shd w:val="clear" w:color="auto" w:fill="auto"/>
            <w:noWrap/>
            <w:vAlign w:val="bottom"/>
            <w:hideMark/>
          </w:tcPr>
          <w:p w14:paraId="742F0650" w14:textId="4187A665"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7,873</w:t>
            </w:r>
          </w:p>
        </w:tc>
        <w:tc>
          <w:tcPr>
            <w:tcW w:w="579" w:type="pct"/>
            <w:gridSpan w:val="3"/>
            <w:tcBorders>
              <w:top w:val="nil"/>
              <w:left w:val="nil"/>
              <w:bottom w:val="nil"/>
              <w:right w:val="nil"/>
            </w:tcBorders>
            <w:shd w:val="clear" w:color="000000" w:fill="E6E6E6"/>
            <w:noWrap/>
            <w:vAlign w:val="bottom"/>
            <w:hideMark/>
          </w:tcPr>
          <w:p w14:paraId="4B120F04" w14:textId="0C074B95"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8,973</w:t>
            </w:r>
          </w:p>
        </w:tc>
        <w:tc>
          <w:tcPr>
            <w:tcW w:w="579" w:type="pct"/>
            <w:gridSpan w:val="2"/>
            <w:tcBorders>
              <w:top w:val="nil"/>
              <w:left w:val="nil"/>
              <w:bottom w:val="nil"/>
              <w:right w:val="nil"/>
            </w:tcBorders>
            <w:shd w:val="clear" w:color="auto" w:fill="auto"/>
            <w:noWrap/>
            <w:vAlign w:val="bottom"/>
            <w:hideMark/>
          </w:tcPr>
          <w:p w14:paraId="0ED6F249" w14:textId="0EEB5345"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9,330</w:t>
            </w:r>
          </w:p>
        </w:tc>
        <w:tc>
          <w:tcPr>
            <w:tcW w:w="579" w:type="pct"/>
            <w:gridSpan w:val="2"/>
            <w:tcBorders>
              <w:top w:val="nil"/>
              <w:left w:val="nil"/>
              <w:bottom w:val="nil"/>
              <w:right w:val="nil"/>
            </w:tcBorders>
            <w:shd w:val="clear" w:color="auto" w:fill="auto"/>
            <w:noWrap/>
            <w:vAlign w:val="bottom"/>
            <w:hideMark/>
          </w:tcPr>
          <w:p w14:paraId="67198839" w14:textId="74E6441F"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9,330</w:t>
            </w:r>
          </w:p>
        </w:tc>
        <w:tc>
          <w:tcPr>
            <w:tcW w:w="579" w:type="pct"/>
            <w:gridSpan w:val="2"/>
            <w:tcBorders>
              <w:top w:val="nil"/>
              <w:left w:val="nil"/>
              <w:bottom w:val="nil"/>
              <w:right w:val="nil"/>
            </w:tcBorders>
            <w:shd w:val="clear" w:color="auto" w:fill="auto"/>
            <w:noWrap/>
            <w:vAlign w:val="bottom"/>
            <w:hideMark/>
          </w:tcPr>
          <w:p w14:paraId="598BEB44" w14:textId="40D05318"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9,330</w:t>
            </w:r>
          </w:p>
        </w:tc>
      </w:tr>
      <w:tr w:rsidR="002F7B17" w:rsidRPr="002F7B17" w14:paraId="49037187" w14:textId="77777777" w:rsidTr="002F7B17">
        <w:trPr>
          <w:trHeight w:val="204"/>
        </w:trPr>
        <w:tc>
          <w:tcPr>
            <w:tcW w:w="2080" w:type="pct"/>
            <w:tcBorders>
              <w:top w:val="nil"/>
              <w:left w:val="nil"/>
              <w:bottom w:val="nil"/>
              <w:right w:val="nil"/>
            </w:tcBorders>
            <w:shd w:val="clear" w:color="000000" w:fill="FFFFFF"/>
            <w:noWrap/>
            <w:vAlign w:val="bottom"/>
            <w:hideMark/>
          </w:tcPr>
          <w:p w14:paraId="4FD519F8" w14:textId="77777777" w:rsidR="002F7B17" w:rsidRPr="002F7B17" w:rsidRDefault="002F7B17" w:rsidP="002F7B17">
            <w:pPr>
              <w:spacing w:after="0" w:line="240" w:lineRule="auto"/>
              <w:ind w:left="113"/>
              <w:rPr>
                <w:rFonts w:ascii="Arial" w:hAnsi="Arial" w:cs="Arial"/>
                <w:sz w:val="16"/>
                <w:szCs w:val="16"/>
              </w:rPr>
            </w:pPr>
            <w:r w:rsidRPr="002F7B17">
              <w:rPr>
                <w:rFonts w:ascii="Arial" w:hAnsi="Arial" w:cs="Arial"/>
                <w:sz w:val="16"/>
                <w:szCs w:val="16"/>
              </w:rPr>
              <w:t>Special accounts</w:t>
            </w:r>
          </w:p>
        </w:tc>
        <w:tc>
          <w:tcPr>
            <w:tcW w:w="606" w:type="pct"/>
            <w:gridSpan w:val="2"/>
            <w:tcBorders>
              <w:top w:val="nil"/>
              <w:left w:val="nil"/>
              <w:bottom w:val="nil"/>
              <w:right w:val="nil"/>
            </w:tcBorders>
            <w:shd w:val="clear" w:color="auto" w:fill="auto"/>
            <w:noWrap/>
            <w:vAlign w:val="bottom"/>
            <w:hideMark/>
          </w:tcPr>
          <w:p w14:paraId="3D520D78" w14:textId="77777777" w:rsidR="002F7B17" w:rsidRPr="002F7B17" w:rsidRDefault="002F7B17" w:rsidP="002F7B17">
            <w:pPr>
              <w:spacing w:after="0" w:line="240" w:lineRule="auto"/>
              <w:ind w:firstLineChars="100" w:firstLine="160"/>
              <w:jc w:val="right"/>
              <w:rPr>
                <w:rFonts w:ascii="Arial" w:hAnsi="Arial" w:cs="Arial"/>
                <w:sz w:val="16"/>
                <w:szCs w:val="16"/>
              </w:rPr>
            </w:pPr>
          </w:p>
        </w:tc>
        <w:tc>
          <w:tcPr>
            <w:tcW w:w="579" w:type="pct"/>
            <w:gridSpan w:val="3"/>
            <w:tcBorders>
              <w:top w:val="nil"/>
              <w:left w:val="nil"/>
              <w:bottom w:val="nil"/>
              <w:right w:val="nil"/>
            </w:tcBorders>
            <w:shd w:val="clear" w:color="000000" w:fill="E6E6E6"/>
            <w:noWrap/>
            <w:vAlign w:val="bottom"/>
            <w:hideMark/>
          </w:tcPr>
          <w:p w14:paraId="0FDB8E49" w14:textId="1310A70C" w:rsidR="002F7B17" w:rsidRPr="002F7B17" w:rsidRDefault="002F7B17" w:rsidP="002F7B17">
            <w:pPr>
              <w:spacing w:after="0" w:line="240" w:lineRule="auto"/>
              <w:jc w:val="right"/>
              <w:rPr>
                <w:rFonts w:ascii="Arial" w:hAnsi="Arial" w:cs="Arial"/>
                <w:sz w:val="16"/>
                <w:szCs w:val="16"/>
              </w:rPr>
            </w:pPr>
          </w:p>
        </w:tc>
        <w:tc>
          <w:tcPr>
            <w:tcW w:w="579" w:type="pct"/>
            <w:gridSpan w:val="2"/>
            <w:tcBorders>
              <w:top w:val="nil"/>
              <w:left w:val="nil"/>
              <w:bottom w:val="nil"/>
              <w:right w:val="nil"/>
            </w:tcBorders>
            <w:shd w:val="clear" w:color="auto" w:fill="auto"/>
            <w:noWrap/>
            <w:vAlign w:val="bottom"/>
            <w:hideMark/>
          </w:tcPr>
          <w:p w14:paraId="74EE4A40" w14:textId="77777777" w:rsidR="002F7B17" w:rsidRPr="002F7B17" w:rsidRDefault="002F7B17" w:rsidP="002F7B17">
            <w:pPr>
              <w:spacing w:after="0" w:line="240" w:lineRule="auto"/>
              <w:jc w:val="right"/>
              <w:rPr>
                <w:rFonts w:ascii="Arial" w:hAnsi="Arial" w:cs="Arial"/>
                <w:sz w:val="16"/>
                <w:szCs w:val="16"/>
              </w:rPr>
            </w:pPr>
          </w:p>
        </w:tc>
        <w:tc>
          <w:tcPr>
            <w:tcW w:w="579" w:type="pct"/>
            <w:gridSpan w:val="2"/>
            <w:tcBorders>
              <w:top w:val="nil"/>
              <w:left w:val="nil"/>
              <w:bottom w:val="nil"/>
              <w:right w:val="nil"/>
            </w:tcBorders>
            <w:shd w:val="clear" w:color="auto" w:fill="auto"/>
            <w:noWrap/>
            <w:vAlign w:val="bottom"/>
            <w:hideMark/>
          </w:tcPr>
          <w:p w14:paraId="74A3813E" w14:textId="77777777" w:rsidR="002F7B17" w:rsidRPr="002F7B17" w:rsidRDefault="002F7B17" w:rsidP="002F7B17">
            <w:pPr>
              <w:spacing w:after="0" w:line="240" w:lineRule="auto"/>
              <w:jc w:val="right"/>
              <w:rPr>
                <w:rFonts w:ascii="Times New Roman" w:hAnsi="Times New Roman"/>
              </w:rPr>
            </w:pPr>
          </w:p>
        </w:tc>
        <w:tc>
          <w:tcPr>
            <w:tcW w:w="579" w:type="pct"/>
            <w:gridSpan w:val="2"/>
            <w:tcBorders>
              <w:top w:val="nil"/>
              <w:left w:val="nil"/>
              <w:bottom w:val="nil"/>
              <w:right w:val="nil"/>
            </w:tcBorders>
            <w:shd w:val="clear" w:color="auto" w:fill="auto"/>
            <w:noWrap/>
            <w:vAlign w:val="bottom"/>
            <w:hideMark/>
          </w:tcPr>
          <w:p w14:paraId="3FA21B70" w14:textId="77777777" w:rsidR="002F7B17" w:rsidRPr="002F7B17" w:rsidRDefault="002F7B17" w:rsidP="002F7B17">
            <w:pPr>
              <w:spacing w:after="0" w:line="240" w:lineRule="auto"/>
              <w:jc w:val="right"/>
              <w:rPr>
                <w:rFonts w:ascii="Times New Roman" w:hAnsi="Times New Roman"/>
              </w:rPr>
            </w:pPr>
          </w:p>
        </w:tc>
      </w:tr>
      <w:tr w:rsidR="002F7B17" w:rsidRPr="002F7B17" w14:paraId="49C1268E" w14:textId="77777777" w:rsidTr="002F7B17">
        <w:trPr>
          <w:trHeight w:val="204"/>
        </w:trPr>
        <w:tc>
          <w:tcPr>
            <w:tcW w:w="2080" w:type="pct"/>
            <w:tcBorders>
              <w:top w:val="nil"/>
              <w:left w:val="nil"/>
              <w:bottom w:val="nil"/>
              <w:right w:val="nil"/>
            </w:tcBorders>
            <w:shd w:val="clear" w:color="auto" w:fill="auto"/>
            <w:vAlign w:val="bottom"/>
            <w:hideMark/>
          </w:tcPr>
          <w:p w14:paraId="242719B8" w14:textId="77777777" w:rsidR="002F7B17" w:rsidRPr="002F7B17" w:rsidRDefault="002F7B17" w:rsidP="002F7B17">
            <w:pPr>
              <w:spacing w:after="0" w:line="240" w:lineRule="auto"/>
              <w:ind w:left="227"/>
              <w:rPr>
                <w:rFonts w:ascii="Arial" w:hAnsi="Arial" w:cs="Arial"/>
                <w:sz w:val="16"/>
                <w:szCs w:val="16"/>
              </w:rPr>
            </w:pPr>
            <w:r w:rsidRPr="002F7B17">
              <w:rPr>
                <w:rFonts w:ascii="Arial" w:hAnsi="Arial" w:cs="Arial"/>
                <w:sz w:val="16"/>
                <w:szCs w:val="16"/>
              </w:rPr>
              <w:t>Art Rental Special Account</w:t>
            </w:r>
          </w:p>
        </w:tc>
        <w:tc>
          <w:tcPr>
            <w:tcW w:w="606" w:type="pct"/>
            <w:gridSpan w:val="2"/>
            <w:tcBorders>
              <w:top w:val="nil"/>
              <w:left w:val="nil"/>
              <w:bottom w:val="nil"/>
              <w:right w:val="nil"/>
            </w:tcBorders>
            <w:shd w:val="clear" w:color="auto" w:fill="auto"/>
            <w:noWrap/>
            <w:vAlign w:val="bottom"/>
            <w:hideMark/>
          </w:tcPr>
          <w:p w14:paraId="0B125AE0" w14:textId="00E53D59"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2,982</w:t>
            </w:r>
          </w:p>
        </w:tc>
        <w:tc>
          <w:tcPr>
            <w:tcW w:w="579" w:type="pct"/>
            <w:gridSpan w:val="3"/>
            <w:tcBorders>
              <w:top w:val="nil"/>
              <w:left w:val="nil"/>
              <w:bottom w:val="nil"/>
              <w:right w:val="nil"/>
            </w:tcBorders>
            <w:shd w:val="clear" w:color="000000" w:fill="E6E6E6"/>
            <w:noWrap/>
            <w:vAlign w:val="bottom"/>
            <w:hideMark/>
          </w:tcPr>
          <w:p w14:paraId="5A34EB3C" w14:textId="756F2578"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2,982</w:t>
            </w:r>
          </w:p>
        </w:tc>
        <w:tc>
          <w:tcPr>
            <w:tcW w:w="579" w:type="pct"/>
            <w:gridSpan w:val="2"/>
            <w:tcBorders>
              <w:top w:val="nil"/>
              <w:left w:val="nil"/>
              <w:bottom w:val="nil"/>
              <w:right w:val="nil"/>
            </w:tcBorders>
            <w:shd w:val="clear" w:color="auto" w:fill="auto"/>
            <w:noWrap/>
            <w:vAlign w:val="bottom"/>
            <w:hideMark/>
          </w:tcPr>
          <w:p w14:paraId="3B314EEA" w14:textId="43FD57E4"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2,982</w:t>
            </w:r>
          </w:p>
        </w:tc>
        <w:tc>
          <w:tcPr>
            <w:tcW w:w="579" w:type="pct"/>
            <w:gridSpan w:val="2"/>
            <w:tcBorders>
              <w:top w:val="nil"/>
              <w:left w:val="nil"/>
              <w:bottom w:val="nil"/>
              <w:right w:val="nil"/>
            </w:tcBorders>
            <w:shd w:val="clear" w:color="auto" w:fill="auto"/>
            <w:noWrap/>
            <w:vAlign w:val="bottom"/>
            <w:hideMark/>
          </w:tcPr>
          <w:p w14:paraId="6DAD32FC" w14:textId="6921AF66"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2,982</w:t>
            </w:r>
          </w:p>
        </w:tc>
        <w:tc>
          <w:tcPr>
            <w:tcW w:w="579" w:type="pct"/>
            <w:gridSpan w:val="2"/>
            <w:tcBorders>
              <w:top w:val="nil"/>
              <w:left w:val="nil"/>
              <w:bottom w:val="nil"/>
              <w:right w:val="nil"/>
            </w:tcBorders>
            <w:shd w:val="clear" w:color="auto" w:fill="auto"/>
            <w:noWrap/>
            <w:vAlign w:val="bottom"/>
            <w:hideMark/>
          </w:tcPr>
          <w:p w14:paraId="2889CE6E" w14:textId="4C52D9A2"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2,982</w:t>
            </w:r>
          </w:p>
        </w:tc>
      </w:tr>
      <w:tr w:rsidR="002F7B17" w:rsidRPr="002F7B17" w14:paraId="3AABA6C6" w14:textId="77777777" w:rsidTr="002F7B17">
        <w:trPr>
          <w:trHeight w:val="204"/>
        </w:trPr>
        <w:tc>
          <w:tcPr>
            <w:tcW w:w="2080" w:type="pct"/>
            <w:tcBorders>
              <w:top w:val="nil"/>
              <w:left w:val="nil"/>
              <w:bottom w:val="nil"/>
              <w:right w:val="nil"/>
            </w:tcBorders>
            <w:shd w:val="clear" w:color="auto" w:fill="auto"/>
            <w:vAlign w:val="bottom"/>
            <w:hideMark/>
          </w:tcPr>
          <w:p w14:paraId="11F0F233" w14:textId="77777777" w:rsidR="002F7B17" w:rsidRPr="002F7B17" w:rsidRDefault="002F7B17" w:rsidP="002F7B17">
            <w:pPr>
              <w:spacing w:after="0" w:line="240" w:lineRule="auto"/>
              <w:ind w:left="227"/>
              <w:rPr>
                <w:rFonts w:ascii="Arial" w:hAnsi="Arial" w:cs="Arial"/>
                <w:sz w:val="16"/>
                <w:szCs w:val="16"/>
              </w:rPr>
            </w:pPr>
            <w:r w:rsidRPr="002F7B17">
              <w:rPr>
                <w:rFonts w:ascii="Arial" w:hAnsi="Arial" w:cs="Arial"/>
                <w:sz w:val="16"/>
                <w:szCs w:val="16"/>
              </w:rPr>
              <w:t>Indigenous Repatriation Special Account</w:t>
            </w:r>
          </w:p>
        </w:tc>
        <w:tc>
          <w:tcPr>
            <w:tcW w:w="606" w:type="pct"/>
            <w:gridSpan w:val="2"/>
            <w:tcBorders>
              <w:top w:val="nil"/>
              <w:left w:val="nil"/>
              <w:bottom w:val="nil"/>
              <w:right w:val="nil"/>
            </w:tcBorders>
            <w:shd w:val="clear" w:color="auto" w:fill="auto"/>
            <w:noWrap/>
            <w:vAlign w:val="bottom"/>
            <w:hideMark/>
          </w:tcPr>
          <w:p w14:paraId="6388557C" w14:textId="2174062D"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1,860</w:t>
            </w:r>
          </w:p>
        </w:tc>
        <w:tc>
          <w:tcPr>
            <w:tcW w:w="579" w:type="pct"/>
            <w:gridSpan w:val="3"/>
            <w:tcBorders>
              <w:top w:val="nil"/>
              <w:left w:val="nil"/>
              <w:bottom w:val="nil"/>
              <w:right w:val="nil"/>
            </w:tcBorders>
            <w:shd w:val="clear" w:color="000000" w:fill="E6E6E6"/>
            <w:noWrap/>
            <w:vAlign w:val="bottom"/>
            <w:hideMark/>
          </w:tcPr>
          <w:p w14:paraId="0044506A" w14:textId="7B1DBC85"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706</w:t>
            </w:r>
          </w:p>
        </w:tc>
        <w:tc>
          <w:tcPr>
            <w:tcW w:w="579" w:type="pct"/>
            <w:gridSpan w:val="2"/>
            <w:tcBorders>
              <w:top w:val="nil"/>
              <w:left w:val="nil"/>
              <w:bottom w:val="nil"/>
              <w:right w:val="nil"/>
            </w:tcBorders>
            <w:shd w:val="clear" w:color="auto" w:fill="auto"/>
            <w:noWrap/>
            <w:vAlign w:val="bottom"/>
            <w:hideMark/>
          </w:tcPr>
          <w:p w14:paraId="57CDA83B" w14:textId="3ED621CB"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706</w:t>
            </w:r>
          </w:p>
        </w:tc>
        <w:tc>
          <w:tcPr>
            <w:tcW w:w="579" w:type="pct"/>
            <w:gridSpan w:val="2"/>
            <w:tcBorders>
              <w:top w:val="nil"/>
              <w:left w:val="nil"/>
              <w:bottom w:val="nil"/>
              <w:right w:val="nil"/>
            </w:tcBorders>
            <w:shd w:val="clear" w:color="auto" w:fill="auto"/>
            <w:noWrap/>
            <w:vAlign w:val="bottom"/>
            <w:hideMark/>
          </w:tcPr>
          <w:p w14:paraId="07BBC258" w14:textId="37DB3CBE"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706</w:t>
            </w:r>
          </w:p>
        </w:tc>
        <w:tc>
          <w:tcPr>
            <w:tcW w:w="579" w:type="pct"/>
            <w:gridSpan w:val="2"/>
            <w:tcBorders>
              <w:top w:val="nil"/>
              <w:left w:val="nil"/>
              <w:bottom w:val="nil"/>
              <w:right w:val="nil"/>
            </w:tcBorders>
            <w:shd w:val="clear" w:color="auto" w:fill="auto"/>
            <w:noWrap/>
            <w:vAlign w:val="bottom"/>
            <w:hideMark/>
          </w:tcPr>
          <w:p w14:paraId="491B62D7" w14:textId="70B61040"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706</w:t>
            </w:r>
          </w:p>
        </w:tc>
      </w:tr>
      <w:tr w:rsidR="002F7B17" w:rsidRPr="002F7B17" w14:paraId="272D6A82" w14:textId="77777777" w:rsidTr="002F7B17">
        <w:trPr>
          <w:trHeight w:val="204"/>
        </w:trPr>
        <w:tc>
          <w:tcPr>
            <w:tcW w:w="2080" w:type="pct"/>
            <w:tcBorders>
              <w:top w:val="nil"/>
              <w:left w:val="nil"/>
              <w:bottom w:val="nil"/>
              <w:right w:val="nil"/>
            </w:tcBorders>
            <w:shd w:val="clear" w:color="auto" w:fill="auto"/>
            <w:vAlign w:val="bottom"/>
            <w:hideMark/>
          </w:tcPr>
          <w:p w14:paraId="6629DD82" w14:textId="51AD425D" w:rsidR="002F7B17" w:rsidRPr="002F7B17" w:rsidRDefault="002F7B17" w:rsidP="002F7B17">
            <w:pPr>
              <w:spacing w:after="0" w:line="240" w:lineRule="auto"/>
              <w:ind w:left="227"/>
              <w:rPr>
                <w:rFonts w:ascii="Arial" w:hAnsi="Arial" w:cs="Arial"/>
                <w:sz w:val="16"/>
                <w:szCs w:val="16"/>
              </w:rPr>
            </w:pPr>
            <w:r w:rsidRPr="002F7B17">
              <w:rPr>
                <w:rFonts w:ascii="Arial" w:hAnsi="Arial" w:cs="Arial"/>
                <w:sz w:val="16"/>
                <w:szCs w:val="16"/>
              </w:rPr>
              <w:t>Services for Other Entities and Trust Money Special Account</w:t>
            </w:r>
          </w:p>
        </w:tc>
        <w:tc>
          <w:tcPr>
            <w:tcW w:w="606" w:type="pct"/>
            <w:gridSpan w:val="2"/>
            <w:tcBorders>
              <w:top w:val="nil"/>
              <w:left w:val="nil"/>
              <w:bottom w:val="nil"/>
              <w:right w:val="nil"/>
            </w:tcBorders>
            <w:shd w:val="clear" w:color="auto" w:fill="auto"/>
            <w:noWrap/>
            <w:vAlign w:val="bottom"/>
            <w:hideMark/>
          </w:tcPr>
          <w:p w14:paraId="6F23AD6C" w14:textId="139A4F2E"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181</w:t>
            </w:r>
          </w:p>
        </w:tc>
        <w:tc>
          <w:tcPr>
            <w:tcW w:w="579" w:type="pct"/>
            <w:gridSpan w:val="3"/>
            <w:tcBorders>
              <w:top w:val="nil"/>
              <w:left w:val="nil"/>
              <w:bottom w:val="nil"/>
              <w:right w:val="nil"/>
            </w:tcBorders>
            <w:shd w:val="clear" w:color="000000" w:fill="E6E6E6"/>
            <w:noWrap/>
            <w:vAlign w:val="bottom"/>
            <w:hideMark/>
          </w:tcPr>
          <w:p w14:paraId="46C10956" w14:textId="21DC48CB"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394</w:t>
            </w:r>
          </w:p>
        </w:tc>
        <w:tc>
          <w:tcPr>
            <w:tcW w:w="579" w:type="pct"/>
            <w:gridSpan w:val="2"/>
            <w:tcBorders>
              <w:top w:val="nil"/>
              <w:left w:val="nil"/>
              <w:bottom w:val="nil"/>
              <w:right w:val="nil"/>
            </w:tcBorders>
            <w:shd w:val="clear" w:color="auto" w:fill="auto"/>
            <w:noWrap/>
            <w:vAlign w:val="bottom"/>
            <w:hideMark/>
          </w:tcPr>
          <w:p w14:paraId="769000E1" w14:textId="1AE14640"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392</w:t>
            </w:r>
          </w:p>
        </w:tc>
        <w:tc>
          <w:tcPr>
            <w:tcW w:w="579" w:type="pct"/>
            <w:gridSpan w:val="2"/>
            <w:tcBorders>
              <w:top w:val="nil"/>
              <w:left w:val="nil"/>
              <w:bottom w:val="nil"/>
              <w:right w:val="nil"/>
            </w:tcBorders>
            <w:shd w:val="clear" w:color="auto" w:fill="auto"/>
            <w:noWrap/>
            <w:vAlign w:val="bottom"/>
            <w:hideMark/>
          </w:tcPr>
          <w:p w14:paraId="0D7EB360" w14:textId="4F50C90F"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392</w:t>
            </w:r>
          </w:p>
        </w:tc>
        <w:tc>
          <w:tcPr>
            <w:tcW w:w="579" w:type="pct"/>
            <w:gridSpan w:val="2"/>
            <w:tcBorders>
              <w:top w:val="nil"/>
              <w:left w:val="nil"/>
              <w:bottom w:val="nil"/>
              <w:right w:val="nil"/>
            </w:tcBorders>
            <w:shd w:val="clear" w:color="auto" w:fill="auto"/>
            <w:noWrap/>
            <w:vAlign w:val="bottom"/>
            <w:hideMark/>
          </w:tcPr>
          <w:p w14:paraId="50B41243" w14:textId="693E2D0C"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392</w:t>
            </w:r>
          </w:p>
        </w:tc>
      </w:tr>
      <w:tr w:rsidR="002F7B17" w:rsidRPr="002F7B17" w14:paraId="093723BB" w14:textId="77777777" w:rsidTr="002F7B17">
        <w:trPr>
          <w:trHeight w:val="204"/>
        </w:trPr>
        <w:tc>
          <w:tcPr>
            <w:tcW w:w="2080" w:type="pct"/>
            <w:tcBorders>
              <w:top w:val="nil"/>
              <w:left w:val="nil"/>
              <w:bottom w:val="nil"/>
              <w:right w:val="nil"/>
            </w:tcBorders>
            <w:shd w:val="clear" w:color="auto" w:fill="auto"/>
            <w:vAlign w:val="bottom"/>
            <w:hideMark/>
          </w:tcPr>
          <w:p w14:paraId="145BD2B9" w14:textId="17A012CA" w:rsidR="002F7B17" w:rsidRPr="002F7B17" w:rsidRDefault="002F7B17" w:rsidP="007B5C33">
            <w:pPr>
              <w:spacing w:after="0" w:line="240" w:lineRule="auto"/>
              <w:ind w:left="113"/>
              <w:rPr>
                <w:rFonts w:ascii="Arial" w:hAnsi="Arial" w:cs="Arial"/>
                <w:sz w:val="16"/>
                <w:szCs w:val="16"/>
              </w:rPr>
            </w:pPr>
            <w:r w:rsidRPr="002F7B17">
              <w:rPr>
                <w:rFonts w:ascii="Arial" w:hAnsi="Arial" w:cs="Arial"/>
                <w:sz w:val="16"/>
                <w:szCs w:val="16"/>
              </w:rPr>
              <w:t>Expenses not requiring appropriation in the Budget year</w:t>
            </w:r>
            <w:r w:rsidRPr="002F7B17">
              <w:rPr>
                <w:rFonts w:ascii="Arial" w:hAnsi="Arial" w:cs="Arial"/>
                <w:sz w:val="16"/>
                <w:szCs w:val="16"/>
                <w:vertAlign w:val="superscript"/>
              </w:rPr>
              <w:t>(</w:t>
            </w:r>
            <w:r w:rsidR="00A96E11">
              <w:rPr>
                <w:rFonts w:ascii="Arial" w:hAnsi="Arial" w:cs="Arial"/>
                <w:sz w:val="16"/>
                <w:szCs w:val="16"/>
                <w:vertAlign w:val="superscript"/>
              </w:rPr>
              <w:t>d</w:t>
            </w:r>
            <w:r w:rsidRPr="002F7B17">
              <w:rPr>
                <w:rFonts w:ascii="Arial" w:hAnsi="Arial" w:cs="Arial"/>
                <w:sz w:val="16"/>
                <w:szCs w:val="16"/>
                <w:vertAlign w:val="superscript"/>
              </w:rPr>
              <w:t>)</w:t>
            </w:r>
          </w:p>
        </w:tc>
        <w:tc>
          <w:tcPr>
            <w:tcW w:w="606" w:type="pct"/>
            <w:gridSpan w:val="2"/>
            <w:tcBorders>
              <w:top w:val="nil"/>
              <w:left w:val="nil"/>
              <w:bottom w:val="nil"/>
              <w:right w:val="nil"/>
            </w:tcBorders>
            <w:shd w:val="clear" w:color="auto" w:fill="auto"/>
            <w:noWrap/>
            <w:vAlign w:val="bottom"/>
            <w:hideMark/>
          </w:tcPr>
          <w:p w14:paraId="21AFC05A" w14:textId="11531515"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2,202</w:t>
            </w:r>
          </w:p>
        </w:tc>
        <w:tc>
          <w:tcPr>
            <w:tcW w:w="579" w:type="pct"/>
            <w:gridSpan w:val="3"/>
            <w:tcBorders>
              <w:top w:val="nil"/>
              <w:left w:val="nil"/>
              <w:bottom w:val="nil"/>
              <w:right w:val="nil"/>
            </w:tcBorders>
            <w:shd w:val="clear" w:color="000000" w:fill="E6E6E6"/>
            <w:noWrap/>
            <w:vAlign w:val="bottom"/>
            <w:hideMark/>
          </w:tcPr>
          <w:p w14:paraId="6E72F88F" w14:textId="3B5C7370"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395</w:t>
            </w:r>
          </w:p>
        </w:tc>
        <w:tc>
          <w:tcPr>
            <w:tcW w:w="579" w:type="pct"/>
            <w:gridSpan w:val="2"/>
            <w:tcBorders>
              <w:top w:val="nil"/>
              <w:left w:val="nil"/>
              <w:bottom w:val="nil"/>
              <w:right w:val="nil"/>
            </w:tcBorders>
            <w:shd w:val="clear" w:color="auto" w:fill="auto"/>
            <w:noWrap/>
            <w:vAlign w:val="bottom"/>
            <w:hideMark/>
          </w:tcPr>
          <w:p w14:paraId="4BB68B2C" w14:textId="64C55AFD"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393</w:t>
            </w:r>
          </w:p>
        </w:tc>
        <w:tc>
          <w:tcPr>
            <w:tcW w:w="579" w:type="pct"/>
            <w:gridSpan w:val="2"/>
            <w:tcBorders>
              <w:top w:val="nil"/>
              <w:left w:val="nil"/>
              <w:bottom w:val="nil"/>
              <w:right w:val="nil"/>
            </w:tcBorders>
            <w:shd w:val="clear" w:color="auto" w:fill="auto"/>
            <w:noWrap/>
            <w:vAlign w:val="bottom"/>
            <w:hideMark/>
          </w:tcPr>
          <w:p w14:paraId="3505EF53" w14:textId="02408ACF"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393</w:t>
            </w:r>
          </w:p>
        </w:tc>
        <w:tc>
          <w:tcPr>
            <w:tcW w:w="579" w:type="pct"/>
            <w:gridSpan w:val="2"/>
            <w:tcBorders>
              <w:top w:val="nil"/>
              <w:left w:val="nil"/>
              <w:bottom w:val="nil"/>
              <w:right w:val="nil"/>
            </w:tcBorders>
            <w:shd w:val="clear" w:color="auto" w:fill="auto"/>
            <w:noWrap/>
            <w:vAlign w:val="bottom"/>
            <w:hideMark/>
          </w:tcPr>
          <w:p w14:paraId="3FBB22E9" w14:textId="0119D416"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393</w:t>
            </w:r>
          </w:p>
        </w:tc>
      </w:tr>
      <w:tr w:rsidR="002F7B17" w:rsidRPr="002F7B17" w14:paraId="2C6DA416" w14:textId="77777777" w:rsidTr="002F7B17">
        <w:trPr>
          <w:trHeight w:val="204"/>
        </w:trPr>
        <w:tc>
          <w:tcPr>
            <w:tcW w:w="2080" w:type="pct"/>
            <w:tcBorders>
              <w:top w:val="nil"/>
              <w:left w:val="nil"/>
              <w:bottom w:val="single" w:sz="4" w:space="0" w:color="auto"/>
              <w:right w:val="nil"/>
            </w:tcBorders>
            <w:shd w:val="clear" w:color="auto" w:fill="auto"/>
            <w:noWrap/>
            <w:vAlign w:val="bottom"/>
            <w:hideMark/>
          </w:tcPr>
          <w:p w14:paraId="236283AB" w14:textId="77777777" w:rsidR="002F7B17" w:rsidRPr="002F7B17" w:rsidRDefault="002F7B17" w:rsidP="002F7B17">
            <w:pPr>
              <w:spacing w:after="0" w:line="240" w:lineRule="auto"/>
              <w:rPr>
                <w:rFonts w:ascii="Arial" w:hAnsi="Arial" w:cs="Arial"/>
                <w:b/>
                <w:bCs/>
                <w:sz w:val="16"/>
                <w:szCs w:val="16"/>
              </w:rPr>
            </w:pPr>
            <w:r w:rsidRPr="002F7B17">
              <w:rPr>
                <w:rFonts w:ascii="Arial" w:hAnsi="Arial" w:cs="Arial"/>
                <w:b/>
                <w:bCs/>
                <w:sz w:val="16"/>
                <w:szCs w:val="16"/>
              </w:rPr>
              <w:t>Total expenses for Program 6.2</w:t>
            </w:r>
          </w:p>
        </w:tc>
        <w:tc>
          <w:tcPr>
            <w:tcW w:w="606" w:type="pct"/>
            <w:gridSpan w:val="2"/>
            <w:tcBorders>
              <w:top w:val="single" w:sz="4" w:space="0" w:color="auto"/>
              <w:left w:val="nil"/>
              <w:bottom w:val="single" w:sz="4" w:space="0" w:color="auto"/>
              <w:right w:val="nil"/>
            </w:tcBorders>
            <w:shd w:val="clear" w:color="auto" w:fill="auto"/>
            <w:noWrap/>
            <w:vAlign w:val="bottom"/>
            <w:hideMark/>
          </w:tcPr>
          <w:p w14:paraId="1561FC95" w14:textId="56E9FBE7" w:rsidR="002F7B17" w:rsidRPr="002F7B17" w:rsidRDefault="002F7B17" w:rsidP="002F7B17">
            <w:pPr>
              <w:spacing w:after="0" w:line="240" w:lineRule="auto"/>
              <w:jc w:val="right"/>
              <w:rPr>
                <w:rFonts w:ascii="Arial" w:hAnsi="Arial" w:cs="Arial"/>
                <w:b/>
                <w:bCs/>
                <w:sz w:val="16"/>
                <w:szCs w:val="16"/>
              </w:rPr>
            </w:pPr>
            <w:r w:rsidRPr="002F7B17">
              <w:rPr>
                <w:rFonts w:ascii="Arial" w:hAnsi="Arial" w:cs="Arial"/>
                <w:b/>
                <w:bCs/>
                <w:sz w:val="16"/>
                <w:szCs w:val="16"/>
              </w:rPr>
              <w:t>69,024</w:t>
            </w:r>
          </w:p>
        </w:tc>
        <w:tc>
          <w:tcPr>
            <w:tcW w:w="579" w:type="pct"/>
            <w:gridSpan w:val="3"/>
            <w:tcBorders>
              <w:top w:val="single" w:sz="4" w:space="0" w:color="auto"/>
              <w:left w:val="nil"/>
              <w:bottom w:val="single" w:sz="4" w:space="0" w:color="auto"/>
              <w:right w:val="nil"/>
            </w:tcBorders>
            <w:shd w:val="clear" w:color="000000" w:fill="E6E6E6"/>
            <w:noWrap/>
            <w:vAlign w:val="bottom"/>
            <w:hideMark/>
          </w:tcPr>
          <w:p w14:paraId="6B23A237" w14:textId="6971A853" w:rsidR="002F7B17" w:rsidRPr="002F7B17" w:rsidRDefault="002F7B17" w:rsidP="002F7B17">
            <w:pPr>
              <w:spacing w:after="0" w:line="240" w:lineRule="auto"/>
              <w:jc w:val="right"/>
              <w:rPr>
                <w:rFonts w:ascii="Arial" w:hAnsi="Arial" w:cs="Arial"/>
                <w:b/>
                <w:bCs/>
                <w:sz w:val="16"/>
                <w:szCs w:val="16"/>
              </w:rPr>
            </w:pPr>
            <w:r w:rsidRPr="002F7B17">
              <w:rPr>
                <w:rFonts w:ascii="Arial" w:hAnsi="Arial" w:cs="Arial"/>
                <w:b/>
                <w:bCs/>
                <w:sz w:val="16"/>
                <w:szCs w:val="16"/>
              </w:rPr>
              <w:t>68,643</w:t>
            </w:r>
          </w:p>
        </w:tc>
        <w:tc>
          <w:tcPr>
            <w:tcW w:w="579" w:type="pct"/>
            <w:gridSpan w:val="2"/>
            <w:tcBorders>
              <w:top w:val="single" w:sz="4" w:space="0" w:color="auto"/>
              <w:left w:val="nil"/>
              <w:bottom w:val="single" w:sz="4" w:space="0" w:color="auto"/>
              <w:right w:val="nil"/>
            </w:tcBorders>
            <w:shd w:val="clear" w:color="auto" w:fill="auto"/>
            <w:noWrap/>
            <w:vAlign w:val="bottom"/>
            <w:hideMark/>
          </w:tcPr>
          <w:p w14:paraId="5112F9C3" w14:textId="485355F6" w:rsidR="002F7B17" w:rsidRPr="002F7B17" w:rsidRDefault="002F7B17" w:rsidP="002F7B17">
            <w:pPr>
              <w:spacing w:after="0" w:line="240" w:lineRule="auto"/>
              <w:jc w:val="right"/>
              <w:rPr>
                <w:rFonts w:ascii="Arial" w:hAnsi="Arial" w:cs="Arial"/>
                <w:b/>
                <w:bCs/>
                <w:sz w:val="16"/>
                <w:szCs w:val="16"/>
              </w:rPr>
            </w:pPr>
            <w:r w:rsidRPr="002F7B17">
              <w:rPr>
                <w:rFonts w:ascii="Arial" w:hAnsi="Arial" w:cs="Arial"/>
                <w:b/>
                <w:bCs/>
                <w:sz w:val="16"/>
                <w:szCs w:val="16"/>
              </w:rPr>
              <w:t>63,822</w:t>
            </w:r>
          </w:p>
        </w:tc>
        <w:tc>
          <w:tcPr>
            <w:tcW w:w="579" w:type="pct"/>
            <w:gridSpan w:val="2"/>
            <w:tcBorders>
              <w:top w:val="single" w:sz="4" w:space="0" w:color="auto"/>
              <w:left w:val="nil"/>
              <w:bottom w:val="single" w:sz="4" w:space="0" w:color="auto"/>
              <w:right w:val="nil"/>
            </w:tcBorders>
            <w:shd w:val="clear" w:color="auto" w:fill="auto"/>
            <w:noWrap/>
            <w:vAlign w:val="bottom"/>
            <w:hideMark/>
          </w:tcPr>
          <w:p w14:paraId="60048953" w14:textId="4015A817" w:rsidR="002F7B17" w:rsidRPr="002F7B17" w:rsidRDefault="002F7B17" w:rsidP="002F7B17">
            <w:pPr>
              <w:spacing w:after="0" w:line="240" w:lineRule="auto"/>
              <w:jc w:val="right"/>
              <w:rPr>
                <w:rFonts w:ascii="Arial" w:hAnsi="Arial" w:cs="Arial"/>
                <w:b/>
                <w:bCs/>
                <w:sz w:val="16"/>
                <w:szCs w:val="16"/>
              </w:rPr>
            </w:pPr>
            <w:r w:rsidRPr="002F7B17">
              <w:rPr>
                <w:rFonts w:ascii="Arial" w:hAnsi="Arial" w:cs="Arial"/>
                <w:b/>
                <w:bCs/>
                <w:sz w:val="16"/>
                <w:szCs w:val="16"/>
              </w:rPr>
              <w:t>63,070</w:t>
            </w:r>
          </w:p>
        </w:tc>
        <w:tc>
          <w:tcPr>
            <w:tcW w:w="579" w:type="pct"/>
            <w:gridSpan w:val="2"/>
            <w:tcBorders>
              <w:top w:val="single" w:sz="4" w:space="0" w:color="auto"/>
              <w:left w:val="nil"/>
              <w:bottom w:val="single" w:sz="4" w:space="0" w:color="auto"/>
              <w:right w:val="nil"/>
            </w:tcBorders>
            <w:shd w:val="clear" w:color="auto" w:fill="auto"/>
            <w:noWrap/>
            <w:vAlign w:val="bottom"/>
            <w:hideMark/>
          </w:tcPr>
          <w:p w14:paraId="29152D0A" w14:textId="19DE5F83" w:rsidR="002F7B17" w:rsidRPr="002F7B17" w:rsidRDefault="002F7B17" w:rsidP="002F7B17">
            <w:pPr>
              <w:spacing w:after="0" w:line="240" w:lineRule="auto"/>
              <w:jc w:val="right"/>
              <w:rPr>
                <w:rFonts w:ascii="Arial" w:hAnsi="Arial" w:cs="Arial"/>
                <w:b/>
                <w:bCs/>
                <w:sz w:val="16"/>
                <w:szCs w:val="16"/>
              </w:rPr>
            </w:pPr>
            <w:r w:rsidRPr="002F7B17">
              <w:rPr>
                <w:rFonts w:ascii="Arial" w:hAnsi="Arial" w:cs="Arial"/>
                <w:b/>
                <w:bCs/>
                <w:sz w:val="16"/>
                <w:szCs w:val="16"/>
              </w:rPr>
              <w:t>64,117</w:t>
            </w:r>
          </w:p>
        </w:tc>
      </w:tr>
    </w:tbl>
    <w:p w14:paraId="48897F31" w14:textId="77777777" w:rsidR="002F7B17" w:rsidRDefault="002F7B17" w:rsidP="00115843">
      <w:pPr>
        <w:spacing w:after="0" w:line="240" w:lineRule="auto"/>
        <w:rPr>
          <w:rFonts w:ascii="Arial" w:hAnsi="Arial" w:cs="Arial"/>
          <w:sz w:val="16"/>
        </w:rPr>
      </w:pPr>
    </w:p>
    <w:p w14:paraId="3428217E" w14:textId="31E1B364" w:rsidR="00115843" w:rsidRDefault="00115843" w:rsidP="00115843">
      <w:pPr>
        <w:spacing w:after="0" w:line="240" w:lineRule="auto"/>
        <w:rPr>
          <w:rFonts w:ascii="Arial" w:hAnsi="Arial" w:cs="Arial"/>
          <w:sz w:val="16"/>
        </w:rPr>
      </w:pPr>
      <w:r>
        <w:rPr>
          <w:rFonts w:ascii="Arial" w:hAnsi="Arial" w:cs="Arial"/>
          <w:sz w:val="16"/>
        </w:rPr>
        <w:br w:type="page"/>
      </w:r>
    </w:p>
    <w:p w14:paraId="3AABE017" w14:textId="77777777" w:rsidR="00FA669F" w:rsidRDefault="00FA669F" w:rsidP="00115843">
      <w:pPr>
        <w:spacing w:after="0" w:line="240" w:lineRule="auto"/>
        <w:rPr>
          <w:rFonts w:ascii="Arial" w:hAnsi="Arial" w:cs="Arial"/>
          <w:sz w:val="16"/>
        </w:rPr>
      </w:pPr>
    </w:p>
    <w:p w14:paraId="2137C628" w14:textId="40479968" w:rsidR="00115843" w:rsidRPr="003B778E" w:rsidRDefault="00115843" w:rsidP="003B778E">
      <w:pPr>
        <w:spacing w:after="0"/>
        <w:rPr>
          <w:rFonts w:ascii="Arial" w:hAnsi="Arial" w:cs="Arial"/>
          <w:b/>
        </w:rPr>
      </w:pPr>
      <w:r w:rsidRPr="00C13A37">
        <w:rPr>
          <w:rFonts w:ascii="Arial" w:hAnsi="Arial" w:cs="Arial"/>
          <w:b/>
        </w:rPr>
        <w:t>Table 2.6.1: Budgeted expenses for Outcome 6</w:t>
      </w:r>
      <w:r>
        <w:rPr>
          <w:rFonts w:ascii="Arial" w:hAnsi="Arial" w:cs="Arial"/>
          <w:b/>
        </w:rPr>
        <w:t xml:space="preserve"> (continued)</w:t>
      </w:r>
    </w:p>
    <w:tbl>
      <w:tblPr>
        <w:tblW w:w="5000" w:type="pct"/>
        <w:tblLook w:val="04A0" w:firstRow="1" w:lastRow="0" w:firstColumn="1" w:lastColumn="0" w:noHBand="0" w:noVBand="1"/>
      </w:tblPr>
      <w:tblGrid>
        <w:gridCol w:w="3200"/>
        <w:gridCol w:w="928"/>
        <w:gridCol w:w="864"/>
        <w:gridCol w:w="928"/>
        <w:gridCol w:w="928"/>
        <w:gridCol w:w="862"/>
      </w:tblGrid>
      <w:tr w:rsidR="002C798A" w:rsidRPr="002C798A" w14:paraId="53376A3D" w14:textId="77777777" w:rsidTr="002F7B17">
        <w:trPr>
          <w:trHeight w:val="204"/>
        </w:trPr>
        <w:tc>
          <w:tcPr>
            <w:tcW w:w="2075" w:type="pct"/>
            <w:tcBorders>
              <w:top w:val="single" w:sz="4" w:space="0" w:color="auto"/>
              <w:left w:val="nil"/>
              <w:bottom w:val="nil"/>
              <w:right w:val="nil"/>
            </w:tcBorders>
            <w:shd w:val="clear" w:color="auto" w:fill="auto"/>
            <w:noWrap/>
            <w:vAlign w:val="bottom"/>
            <w:hideMark/>
          </w:tcPr>
          <w:p w14:paraId="12AD7ED7" w14:textId="77777777" w:rsidR="002C798A" w:rsidRPr="002C798A" w:rsidRDefault="002C798A" w:rsidP="002C798A">
            <w:pPr>
              <w:spacing w:after="0" w:line="240" w:lineRule="auto"/>
              <w:rPr>
                <w:rFonts w:ascii="Arial" w:hAnsi="Arial" w:cs="Arial"/>
                <w:sz w:val="16"/>
                <w:szCs w:val="16"/>
              </w:rPr>
            </w:pPr>
            <w:r w:rsidRPr="002C798A">
              <w:rPr>
                <w:rFonts w:ascii="Arial" w:hAnsi="Arial" w:cs="Arial"/>
                <w:sz w:val="16"/>
                <w:szCs w:val="16"/>
              </w:rPr>
              <w:t> </w:t>
            </w:r>
          </w:p>
        </w:tc>
        <w:tc>
          <w:tcPr>
            <w:tcW w:w="602" w:type="pct"/>
            <w:tcBorders>
              <w:top w:val="single" w:sz="4" w:space="0" w:color="auto"/>
              <w:left w:val="nil"/>
              <w:bottom w:val="nil"/>
              <w:right w:val="nil"/>
            </w:tcBorders>
            <w:shd w:val="clear" w:color="auto" w:fill="auto"/>
            <w:vAlign w:val="bottom"/>
            <w:hideMark/>
          </w:tcPr>
          <w:p w14:paraId="24E7C2F7" w14:textId="77777777" w:rsidR="002C798A" w:rsidRPr="002C798A" w:rsidRDefault="002C798A" w:rsidP="002C798A">
            <w:pPr>
              <w:spacing w:after="0" w:line="240" w:lineRule="auto"/>
              <w:jc w:val="right"/>
              <w:rPr>
                <w:rFonts w:ascii="Arial" w:hAnsi="Arial" w:cs="Arial"/>
                <w:sz w:val="16"/>
                <w:szCs w:val="16"/>
              </w:rPr>
            </w:pPr>
            <w:r w:rsidRPr="002C798A">
              <w:rPr>
                <w:rFonts w:ascii="Arial" w:hAnsi="Arial" w:cs="Arial"/>
                <w:sz w:val="16"/>
                <w:szCs w:val="16"/>
              </w:rPr>
              <w:t>2022-23</w:t>
            </w:r>
            <w:r w:rsidRPr="002C798A">
              <w:rPr>
                <w:rFonts w:ascii="Arial" w:hAnsi="Arial" w:cs="Arial"/>
                <w:sz w:val="16"/>
                <w:szCs w:val="16"/>
              </w:rPr>
              <w:br/>
              <w:t>Estimated  actual</w:t>
            </w:r>
            <w:r w:rsidRPr="002C798A">
              <w:rPr>
                <w:rFonts w:ascii="Arial" w:hAnsi="Arial" w:cs="Arial"/>
                <w:sz w:val="16"/>
                <w:szCs w:val="16"/>
              </w:rPr>
              <w:br/>
              <w:t>$'000</w:t>
            </w:r>
          </w:p>
        </w:tc>
        <w:tc>
          <w:tcPr>
            <w:tcW w:w="560" w:type="pct"/>
            <w:tcBorders>
              <w:top w:val="single" w:sz="4" w:space="0" w:color="auto"/>
              <w:left w:val="nil"/>
              <w:bottom w:val="nil"/>
              <w:right w:val="nil"/>
            </w:tcBorders>
            <w:shd w:val="clear" w:color="000000" w:fill="E6E6E6"/>
            <w:vAlign w:val="bottom"/>
            <w:hideMark/>
          </w:tcPr>
          <w:p w14:paraId="6A2F54CB" w14:textId="77777777" w:rsidR="002C798A" w:rsidRPr="002C798A" w:rsidRDefault="002C798A" w:rsidP="002C798A">
            <w:pPr>
              <w:spacing w:after="0" w:line="240" w:lineRule="auto"/>
              <w:jc w:val="right"/>
              <w:rPr>
                <w:rFonts w:ascii="Arial" w:hAnsi="Arial" w:cs="Arial"/>
                <w:sz w:val="16"/>
                <w:szCs w:val="16"/>
              </w:rPr>
            </w:pPr>
            <w:r w:rsidRPr="002C798A">
              <w:rPr>
                <w:rFonts w:ascii="Arial" w:hAnsi="Arial" w:cs="Arial"/>
                <w:sz w:val="16"/>
                <w:szCs w:val="16"/>
              </w:rPr>
              <w:t>2023-24</w:t>
            </w:r>
            <w:r w:rsidRPr="002C798A">
              <w:rPr>
                <w:rFonts w:ascii="Arial" w:hAnsi="Arial" w:cs="Arial"/>
                <w:sz w:val="16"/>
                <w:szCs w:val="16"/>
              </w:rPr>
              <w:br/>
              <w:t xml:space="preserve"> Budget</w:t>
            </w:r>
            <w:r w:rsidRPr="002C798A">
              <w:rPr>
                <w:rFonts w:ascii="Arial" w:hAnsi="Arial" w:cs="Arial"/>
                <w:sz w:val="16"/>
                <w:szCs w:val="16"/>
              </w:rPr>
              <w:br/>
              <w:t xml:space="preserve">                                      $'000</w:t>
            </w:r>
          </w:p>
        </w:tc>
        <w:tc>
          <w:tcPr>
            <w:tcW w:w="602" w:type="pct"/>
            <w:tcBorders>
              <w:top w:val="single" w:sz="4" w:space="0" w:color="auto"/>
              <w:left w:val="nil"/>
              <w:bottom w:val="nil"/>
              <w:right w:val="nil"/>
            </w:tcBorders>
            <w:shd w:val="clear" w:color="auto" w:fill="auto"/>
            <w:vAlign w:val="bottom"/>
            <w:hideMark/>
          </w:tcPr>
          <w:p w14:paraId="34D4F27F" w14:textId="77777777" w:rsidR="002C798A" w:rsidRPr="002C798A" w:rsidRDefault="002C798A" w:rsidP="002C798A">
            <w:pPr>
              <w:spacing w:after="0" w:line="240" w:lineRule="auto"/>
              <w:jc w:val="right"/>
              <w:rPr>
                <w:rFonts w:ascii="Arial" w:hAnsi="Arial" w:cs="Arial"/>
                <w:sz w:val="16"/>
                <w:szCs w:val="16"/>
              </w:rPr>
            </w:pPr>
            <w:r w:rsidRPr="002C798A">
              <w:rPr>
                <w:rFonts w:ascii="Arial" w:hAnsi="Arial" w:cs="Arial"/>
                <w:sz w:val="16"/>
                <w:szCs w:val="16"/>
              </w:rPr>
              <w:t>2024-25</w:t>
            </w:r>
            <w:r w:rsidRPr="002C798A">
              <w:rPr>
                <w:rFonts w:ascii="Arial" w:hAnsi="Arial" w:cs="Arial"/>
                <w:sz w:val="16"/>
                <w:szCs w:val="16"/>
              </w:rPr>
              <w:br/>
              <w:t>Forward estimate</w:t>
            </w:r>
            <w:r w:rsidRPr="002C798A">
              <w:rPr>
                <w:rFonts w:ascii="Arial" w:hAnsi="Arial" w:cs="Arial"/>
                <w:sz w:val="16"/>
                <w:szCs w:val="16"/>
              </w:rPr>
              <w:br/>
              <w:t>$'000</w:t>
            </w:r>
          </w:p>
        </w:tc>
        <w:tc>
          <w:tcPr>
            <w:tcW w:w="602" w:type="pct"/>
            <w:tcBorders>
              <w:top w:val="single" w:sz="4" w:space="0" w:color="auto"/>
              <w:left w:val="nil"/>
              <w:bottom w:val="nil"/>
              <w:right w:val="nil"/>
            </w:tcBorders>
            <w:shd w:val="clear" w:color="auto" w:fill="auto"/>
            <w:vAlign w:val="bottom"/>
            <w:hideMark/>
          </w:tcPr>
          <w:p w14:paraId="6867CA8D" w14:textId="77777777" w:rsidR="002C798A" w:rsidRPr="002C798A" w:rsidRDefault="002C798A" w:rsidP="002C798A">
            <w:pPr>
              <w:spacing w:after="0" w:line="240" w:lineRule="auto"/>
              <w:jc w:val="right"/>
              <w:rPr>
                <w:rFonts w:ascii="Arial" w:hAnsi="Arial" w:cs="Arial"/>
                <w:sz w:val="16"/>
                <w:szCs w:val="16"/>
              </w:rPr>
            </w:pPr>
            <w:r w:rsidRPr="002C798A">
              <w:rPr>
                <w:rFonts w:ascii="Arial" w:hAnsi="Arial" w:cs="Arial"/>
                <w:sz w:val="16"/>
                <w:szCs w:val="16"/>
              </w:rPr>
              <w:t>2025-26</w:t>
            </w:r>
            <w:r w:rsidRPr="002C798A">
              <w:rPr>
                <w:rFonts w:ascii="Arial" w:hAnsi="Arial" w:cs="Arial"/>
                <w:sz w:val="16"/>
                <w:szCs w:val="16"/>
              </w:rPr>
              <w:br/>
              <w:t>Forward estimate</w:t>
            </w:r>
            <w:r w:rsidRPr="002C798A">
              <w:rPr>
                <w:rFonts w:ascii="Arial" w:hAnsi="Arial" w:cs="Arial"/>
                <w:sz w:val="16"/>
                <w:szCs w:val="16"/>
              </w:rPr>
              <w:br/>
              <w:t>$'000</w:t>
            </w:r>
          </w:p>
        </w:tc>
        <w:tc>
          <w:tcPr>
            <w:tcW w:w="560" w:type="pct"/>
            <w:tcBorders>
              <w:top w:val="single" w:sz="4" w:space="0" w:color="auto"/>
              <w:left w:val="nil"/>
              <w:bottom w:val="nil"/>
              <w:right w:val="nil"/>
            </w:tcBorders>
            <w:shd w:val="clear" w:color="auto" w:fill="auto"/>
            <w:vAlign w:val="bottom"/>
            <w:hideMark/>
          </w:tcPr>
          <w:p w14:paraId="70D269F2" w14:textId="77777777" w:rsidR="002C798A" w:rsidRPr="002C798A" w:rsidRDefault="002C798A" w:rsidP="002C798A">
            <w:pPr>
              <w:spacing w:after="0" w:line="240" w:lineRule="auto"/>
              <w:jc w:val="right"/>
              <w:rPr>
                <w:rFonts w:ascii="Arial" w:hAnsi="Arial" w:cs="Arial"/>
                <w:sz w:val="16"/>
                <w:szCs w:val="16"/>
              </w:rPr>
            </w:pPr>
            <w:r w:rsidRPr="002C798A">
              <w:rPr>
                <w:rFonts w:ascii="Arial" w:hAnsi="Arial" w:cs="Arial"/>
                <w:sz w:val="16"/>
                <w:szCs w:val="16"/>
              </w:rPr>
              <w:t>2026-27</w:t>
            </w:r>
            <w:r w:rsidRPr="002C798A">
              <w:rPr>
                <w:rFonts w:ascii="Arial" w:hAnsi="Arial" w:cs="Arial"/>
                <w:sz w:val="16"/>
                <w:szCs w:val="16"/>
              </w:rPr>
              <w:br/>
              <w:t>Forward estimate</w:t>
            </w:r>
            <w:r w:rsidRPr="002C798A">
              <w:rPr>
                <w:rFonts w:ascii="Arial" w:hAnsi="Arial" w:cs="Arial"/>
                <w:sz w:val="16"/>
                <w:szCs w:val="16"/>
              </w:rPr>
              <w:br/>
              <w:t>$'000</w:t>
            </w:r>
          </w:p>
        </w:tc>
      </w:tr>
      <w:tr w:rsidR="002C798A" w:rsidRPr="002C798A" w14:paraId="1D3E744F" w14:textId="77777777" w:rsidTr="002F7B17">
        <w:trPr>
          <w:trHeight w:val="204"/>
        </w:trPr>
        <w:tc>
          <w:tcPr>
            <w:tcW w:w="2677" w:type="pct"/>
            <w:gridSpan w:val="2"/>
            <w:tcBorders>
              <w:top w:val="single" w:sz="4" w:space="0" w:color="auto"/>
              <w:left w:val="nil"/>
              <w:bottom w:val="single" w:sz="4" w:space="0" w:color="auto"/>
              <w:right w:val="nil"/>
            </w:tcBorders>
            <w:shd w:val="clear" w:color="000000" w:fill="E6E6E6"/>
            <w:noWrap/>
            <w:vAlign w:val="bottom"/>
            <w:hideMark/>
          </w:tcPr>
          <w:p w14:paraId="0FF393C9" w14:textId="77777777" w:rsidR="002C798A" w:rsidRPr="002C798A" w:rsidRDefault="002C798A" w:rsidP="002C798A">
            <w:pPr>
              <w:spacing w:after="0" w:line="240" w:lineRule="auto"/>
              <w:rPr>
                <w:rFonts w:ascii="Arial" w:hAnsi="Arial" w:cs="Arial"/>
                <w:b/>
                <w:bCs/>
                <w:sz w:val="16"/>
                <w:szCs w:val="16"/>
              </w:rPr>
            </w:pPr>
            <w:r w:rsidRPr="002C798A">
              <w:rPr>
                <w:rFonts w:ascii="Arial" w:hAnsi="Arial" w:cs="Arial"/>
                <w:b/>
                <w:bCs/>
                <w:sz w:val="16"/>
                <w:szCs w:val="16"/>
              </w:rPr>
              <w:t>Outcome 6 Totals by appropriation type</w:t>
            </w:r>
          </w:p>
        </w:tc>
        <w:tc>
          <w:tcPr>
            <w:tcW w:w="560" w:type="pct"/>
            <w:tcBorders>
              <w:top w:val="single" w:sz="4" w:space="0" w:color="auto"/>
              <w:left w:val="nil"/>
              <w:bottom w:val="single" w:sz="4" w:space="0" w:color="auto"/>
              <w:right w:val="nil"/>
            </w:tcBorders>
            <w:shd w:val="clear" w:color="000000" w:fill="E6E6E6"/>
            <w:noWrap/>
            <w:vAlign w:val="bottom"/>
            <w:hideMark/>
          </w:tcPr>
          <w:p w14:paraId="0E792F88" w14:textId="77777777" w:rsidR="002C798A" w:rsidRPr="002C798A" w:rsidRDefault="002C798A" w:rsidP="002C798A">
            <w:pPr>
              <w:spacing w:after="0" w:line="240" w:lineRule="auto"/>
              <w:jc w:val="right"/>
              <w:rPr>
                <w:rFonts w:ascii="Arial" w:hAnsi="Arial" w:cs="Arial"/>
                <w:sz w:val="16"/>
                <w:szCs w:val="16"/>
              </w:rPr>
            </w:pPr>
            <w:r w:rsidRPr="002C798A">
              <w:rPr>
                <w:rFonts w:ascii="Arial" w:hAnsi="Arial" w:cs="Arial"/>
                <w:sz w:val="16"/>
                <w:szCs w:val="16"/>
              </w:rPr>
              <w:t> </w:t>
            </w:r>
          </w:p>
        </w:tc>
        <w:tc>
          <w:tcPr>
            <w:tcW w:w="602" w:type="pct"/>
            <w:tcBorders>
              <w:top w:val="single" w:sz="4" w:space="0" w:color="auto"/>
              <w:left w:val="nil"/>
              <w:bottom w:val="single" w:sz="4" w:space="0" w:color="auto"/>
              <w:right w:val="nil"/>
            </w:tcBorders>
            <w:shd w:val="clear" w:color="000000" w:fill="E6E6E6"/>
            <w:noWrap/>
            <w:vAlign w:val="bottom"/>
            <w:hideMark/>
          </w:tcPr>
          <w:p w14:paraId="5A214002" w14:textId="77777777" w:rsidR="002C798A" w:rsidRPr="002C798A" w:rsidRDefault="002C798A" w:rsidP="002C798A">
            <w:pPr>
              <w:spacing w:after="0" w:line="240" w:lineRule="auto"/>
              <w:jc w:val="right"/>
              <w:rPr>
                <w:rFonts w:ascii="Arial" w:hAnsi="Arial" w:cs="Arial"/>
                <w:sz w:val="16"/>
                <w:szCs w:val="16"/>
              </w:rPr>
            </w:pPr>
            <w:r w:rsidRPr="002C798A">
              <w:rPr>
                <w:rFonts w:ascii="Arial" w:hAnsi="Arial" w:cs="Arial"/>
                <w:sz w:val="16"/>
                <w:szCs w:val="16"/>
              </w:rPr>
              <w:t> </w:t>
            </w:r>
          </w:p>
        </w:tc>
        <w:tc>
          <w:tcPr>
            <w:tcW w:w="602" w:type="pct"/>
            <w:tcBorders>
              <w:top w:val="single" w:sz="4" w:space="0" w:color="auto"/>
              <w:left w:val="nil"/>
              <w:bottom w:val="single" w:sz="4" w:space="0" w:color="auto"/>
              <w:right w:val="nil"/>
            </w:tcBorders>
            <w:shd w:val="clear" w:color="000000" w:fill="E6E6E6"/>
            <w:noWrap/>
            <w:vAlign w:val="bottom"/>
            <w:hideMark/>
          </w:tcPr>
          <w:p w14:paraId="48A17121" w14:textId="77777777" w:rsidR="002C798A" w:rsidRPr="002C798A" w:rsidRDefault="002C798A" w:rsidP="002C798A">
            <w:pPr>
              <w:spacing w:after="0" w:line="240" w:lineRule="auto"/>
              <w:jc w:val="right"/>
              <w:rPr>
                <w:rFonts w:ascii="Arial" w:hAnsi="Arial" w:cs="Arial"/>
                <w:sz w:val="16"/>
                <w:szCs w:val="16"/>
              </w:rPr>
            </w:pPr>
            <w:r w:rsidRPr="002C798A">
              <w:rPr>
                <w:rFonts w:ascii="Arial" w:hAnsi="Arial" w:cs="Arial"/>
                <w:sz w:val="16"/>
                <w:szCs w:val="16"/>
              </w:rPr>
              <w:t> </w:t>
            </w:r>
          </w:p>
        </w:tc>
        <w:tc>
          <w:tcPr>
            <w:tcW w:w="560" w:type="pct"/>
            <w:tcBorders>
              <w:top w:val="single" w:sz="4" w:space="0" w:color="auto"/>
              <w:left w:val="nil"/>
              <w:bottom w:val="single" w:sz="4" w:space="0" w:color="auto"/>
              <w:right w:val="nil"/>
            </w:tcBorders>
            <w:shd w:val="clear" w:color="000000" w:fill="E6E6E6"/>
            <w:noWrap/>
            <w:vAlign w:val="bottom"/>
            <w:hideMark/>
          </w:tcPr>
          <w:p w14:paraId="747DE81C" w14:textId="77777777" w:rsidR="002C798A" w:rsidRPr="002C798A" w:rsidRDefault="002C798A" w:rsidP="002C798A">
            <w:pPr>
              <w:spacing w:after="0" w:line="240" w:lineRule="auto"/>
              <w:jc w:val="right"/>
              <w:rPr>
                <w:rFonts w:ascii="Arial" w:hAnsi="Arial" w:cs="Arial"/>
                <w:sz w:val="16"/>
                <w:szCs w:val="16"/>
              </w:rPr>
            </w:pPr>
            <w:r w:rsidRPr="002C798A">
              <w:rPr>
                <w:rFonts w:ascii="Arial" w:hAnsi="Arial" w:cs="Arial"/>
                <w:sz w:val="16"/>
                <w:szCs w:val="16"/>
              </w:rPr>
              <w:t> </w:t>
            </w:r>
          </w:p>
        </w:tc>
      </w:tr>
      <w:tr w:rsidR="002C798A" w:rsidRPr="002C798A" w14:paraId="2CE14621" w14:textId="77777777" w:rsidTr="002F7B17">
        <w:trPr>
          <w:trHeight w:val="204"/>
        </w:trPr>
        <w:tc>
          <w:tcPr>
            <w:tcW w:w="2075" w:type="pct"/>
            <w:tcBorders>
              <w:top w:val="nil"/>
              <w:left w:val="nil"/>
              <w:bottom w:val="nil"/>
              <w:right w:val="nil"/>
            </w:tcBorders>
            <w:shd w:val="clear" w:color="auto" w:fill="auto"/>
            <w:noWrap/>
            <w:vAlign w:val="bottom"/>
            <w:hideMark/>
          </w:tcPr>
          <w:p w14:paraId="0000B12D" w14:textId="77777777" w:rsidR="002C798A" w:rsidRPr="002C798A" w:rsidRDefault="002C798A" w:rsidP="002C798A">
            <w:pPr>
              <w:spacing w:after="0" w:line="240" w:lineRule="auto"/>
              <w:rPr>
                <w:rFonts w:ascii="Arial" w:hAnsi="Arial" w:cs="Arial"/>
                <w:sz w:val="16"/>
                <w:szCs w:val="16"/>
              </w:rPr>
            </w:pPr>
            <w:r w:rsidRPr="002C798A">
              <w:rPr>
                <w:rFonts w:ascii="Arial" w:hAnsi="Arial" w:cs="Arial"/>
                <w:sz w:val="16"/>
                <w:szCs w:val="16"/>
              </w:rPr>
              <w:t>Administered expenses</w:t>
            </w:r>
          </w:p>
        </w:tc>
        <w:tc>
          <w:tcPr>
            <w:tcW w:w="602" w:type="pct"/>
            <w:tcBorders>
              <w:top w:val="nil"/>
              <w:left w:val="nil"/>
              <w:bottom w:val="nil"/>
              <w:right w:val="nil"/>
            </w:tcBorders>
            <w:shd w:val="clear" w:color="auto" w:fill="auto"/>
            <w:noWrap/>
            <w:vAlign w:val="bottom"/>
            <w:hideMark/>
          </w:tcPr>
          <w:p w14:paraId="3599C0D9" w14:textId="77777777" w:rsidR="002C798A" w:rsidRPr="002C798A" w:rsidRDefault="002C798A" w:rsidP="002C798A">
            <w:pPr>
              <w:spacing w:after="0" w:line="240" w:lineRule="auto"/>
              <w:jc w:val="right"/>
              <w:rPr>
                <w:rFonts w:ascii="Arial" w:hAnsi="Arial" w:cs="Arial"/>
                <w:sz w:val="16"/>
                <w:szCs w:val="16"/>
              </w:rPr>
            </w:pPr>
          </w:p>
        </w:tc>
        <w:tc>
          <w:tcPr>
            <w:tcW w:w="560" w:type="pct"/>
            <w:tcBorders>
              <w:top w:val="nil"/>
              <w:left w:val="nil"/>
              <w:bottom w:val="nil"/>
              <w:right w:val="nil"/>
            </w:tcBorders>
            <w:shd w:val="clear" w:color="000000" w:fill="E6E6E6"/>
            <w:noWrap/>
            <w:vAlign w:val="bottom"/>
            <w:hideMark/>
          </w:tcPr>
          <w:p w14:paraId="668812D5" w14:textId="71078D21" w:rsidR="002C798A" w:rsidRPr="002C798A" w:rsidRDefault="002C798A" w:rsidP="002C798A">
            <w:pPr>
              <w:spacing w:after="0" w:line="240" w:lineRule="auto"/>
              <w:jc w:val="right"/>
              <w:rPr>
                <w:rFonts w:ascii="Arial" w:hAnsi="Arial" w:cs="Arial"/>
                <w:b/>
                <w:bCs/>
                <w:sz w:val="16"/>
                <w:szCs w:val="16"/>
              </w:rPr>
            </w:pPr>
          </w:p>
        </w:tc>
        <w:tc>
          <w:tcPr>
            <w:tcW w:w="602" w:type="pct"/>
            <w:tcBorders>
              <w:top w:val="nil"/>
              <w:left w:val="nil"/>
              <w:bottom w:val="nil"/>
              <w:right w:val="nil"/>
            </w:tcBorders>
            <w:shd w:val="clear" w:color="auto" w:fill="auto"/>
            <w:noWrap/>
            <w:vAlign w:val="bottom"/>
            <w:hideMark/>
          </w:tcPr>
          <w:p w14:paraId="0D476061" w14:textId="77777777" w:rsidR="002C798A" w:rsidRPr="002C798A" w:rsidRDefault="002C798A" w:rsidP="002C798A">
            <w:pPr>
              <w:spacing w:after="0" w:line="240" w:lineRule="auto"/>
              <w:jc w:val="right"/>
              <w:rPr>
                <w:rFonts w:ascii="Arial" w:hAnsi="Arial" w:cs="Arial"/>
                <w:b/>
                <w:bCs/>
                <w:sz w:val="16"/>
                <w:szCs w:val="16"/>
              </w:rPr>
            </w:pPr>
          </w:p>
        </w:tc>
        <w:tc>
          <w:tcPr>
            <w:tcW w:w="602" w:type="pct"/>
            <w:tcBorders>
              <w:top w:val="nil"/>
              <w:left w:val="nil"/>
              <w:bottom w:val="nil"/>
              <w:right w:val="nil"/>
            </w:tcBorders>
            <w:shd w:val="clear" w:color="auto" w:fill="auto"/>
            <w:noWrap/>
            <w:vAlign w:val="bottom"/>
            <w:hideMark/>
          </w:tcPr>
          <w:p w14:paraId="06492B67" w14:textId="77777777" w:rsidR="002C798A" w:rsidRPr="002C798A" w:rsidRDefault="002C798A" w:rsidP="002C798A">
            <w:pPr>
              <w:spacing w:after="0" w:line="240" w:lineRule="auto"/>
              <w:jc w:val="right"/>
              <w:rPr>
                <w:rFonts w:ascii="Times New Roman" w:hAnsi="Times New Roman"/>
              </w:rPr>
            </w:pPr>
          </w:p>
        </w:tc>
        <w:tc>
          <w:tcPr>
            <w:tcW w:w="560" w:type="pct"/>
            <w:tcBorders>
              <w:top w:val="nil"/>
              <w:left w:val="nil"/>
              <w:bottom w:val="nil"/>
              <w:right w:val="nil"/>
            </w:tcBorders>
            <w:shd w:val="clear" w:color="auto" w:fill="auto"/>
            <w:noWrap/>
            <w:vAlign w:val="bottom"/>
            <w:hideMark/>
          </w:tcPr>
          <w:p w14:paraId="4012D0CE" w14:textId="77777777" w:rsidR="002C798A" w:rsidRPr="002C798A" w:rsidRDefault="002C798A" w:rsidP="002C798A">
            <w:pPr>
              <w:spacing w:after="0" w:line="240" w:lineRule="auto"/>
              <w:jc w:val="right"/>
              <w:rPr>
                <w:rFonts w:ascii="Times New Roman" w:hAnsi="Times New Roman"/>
              </w:rPr>
            </w:pPr>
          </w:p>
        </w:tc>
      </w:tr>
      <w:tr w:rsidR="002F7B17" w:rsidRPr="002C798A" w14:paraId="21438F37" w14:textId="77777777" w:rsidTr="002F7B17">
        <w:trPr>
          <w:trHeight w:val="204"/>
        </w:trPr>
        <w:tc>
          <w:tcPr>
            <w:tcW w:w="2075" w:type="pct"/>
            <w:tcBorders>
              <w:top w:val="nil"/>
              <w:left w:val="nil"/>
              <w:bottom w:val="nil"/>
              <w:right w:val="nil"/>
            </w:tcBorders>
            <w:shd w:val="clear" w:color="auto" w:fill="auto"/>
            <w:vAlign w:val="bottom"/>
            <w:hideMark/>
          </w:tcPr>
          <w:p w14:paraId="594C2AEA" w14:textId="681B1C27" w:rsidR="002F7B17" w:rsidRPr="002C798A" w:rsidRDefault="002F7B17" w:rsidP="002F7B17">
            <w:pPr>
              <w:spacing w:after="0" w:line="240" w:lineRule="auto"/>
              <w:ind w:left="113"/>
              <w:rPr>
                <w:rFonts w:ascii="Arial" w:hAnsi="Arial" w:cs="Arial"/>
                <w:sz w:val="16"/>
                <w:szCs w:val="16"/>
              </w:rPr>
            </w:pPr>
            <w:r w:rsidRPr="002C798A">
              <w:rPr>
                <w:rFonts w:ascii="Arial" w:hAnsi="Arial" w:cs="Arial"/>
                <w:sz w:val="16"/>
                <w:szCs w:val="16"/>
              </w:rPr>
              <w:t>Ordinary annual services (Appropriation Bill No. 1)</w:t>
            </w:r>
          </w:p>
        </w:tc>
        <w:tc>
          <w:tcPr>
            <w:tcW w:w="602" w:type="pct"/>
            <w:tcBorders>
              <w:top w:val="nil"/>
              <w:left w:val="nil"/>
              <w:bottom w:val="nil"/>
              <w:right w:val="nil"/>
            </w:tcBorders>
            <w:shd w:val="clear" w:color="auto" w:fill="auto"/>
            <w:noWrap/>
            <w:vAlign w:val="bottom"/>
            <w:hideMark/>
          </w:tcPr>
          <w:p w14:paraId="5A17456C" w14:textId="1C8AF80F" w:rsidR="002F7B17" w:rsidRPr="002C798A" w:rsidRDefault="002F7B17" w:rsidP="002F7B17">
            <w:pPr>
              <w:spacing w:after="0" w:line="240" w:lineRule="auto"/>
              <w:jc w:val="right"/>
              <w:rPr>
                <w:rFonts w:ascii="Arial" w:hAnsi="Arial" w:cs="Arial"/>
                <w:sz w:val="16"/>
                <w:szCs w:val="16"/>
              </w:rPr>
            </w:pPr>
            <w:r>
              <w:rPr>
                <w:rFonts w:ascii="Arial" w:hAnsi="Arial" w:cs="Arial"/>
                <w:sz w:val="16"/>
                <w:szCs w:val="16"/>
              </w:rPr>
              <w:t>253,833</w:t>
            </w:r>
          </w:p>
        </w:tc>
        <w:tc>
          <w:tcPr>
            <w:tcW w:w="560" w:type="pct"/>
            <w:tcBorders>
              <w:top w:val="nil"/>
              <w:left w:val="nil"/>
              <w:bottom w:val="nil"/>
              <w:right w:val="nil"/>
            </w:tcBorders>
            <w:shd w:val="clear" w:color="000000" w:fill="E6E6E6"/>
            <w:noWrap/>
            <w:vAlign w:val="bottom"/>
            <w:hideMark/>
          </w:tcPr>
          <w:p w14:paraId="49CF2816" w14:textId="1A5B120C" w:rsidR="002F7B17" w:rsidRPr="002C798A" w:rsidRDefault="002F7B17" w:rsidP="002F7B17">
            <w:pPr>
              <w:spacing w:after="0" w:line="240" w:lineRule="auto"/>
              <w:jc w:val="right"/>
              <w:rPr>
                <w:rFonts w:ascii="Arial" w:hAnsi="Arial" w:cs="Arial"/>
                <w:sz w:val="16"/>
                <w:szCs w:val="16"/>
              </w:rPr>
            </w:pPr>
            <w:r>
              <w:rPr>
                <w:rFonts w:ascii="Arial" w:hAnsi="Arial" w:cs="Arial"/>
                <w:sz w:val="16"/>
                <w:szCs w:val="16"/>
              </w:rPr>
              <w:t>293,739</w:t>
            </w:r>
          </w:p>
        </w:tc>
        <w:tc>
          <w:tcPr>
            <w:tcW w:w="602" w:type="pct"/>
            <w:tcBorders>
              <w:top w:val="nil"/>
              <w:left w:val="nil"/>
              <w:bottom w:val="nil"/>
              <w:right w:val="nil"/>
            </w:tcBorders>
            <w:shd w:val="clear" w:color="auto" w:fill="auto"/>
            <w:noWrap/>
            <w:vAlign w:val="bottom"/>
            <w:hideMark/>
          </w:tcPr>
          <w:p w14:paraId="2B41A464" w14:textId="32D00B7C" w:rsidR="002F7B17" w:rsidRPr="002C798A" w:rsidRDefault="002F7B17" w:rsidP="002F7B17">
            <w:pPr>
              <w:spacing w:after="0" w:line="240" w:lineRule="auto"/>
              <w:jc w:val="right"/>
              <w:rPr>
                <w:rFonts w:ascii="Arial" w:hAnsi="Arial" w:cs="Arial"/>
                <w:sz w:val="16"/>
                <w:szCs w:val="16"/>
              </w:rPr>
            </w:pPr>
            <w:r>
              <w:rPr>
                <w:rFonts w:ascii="Arial" w:hAnsi="Arial" w:cs="Arial"/>
                <w:sz w:val="16"/>
                <w:szCs w:val="16"/>
              </w:rPr>
              <w:t>304,589</w:t>
            </w:r>
          </w:p>
        </w:tc>
        <w:tc>
          <w:tcPr>
            <w:tcW w:w="602" w:type="pct"/>
            <w:tcBorders>
              <w:top w:val="nil"/>
              <w:left w:val="nil"/>
              <w:bottom w:val="nil"/>
              <w:right w:val="nil"/>
            </w:tcBorders>
            <w:shd w:val="clear" w:color="auto" w:fill="auto"/>
            <w:noWrap/>
            <w:vAlign w:val="bottom"/>
            <w:hideMark/>
          </w:tcPr>
          <w:p w14:paraId="104C6659" w14:textId="72556591" w:rsidR="002F7B17" w:rsidRPr="002C798A" w:rsidRDefault="002F7B17" w:rsidP="002F7B17">
            <w:pPr>
              <w:spacing w:after="0" w:line="240" w:lineRule="auto"/>
              <w:jc w:val="right"/>
              <w:rPr>
                <w:rFonts w:ascii="Arial" w:hAnsi="Arial" w:cs="Arial"/>
                <w:sz w:val="16"/>
                <w:szCs w:val="16"/>
              </w:rPr>
            </w:pPr>
            <w:r>
              <w:rPr>
                <w:rFonts w:ascii="Arial" w:hAnsi="Arial" w:cs="Arial"/>
                <w:sz w:val="16"/>
                <w:szCs w:val="16"/>
              </w:rPr>
              <w:t>271,642</w:t>
            </w:r>
          </w:p>
        </w:tc>
        <w:tc>
          <w:tcPr>
            <w:tcW w:w="560" w:type="pct"/>
            <w:tcBorders>
              <w:top w:val="nil"/>
              <w:left w:val="nil"/>
              <w:bottom w:val="nil"/>
              <w:right w:val="nil"/>
            </w:tcBorders>
            <w:shd w:val="clear" w:color="auto" w:fill="auto"/>
            <w:noWrap/>
            <w:vAlign w:val="bottom"/>
            <w:hideMark/>
          </w:tcPr>
          <w:p w14:paraId="5DFF2BE3" w14:textId="51265D7E" w:rsidR="002F7B17" w:rsidRPr="002C798A" w:rsidRDefault="002F7B17" w:rsidP="002F7B17">
            <w:pPr>
              <w:spacing w:after="0" w:line="240" w:lineRule="auto"/>
              <w:jc w:val="right"/>
              <w:rPr>
                <w:rFonts w:ascii="Arial" w:hAnsi="Arial" w:cs="Arial"/>
                <w:sz w:val="16"/>
                <w:szCs w:val="16"/>
              </w:rPr>
            </w:pPr>
            <w:r>
              <w:rPr>
                <w:rFonts w:ascii="Arial" w:hAnsi="Arial" w:cs="Arial"/>
                <w:sz w:val="16"/>
                <w:szCs w:val="16"/>
              </w:rPr>
              <w:t>240,159</w:t>
            </w:r>
          </w:p>
        </w:tc>
      </w:tr>
      <w:tr w:rsidR="002F7B17" w:rsidRPr="002C798A" w14:paraId="20C6F76E" w14:textId="77777777" w:rsidTr="002F7B17">
        <w:trPr>
          <w:trHeight w:val="204"/>
        </w:trPr>
        <w:tc>
          <w:tcPr>
            <w:tcW w:w="2075" w:type="pct"/>
            <w:tcBorders>
              <w:top w:val="nil"/>
              <w:left w:val="nil"/>
              <w:bottom w:val="nil"/>
              <w:right w:val="nil"/>
            </w:tcBorders>
            <w:shd w:val="clear" w:color="auto" w:fill="auto"/>
            <w:vAlign w:val="bottom"/>
            <w:hideMark/>
          </w:tcPr>
          <w:p w14:paraId="37D9EC1A" w14:textId="77777777" w:rsidR="002F7B17" w:rsidRPr="002C798A" w:rsidRDefault="002F7B17" w:rsidP="002F7B17">
            <w:pPr>
              <w:spacing w:after="0" w:line="240" w:lineRule="auto"/>
              <w:ind w:left="113"/>
              <w:rPr>
                <w:rFonts w:ascii="Arial" w:hAnsi="Arial" w:cs="Arial"/>
                <w:sz w:val="16"/>
                <w:szCs w:val="16"/>
              </w:rPr>
            </w:pPr>
            <w:r w:rsidRPr="002C798A">
              <w:rPr>
                <w:rFonts w:ascii="Arial" w:hAnsi="Arial" w:cs="Arial"/>
                <w:sz w:val="16"/>
                <w:szCs w:val="16"/>
              </w:rPr>
              <w:t>Special accounts</w:t>
            </w:r>
          </w:p>
        </w:tc>
        <w:tc>
          <w:tcPr>
            <w:tcW w:w="602" w:type="pct"/>
            <w:tcBorders>
              <w:top w:val="nil"/>
              <w:left w:val="nil"/>
              <w:bottom w:val="nil"/>
              <w:right w:val="nil"/>
            </w:tcBorders>
            <w:shd w:val="clear" w:color="auto" w:fill="auto"/>
            <w:noWrap/>
            <w:vAlign w:val="bottom"/>
            <w:hideMark/>
          </w:tcPr>
          <w:p w14:paraId="3E4360FC" w14:textId="47DD8151" w:rsidR="002F7B17" w:rsidRPr="002C798A" w:rsidRDefault="002F7B17" w:rsidP="002F7B17">
            <w:pPr>
              <w:spacing w:after="0" w:line="240" w:lineRule="auto"/>
              <w:jc w:val="right"/>
              <w:rPr>
                <w:rFonts w:ascii="Arial" w:hAnsi="Arial" w:cs="Arial"/>
                <w:sz w:val="16"/>
                <w:szCs w:val="16"/>
              </w:rPr>
            </w:pPr>
            <w:r>
              <w:rPr>
                <w:rFonts w:ascii="Arial" w:hAnsi="Arial" w:cs="Arial"/>
                <w:sz w:val="16"/>
                <w:szCs w:val="16"/>
              </w:rPr>
              <w:t>500</w:t>
            </w:r>
          </w:p>
        </w:tc>
        <w:tc>
          <w:tcPr>
            <w:tcW w:w="560" w:type="pct"/>
            <w:tcBorders>
              <w:top w:val="nil"/>
              <w:left w:val="nil"/>
              <w:bottom w:val="nil"/>
              <w:right w:val="nil"/>
            </w:tcBorders>
            <w:shd w:val="clear" w:color="000000" w:fill="E6E6E6"/>
            <w:noWrap/>
            <w:vAlign w:val="bottom"/>
            <w:hideMark/>
          </w:tcPr>
          <w:p w14:paraId="39EC7E96" w14:textId="17B6D266" w:rsidR="002F7B17" w:rsidRPr="002C798A" w:rsidRDefault="002F7B17" w:rsidP="002F7B17">
            <w:pPr>
              <w:spacing w:after="0" w:line="240" w:lineRule="auto"/>
              <w:jc w:val="right"/>
              <w:rPr>
                <w:rFonts w:ascii="Arial" w:hAnsi="Arial" w:cs="Arial"/>
                <w:sz w:val="16"/>
                <w:szCs w:val="16"/>
              </w:rPr>
            </w:pPr>
            <w:r>
              <w:rPr>
                <w:rFonts w:ascii="Arial" w:hAnsi="Arial" w:cs="Arial"/>
                <w:sz w:val="16"/>
                <w:szCs w:val="16"/>
              </w:rPr>
              <w:t>500</w:t>
            </w:r>
          </w:p>
        </w:tc>
        <w:tc>
          <w:tcPr>
            <w:tcW w:w="602" w:type="pct"/>
            <w:tcBorders>
              <w:top w:val="nil"/>
              <w:left w:val="nil"/>
              <w:bottom w:val="nil"/>
              <w:right w:val="nil"/>
            </w:tcBorders>
            <w:shd w:val="clear" w:color="auto" w:fill="auto"/>
            <w:noWrap/>
            <w:vAlign w:val="bottom"/>
            <w:hideMark/>
          </w:tcPr>
          <w:p w14:paraId="40C10E91" w14:textId="5BB261F4" w:rsidR="002F7B17" w:rsidRPr="002C798A" w:rsidRDefault="002F7B17" w:rsidP="002F7B17">
            <w:pPr>
              <w:spacing w:after="0" w:line="240" w:lineRule="auto"/>
              <w:jc w:val="right"/>
              <w:rPr>
                <w:rFonts w:ascii="Arial" w:hAnsi="Arial" w:cs="Arial"/>
                <w:sz w:val="16"/>
                <w:szCs w:val="16"/>
              </w:rPr>
            </w:pPr>
            <w:r>
              <w:rPr>
                <w:rFonts w:ascii="Arial" w:hAnsi="Arial" w:cs="Arial"/>
                <w:sz w:val="16"/>
                <w:szCs w:val="16"/>
              </w:rPr>
              <w:t>500</w:t>
            </w:r>
          </w:p>
        </w:tc>
        <w:tc>
          <w:tcPr>
            <w:tcW w:w="602" w:type="pct"/>
            <w:tcBorders>
              <w:top w:val="nil"/>
              <w:left w:val="nil"/>
              <w:bottom w:val="nil"/>
              <w:right w:val="nil"/>
            </w:tcBorders>
            <w:shd w:val="clear" w:color="auto" w:fill="auto"/>
            <w:noWrap/>
            <w:vAlign w:val="bottom"/>
            <w:hideMark/>
          </w:tcPr>
          <w:p w14:paraId="4958B4DB" w14:textId="6564B1BE" w:rsidR="002F7B17" w:rsidRPr="002C798A" w:rsidRDefault="002F7B17" w:rsidP="002F7B17">
            <w:pPr>
              <w:spacing w:after="0" w:line="240" w:lineRule="auto"/>
              <w:jc w:val="right"/>
              <w:rPr>
                <w:rFonts w:ascii="Arial" w:hAnsi="Arial" w:cs="Arial"/>
                <w:sz w:val="16"/>
                <w:szCs w:val="16"/>
              </w:rPr>
            </w:pPr>
            <w:r>
              <w:rPr>
                <w:rFonts w:ascii="Arial" w:hAnsi="Arial" w:cs="Arial"/>
                <w:sz w:val="16"/>
                <w:szCs w:val="16"/>
              </w:rPr>
              <w:t>500</w:t>
            </w:r>
          </w:p>
        </w:tc>
        <w:tc>
          <w:tcPr>
            <w:tcW w:w="560" w:type="pct"/>
            <w:tcBorders>
              <w:top w:val="nil"/>
              <w:left w:val="nil"/>
              <w:bottom w:val="nil"/>
              <w:right w:val="nil"/>
            </w:tcBorders>
            <w:shd w:val="clear" w:color="auto" w:fill="auto"/>
            <w:noWrap/>
            <w:vAlign w:val="bottom"/>
            <w:hideMark/>
          </w:tcPr>
          <w:p w14:paraId="6B1F09C7" w14:textId="6303B9A3" w:rsidR="002F7B17" w:rsidRPr="002C798A" w:rsidRDefault="002F7B17" w:rsidP="002F7B17">
            <w:pPr>
              <w:spacing w:after="0" w:line="240" w:lineRule="auto"/>
              <w:jc w:val="right"/>
              <w:rPr>
                <w:rFonts w:ascii="Arial" w:hAnsi="Arial" w:cs="Arial"/>
                <w:sz w:val="16"/>
                <w:szCs w:val="16"/>
              </w:rPr>
            </w:pPr>
            <w:r>
              <w:rPr>
                <w:rFonts w:ascii="Arial" w:hAnsi="Arial" w:cs="Arial"/>
                <w:sz w:val="16"/>
                <w:szCs w:val="16"/>
              </w:rPr>
              <w:t>500</w:t>
            </w:r>
          </w:p>
        </w:tc>
      </w:tr>
      <w:tr w:rsidR="002F7B17" w:rsidRPr="002C798A" w14:paraId="0DE507E5" w14:textId="77777777" w:rsidTr="002F7B17">
        <w:trPr>
          <w:trHeight w:val="204"/>
        </w:trPr>
        <w:tc>
          <w:tcPr>
            <w:tcW w:w="2075" w:type="pct"/>
            <w:tcBorders>
              <w:top w:val="nil"/>
              <w:left w:val="nil"/>
              <w:bottom w:val="nil"/>
              <w:right w:val="nil"/>
            </w:tcBorders>
            <w:shd w:val="clear" w:color="auto" w:fill="auto"/>
            <w:vAlign w:val="bottom"/>
            <w:hideMark/>
          </w:tcPr>
          <w:p w14:paraId="0C0EEC3D" w14:textId="012D2A67" w:rsidR="002F7B17" w:rsidRPr="002C798A" w:rsidRDefault="002F7B17" w:rsidP="002F7B17">
            <w:pPr>
              <w:spacing w:after="0" w:line="240" w:lineRule="auto"/>
              <w:ind w:left="113"/>
              <w:rPr>
                <w:rFonts w:ascii="Arial" w:hAnsi="Arial" w:cs="Arial"/>
                <w:sz w:val="16"/>
                <w:szCs w:val="16"/>
              </w:rPr>
            </w:pPr>
            <w:r w:rsidRPr="002C798A">
              <w:rPr>
                <w:rFonts w:ascii="Arial" w:hAnsi="Arial" w:cs="Arial"/>
                <w:sz w:val="16"/>
                <w:szCs w:val="16"/>
              </w:rPr>
              <w:t>Payments to corporate entities</w:t>
            </w:r>
            <w:r w:rsidRPr="002C798A">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33899942" w14:textId="20F58679" w:rsidR="002F7B17" w:rsidRPr="002C798A" w:rsidRDefault="002F7B17" w:rsidP="002F7B17">
            <w:pPr>
              <w:spacing w:after="0" w:line="240" w:lineRule="auto"/>
              <w:jc w:val="right"/>
              <w:rPr>
                <w:rFonts w:ascii="Arial" w:hAnsi="Arial" w:cs="Arial"/>
                <w:sz w:val="16"/>
                <w:szCs w:val="16"/>
              </w:rPr>
            </w:pPr>
            <w:r>
              <w:rPr>
                <w:rFonts w:ascii="Arial" w:hAnsi="Arial" w:cs="Arial"/>
                <w:sz w:val="16"/>
                <w:szCs w:val="16"/>
              </w:rPr>
              <w:t>512,903</w:t>
            </w:r>
          </w:p>
        </w:tc>
        <w:tc>
          <w:tcPr>
            <w:tcW w:w="560" w:type="pct"/>
            <w:tcBorders>
              <w:top w:val="nil"/>
              <w:left w:val="nil"/>
              <w:bottom w:val="nil"/>
              <w:right w:val="nil"/>
            </w:tcBorders>
            <w:shd w:val="clear" w:color="000000" w:fill="E6E6E6"/>
            <w:noWrap/>
            <w:vAlign w:val="bottom"/>
            <w:hideMark/>
          </w:tcPr>
          <w:p w14:paraId="40C93C30" w14:textId="063484C9" w:rsidR="002F7B17" w:rsidRPr="002C798A" w:rsidRDefault="002F7B17" w:rsidP="002F7B17">
            <w:pPr>
              <w:spacing w:after="0" w:line="240" w:lineRule="auto"/>
              <w:jc w:val="right"/>
              <w:rPr>
                <w:rFonts w:ascii="Arial" w:hAnsi="Arial" w:cs="Arial"/>
                <w:sz w:val="16"/>
                <w:szCs w:val="16"/>
              </w:rPr>
            </w:pPr>
            <w:r>
              <w:rPr>
                <w:rFonts w:ascii="Arial" w:hAnsi="Arial" w:cs="Arial"/>
                <w:sz w:val="16"/>
                <w:szCs w:val="16"/>
              </w:rPr>
              <w:t>595,515</w:t>
            </w:r>
          </w:p>
        </w:tc>
        <w:tc>
          <w:tcPr>
            <w:tcW w:w="602" w:type="pct"/>
            <w:tcBorders>
              <w:top w:val="nil"/>
              <w:left w:val="nil"/>
              <w:bottom w:val="nil"/>
              <w:right w:val="nil"/>
            </w:tcBorders>
            <w:shd w:val="clear" w:color="auto" w:fill="auto"/>
            <w:noWrap/>
            <w:vAlign w:val="bottom"/>
            <w:hideMark/>
          </w:tcPr>
          <w:p w14:paraId="0316D4A8" w14:textId="27D6C8AC" w:rsidR="002F7B17" w:rsidRPr="002C798A" w:rsidRDefault="002F7B17" w:rsidP="002F7B17">
            <w:pPr>
              <w:spacing w:after="0" w:line="240" w:lineRule="auto"/>
              <w:jc w:val="right"/>
              <w:rPr>
                <w:rFonts w:ascii="Arial" w:hAnsi="Arial" w:cs="Arial"/>
                <w:sz w:val="16"/>
                <w:szCs w:val="16"/>
              </w:rPr>
            </w:pPr>
            <w:r>
              <w:rPr>
                <w:rFonts w:ascii="Arial" w:hAnsi="Arial" w:cs="Arial"/>
                <w:sz w:val="16"/>
                <w:szCs w:val="16"/>
              </w:rPr>
              <w:t>642,671</w:t>
            </w:r>
          </w:p>
        </w:tc>
        <w:tc>
          <w:tcPr>
            <w:tcW w:w="602" w:type="pct"/>
            <w:tcBorders>
              <w:top w:val="nil"/>
              <w:left w:val="nil"/>
              <w:bottom w:val="nil"/>
              <w:right w:val="nil"/>
            </w:tcBorders>
            <w:shd w:val="clear" w:color="auto" w:fill="auto"/>
            <w:noWrap/>
            <w:vAlign w:val="bottom"/>
            <w:hideMark/>
          </w:tcPr>
          <w:p w14:paraId="1DE8F4FE" w14:textId="75DD240E" w:rsidR="002F7B17" w:rsidRPr="002C798A" w:rsidRDefault="002F7B17" w:rsidP="002F7B17">
            <w:pPr>
              <w:spacing w:after="0" w:line="240" w:lineRule="auto"/>
              <w:jc w:val="right"/>
              <w:rPr>
                <w:rFonts w:ascii="Arial" w:hAnsi="Arial" w:cs="Arial"/>
                <w:sz w:val="16"/>
                <w:szCs w:val="16"/>
              </w:rPr>
            </w:pPr>
            <w:r>
              <w:rPr>
                <w:rFonts w:ascii="Arial" w:hAnsi="Arial" w:cs="Arial"/>
                <w:sz w:val="16"/>
                <w:szCs w:val="16"/>
              </w:rPr>
              <w:t>661,631</w:t>
            </w:r>
          </w:p>
        </w:tc>
        <w:tc>
          <w:tcPr>
            <w:tcW w:w="560" w:type="pct"/>
            <w:tcBorders>
              <w:top w:val="nil"/>
              <w:left w:val="nil"/>
              <w:bottom w:val="nil"/>
              <w:right w:val="nil"/>
            </w:tcBorders>
            <w:shd w:val="clear" w:color="auto" w:fill="auto"/>
            <w:noWrap/>
            <w:vAlign w:val="bottom"/>
            <w:hideMark/>
          </w:tcPr>
          <w:p w14:paraId="0D0B8474" w14:textId="3FBD286B" w:rsidR="002F7B17" w:rsidRPr="002C798A" w:rsidRDefault="002F7B17" w:rsidP="002F7B17">
            <w:pPr>
              <w:spacing w:after="0" w:line="240" w:lineRule="auto"/>
              <w:jc w:val="right"/>
              <w:rPr>
                <w:rFonts w:ascii="Arial" w:hAnsi="Arial" w:cs="Arial"/>
                <w:sz w:val="16"/>
                <w:szCs w:val="16"/>
              </w:rPr>
            </w:pPr>
            <w:r>
              <w:rPr>
                <w:rFonts w:ascii="Arial" w:hAnsi="Arial" w:cs="Arial"/>
                <w:sz w:val="16"/>
                <w:szCs w:val="16"/>
              </w:rPr>
              <w:t>686,691</w:t>
            </w:r>
          </w:p>
        </w:tc>
      </w:tr>
      <w:tr w:rsidR="002F7B17" w:rsidRPr="002C798A" w14:paraId="0A493024" w14:textId="77777777" w:rsidTr="002F7B17">
        <w:trPr>
          <w:trHeight w:val="204"/>
        </w:trPr>
        <w:tc>
          <w:tcPr>
            <w:tcW w:w="2075" w:type="pct"/>
            <w:tcBorders>
              <w:top w:val="nil"/>
              <w:left w:val="nil"/>
              <w:bottom w:val="nil"/>
              <w:right w:val="nil"/>
            </w:tcBorders>
            <w:shd w:val="clear" w:color="auto" w:fill="auto"/>
            <w:vAlign w:val="bottom"/>
            <w:hideMark/>
          </w:tcPr>
          <w:p w14:paraId="266CA70C" w14:textId="7ABE683D" w:rsidR="002F7B17" w:rsidRPr="002C798A" w:rsidRDefault="002F7B17" w:rsidP="002F7B17">
            <w:pPr>
              <w:spacing w:after="0" w:line="240" w:lineRule="auto"/>
              <w:ind w:left="113"/>
              <w:rPr>
                <w:rFonts w:ascii="Arial" w:hAnsi="Arial" w:cs="Arial"/>
                <w:sz w:val="16"/>
                <w:szCs w:val="16"/>
              </w:rPr>
            </w:pPr>
            <w:r w:rsidRPr="002C798A">
              <w:rPr>
                <w:rFonts w:ascii="Arial" w:hAnsi="Arial" w:cs="Arial"/>
                <w:sz w:val="16"/>
                <w:szCs w:val="16"/>
              </w:rPr>
              <w:t>Expenses not requiring appropriation in the Budget year</w:t>
            </w:r>
            <w:r w:rsidRPr="002C798A">
              <w:rPr>
                <w:rFonts w:ascii="Arial" w:hAnsi="Arial" w:cs="Arial"/>
                <w:sz w:val="16"/>
                <w:szCs w:val="16"/>
                <w:vertAlign w:val="superscript"/>
              </w:rPr>
              <w:t>(b)</w:t>
            </w:r>
          </w:p>
        </w:tc>
        <w:tc>
          <w:tcPr>
            <w:tcW w:w="602" w:type="pct"/>
            <w:tcBorders>
              <w:top w:val="nil"/>
              <w:left w:val="nil"/>
              <w:bottom w:val="nil"/>
              <w:right w:val="nil"/>
            </w:tcBorders>
            <w:shd w:val="clear" w:color="auto" w:fill="auto"/>
            <w:noWrap/>
            <w:vAlign w:val="bottom"/>
            <w:hideMark/>
          </w:tcPr>
          <w:p w14:paraId="31513C72" w14:textId="56C46A1C" w:rsidR="002F7B17" w:rsidRPr="002C798A" w:rsidRDefault="002F7B17" w:rsidP="002F7B17">
            <w:pPr>
              <w:spacing w:after="0" w:line="240" w:lineRule="auto"/>
              <w:jc w:val="right"/>
              <w:rPr>
                <w:rFonts w:ascii="Arial" w:hAnsi="Arial" w:cs="Arial"/>
                <w:sz w:val="16"/>
                <w:szCs w:val="16"/>
              </w:rPr>
            </w:pPr>
            <w:r>
              <w:rPr>
                <w:rFonts w:ascii="Arial" w:hAnsi="Arial" w:cs="Arial"/>
                <w:sz w:val="16"/>
                <w:szCs w:val="16"/>
              </w:rPr>
              <w:t>50,000</w:t>
            </w:r>
          </w:p>
        </w:tc>
        <w:tc>
          <w:tcPr>
            <w:tcW w:w="560" w:type="pct"/>
            <w:tcBorders>
              <w:top w:val="nil"/>
              <w:left w:val="nil"/>
              <w:bottom w:val="nil"/>
              <w:right w:val="nil"/>
            </w:tcBorders>
            <w:shd w:val="clear" w:color="000000" w:fill="E6E6E6"/>
            <w:noWrap/>
            <w:vAlign w:val="bottom"/>
            <w:hideMark/>
          </w:tcPr>
          <w:p w14:paraId="1488A707" w14:textId="48279AD3" w:rsidR="002F7B17" w:rsidRPr="002C798A" w:rsidRDefault="002F7B17" w:rsidP="002F7B17">
            <w:pPr>
              <w:spacing w:after="0" w:line="240" w:lineRule="auto"/>
              <w:jc w:val="right"/>
              <w:rPr>
                <w:rFonts w:ascii="Arial" w:hAnsi="Arial" w:cs="Arial"/>
                <w:sz w:val="16"/>
                <w:szCs w:val="16"/>
              </w:rPr>
            </w:pPr>
            <w:r>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597C6134" w14:textId="326B64A6" w:rsidR="002F7B17" w:rsidRPr="002C798A" w:rsidRDefault="002F7B17" w:rsidP="002F7B17">
            <w:pPr>
              <w:spacing w:after="0" w:line="240" w:lineRule="auto"/>
              <w:jc w:val="right"/>
              <w:rPr>
                <w:rFonts w:ascii="Arial" w:hAnsi="Arial" w:cs="Arial"/>
                <w:sz w:val="16"/>
                <w:szCs w:val="16"/>
              </w:rPr>
            </w:pPr>
            <w:r>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13A9E16F" w14:textId="5D00FF88" w:rsidR="002F7B17" w:rsidRPr="002C798A" w:rsidRDefault="002F7B17" w:rsidP="002F7B17">
            <w:pPr>
              <w:spacing w:after="0" w:line="240" w:lineRule="auto"/>
              <w:jc w:val="right"/>
              <w:rPr>
                <w:rFonts w:ascii="Arial" w:hAnsi="Arial" w:cs="Arial"/>
                <w:sz w:val="16"/>
                <w:szCs w:val="16"/>
              </w:rPr>
            </w:pPr>
            <w:r>
              <w:rPr>
                <w:rFonts w:ascii="Arial" w:hAnsi="Arial" w:cs="Arial"/>
                <w:sz w:val="16"/>
                <w:szCs w:val="16"/>
              </w:rPr>
              <w:t>-</w:t>
            </w:r>
          </w:p>
        </w:tc>
        <w:tc>
          <w:tcPr>
            <w:tcW w:w="560" w:type="pct"/>
            <w:tcBorders>
              <w:top w:val="nil"/>
              <w:left w:val="nil"/>
              <w:bottom w:val="nil"/>
              <w:right w:val="nil"/>
            </w:tcBorders>
            <w:shd w:val="clear" w:color="auto" w:fill="auto"/>
            <w:noWrap/>
            <w:vAlign w:val="bottom"/>
            <w:hideMark/>
          </w:tcPr>
          <w:p w14:paraId="773A151F" w14:textId="0A57EC56" w:rsidR="002F7B17" w:rsidRPr="002C798A" w:rsidRDefault="002F7B17" w:rsidP="002F7B17">
            <w:pPr>
              <w:spacing w:after="0" w:line="240" w:lineRule="auto"/>
              <w:jc w:val="right"/>
              <w:rPr>
                <w:rFonts w:ascii="Arial" w:hAnsi="Arial" w:cs="Arial"/>
                <w:sz w:val="16"/>
                <w:szCs w:val="16"/>
              </w:rPr>
            </w:pPr>
            <w:r>
              <w:rPr>
                <w:rFonts w:ascii="Arial" w:hAnsi="Arial" w:cs="Arial"/>
                <w:sz w:val="16"/>
                <w:szCs w:val="16"/>
              </w:rPr>
              <w:t>-</w:t>
            </w:r>
          </w:p>
        </w:tc>
      </w:tr>
      <w:tr w:rsidR="002F7B17" w:rsidRPr="002C798A" w14:paraId="340A031C" w14:textId="77777777" w:rsidTr="002F7B17">
        <w:trPr>
          <w:trHeight w:val="204"/>
        </w:trPr>
        <w:tc>
          <w:tcPr>
            <w:tcW w:w="2075" w:type="pct"/>
            <w:tcBorders>
              <w:top w:val="nil"/>
              <w:left w:val="nil"/>
              <w:bottom w:val="nil"/>
              <w:right w:val="nil"/>
            </w:tcBorders>
            <w:shd w:val="clear" w:color="auto" w:fill="auto"/>
            <w:vAlign w:val="bottom"/>
            <w:hideMark/>
          </w:tcPr>
          <w:p w14:paraId="34C87B84" w14:textId="4B519904" w:rsidR="002F7B17" w:rsidRPr="002C798A" w:rsidRDefault="0000369A" w:rsidP="002F7B17">
            <w:pPr>
              <w:spacing w:after="0" w:line="240" w:lineRule="auto"/>
              <w:jc w:val="right"/>
              <w:rPr>
                <w:rFonts w:ascii="Arial" w:hAnsi="Arial" w:cs="Arial"/>
                <w:b/>
                <w:bCs/>
                <w:sz w:val="16"/>
                <w:szCs w:val="16"/>
              </w:rPr>
            </w:pPr>
            <w:r>
              <w:rPr>
                <w:rFonts w:ascii="Arial" w:hAnsi="Arial" w:cs="Arial"/>
                <w:b/>
                <w:bCs/>
                <w:sz w:val="16"/>
                <w:szCs w:val="16"/>
              </w:rPr>
              <w:t>Total administered expenses</w:t>
            </w:r>
          </w:p>
        </w:tc>
        <w:tc>
          <w:tcPr>
            <w:tcW w:w="602" w:type="pct"/>
            <w:tcBorders>
              <w:top w:val="single" w:sz="4" w:space="0" w:color="auto"/>
              <w:left w:val="nil"/>
              <w:bottom w:val="single" w:sz="4" w:space="0" w:color="auto"/>
              <w:right w:val="nil"/>
            </w:tcBorders>
            <w:shd w:val="clear" w:color="auto" w:fill="auto"/>
            <w:noWrap/>
            <w:vAlign w:val="bottom"/>
            <w:hideMark/>
          </w:tcPr>
          <w:p w14:paraId="0A3757C4" w14:textId="6A12503E" w:rsidR="002F7B17" w:rsidRPr="002C798A" w:rsidRDefault="002F7B17" w:rsidP="002F7B17">
            <w:pPr>
              <w:spacing w:after="0" w:line="240" w:lineRule="auto"/>
              <w:jc w:val="right"/>
              <w:rPr>
                <w:rFonts w:ascii="Arial" w:hAnsi="Arial" w:cs="Arial"/>
                <w:b/>
                <w:bCs/>
                <w:sz w:val="16"/>
                <w:szCs w:val="16"/>
              </w:rPr>
            </w:pPr>
            <w:r>
              <w:rPr>
                <w:rFonts w:ascii="Arial" w:hAnsi="Arial" w:cs="Arial"/>
                <w:b/>
                <w:bCs/>
                <w:sz w:val="16"/>
                <w:szCs w:val="16"/>
              </w:rPr>
              <w:t>817,236</w:t>
            </w:r>
          </w:p>
        </w:tc>
        <w:tc>
          <w:tcPr>
            <w:tcW w:w="560" w:type="pct"/>
            <w:tcBorders>
              <w:top w:val="single" w:sz="4" w:space="0" w:color="auto"/>
              <w:left w:val="nil"/>
              <w:bottom w:val="single" w:sz="4" w:space="0" w:color="auto"/>
              <w:right w:val="nil"/>
            </w:tcBorders>
            <w:shd w:val="clear" w:color="000000" w:fill="E6E6E6"/>
            <w:noWrap/>
            <w:vAlign w:val="bottom"/>
            <w:hideMark/>
          </w:tcPr>
          <w:p w14:paraId="082EA165" w14:textId="5B9D52C8" w:rsidR="002F7B17" w:rsidRPr="002C798A" w:rsidRDefault="002F7B17" w:rsidP="002F7B17">
            <w:pPr>
              <w:spacing w:after="0" w:line="240" w:lineRule="auto"/>
              <w:jc w:val="right"/>
              <w:rPr>
                <w:rFonts w:ascii="Arial" w:hAnsi="Arial" w:cs="Arial"/>
                <w:b/>
                <w:bCs/>
                <w:sz w:val="16"/>
                <w:szCs w:val="16"/>
              </w:rPr>
            </w:pPr>
            <w:r>
              <w:rPr>
                <w:rFonts w:ascii="Arial" w:hAnsi="Arial" w:cs="Arial"/>
                <w:b/>
                <w:bCs/>
                <w:sz w:val="16"/>
                <w:szCs w:val="16"/>
              </w:rPr>
              <w:t>889,754</w:t>
            </w:r>
          </w:p>
        </w:tc>
        <w:tc>
          <w:tcPr>
            <w:tcW w:w="602" w:type="pct"/>
            <w:tcBorders>
              <w:top w:val="single" w:sz="4" w:space="0" w:color="auto"/>
              <w:left w:val="nil"/>
              <w:bottom w:val="single" w:sz="4" w:space="0" w:color="auto"/>
              <w:right w:val="nil"/>
            </w:tcBorders>
            <w:shd w:val="clear" w:color="auto" w:fill="auto"/>
            <w:noWrap/>
            <w:vAlign w:val="bottom"/>
            <w:hideMark/>
          </w:tcPr>
          <w:p w14:paraId="7FF25317" w14:textId="3D7DB0F4" w:rsidR="002F7B17" w:rsidRPr="002C798A" w:rsidRDefault="002F7B17" w:rsidP="002F7B17">
            <w:pPr>
              <w:spacing w:after="0" w:line="240" w:lineRule="auto"/>
              <w:jc w:val="right"/>
              <w:rPr>
                <w:rFonts w:ascii="Arial" w:hAnsi="Arial" w:cs="Arial"/>
                <w:b/>
                <w:bCs/>
                <w:sz w:val="16"/>
                <w:szCs w:val="16"/>
              </w:rPr>
            </w:pPr>
            <w:r>
              <w:rPr>
                <w:rFonts w:ascii="Arial" w:hAnsi="Arial" w:cs="Arial"/>
                <w:b/>
                <w:bCs/>
                <w:sz w:val="16"/>
                <w:szCs w:val="16"/>
              </w:rPr>
              <w:t>947,760</w:t>
            </w:r>
          </w:p>
        </w:tc>
        <w:tc>
          <w:tcPr>
            <w:tcW w:w="602" w:type="pct"/>
            <w:tcBorders>
              <w:top w:val="single" w:sz="4" w:space="0" w:color="auto"/>
              <w:left w:val="nil"/>
              <w:bottom w:val="single" w:sz="4" w:space="0" w:color="auto"/>
              <w:right w:val="nil"/>
            </w:tcBorders>
            <w:shd w:val="clear" w:color="auto" w:fill="auto"/>
            <w:noWrap/>
            <w:vAlign w:val="bottom"/>
            <w:hideMark/>
          </w:tcPr>
          <w:p w14:paraId="0E6A8A6D" w14:textId="19FA4281" w:rsidR="002F7B17" w:rsidRPr="002C798A" w:rsidRDefault="002F7B17" w:rsidP="002F7B17">
            <w:pPr>
              <w:spacing w:after="0" w:line="240" w:lineRule="auto"/>
              <w:jc w:val="right"/>
              <w:rPr>
                <w:rFonts w:ascii="Arial" w:hAnsi="Arial" w:cs="Arial"/>
                <w:b/>
                <w:bCs/>
                <w:sz w:val="16"/>
                <w:szCs w:val="16"/>
              </w:rPr>
            </w:pPr>
            <w:r>
              <w:rPr>
                <w:rFonts w:ascii="Arial" w:hAnsi="Arial" w:cs="Arial"/>
                <w:b/>
                <w:bCs/>
                <w:sz w:val="16"/>
                <w:szCs w:val="16"/>
              </w:rPr>
              <w:t>933,773</w:t>
            </w:r>
          </w:p>
        </w:tc>
        <w:tc>
          <w:tcPr>
            <w:tcW w:w="560" w:type="pct"/>
            <w:tcBorders>
              <w:top w:val="single" w:sz="4" w:space="0" w:color="auto"/>
              <w:left w:val="nil"/>
              <w:bottom w:val="single" w:sz="4" w:space="0" w:color="auto"/>
              <w:right w:val="nil"/>
            </w:tcBorders>
            <w:shd w:val="clear" w:color="auto" w:fill="auto"/>
            <w:noWrap/>
            <w:vAlign w:val="bottom"/>
            <w:hideMark/>
          </w:tcPr>
          <w:p w14:paraId="284D2ED2" w14:textId="30D61BBE" w:rsidR="002F7B17" w:rsidRPr="002C798A" w:rsidRDefault="002F7B17" w:rsidP="002F7B17">
            <w:pPr>
              <w:spacing w:after="0" w:line="240" w:lineRule="auto"/>
              <w:jc w:val="right"/>
              <w:rPr>
                <w:rFonts w:ascii="Arial" w:hAnsi="Arial" w:cs="Arial"/>
                <w:b/>
                <w:bCs/>
                <w:sz w:val="16"/>
                <w:szCs w:val="16"/>
              </w:rPr>
            </w:pPr>
            <w:r>
              <w:rPr>
                <w:rFonts w:ascii="Arial" w:hAnsi="Arial" w:cs="Arial"/>
                <w:b/>
                <w:bCs/>
                <w:sz w:val="16"/>
                <w:szCs w:val="16"/>
              </w:rPr>
              <w:t>927,350</w:t>
            </w:r>
          </w:p>
        </w:tc>
      </w:tr>
      <w:tr w:rsidR="002F7B17" w:rsidRPr="002C798A" w14:paraId="7C38C434" w14:textId="77777777" w:rsidTr="002F7B17">
        <w:trPr>
          <w:trHeight w:val="204"/>
        </w:trPr>
        <w:tc>
          <w:tcPr>
            <w:tcW w:w="2075" w:type="pct"/>
            <w:tcBorders>
              <w:top w:val="nil"/>
              <w:left w:val="nil"/>
              <w:bottom w:val="nil"/>
              <w:right w:val="nil"/>
            </w:tcBorders>
            <w:shd w:val="clear" w:color="auto" w:fill="auto"/>
            <w:vAlign w:val="bottom"/>
            <w:hideMark/>
          </w:tcPr>
          <w:p w14:paraId="7F261452" w14:textId="77777777" w:rsidR="002F7B17" w:rsidRPr="002C798A" w:rsidRDefault="002F7B17" w:rsidP="002F7B17">
            <w:pPr>
              <w:spacing w:after="0" w:line="240" w:lineRule="auto"/>
              <w:rPr>
                <w:rFonts w:ascii="Arial" w:hAnsi="Arial" w:cs="Arial"/>
                <w:sz w:val="16"/>
                <w:szCs w:val="16"/>
              </w:rPr>
            </w:pPr>
            <w:r w:rsidRPr="002C798A">
              <w:rPr>
                <w:rFonts w:ascii="Arial" w:hAnsi="Arial" w:cs="Arial"/>
                <w:sz w:val="16"/>
                <w:szCs w:val="16"/>
              </w:rPr>
              <w:t>Departmental expenses</w:t>
            </w:r>
          </w:p>
        </w:tc>
        <w:tc>
          <w:tcPr>
            <w:tcW w:w="602" w:type="pct"/>
            <w:tcBorders>
              <w:top w:val="nil"/>
              <w:left w:val="nil"/>
              <w:bottom w:val="nil"/>
              <w:right w:val="nil"/>
            </w:tcBorders>
            <w:shd w:val="clear" w:color="auto" w:fill="auto"/>
            <w:noWrap/>
            <w:vAlign w:val="bottom"/>
            <w:hideMark/>
          </w:tcPr>
          <w:p w14:paraId="72E6951B" w14:textId="77777777" w:rsidR="002F7B17" w:rsidRPr="002C798A" w:rsidRDefault="002F7B17" w:rsidP="002F7B17">
            <w:pPr>
              <w:spacing w:after="0" w:line="240" w:lineRule="auto"/>
              <w:jc w:val="right"/>
              <w:rPr>
                <w:rFonts w:ascii="Arial" w:hAnsi="Arial" w:cs="Arial"/>
                <w:sz w:val="16"/>
                <w:szCs w:val="16"/>
              </w:rPr>
            </w:pPr>
          </w:p>
        </w:tc>
        <w:tc>
          <w:tcPr>
            <w:tcW w:w="560" w:type="pct"/>
            <w:tcBorders>
              <w:top w:val="nil"/>
              <w:left w:val="nil"/>
              <w:bottom w:val="nil"/>
              <w:right w:val="nil"/>
            </w:tcBorders>
            <w:shd w:val="clear" w:color="000000" w:fill="E6E6E6"/>
            <w:noWrap/>
            <w:vAlign w:val="bottom"/>
            <w:hideMark/>
          </w:tcPr>
          <w:p w14:paraId="12F32ED0" w14:textId="20F30970" w:rsidR="002F7B17" w:rsidRPr="002C798A" w:rsidRDefault="002F7B17" w:rsidP="002F7B17">
            <w:pPr>
              <w:spacing w:after="0" w:line="240" w:lineRule="auto"/>
              <w:jc w:val="right"/>
              <w:rPr>
                <w:rFonts w:ascii="Arial" w:hAnsi="Arial" w:cs="Arial"/>
                <w:b/>
                <w:bCs/>
                <w:sz w:val="16"/>
                <w:szCs w:val="16"/>
              </w:rPr>
            </w:pPr>
          </w:p>
        </w:tc>
        <w:tc>
          <w:tcPr>
            <w:tcW w:w="602" w:type="pct"/>
            <w:tcBorders>
              <w:top w:val="nil"/>
              <w:left w:val="nil"/>
              <w:bottom w:val="nil"/>
              <w:right w:val="nil"/>
            </w:tcBorders>
            <w:shd w:val="clear" w:color="auto" w:fill="auto"/>
            <w:noWrap/>
            <w:vAlign w:val="bottom"/>
            <w:hideMark/>
          </w:tcPr>
          <w:p w14:paraId="16579ABC" w14:textId="77777777" w:rsidR="002F7B17" w:rsidRPr="002C798A" w:rsidRDefault="002F7B17" w:rsidP="002F7B17">
            <w:pPr>
              <w:spacing w:after="0" w:line="240" w:lineRule="auto"/>
              <w:jc w:val="right"/>
              <w:rPr>
                <w:rFonts w:ascii="Arial" w:hAnsi="Arial" w:cs="Arial"/>
                <w:b/>
                <w:bCs/>
                <w:sz w:val="16"/>
                <w:szCs w:val="16"/>
              </w:rPr>
            </w:pPr>
          </w:p>
        </w:tc>
        <w:tc>
          <w:tcPr>
            <w:tcW w:w="602" w:type="pct"/>
            <w:tcBorders>
              <w:top w:val="nil"/>
              <w:left w:val="nil"/>
              <w:bottom w:val="nil"/>
              <w:right w:val="nil"/>
            </w:tcBorders>
            <w:shd w:val="clear" w:color="auto" w:fill="auto"/>
            <w:noWrap/>
            <w:vAlign w:val="bottom"/>
            <w:hideMark/>
          </w:tcPr>
          <w:p w14:paraId="39D7E87A" w14:textId="77777777" w:rsidR="002F7B17" w:rsidRPr="002C798A" w:rsidRDefault="002F7B17" w:rsidP="002F7B17">
            <w:pPr>
              <w:spacing w:after="0" w:line="240" w:lineRule="auto"/>
              <w:jc w:val="right"/>
              <w:rPr>
                <w:rFonts w:ascii="Times New Roman" w:hAnsi="Times New Roman"/>
              </w:rPr>
            </w:pPr>
          </w:p>
        </w:tc>
        <w:tc>
          <w:tcPr>
            <w:tcW w:w="560" w:type="pct"/>
            <w:tcBorders>
              <w:top w:val="nil"/>
              <w:left w:val="nil"/>
              <w:bottom w:val="nil"/>
              <w:right w:val="nil"/>
            </w:tcBorders>
            <w:shd w:val="clear" w:color="auto" w:fill="auto"/>
            <w:noWrap/>
            <w:vAlign w:val="bottom"/>
            <w:hideMark/>
          </w:tcPr>
          <w:p w14:paraId="2AFE636B" w14:textId="77777777" w:rsidR="002F7B17" w:rsidRPr="002C798A" w:rsidRDefault="002F7B17" w:rsidP="002F7B17">
            <w:pPr>
              <w:spacing w:after="0" w:line="240" w:lineRule="auto"/>
              <w:jc w:val="right"/>
              <w:rPr>
                <w:rFonts w:ascii="Times New Roman" w:hAnsi="Times New Roman"/>
              </w:rPr>
            </w:pPr>
          </w:p>
        </w:tc>
      </w:tr>
      <w:tr w:rsidR="002F7B17" w:rsidRPr="002C798A" w14:paraId="26E30334" w14:textId="77777777" w:rsidTr="002F7B17">
        <w:trPr>
          <w:trHeight w:val="204"/>
        </w:trPr>
        <w:tc>
          <w:tcPr>
            <w:tcW w:w="2075" w:type="pct"/>
            <w:tcBorders>
              <w:top w:val="nil"/>
              <w:left w:val="nil"/>
              <w:bottom w:val="nil"/>
              <w:right w:val="nil"/>
            </w:tcBorders>
            <w:shd w:val="clear" w:color="auto" w:fill="auto"/>
            <w:noWrap/>
            <w:vAlign w:val="bottom"/>
            <w:hideMark/>
          </w:tcPr>
          <w:p w14:paraId="28CBF1E8" w14:textId="77777777" w:rsidR="002F7B17" w:rsidRPr="002C798A" w:rsidRDefault="002F7B17" w:rsidP="002F7B17">
            <w:pPr>
              <w:spacing w:after="0" w:line="240" w:lineRule="auto"/>
              <w:ind w:left="113"/>
              <w:rPr>
                <w:rFonts w:ascii="Arial" w:hAnsi="Arial" w:cs="Arial"/>
                <w:sz w:val="16"/>
                <w:szCs w:val="16"/>
              </w:rPr>
            </w:pPr>
            <w:r w:rsidRPr="002C798A">
              <w:rPr>
                <w:rFonts w:ascii="Arial" w:hAnsi="Arial" w:cs="Arial"/>
                <w:sz w:val="16"/>
                <w:szCs w:val="16"/>
              </w:rPr>
              <w:t>Departmental appropriation</w:t>
            </w:r>
          </w:p>
        </w:tc>
        <w:tc>
          <w:tcPr>
            <w:tcW w:w="602" w:type="pct"/>
            <w:tcBorders>
              <w:top w:val="nil"/>
              <w:left w:val="nil"/>
              <w:bottom w:val="nil"/>
              <w:right w:val="nil"/>
            </w:tcBorders>
            <w:shd w:val="clear" w:color="auto" w:fill="auto"/>
            <w:noWrap/>
            <w:vAlign w:val="bottom"/>
            <w:hideMark/>
          </w:tcPr>
          <w:p w14:paraId="330C243A" w14:textId="26BDD71E" w:rsidR="002F7B17" w:rsidRPr="002C798A" w:rsidRDefault="002F7B17" w:rsidP="002F7B17">
            <w:pPr>
              <w:spacing w:after="0" w:line="240" w:lineRule="auto"/>
              <w:jc w:val="right"/>
              <w:rPr>
                <w:rFonts w:ascii="Arial" w:hAnsi="Arial" w:cs="Arial"/>
                <w:sz w:val="16"/>
                <w:szCs w:val="16"/>
              </w:rPr>
            </w:pPr>
            <w:r>
              <w:rPr>
                <w:rFonts w:ascii="Arial" w:hAnsi="Arial" w:cs="Arial"/>
                <w:sz w:val="16"/>
                <w:szCs w:val="16"/>
              </w:rPr>
              <w:t>62,293</w:t>
            </w:r>
          </w:p>
        </w:tc>
        <w:tc>
          <w:tcPr>
            <w:tcW w:w="560" w:type="pct"/>
            <w:tcBorders>
              <w:top w:val="nil"/>
              <w:left w:val="nil"/>
              <w:bottom w:val="nil"/>
              <w:right w:val="nil"/>
            </w:tcBorders>
            <w:shd w:val="clear" w:color="000000" w:fill="E6E6E6"/>
            <w:noWrap/>
            <w:vAlign w:val="bottom"/>
            <w:hideMark/>
          </w:tcPr>
          <w:p w14:paraId="73D6A1D4" w14:textId="5BF27409" w:rsidR="002F7B17" w:rsidRPr="002C798A" w:rsidRDefault="002F7B17" w:rsidP="002F7B17">
            <w:pPr>
              <w:spacing w:after="0" w:line="240" w:lineRule="auto"/>
              <w:jc w:val="right"/>
              <w:rPr>
                <w:rFonts w:ascii="Arial" w:hAnsi="Arial" w:cs="Arial"/>
                <w:sz w:val="16"/>
                <w:szCs w:val="16"/>
              </w:rPr>
            </w:pPr>
            <w:r>
              <w:rPr>
                <w:rFonts w:ascii="Arial" w:hAnsi="Arial" w:cs="Arial"/>
                <w:sz w:val="16"/>
                <w:szCs w:val="16"/>
              </w:rPr>
              <w:t>64,660</w:t>
            </w:r>
          </w:p>
        </w:tc>
        <w:tc>
          <w:tcPr>
            <w:tcW w:w="602" w:type="pct"/>
            <w:tcBorders>
              <w:top w:val="nil"/>
              <w:left w:val="nil"/>
              <w:bottom w:val="nil"/>
              <w:right w:val="nil"/>
            </w:tcBorders>
            <w:shd w:val="clear" w:color="auto" w:fill="auto"/>
            <w:noWrap/>
            <w:vAlign w:val="bottom"/>
            <w:hideMark/>
          </w:tcPr>
          <w:p w14:paraId="0C0B3D47" w14:textId="7F5A6AD0" w:rsidR="002F7B17" w:rsidRPr="002C798A" w:rsidRDefault="002F7B17" w:rsidP="002F7B17">
            <w:pPr>
              <w:spacing w:after="0" w:line="240" w:lineRule="auto"/>
              <w:jc w:val="right"/>
              <w:rPr>
                <w:rFonts w:ascii="Arial" w:hAnsi="Arial" w:cs="Arial"/>
                <w:sz w:val="16"/>
                <w:szCs w:val="16"/>
              </w:rPr>
            </w:pPr>
            <w:r>
              <w:rPr>
                <w:rFonts w:ascii="Arial" w:hAnsi="Arial" w:cs="Arial"/>
                <w:sz w:val="16"/>
                <w:szCs w:val="16"/>
              </w:rPr>
              <w:t>54,526</w:t>
            </w:r>
          </w:p>
        </w:tc>
        <w:tc>
          <w:tcPr>
            <w:tcW w:w="602" w:type="pct"/>
            <w:tcBorders>
              <w:top w:val="nil"/>
              <w:left w:val="nil"/>
              <w:bottom w:val="nil"/>
              <w:right w:val="nil"/>
            </w:tcBorders>
            <w:shd w:val="clear" w:color="auto" w:fill="auto"/>
            <w:noWrap/>
            <w:vAlign w:val="bottom"/>
            <w:hideMark/>
          </w:tcPr>
          <w:p w14:paraId="263A78A1" w14:textId="4AC09CD5" w:rsidR="002F7B17" w:rsidRPr="002C798A" w:rsidRDefault="002F7B17" w:rsidP="002F7B17">
            <w:pPr>
              <w:spacing w:after="0" w:line="240" w:lineRule="auto"/>
              <w:jc w:val="right"/>
              <w:rPr>
                <w:rFonts w:ascii="Arial" w:hAnsi="Arial" w:cs="Arial"/>
                <w:sz w:val="16"/>
                <w:szCs w:val="16"/>
              </w:rPr>
            </w:pPr>
            <w:r>
              <w:rPr>
                <w:rFonts w:ascii="Arial" w:hAnsi="Arial" w:cs="Arial"/>
                <w:sz w:val="16"/>
                <w:szCs w:val="16"/>
              </w:rPr>
              <w:t>53,774</w:t>
            </w:r>
          </w:p>
        </w:tc>
        <w:tc>
          <w:tcPr>
            <w:tcW w:w="560" w:type="pct"/>
            <w:tcBorders>
              <w:top w:val="nil"/>
              <w:left w:val="nil"/>
              <w:bottom w:val="nil"/>
              <w:right w:val="nil"/>
            </w:tcBorders>
            <w:shd w:val="clear" w:color="auto" w:fill="auto"/>
            <w:noWrap/>
            <w:vAlign w:val="bottom"/>
            <w:hideMark/>
          </w:tcPr>
          <w:p w14:paraId="2C3275EE" w14:textId="5A4D672D" w:rsidR="002F7B17" w:rsidRPr="002C798A" w:rsidRDefault="002F7B17" w:rsidP="002F7B17">
            <w:pPr>
              <w:spacing w:after="0" w:line="240" w:lineRule="auto"/>
              <w:jc w:val="right"/>
              <w:rPr>
                <w:rFonts w:ascii="Arial" w:hAnsi="Arial" w:cs="Arial"/>
                <w:sz w:val="16"/>
                <w:szCs w:val="16"/>
              </w:rPr>
            </w:pPr>
            <w:r>
              <w:rPr>
                <w:rFonts w:ascii="Arial" w:hAnsi="Arial" w:cs="Arial"/>
                <w:sz w:val="16"/>
                <w:szCs w:val="16"/>
              </w:rPr>
              <w:t>51,371</w:t>
            </w:r>
          </w:p>
        </w:tc>
      </w:tr>
      <w:tr w:rsidR="002F7B17" w:rsidRPr="002C798A" w14:paraId="659C4D3E" w14:textId="77777777" w:rsidTr="002F7B17">
        <w:trPr>
          <w:trHeight w:val="204"/>
        </w:trPr>
        <w:tc>
          <w:tcPr>
            <w:tcW w:w="2075" w:type="pct"/>
            <w:tcBorders>
              <w:top w:val="nil"/>
              <w:left w:val="nil"/>
              <w:bottom w:val="nil"/>
              <w:right w:val="nil"/>
            </w:tcBorders>
            <w:shd w:val="clear" w:color="auto" w:fill="auto"/>
            <w:vAlign w:val="bottom"/>
            <w:hideMark/>
          </w:tcPr>
          <w:p w14:paraId="6DFEB043" w14:textId="31BB9538" w:rsidR="002F7B17" w:rsidRPr="002C798A" w:rsidRDefault="002F7B17" w:rsidP="002F7B17">
            <w:pPr>
              <w:spacing w:after="0" w:line="240" w:lineRule="auto"/>
              <w:ind w:left="113"/>
              <w:rPr>
                <w:rFonts w:ascii="Arial" w:hAnsi="Arial" w:cs="Arial"/>
                <w:sz w:val="16"/>
                <w:szCs w:val="16"/>
              </w:rPr>
            </w:pPr>
            <w:r w:rsidRPr="002C798A">
              <w:rPr>
                <w:rFonts w:ascii="Arial" w:hAnsi="Arial" w:cs="Arial"/>
                <w:sz w:val="16"/>
                <w:szCs w:val="16"/>
              </w:rPr>
              <w:t>s74 external revenues</w:t>
            </w:r>
            <w:r w:rsidRPr="002C798A">
              <w:rPr>
                <w:rFonts w:ascii="Arial" w:hAnsi="Arial" w:cs="Arial"/>
                <w:sz w:val="16"/>
                <w:szCs w:val="16"/>
                <w:vertAlign w:val="superscript"/>
              </w:rPr>
              <w:t>(c)</w:t>
            </w:r>
          </w:p>
        </w:tc>
        <w:tc>
          <w:tcPr>
            <w:tcW w:w="602" w:type="pct"/>
            <w:tcBorders>
              <w:top w:val="nil"/>
              <w:left w:val="nil"/>
              <w:bottom w:val="nil"/>
              <w:right w:val="nil"/>
            </w:tcBorders>
            <w:shd w:val="clear" w:color="auto" w:fill="auto"/>
            <w:noWrap/>
            <w:vAlign w:val="bottom"/>
            <w:hideMark/>
          </w:tcPr>
          <w:p w14:paraId="5EBCFA64" w14:textId="667C1458" w:rsidR="002F7B17" w:rsidRPr="002C798A" w:rsidRDefault="002F7B17" w:rsidP="002F7B17">
            <w:pPr>
              <w:spacing w:after="0" w:line="240" w:lineRule="auto"/>
              <w:jc w:val="right"/>
              <w:rPr>
                <w:rFonts w:ascii="Arial" w:hAnsi="Arial" w:cs="Arial"/>
                <w:sz w:val="16"/>
                <w:szCs w:val="16"/>
              </w:rPr>
            </w:pPr>
            <w:r>
              <w:rPr>
                <w:rFonts w:ascii="Arial" w:hAnsi="Arial" w:cs="Arial"/>
                <w:sz w:val="16"/>
                <w:szCs w:val="16"/>
              </w:rPr>
              <w:t>7,873</w:t>
            </w:r>
          </w:p>
        </w:tc>
        <w:tc>
          <w:tcPr>
            <w:tcW w:w="560" w:type="pct"/>
            <w:tcBorders>
              <w:top w:val="nil"/>
              <w:left w:val="nil"/>
              <w:bottom w:val="nil"/>
              <w:right w:val="nil"/>
            </w:tcBorders>
            <w:shd w:val="clear" w:color="000000" w:fill="E6E6E6"/>
            <w:noWrap/>
            <w:vAlign w:val="bottom"/>
            <w:hideMark/>
          </w:tcPr>
          <w:p w14:paraId="12DEB881" w14:textId="41255C7E" w:rsidR="002F7B17" w:rsidRPr="002C798A" w:rsidRDefault="002F7B17" w:rsidP="002F7B17">
            <w:pPr>
              <w:spacing w:after="0" w:line="240" w:lineRule="auto"/>
              <w:jc w:val="right"/>
              <w:rPr>
                <w:rFonts w:ascii="Arial" w:hAnsi="Arial" w:cs="Arial"/>
                <w:sz w:val="16"/>
                <w:szCs w:val="16"/>
              </w:rPr>
            </w:pPr>
            <w:r>
              <w:rPr>
                <w:rFonts w:ascii="Arial" w:hAnsi="Arial" w:cs="Arial"/>
                <w:sz w:val="16"/>
                <w:szCs w:val="16"/>
              </w:rPr>
              <w:t>8,973</w:t>
            </w:r>
          </w:p>
        </w:tc>
        <w:tc>
          <w:tcPr>
            <w:tcW w:w="602" w:type="pct"/>
            <w:tcBorders>
              <w:top w:val="nil"/>
              <w:left w:val="nil"/>
              <w:bottom w:val="nil"/>
              <w:right w:val="nil"/>
            </w:tcBorders>
            <w:shd w:val="clear" w:color="auto" w:fill="auto"/>
            <w:noWrap/>
            <w:vAlign w:val="bottom"/>
            <w:hideMark/>
          </w:tcPr>
          <w:p w14:paraId="0558EF1B" w14:textId="515A3686" w:rsidR="002F7B17" w:rsidRPr="002C798A" w:rsidRDefault="002F7B17" w:rsidP="002F7B17">
            <w:pPr>
              <w:spacing w:after="0" w:line="240" w:lineRule="auto"/>
              <w:jc w:val="right"/>
              <w:rPr>
                <w:rFonts w:ascii="Arial" w:hAnsi="Arial" w:cs="Arial"/>
                <w:sz w:val="16"/>
                <w:szCs w:val="16"/>
              </w:rPr>
            </w:pPr>
            <w:r>
              <w:rPr>
                <w:rFonts w:ascii="Arial" w:hAnsi="Arial" w:cs="Arial"/>
                <w:sz w:val="16"/>
                <w:szCs w:val="16"/>
              </w:rPr>
              <w:t>9,330</w:t>
            </w:r>
          </w:p>
        </w:tc>
        <w:tc>
          <w:tcPr>
            <w:tcW w:w="602" w:type="pct"/>
            <w:tcBorders>
              <w:top w:val="nil"/>
              <w:left w:val="nil"/>
              <w:bottom w:val="nil"/>
              <w:right w:val="nil"/>
            </w:tcBorders>
            <w:shd w:val="clear" w:color="auto" w:fill="auto"/>
            <w:noWrap/>
            <w:vAlign w:val="bottom"/>
            <w:hideMark/>
          </w:tcPr>
          <w:p w14:paraId="3FD981CD" w14:textId="0CEA89F9" w:rsidR="002F7B17" w:rsidRPr="002C798A" w:rsidRDefault="002F7B17" w:rsidP="002F7B17">
            <w:pPr>
              <w:spacing w:after="0" w:line="240" w:lineRule="auto"/>
              <w:jc w:val="right"/>
              <w:rPr>
                <w:rFonts w:ascii="Arial" w:hAnsi="Arial" w:cs="Arial"/>
                <w:sz w:val="16"/>
                <w:szCs w:val="16"/>
              </w:rPr>
            </w:pPr>
            <w:r>
              <w:rPr>
                <w:rFonts w:ascii="Arial" w:hAnsi="Arial" w:cs="Arial"/>
                <w:sz w:val="16"/>
                <w:szCs w:val="16"/>
              </w:rPr>
              <w:t>9,330</w:t>
            </w:r>
          </w:p>
        </w:tc>
        <w:tc>
          <w:tcPr>
            <w:tcW w:w="560" w:type="pct"/>
            <w:tcBorders>
              <w:top w:val="nil"/>
              <w:left w:val="nil"/>
              <w:bottom w:val="nil"/>
              <w:right w:val="nil"/>
            </w:tcBorders>
            <w:shd w:val="clear" w:color="auto" w:fill="auto"/>
            <w:noWrap/>
            <w:vAlign w:val="bottom"/>
            <w:hideMark/>
          </w:tcPr>
          <w:p w14:paraId="165568A5" w14:textId="1CBBE063" w:rsidR="002F7B17" w:rsidRPr="002C798A" w:rsidRDefault="002F7B17" w:rsidP="002F7B17">
            <w:pPr>
              <w:spacing w:after="0" w:line="240" w:lineRule="auto"/>
              <w:jc w:val="right"/>
              <w:rPr>
                <w:rFonts w:ascii="Arial" w:hAnsi="Arial" w:cs="Arial"/>
                <w:sz w:val="16"/>
                <w:szCs w:val="16"/>
              </w:rPr>
            </w:pPr>
            <w:r>
              <w:rPr>
                <w:rFonts w:ascii="Arial" w:hAnsi="Arial" w:cs="Arial"/>
                <w:sz w:val="16"/>
                <w:szCs w:val="16"/>
              </w:rPr>
              <w:t>9,330</w:t>
            </w:r>
          </w:p>
        </w:tc>
      </w:tr>
      <w:tr w:rsidR="002F7B17" w:rsidRPr="002C798A" w14:paraId="687BCB9E" w14:textId="77777777" w:rsidTr="002F7B17">
        <w:trPr>
          <w:trHeight w:val="204"/>
        </w:trPr>
        <w:tc>
          <w:tcPr>
            <w:tcW w:w="2075" w:type="pct"/>
            <w:tcBorders>
              <w:top w:val="nil"/>
              <w:left w:val="nil"/>
              <w:bottom w:val="nil"/>
              <w:right w:val="nil"/>
            </w:tcBorders>
            <w:shd w:val="clear" w:color="auto" w:fill="auto"/>
            <w:noWrap/>
            <w:vAlign w:val="bottom"/>
            <w:hideMark/>
          </w:tcPr>
          <w:p w14:paraId="384C326B" w14:textId="77777777" w:rsidR="002F7B17" w:rsidRPr="002C798A" w:rsidRDefault="002F7B17" w:rsidP="002F7B17">
            <w:pPr>
              <w:spacing w:after="0" w:line="240" w:lineRule="auto"/>
              <w:ind w:left="113"/>
              <w:rPr>
                <w:rFonts w:ascii="Arial" w:hAnsi="Arial" w:cs="Arial"/>
                <w:sz w:val="16"/>
                <w:szCs w:val="16"/>
              </w:rPr>
            </w:pPr>
            <w:r w:rsidRPr="002C798A">
              <w:rPr>
                <w:rFonts w:ascii="Arial" w:hAnsi="Arial" w:cs="Arial"/>
                <w:sz w:val="16"/>
                <w:szCs w:val="16"/>
              </w:rPr>
              <w:t>Special accounts</w:t>
            </w:r>
          </w:p>
        </w:tc>
        <w:tc>
          <w:tcPr>
            <w:tcW w:w="602" w:type="pct"/>
            <w:tcBorders>
              <w:top w:val="nil"/>
              <w:left w:val="nil"/>
              <w:bottom w:val="nil"/>
              <w:right w:val="nil"/>
            </w:tcBorders>
            <w:shd w:val="clear" w:color="auto" w:fill="auto"/>
            <w:noWrap/>
            <w:vAlign w:val="bottom"/>
            <w:hideMark/>
          </w:tcPr>
          <w:p w14:paraId="5E37061D" w14:textId="6E9C0204" w:rsidR="002F7B17" w:rsidRPr="002C798A" w:rsidRDefault="002F7B17" w:rsidP="002F7B17">
            <w:pPr>
              <w:spacing w:after="0" w:line="240" w:lineRule="auto"/>
              <w:jc w:val="right"/>
              <w:rPr>
                <w:rFonts w:ascii="Arial" w:hAnsi="Arial" w:cs="Arial"/>
                <w:sz w:val="16"/>
                <w:szCs w:val="16"/>
              </w:rPr>
            </w:pPr>
            <w:r>
              <w:rPr>
                <w:rFonts w:ascii="Arial" w:hAnsi="Arial" w:cs="Arial"/>
                <w:sz w:val="16"/>
                <w:szCs w:val="16"/>
              </w:rPr>
              <w:t>5,023</w:t>
            </w:r>
          </w:p>
        </w:tc>
        <w:tc>
          <w:tcPr>
            <w:tcW w:w="560" w:type="pct"/>
            <w:tcBorders>
              <w:top w:val="nil"/>
              <w:left w:val="nil"/>
              <w:bottom w:val="nil"/>
              <w:right w:val="nil"/>
            </w:tcBorders>
            <w:shd w:val="clear" w:color="000000" w:fill="E6E6E6"/>
            <w:noWrap/>
            <w:vAlign w:val="bottom"/>
            <w:hideMark/>
          </w:tcPr>
          <w:p w14:paraId="7FF27F2B" w14:textId="72063B4D" w:rsidR="002F7B17" w:rsidRPr="002C798A" w:rsidRDefault="002F7B17" w:rsidP="002F7B17">
            <w:pPr>
              <w:spacing w:after="0" w:line="240" w:lineRule="auto"/>
              <w:jc w:val="right"/>
              <w:rPr>
                <w:rFonts w:ascii="Arial" w:hAnsi="Arial" w:cs="Arial"/>
                <w:sz w:val="16"/>
                <w:szCs w:val="16"/>
              </w:rPr>
            </w:pPr>
            <w:r>
              <w:rPr>
                <w:rFonts w:ascii="Arial" w:hAnsi="Arial" w:cs="Arial"/>
                <w:sz w:val="16"/>
                <w:szCs w:val="16"/>
              </w:rPr>
              <w:t>4,082</w:t>
            </w:r>
          </w:p>
        </w:tc>
        <w:tc>
          <w:tcPr>
            <w:tcW w:w="602" w:type="pct"/>
            <w:tcBorders>
              <w:top w:val="nil"/>
              <w:left w:val="nil"/>
              <w:bottom w:val="nil"/>
              <w:right w:val="nil"/>
            </w:tcBorders>
            <w:shd w:val="clear" w:color="auto" w:fill="auto"/>
            <w:noWrap/>
            <w:vAlign w:val="bottom"/>
            <w:hideMark/>
          </w:tcPr>
          <w:p w14:paraId="15057F66" w14:textId="741DEFE2" w:rsidR="002F7B17" w:rsidRPr="002C798A" w:rsidRDefault="002F7B17" w:rsidP="002F7B17">
            <w:pPr>
              <w:spacing w:after="0" w:line="240" w:lineRule="auto"/>
              <w:jc w:val="right"/>
              <w:rPr>
                <w:rFonts w:ascii="Arial" w:hAnsi="Arial" w:cs="Arial"/>
                <w:sz w:val="16"/>
                <w:szCs w:val="16"/>
              </w:rPr>
            </w:pPr>
            <w:r>
              <w:rPr>
                <w:rFonts w:ascii="Arial" w:hAnsi="Arial" w:cs="Arial"/>
                <w:sz w:val="16"/>
                <w:szCs w:val="16"/>
              </w:rPr>
              <w:t>4,080</w:t>
            </w:r>
          </w:p>
        </w:tc>
        <w:tc>
          <w:tcPr>
            <w:tcW w:w="602" w:type="pct"/>
            <w:tcBorders>
              <w:top w:val="nil"/>
              <w:left w:val="nil"/>
              <w:bottom w:val="nil"/>
              <w:right w:val="nil"/>
            </w:tcBorders>
            <w:shd w:val="clear" w:color="auto" w:fill="auto"/>
            <w:noWrap/>
            <w:vAlign w:val="bottom"/>
            <w:hideMark/>
          </w:tcPr>
          <w:p w14:paraId="0EF51964" w14:textId="3B889522" w:rsidR="002F7B17" w:rsidRPr="002C798A" w:rsidRDefault="002F7B17" w:rsidP="002F7B17">
            <w:pPr>
              <w:spacing w:after="0" w:line="240" w:lineRule="auto"/>
              <w:jc w:val="right"/>
              <w:rPr>
                <w:rFonts w:ascii="Arial" w:hAnsi="Arial" w:cs="Arial"/>
                <w:sz w:val="16"/>
                <w:szCs w:val="16"/>
              </w:rPr>
            </w:pPr>
            <w:r>
              <w:rPr>
                <w:rFonts w:ascii="Arial" w:hAnsi="Arial" w:cs="Arial"/>
                <w:sz w:val="16"/>
                <w:szCs w:val="16"/>
              </w:rPr>
              <w:t>4,080</w:t>
            </w:r>
          </w:p>
        </w:tc>
        <w:tc>
          <w:tcPr>
            <w:tcW w:w="560" w:type="pct"/>
            <w:tcBorders>
              <w:top w:val="nil"/>
              <w:left w:val="nil"/>
              <w:bottom w:val="nil"/>
              <w:right w:val="nil"/>
            </w:tcBorders>
            <w:shd w:val="clear" w:color="auto" w:fill="auto"/>
            <w:noWrap/>
            <w:vAlign w:val="bottom"/>
            <w:hideMark/>
          </w:tcPr>
          <w:p w14:paraId="6BDBC0AE" w14:textId="01CDFFB7" w:rsidR="002F7B17" w:rsidRPr="002C798A" w:rsidRDefault="002F7B17" w:rsidP="002F7B17">
            <w:pPr>
              <w:spacing w:after="0" w:line="240" w:lineRule="auto"/>
              <w:jc w:val="right"/>
              <w:rPr>
                <w:rFonts w:ascii="Arial" w:hAnsi="Arial" w:cs="Arial"/>
                <w:sz w:val="16"/>
                <w:szCs w:val="16"/>
              </w:rPr>
            </w:pPr>
            <w:r>
              <w:rPr>
                <w:rFonts w:ascii="Arial" w:hAnsi="Arial" w:cs="Arial"/>
                <w:sz w:val="16"/>
                <w:szCs w:val="16"/>
              </w:rPr>
              <w:t>4,080</w:t>
            </w:r>
          </w:p>
        </w:tc>
      </w:tr>
      <w:tr w:rsidR="002F7B17" w:rsidRPr="002C798A" w14:paraId="37DB3DC6" w14:textId="77777777" w:rsidTr="002F7B17">
        <w:trPr>
          <w:trHeight w:val="204"/>
        </w:trPr>
        <w:tc>
          <w:tcPr>
            <w:tcW w:w="2075" w:type="pct"/>
            <w:tcBorders>
              <w:top w:val="nil"/>
              <w:left w:val="nil"/>
              <w:bottom w:val="nil"/>
              <w:right w:val="nil"/>
            </w:tcBorders>
            <w:shd w:val="clear" w:color="auto" w:fill="auto"/>
            <w:vAlign w:val="bottom"/>
            <w:hideMark/>
          </w:tcPr>
          <w:p w14:paraId="703F68B4" w14:textId="07DC9951" w:rsidR="002F7B17" w:rsidRPr="002C798A" w:rsidRDefault="002F7B17" w:rsidP="002F7B17">
            <w:pPr>
              <w:spacing w:after="0" w:line="240" w:lineRule="auto"/>
              <w:ind w:left="113"/>
              <w:rPr>
                <w:rFonts w:ascii="Arial" w:hAnsi="Arial" w:cs="Arial"/>
                <w:sz w:val="16"/>
                <w:szCs w:val="16"/>
              </w:rPr>
            </w:pPr>
            <w:r w:rsidRPr="002C798A">
              <w:rPr>
                <w:rFonts w:ascii="Arial" w:hAnsi="Arial" w:cs="Arial"/>
                <w:sz w:val="16"/>
                <w:szCs w:val="16"/>
              </w:rPr>
              <w:t>Expenses not requiring appropriation in the Budget year</w:t>
            </w:r>
            <w:r w:rsidRPr="002C798A">
              <w:rPr>
                <w:rFonts w:ascii="Arial" w:hAnsi="Arial" w:cs="Arial"/>
                <w:sz w:val="16"/>
                <w:szCs w:val="16"/>
                <w:vertAlign w:val="superscript"/>
              </w:rPr>
              <w:t>(</w:t>
            </w:r>
            <w:r w:rsidR="00A96E11">
              <w:rPr>
                <w:rFonts w:ascii="Arial" w:hAnsi="Arial" w:cs="Arial"/>
                <w:sz w:val="16"/>
                <w:szCs w:val="16"/>
                <w:vertAlign w:val="superscript"/>
              </w:rPr>
              <w:t>d</w:t>
            </w:r>
            <w:r w:rsidRPr="002C798A">
              <w:rPr>
                <w:rFonts w:ascii="Arial" w:hAnsi="Arial" w:cs="Arial"/>
                <w:sz w:val="16"/>
                <w:szCs w:val="16"/>
                <w:vertAlign w:val="superscript"/>
              </w:rPr>
              <w:t>)</w:t>
            </w:r>
          </w:p>
        </w:tc>
        <w:tc>
          <w:tcPr>
            <w:tcW w:w="602" w:type="pct"/>
            <w:tcBorders>
              <w:top w:val="nil"/>
              <w:left w:val="nil"/>
              <w:bottom w:val="nil"/>
              <w:right w:val="nil"/>
            </w:tcBorders>
            <w:shd w:val="clear" w:color="auto" w:fill="auto"/>
            <w:noWrap/>
            <w:vAlign w:val="bottom"/>
            <w:hideMark/>
          </w:tcPr>
          <w:p w14:paraId="4BA0A857" w14:textId="56D7B219" w:rsidR="002F7B17" w:rsidRPr="002C798A" w:rsidRDefault="002F7B17" w:rsidP="002F7B17">
            <w:pPr>
              <w:spacing w:after="0" w:line="240" w:lineRule="auto"/>
              <w:jc w:val="right"/>
              <w:rPr>
                <w:rFonts w:ascii="Arial" w:hAnsi="Arial" w:cs="Arial"/>
                <w:sz w:val="16"/>
                <w:szCs w:val="16"/>
              </w:rPr>
            </w:pPr>
            <w:r>
              <w:rPr>
                <w:rFonts w:ascii="Arial" w:hAnsi="Arial" w:cs="Arial"/>
                <w:sz w:val="16"/>
                <w:szCs w:val="16"/>
              </w:rPr>
              <w:t>2,202</w:t>
            </w:r>
          </w:p>
        </w:tc>
        <w:tc>
          <w:tcPr>
            <w:tcW w:w="560" w:type="pct"/>
            <w:tcBorders>
              <w:top w:val="nil"/>
              <w:left w:val="nil"/>
              <w:bottom w:val="nil"/>
              <w:right w:val="nil"/>
            </w:tcBorders>
            <w:shd w:val="clear" w:color="000000" w:fill="E6E6E6"/>
            <w:noWrap/>
            <w:vAlign w:val="bottom"/>
            <w:hideMark/>
          </w:tcPr>
          <w:p w14:paraId="6D67019F" w14:textId="2BD83FC7" w:rsidR="002F7B17" w:rsidRPr="002C798A" w:rsidRDefault="002F7B17" w:rsidP="002F7B17">
            <w:pPr>
              <w:spacing w:after="0" w:line="240" w:lineRule="auto"/>
              <w:jc w:val="right"/>
              <w:rPr>
                <w:rFonts w:ascii="Arial" w:hAnsi="Arial" w:cs="Arial"/>
                <w:sz w:val="16"/>
                <w:szCs w:val="16"/>
              </w:rPr>
            </w:pPr>
            <w:r>
              <w:rPr>
                <w:rFonts w:ascii="Arial" w:hAnsi="Arial" w:cs="Arial"/>
                <w:sz w:val="16"/>
                <w:szCs w:val="16"/>
              </w:rPr>
              <w:t>395</w:t>
            </w:r>
          </w:p>
        </w:tc>
        <w:tc>
          <w:tcPr>
            <w:tcW w:w="602" w:type="pct"/>
            <w:tcBorders>
              <w:top w:val="nil"/>
              <w:left w:val="nil"/>
              <w:bottom w:val="nil"/>
              <w:right w:val="nil"/>
            </w:tcBorders>
            <w:shd w:val="clear" w:color="auto" w:fill="auto"/>
            <w:noWrap/>
            <w:vAlign w:val="bottom"/>
            <w:hideMark/>
          </w:tcPr>
          <w:p w14:paraId="23B61FCF" w14:textId="221385D8" w:rsidR="002F7B17" w:rsidRPr="002C798A" w:rsidRDefault="002F7B17" w:rsidP="002F7B17">
            <w:pPr>
              <w:spacing w:after="0" w:line="240" w:lineRule="auto"/>
              <w:jc w:val="right"/>
              <w:rPr>
                <w:rFonts w:ascii="Arial" w:hAnsi="Arial" w:cs="Arial"/>
                <w:sz w:val="16"/>
                <w:szCs w:val="16"/>
              </w:rPr>
            </w:pPr>
            <w:r>
              <w:rPr>
                <w:rFonts w:ascii="Arial" w:hAnsi="Arial" w:cs="Arial"/>
                <w:sz w:val="16"/>
                <w:szCs w:val="16"/>
              </w:rPr>
              <w:t>393</w:t>
            </w:r>
          </w:p>
        </w:tc>
        <w:tc>
          <w:tcPr>
            <w:tcW w:w="602" w:type="pct"/>
            <w:tcBorders>
              <w:top w:val="nil"/>
              <w:left w:val="nil"/>
              <w:bottom w:val="nil"/>
              <w:right w:val="nil"/>
            </w:tcBorders>
            <w:shd w:val="clear" w:color="auto" w:fill="auto"/>
            <w:noWrap/>
            <w:vAlign w:val="bottom"/>
            <w:hideMark/>
          </w:tcPr>
          <w:p w14:paraId="1CEF032C" w14:textId="62026D0F" w:rsidR="002F7B17" w:rsidRPr="002C798A" w:rsidRDefault="002F7B17" w:rsidP="002F7B17">
            <w:pPr>
              <w:spacing w:after="0" w:line="240" w:lineRule="auto"/>
              <w:jc w:val="right"/>
              <w:rPr>
                <w:rFonts w:ascii="Arial" w:hAnsi="Arial" w:cs="Arial"/>
                <w:sz w:val="16"/>
                <w:szCs w:val="16"/>
              </w:rPr>
            </w:pPr>
            <w:r>
              <w:rPr>
                <w:rFonts w:ascii="Arial" w:hAnsi="Arial" w:cs="Arial"/>
                <w:sz w:val="16"/>
                <w:szCs w:val="16"/>
              </w:rPr>
              <w:t>393</w:t>
            </w:r>
          </w:p>
        </w:tc>
        <w:tc>
          <w:tcPr>
            <w:tcW w:w="560" w:type="pct"/>
            <w:tcBorders>
              <w:top w:val="nil"/>
              <w:left w:val="nil"/>
              <w:bottom w:val="nil"/>
              <w:right w:val="nil"/>
            </w:tcBorders>
            <w:shd w:val="clear" w:color="auto" w:fill="auto"/>
            <w:noWrap/>
            <w:vAlign w:val="bottom"/>
            <w:hideMark/>
          </w:tcPr>
          <w:p w14:paraId="18596097" w14:textId="121EBE21" w:rsidR="002F7B17" w:rsidRPr="002C798A" w:rsidRDefault="002F7B17" w:rsidP="002F7B17">
            <w:pPr>
              <w:spacing w:after="0" w:line="240" w:lineRule="auto"/>
              <w:jc w:val="right"/>
              <w:rPr>
                <w:rFonts w:ascii="Arial" w:hAnsi="Arial" w:cs="Arial"/>
                <w:sz w:val="16"/>
                <w:szCs w:val="16"/>
              </w:rPr>
            </w:pPr>
            <w:r>
              <w:rPr>
                <w:rFonts w:ascii="Arial" w:hAnsi="Arial" w:cs="Arial"/>
                <w:sz w:val="16"/>
                <w:szCs w:val="16"/>
              </w:rPr>
              <w:t>393</w:t>
            </w:r>
          </w:p>
        </w:tc>
      </w:tr>
      <w:tr w:rsidR="002F7B17" w:rsidRPr="002C798A" w14:paraId="2A455A39" w14:textId="77777777" w:rsidTr="002F7B17">
        <w:trPr>
          <w:trHeight w:val="204"/>
        </w:trPr>
        <w:tc>
          <w:tcPr>
            <w:tcW w:w="2075" w:type="pct"/>
            <w:tcBorders>
              <w:top w:val="nil"/>
              <w:left w:val="nil"/>
              <w:bottom w:val="nil"/>
              <w:right w:val="nil"/>
            </w:tcBorders>
            <w:shd w:val="clear" w:color="auto" w:fill="auto"/>
            <w:vAlign w:val="bottom"/>
            <w:hideMark/>
          </w:tcPr>
          <w:p w14:paraId="70DDA241" w14:textId="199FD2F3" w:rsidR="002F7B17" w:rsidRPr="002C798A" w:rsidRDefault="0000369A" w:rsidP="002F7B17">
            <w:pPr>
              <w:spacing w:after="0" w:line="240" w:lineRule="auto"/>
              <w:jc w:val="right"/>
              <w:rPr>
                <w:rFonts w:ascii="Arial" w:hAnsi="Arial" w:cs="Arial"/>
                <w:b/>
                <w:bCs/>
                <w:sz w:val="16"/>
                <w:szCs w:val="16"/>
              </w:rPr>
            </w:pPr>
            <w:r>
              <w:rPr>
                <w:rFonts w:ascii="Arial" w:hAnsi="Arial" w:cs="Arial"/>
                <w:b/>
                <w:bCs/>
                <w:sz w:val="16"/>
                <w:szCs w:val="16"/>
              </w:rPr>
              <w:t>Total departmental expenses</w:t>
            </w:r>
          </w:p>
        </w:tc>
        <w:tc>
          <w:tcPr>
            <w:tcW w:w="602" w:type="pct"/>
            <w:tcBorders>
              <w:top w:val="single" w:sz="4" w:space="0" w:color="auto"/>
              <w:left w:val="nil"/>
              <w:bottom w:val="single" w:sz="4" w:space="0" w:color="auto"/>
              <w:right w:val="nil"/>
            </w:tcBorders>
            <w:shd w:val="clear" w:color="auto" w:fill="auto"/>
            <w:vAlign w:val="bottom"/>
            <w:hideMark/>
          </w:tcPr>
          <w:p w14:paraId="01A682D7" w14:textId="4070BE1F" w:rsidR="002F7B17" w:rsidRPr="002C798A" w:rsidRDefault="002F7B17" w:rsidP="002F7B17">
            <w:pPr>
              <w:spacing w:after="0" w:line="240" w:lineRule="auto"/>
              <w:jc w:val="right"/>
              <w:rPr>
                <w:rFonts w:ascii="Arial" w:hAnsi="Arial" w:cs="Arial"/>
                <w:b/>
                <w:bCs/>
                <w:sz w:val="16"/>
                <w:szCs w:val="16"/>
              </w:rPr>
            </w:pPr>
            <w:r>
              <w:rPr>
                <w:rFonts w:ascii="Arial" w:hAnsi="Arial" w:cs="Arial"/>
                <w:b/>
                <w:bCs/>
                <w:sz w:val="16"/>
                <w:szCs w:val="16"/>
              </w:rPr>
              <w:t>77,391</w:t>
            </w:r>
          </w:p>
        </w:tc>
        <w:tc>
          <w:tcPr>
            <w:tcW w:w="560" w:type="pct"/>
            <w:tcBorders>
              <w:top w:val="single" w:sz="4" w:space="0" w:color="auto"/>
              <w:left w:val="nil"/>
              <w:bottom w:val="single" w:sz="4" w:space="0" w:color="auto"/>
              <w:right w:val="nil"/>
            </w:tcBorders>
            <w:shd w:val="clear" w:color="000000" w:fill="E6E6E6"/>
            <w:vAlign w:val="bottom"/>
            <w:hideMark/>
          </w:tcPr>
          <w:p w14:paraId="6BF622E2" w14:textId="403A85B3" w:rsidR="002F7B17" w:rsidRPr="002C798A" w:rsidRDefault="002F7B17" w:rsidP="002F7B17">
            <w:pPr>
              <w:spacing w:after="0" w:line="240" w:lineRule="auto"/>
              <w:jc w:val="right"/>
              <w:rPr>
                <w:rFonts w:ascii="Arial" w:hAnsi="Arial" w:cs="Arial"/>
                <w:b/>
                <w:bCs/>
                <w:sz w:val="16"/>
                <w:szCs w:val="16"/>
              </w:rPr>
            </w:pPr>
            <w:r>
              <w:rPr>
                <w:rFonts w:ascii="Arial" w:hAnsi="Arial" w:cs="Arial"/>
                <w:b/>
                <w:bCs/>
                <w:sz w:val="16"/>
                <w:szCs w:val="16"/>
              </w:rPr>
              <w:t>78,110</w:t>
            </w:r>
          </w:p>
        </w:tc>
        <w:tc>
          <w:tcPr>
            <w:tcW w:w="602" w:type="pct"/>
            <w:tcBorders>
              <w:top w:val="single" w:sz="4" w:space="0" w:color="auto"/>
              <w:left w:val="nil"/>
              <w:bottom w:val="single" w:sz="4" w:space="0" w:color="auto"/>
              <w:right w:val="nil"/>
            </w:tcBorders>
            <w:shd w:val="clear" w:color="auto" w:fill="auto"/>
            <w:vAlign w:val="bottom"/>
            <w:hideMark/>
          </w:tcPr>
          <w:p w14:paraId="5CA51B75" w14:textId="20280716" w:rsidR="002F7B17" w:rsidRPr="002C798A" w:rsidRDefault="002F7B17" w:rsidP="002F7B17">
            <w:pPr>
              <w:spacing w:after="0" w:line="240" w:lineRule="auto"/>
              <w:jc w:val="right"/>
              <w:rPr>
                <w:rFonts w:ascii="Arial" w:hAnsi="Arial" w:cs="Arial"/>
                <w:b/>
                <w:bCs/>
                <w:sz w:val="16"/>
                <w:szCs w:val="16"/>
              </w:rPr>
            </w:pPr>
            <w:r>
              <w:rPr>
                <w:rFonts w:ascii="Arial" w:hAnsi="Arial" w:cs="Arial"/>
                <w:b/>
                <w:bCs/>
                <w:sz w:val="16"/>
                <w:szCs w:val="16"/>
              </w:rPr>
              <w:t>68,329</w:t>
            </w:r>
          </w:p>
        </w:tc>
        <w:tc>
          <w:tcPr>
            <w:tcW w:w="602" w:type="pct"/>
            <w:tcBorders>
              <w:top w:val="single" w:sz="4" w:space="0" w:color="auto"/>
              <w:left w:val="nil"/>
              <w:bottom w:val="single" w:sz="4" w:space="0" w:color="auto"/>
              <w:right w:val="nil"/>
            </w:tcBorders>
            <w:shd w:val="clear" w:color="auto" w:fill="auto"/>
            <w:vAlign w:val="bottom"/>
            <w:hideMark/>
          </w:tcPr>
          <w:p w14:paraId="451B3756" w14:textId="3AA48F6A" w:rsidR="002F7B17" w:rsidRPr="002C798A" w:rsidRDefault="002F7B17" w:rsidP="002F7B17">
            <w:pPr>
              <w:spacing w:after="0" w:line="240" w:lineRule="auto"/>
              <w:jc w:val="right"/>
              <w:rPr>
                <w:rFonts w:ascii="Arial" w:hAnsi="Arial" w:cs="Arial"/>
                <w:b/>
                <w:bCs/>
                <w:sz w:val="16"/>
                <w:szCs w:val="16"/>
              </w:rPr>
            </w:pPr>
            <w:r>
              <w:rPr>
                <w:rFonts w:ascii="Arial" w:hAnsi="Arial" w:cs="Arial"/>
                <w:b/>
                <w:bCs/>
                <w:sz w:val="16"/>
                <w:szCs w:val="16"/>
              </w:rPr>
              <w:t>67,577</w:t>
            </w:r>
          </w:p>
        </w:tc>
        <w:tc>
          <w:tcPr>
            <w:tcW w:w="560" w:type="pct"/>
            <w:tcBorders>
              <w:top w:val="single" w:sz="4" w:space="0" w:color="auto"/>
              <w:left w:val="nil"/>
              <w:bottom w:val="single" w:sz="4" w:space="0" w:color="auto"/>
              <w:right w:val="nil"/>
            </w:tcBorders>
            <w:shd w:val="clear" w:color="auto" w:fill="auto"/>
            <w:vAlign w:val="bottom"/>
            <w:hideMark/>
          </w:tcPr>
          <w:p w14:paraId="4026C44B" w14:textId="561EA6BB" w:rsidR="002F7B17" w:rsidRPr="002C798A" w:rsidRDefault="002F7B17" w:rsidP="002F7B17">
            <w:pPr>
              <w:spacing w:after="0" w:line="240" w:lineRule="auto"/>
              <w:jc w:val="right"/>
              <w:rPr>
                <w:rFonts w:ascii="Arial" w:hAnsi="Arial" w:cs="Arial"/>
                <w:b/>
                <w:bCs/>
                <w:sz w:val="16"/>
                <w:szCs w:val="16"/>
              </w:rPr>
            </w:pPr>
            <w:r>
              <w:rPr>
                <w:rFonts w:ascii="Arial" w:hAnsi="Arial" w:cs="Arial"/>
                <w:b/>
                <w:bCs/>
                <w:sz w:val="16"/>
                <w:szCs w:val="16"/>
              </w:rPr>
              <w:t>65,174</w:t>
            </w:r>
          </w:p>
        </w:tc>
      </w:tr>
      <w:tr w:rsidR="002F7B17" w:rsidRPr="002C798A" w14:paraId="7F2992AD" w14:textId="77777777" w:rsidTr="002F7B17">
        <w:trPr>
          <w:trHeight w:val="204"/>
        </w:trPr>
        <w:tc>
          <w:tcPr>
            <w:tcW w:w="2075" w:type="pct"/>
            <w:tcBorders>
              <w:top w:val="nil"/>
              <w:left w:val="nil"/>
              <w:bottom w:val="single" w:sz="4" w:space="0" w:color="auto"/>
              <w:right w:val="nil"/>
            </w:tcBorders>
            <w:shd w:val="clear" w:color="auto" w:fill="auto"/>
            <w:noWrap/>
            <w:vAlign w:val="bottom"/>
            <w:hideMark/>
          </w:tcPr>
          <w:p w14:paraId="41A3028A" w14:textId="77777777" w:rsidR="002F7B17" w:rsidRPr="002C798A" w:rsidRDefault="002F7B17" w:rsidP="002F7B17">
            <w:pPr>
              <w:spacing w:after="0" w:line="240" w:lineRule="auto"/>
              <w:rPr>
                <w:rFonts w:ascii="Arial" w:hAnsi="Arial" w:cs="Arial"/>
                <w:b/>
                <w:bCs/>
                <w:sz w:val="16"/>
                <w:szCs w:val="16"/>
              </w:rPr>
            </w:pPr>
            <w:r w:rsidRPr="002C798A">
              <w:rPr>
                <w:rFonts w:ascii="Arial" w:hAnsi="Arial" w:cs="Arial"/>
                <w:b/>
                <w:bCs/>
                <w:sz w:val="16"/>
                <w:szCs w:val="16"/>
              </w:rPr>
              <w:t>Total expenses for Outcome 6</w:t>
            </w:r>
          </w:p>
        </w:tc>
        <w:tc>
          <w:tcPr>
            <w:tcW w:w="602" w:type="pct"/>
            <w:tcBorders>
              <w:top w:val="nil"/>
              <w:left w:val="nil"/>
              <w:bottom w:val="single" w:sz="4" w:space="0" w:color="auto"/>
              <w:right w:val="nil"/>
            </w:tcBorders>
            <w:shd w:val="clear" w:color="auto" w:fill="auto"/>
            <w:vAlign w:val="bottom"/>
            <w:hideMark/>
          </w:tcPr>
          <w:p w14:paraId="25A54D10" w14:textId="70EF29E0" w:rsidR="002F7B17" w:rsidRPr="002C798A" w:rsidRDefault="002F7B17" w:rsidP="002F7B17">
            <w:pPr>
              <w:spacing w:after="0" w:line="240" w:lineRule="auto"/>
              <w:jc w:val="right"/>
              <w:rPr>
                <w:rFonts w:ascii="Arial" w:hAnsi="Arial" w:cs="Arial"/>
                <w:b/>
                <w:bCs/>
                <w:sz w:val="16"/>
                <w:szCs w:val="16"/>
              </w:rPr>
            </w:pPr>
            <w:r>
              <w:rPr>
                <w:rFonts w:ascii="Arial" w:hAnsi="Arial" w:cs="Arial"/>
                <w:b/>
                <w:bCs/>
                <w:sz w:val="16"/>
                <w:szCs w:val="16"/>
              </w:rPr>
              <w:t>894,627</w:t>
            </w:r>
          </w:p>
        </w:tc>
        <w:tc>
          <w:tcPr>
            <w:tcW w:w="560" w:type="pct"/>
            <w:tcBorders>
              <w:top w:val="nil"/>
              <w:left w:val="nil"/>
              <w:bottom w:val="single" w:sz="4" w:space="0" w:color="auto"/>
              <w:right w:val="nil"/>
            </w:tcBorders>
            <w:shd w:val="clear" w:color="000000" w:fill="E6E6E6"/>
            <w:vAlign w:val="bottom"/>
            <w:hideMark/>
          </w:tcPr>
          <w:p w14:paraId="518A2BFD" w14:textId="22265D54" w:rsidR="002F7B17" w:rsidRPr="002C798A" w:rsidRDefault="002F7B17" w:rsidP="002F7B17">
            <w:pPr>
              <w:spacing w:after="0" w:line="240" w:lineRule="auto"/>
              <w:jc w:val="right"/>
              <w:rPr>
                <w:rFonts w:ascii="Arial" w:hAnsi="Arial" w:cs="Arial"/>
                <w:b/>
                <w:bCs/>
                <w:sz w:val="16"/>
                <w:szCs w:val="16"/>
              </w:rPr>
            </w:pPr>
            <w:r>
              <w:rPr>
                <w:rFonts w:ascii="Arial" w:hAnsi="Arial" w:cs="Arial"/>
                <w:b/>
                <w:bCs/>
                <w:sz w:val="16"/>
                <w:szCs w:val="16"/>
              </w:rPr>
              <w:t>967,864</w:t>
            </w:r>
          </w:p>
        </w:tc>
        <w:tc>
          <w:tcPr>
            <w:tcW w:w="602" w:type="pct"/>
            <w:tcBorders>
              <w:top w:val="nil"/>
              <w:left w:val="nil"/>
              <w:bottom w:val="single" w:sz="4" w:space="0" w:color="auto"/>
              <w:right w:val="nil"/>
            </w:tcBorders>
            <w:shd w:val="clear" w:color="auto" w:fill="auto"/>
            <w:vAlign w:val="bottom"/>
            <w:hideMark/>
          </w:tcPr>
          <w:p w14:paraId="3CC66632" w14:textId="34D7292C" w:rsidR="002F7B17" w:rsidRPr="002C798A" w:rsidRDefault="002F7B17" w:rsidP="002F7B17">
            <w:pPr>
              <w:spacing w:after="0" w:line="240" w:lineRule="auto"/>
              <w:jc w:val="right"/>
              <w:rPr>
                <w:rFonts w:ascii="Arial" w:hAnsi="Arial" w:cs="Arial"/>
                <w:b/>
                <w:bCs/>
                <w:sz w:val="16"/>
                <w:szCs w:val="16"/>
              </w:rPr>
            </w:pPr>
            <w:r>
              <w:rPr>
                <w:rFonts w:ascii="Arial" w:hAnsi="Arial" w:cs="Arial"/>
                <w:b/>
                <w:bCs/>
                <w:sz w:val="16"/>
                <w:szCs w:val="16"/>
              </w:rPr>
              <w:t>1,016,089</w:t>
            </w:r>
          </w:p>
        </w:tc>
        <w:tc>
          <w:tcPr>
            <w:tcW w:w="602" w:type="pct"/>
            <w:tcBorders>
              <w:top w:val="nil"/>
              <w:left w:val="nil"/>
              <w:bottom w:val="single" w:sz="4" w:space="0" w:color="auto"/>
              <w:right w:val="nil"/>
            </w:tcBorders>
            <w:shd w:val="clear" w:color="auto" w:fill="auto"/>
            <w:vAlign w:val="bottom"/>
            <w:hideMark/>
          </w:tcPr>
          <w:p w14:paraId="224B6B7A" w14:textId="3D5345AA" w:rsidR="002F7B17" w:rsidRPr="002C798A" w:rsidRDefault="002F7B17" w:rsidP="002F7B17">
            <w:pPr>
              <w:spacing w:after="0" w:line="240" w:lineRule="auto"/>
              <w:jc w:val="right"/>
              <w:rPr>
                <w:rFonts w:ascii="Arial" w:hAnsi="Arial" w:cs="Arial"/>
                <w:b/>
                <w:bCs/>
                <w:sz w:val="16"/>
                <w:szCs w:val="16"/>
              </w:rPr>
            </w:pPr>
            <w:r>
              <w:rPr>
                <w:rFonts w:ascii="Arial" w:hAnsi="Arial" w:cs="Arial"/>
                <w:b/>
                <w:bCs/>
                <w:sz w:val="16"/>
                <w:szCs w:val="16"/>
              </w:rPr>
              <w:t>1,001,350</w:t>
            </w:r>
          </w:p>
        </w:tc>
        <w:tc>
          <w:tcPr>
            <w:tcW w:w="560" w:type="pct"/>
            <w:tcBorders>
              <w:top w:val="nil"/>
              <w:left w:val="nil"/>
              <w:bottom w:val="single" w:sz="4" w:space="0" w:color="auto"/>
              <w:right w:val="nil"/>
            </w:tcBorders>
            <w:shd w:val="clear" w:color="auto" w:fill="auto"/>
            <w:vAlign w:val="bottom"/>
            <w:hideMark/>
          </w:tcPr>
          <w:p w14:paraId="4266DC98" w14:textId="3EA46BF1" w:rsidR="002F7B17" w:rsidRPr="002C798A" w:rsidRDefault="002F7B17" w:rsidP="002F7B17">
            <w:pPr>
              <w:spacing w:after="0" w:line="240" w:lineRule="auto"/>
              <w:jc w:val="right"/>
              <w:rPr>
                <w:rFonts w:ascii="Arial" w:hAnsi="Arial" w:cs="Arial"/>
                <w:b/>
                <w:bCs/>
                <w:sz w:val="16"/>
                <w:szCs w:val="16"/>
              </w:rPr>
            </w:pPr>
            <w:r>
              <w:rPr>
                <w:rFonts w:ascii="Arial" w:hAnsi="Arial" w:cs="Arial"/>
                <w:b/>
                <w:bCs/>
                <w:sz w:val="16"/>
                <w:szCs w:val="16"/>
              </w:rPr>
              <w:t>992,524</w:t>
            </w:r>
          </w:p>
        </w:tc>
      </w:tr>
    </w:tbl>
    <w:p w14:paraId="05C775AD" w14:textId="15CEC70D" w:rsidR="003B778E" w:rsidRDefault="003B778E" w:rsidP="003B778E">
      <w:pPr>
        <w:spacing w:after="0" w:line="240" w:lineRule="auto"/>
        <w:rPr>
          <w:rFonts w:ascii="Arial" w:hAnsi="Arial" w:cs="Arial"/>
          <w:sz w:val="16"/>
        </w:rPr>
      </w:pPr>
    </w:p>
    <w:tbl>
      <w:tblPr>
        <w:tblW w:w="5010" w:type="dxa"/>
        <w:tblLook w:val="04A0" w:firstRow="1" w:lastRow="0" w:firstColumn="1" w:lastColumn="0" w:noHBand="0" w:noVBand="1"/>
      </w:tblPr>
      <w:tblGrid>
        <w:gridCol w:w="3220"/>
        <w:gridCol w:w="910"/>
        <w:gridCol w:w="880"/>
      </w:tblGrid>
      <w:tr w:rsidR="003B778E" w:rsidRPr="003B778E" w14:paraId="75B18CD8" w14:textId="77777777" w:rsidTr="002C798A">
        <w:trPr>
          <w:trHeight w:val="204"/>
        </w:trPr>
        <w:tc>
          <w:tcPr>
            <w:tcW w:w="3220" w:type="dxa"/>
            <w:tcBorders>
              <w:top w:val="single" w:sz="4" w:space="0" w:color="auto"/>
              <w:left w:val="nil"/>
              <w:bottom w:val="nil"/>
              <w:right w:val="nil"/>
            </w:tcBorders>
            <w:shd w:val="clear" w:color="auto" w:fill="auto"/>
            <w:noWrap/>
            <w:vAlign w:val="bottom"/>
            <w:hideMark/>
          </w:tcPr>
          <w:p w14:paraId="30C82F8C" w14:textId="77777777" w:rsidR="003B778E" w:rsidRPr="003B778E" w:rsidRDefault="003B778E" w:rsidP="003B778E">
            <w:pPr>
              <w:spacing w:after="0" w:line="240" w:lineRule="auto"/>
              <w:rPr>
                <w:rFonts w:ascii="Arial" w:hAnsi="Arial" w:cs="Arial"/>
                <w:sz w:val="16"/>
                <w:szCs w:val="16"/>
              </w:rPr>
            </w:pPr>
            <w:r w:rsidRPr="003B778E">
              <w:rPr>
                <w:rFonts w:ascii="Arial" w:hAnsi="Arial" w:cs="Arial"/>
                <w:sz w:val="16"/>
                <w:szCs w:val="16"/>
              </w:rPr>
              <w:t> </w:t>
            </w:r>
          </w:p>
        </w:tc>
        <w:tc>
          <w:tcPr>
            <w:tcW w:w="910" w:type="dxa"/>
            <w:tcBorders>
              <w:top w:val="single" w:sz="4" w:space="0" w:color="auto"/>
              <w:left w:val="nil"/>
              <w:bottom w:val="single" w:sz="4" w:space="0" w:color="auto"/>
              <w:right w:val="nil"/>
            </w:tcBorders>
            <w:shd w:val="clear" w:color="auto" w:fill="auto"/>
            <w:noWrap/>
            <w:vAlign w:val="bottom"/>
            <w:hideMark/>
          </w:tcPr>
          <w:p w14:paraId="0AD4D904" w14:textId="77777777" w:rsidR="003B778E" w:rsidRPr="003B778E" w:rsidRDefault="003B778E" w:rsidP="003B778E">
            <w:pPr>
              <w:spacing w:after="0" w:line="240" w:lineRule="auto"/>
              <w:jc w:val="right"/>
              <w:rPr>
                <w:rFonts w:ascii="Arial" w:hAnsi="Arial" w:cs="Arial"/>
                <w:sz w:val="16"/>
                <w:szCs w:val="16"/>
              </w:rPr>
            </w:pPr>
            <w:r w:rsidRPr="003B778E">
              <w:rPr>
                <w:rFonts w:ascii="Arial" w:hAnsi="Arial" w:cs="Arial"/>
                <w:sz w:val="16"/>
                <w:szCs w:val="16"/>
              </w:rPr>
              <w:t>2022-23</w:t>
            </w:r>
          </w:p>
        </w:tc>
        <w:tc>
          <w:tcPr>
            <w:tcW w:w="880" w:type="dxa"/>
            <w:tcBorders>
              <w:top w:val="single" w:sz="4" w:space="0" w:color="auto"/>
              <w:left w:val="nil"/>
              <w:bottom w:val="single" w:sz="4" w:space="0" w:color="auto"/>
              <w:right w:val="nil"/>
            </w:tcBorders>
            <w:shd w:val="clear" w:color="000000" w:fill="E6E6E6"/>
            <w:noWrap/>
            <w:vAlign w:val="bottom"/>
            <w:hideMark/>
          </w:tcPr>
          <w:p w14:paraId="2296290D" w14:textId="77777777" w:rsidR="003B778E" w:rsidRPr="003B778E" w:rsidRDefault="003B778E" w:rsidP="003B778E">
            <w:pPr>
              <w:spacing w:after="0" w:line="240" w:lineRule="auto"/>
              <w:jc w:val="right"/>
              <w:rPr>
                <w:rFonts w:ascii="Arial" w:hAnsi="Arial" w:cs="Arial"/>
                <w:sz w:val="16"/>
                <w:szCs w:val="16"/>
              </w:rPr>
            </w:pPr>
            <w:r w:rsidRPr="003B778E">
              <w:rPr>
                <w:rFonts w:ascii="Arial" w:hAnsi="Arial" w:cs="Arial"/>
                <w:sz w:val="16"/>
                <w:szCs w:val="16"/>
              </w:rPr>
              <w:t>2023-24</w:t>
            </w:r>
          </w:p>
        </w:tc>
      </w:tr>
      <w:tr w:rsidR="003B778E" w:rsidRPr="003B778E" w14:paraId="7EFAFA73" w14:textId="77777777" w:rsidTr="002C798A">
        <w:trPr>
          <w:trHeight w:val="204"/>
        </w:trPr>
        <w:tc>
          <w:tcPr>
            <w:tcW w:w="3220" w:type="dxa"/>
            <w:tcBorders>
              <w:top w:val="nil"/>
              <w:left w:val="nil"/>
              <w:bottom w:val="single" w:sz="4" w:space="0" w:color="auto"/>
              <w:right w:val="nil"/>
            </w:tcBorders>
            <w:shd w:val="clear" w:color="auto" w:fill="auto"/>
            <w:noWrap/>
            <w:vAlign w:val="bottom"/>
            <w:hideMark/>
          </w:tcPr>
          <w:p w14:paraId="3775325B" w14:textId="77777777" w:rsidR="003B778E" w:rsidRPr="003B778E" w:rsidRDefault="003B778E" w:rsidP="003B778E">
            <w:pPr>
              <w:spacing w:after="0" w:line="240" w:lineRule="auto"/>
              <w:rPr>
                <w:rFonts w:ascii="Arial" w:hAnsi="Arial" w:cs="Arial"/>
                <w:b/>
                <w:bCs/>
                <w:sz w:val="16"/>
                <w:szCs w:val="16"/>
              </w:rPr>
            </w:pPr>
            <w:r w:rsidRPr="003B778E">
              <w:rPr>
                <w:rFonts w:ascii="Arial" w:hAnsi="Arial" w:cs="Arial"/>
                <w:b/>
                <w:bCs/>
                <w:sz w:val="16"/>
                <w:szCs w:val="16"/>
              </w:rPr>
              <w:t>Average staffing level (number)</w:t>
            </w:r>
          </w:p>
        </w:tc>
        <w:tc>
          <w:tcPr>
            <w:tcW w:w="910" w:type="dxa"/>
            <w:tcBorders>
              <w:top w:val="nil"/>
              <w:left w:val="nil"/>
              <w:bottom w:val="single" w:sz="4" w:space="0" w:color="auto"/>
              <w:right w:val="nil"/>
            </w:tcBorders>
            <w:shd w:val="clear" w:color="auto" w:fill="auto"/>
            <w:noWrap/>
            <w:vAlign w:val="bottom"/>
            <w:hideMark/>
          </w:tcPr>
          <w:p w14:paraId="26199883" w14:textId="77777777" w:rsidR="003B778E" w:rsidRPr="003B778E" w:rsidRDefault="003B778E" w:rsidP="003B778E">
            <w:pPr>
              <w:spacing w:after="0" w:line="240" w:lineRule="auto"/>
              <w:jc w:val="right"/>
              <w:rPr>
                <w:rFonts w:ascii="Arial" w:hAnsi="Arial" w:cs="Arial"/>
                <w:sz w:val="16"/>
                <w:szCs w:val="16"/>
              </w:rPr>
            </w:pPr>
            <w:r w:rsidRPr="003B778E">
              <w:rPr>
                <w:rFonts w:ascii="Arial" w:hAnsi="Arial" w:cs="Arial"/>
                <w:sz w:val="16"/>
                <w:szCs w:val="16"/>
              </w:rPr>
              <w:t xml:space="preserve">226 </w:t>
            </w:r>
          </w:p>
        </w:tc>
        <w:tc>
          <w:tcPr>
            <w:tcW w:w="880" w:type="dxa"/>
            <w:tcBorders>
              <w:top w:val="nil"/>
              <w:left w:val="nil"/>
              <w:bottom w:val="single" w:sz="4" w:space="0" w:color="auto"/>
              <w:right w:val="nil"/>
            </w:tcBorders>
            <w:shd w:val="clear" w:color="000000" w:fill="E6E6E6"/>
            <w:noWrap/>
            <w:vAlign w:val="bottom"/>
            <w:hideMark/>
          </w:tcPr>
          <w:p w14:paraId="3EFCB00F" w14:textId="77777777" w:rsidR="003B778E" w:rsidRPr="003B778E" w:rsidRDefault="003B778E" w:rsidP="003B778E">
            <w:pPr>
              <w:spacing w:after="0" w:line="240" w:lineRule="auto"/>
              <w:jc w:val="right"/>
              <w:rPr>
                <w:rFonts w:ascii="Arial" w:hAnsi="Arial" w:cs="Arial"/>
                <w:sz w:val="16"/>
                <w:szCs w:val="16"/>
              </w:rPr>
            </w:pPr>
            <w:r w:rsidRPr="003B778E">
              <w:rPr>
                <w:rFonts w:ascii="Arial" w:hAnsi="Arial" w:cs="Arial"/>
                <w:sz w:val="16"/>
                <w:szCs w:val="16"/>
              </w:rPr>
              <w:t xml:space="preserve">246 </w:t>
            </w:r>
          </w:p>
        </w:tc>
      </w:tr>
    </w:tbl>
    <w:p w14:paraId="14533385" w14:textId="2A75D70A" w:rsidR="00115843" w:rsidRPr="00C13A37" w:rsidRDefault="00115843" w:rsidP="00977C28">
      <w:pPr>
        <w:pStyle w:val="ListParagraph"/>
        <w:numPr>
          <w:ilvl w:val="0"/>
          <w:numId w:val="116"/>
        </w:numPr>
        <w:spacing w:before="60" w:after="0" w:line="240" w:lineRule="auto"/>
        <w:ind w:left="426" w:hanging="426"/>
        <w:rPr>
          <w:rFonts w:ascii="Arial" w:hAnsi="Arial" w:cs="Arial"/>
          <w:sz w:val="16"/>
        </w:rPr>
      </w:pPr>
      <w:r w:rsidRPr="00C13A37">
        <w:rPr>
          <w:rFonts w:ascii="Arial" w:hAnsi="Arial" w:cs="Arial"/>
          <w:sz w:val="16"/>
        </w:rPr>
        <w:t xml:space="preserve">Relates to appropriation for corporate entities that is provided through </w:t>
      </w:r>
      <w:r>
        <w:rPr>
          <w:rFonts w:ascii="Arial" w:hAnsi="Arial" w:cs="Arial"/>
          <w:sz w:val="16"/>
        </w:rPr>
        <w:t>the Department</w:t>
      </w:r>
      <w:r w:rsidRPr="00C13A37">
        <w:rPr>
          <w:rFonts w:ascii="Arial" w:hAnsi="Arial" w:cs="Arial"/>
          <w:sz w:val="16"/>
        </w:rPr>
        <w:t>.</w:t>
      </w:r>
    </w:p>
    <w:p w14:paraId="56EC287E" w14:textId="2CEBED7F" w:rsidR="00115843" w:rsidRDefault="00115843" w:rsidP="00977C28">
      <w:pPr>
        <w:pStyle w:val="ListParagraph"/>
        <w:numPr>
          <w:ilvl w:val="0"/>
          <w:numId w:val="116"/>
        </w:numPr>
        <w:spacing w:after="0" w:line="240" w:lineRule="auto"/>
        <w:ind w:left="426" w:hanging="426"/>
        <w:rPr>
          <w:rFonts w:ascii="Arial" w:hAnsi="Arial" w:cs="Arial"/>
          <w:sz w:val="16"/>
        </w:rPr>
      </w:pPr>
      <w:r w:rsidRPr="00C13A37">
        <w:rPr>
          <w:rFonts w:ascii="Arial" w:hAnsi="Arial" w:cs="Arial"/>
          <w:sz w:val="16"/>
        </w:rPr>
        <w:t xml:space="preserve">Administered ‘Expenses not requiring appropriation in the Budget year’ </w:t>
      </w:r>
      <w:r w:rsidR="007B34E6">
        <w:rPr>
          <w:rFonts w:ascii="Arial" w:hAnsi="Arial" w:cs="Arial"/>
          <w:sz w:val="16"/>
        </w:rPr>
        <w:t>comprise</w:t>
      </w:r>
      <w:r w:rsidRPr="00C13A37">
        <w:rPr>
          <w:rFonts w:ascii="Arial" w:hAnsi="Arial" w:cs="Arial"/>
          <w:sz w:val="16"/>
        </w:rPr>
        <w:t xml:space="preserve"> expenses relating to expenses recovered from industry, accruals, payments made from prior year appropriations and other non–cash expenses.</w:t>
      </w:r>
    </w:p>
    <w:p w14:paraId="3CDA45F0" w14:textId="77777777" w:rsidR="00115843" w:rsidRDefault="00115843" w:rsidP="00977C28">
      <w:pPr>
        <w:pStyle w:val="ListParagraph"/>
        <w:numPr>
          <w:ilvl w:val="0"/>
          <w:numId w:val="116"/>
        </w:numPr>
        <w:spacing w:after="0" w:line="240" w:lineRule="auto"/>
        <w:ind w:left="426" w:hanging="426"/>
        <w:rPr>
          <w:rFonts w:ascii="Arial" w:hAnsi="Arial" w:cs="Arial"/>
          <w:sz w:val="16"/>
        </w:rPr>
      </w:pPr>
      <w:r w:rsidRPr="00C13A37">
        <w:rPr>
          <w:rFonts w:ascii="Arial" w:hAnsi="Arial" w:cs="Arial"/>
          <w:sz w:val="16"/>
        </w:rPr>
        <w:t>Estimated expenses incurred in relation to receipts retained under section 74 of the PGPA Act.</w:t>
      </w:r>
    </w:p>
    <w:p w14:paraId="07E7EBF5" w14:textId="082DCA3E" w:rsidR="00115843" w:rsidRPr="00C050E7" w:rsidRDefault="009D1FE5" w:rsidP="00977C28">
      <w:pPr>
        <w:pStyle w:val="ListParagraph"/>
        <w:numPr>
          <w:ilvl w:val="0"/>
          <w:numId w:val="116"/>
        </w:numPr>
        <w:spacing w:after="0" w:line="240" w:lineRule="auto"/>
        <w:ind w:left="426" w:hanging="426"/>
        <w:rPr>
          <w:rFonts w:ascii="Arial" w:hAnsi="Arial" w:cs="Arial"/>
          <w:sz w:val="16"/>
        </w:rPr>
      </w:pPr>
      <w:r>
        <w:rPr>
          <w:rFonts w:ascii="Arial" w:hAnsi="Arial" w:cs="Arial"/>
          <w:sz w:val="16"/>
        </w:rPr>
        <w:t xml:space="preserve">Departmental </w:t>
      </w:r>
      <w:r w:rsidR="00D7504F">
        <w:rPr>
          <w:rFonts w:ascii="Arial" w:hAnsi="Arial" w:cs="Arial"/>
          <w:sz w:val="16"/>
        </w:rPr>
        <w:t>‘E</w:t>
      </w:r>
      <w:r w:rsidR="00115843" w:rsidRPr="008E500B">
        <w:rPr>
          <w:rFonts w:ascii="Arial" w:hAnsi="Arial" w:cs="Arial"/>
          <w:sz w:val="16"/>
        </w:rPr>
        <w:t>xpenses not requiring appropriation in the Budget year</w:t>
      </w:r>
      <w:r w:rsidR="00D7504F">
        <w:rPr>
          <w:rFonts w:ascii="Arial" w:hAnsi="Arial" w:cs="Arial"/>
          <w:sz w:val="16"/>
        </w:rPr>
        <w:t>’</w:t>
      </w:r>
      <w:r w:rsidR="00115843" w:rsidRPr="008E500B">
        <w:rPr>
          <w:rFonts w:ascii="Arial" w:hAnsi="Arial" w:cs="Arial"/>
          <w:sz w:val="16"/>
        </w:rPr>
        <w:t xml:space="preserve"> are made up of depreciation expenses, amortisation expenses, </w:t>
      </w:r>
      <w:r w:rsidR="006E0842">
        <w:rPr>
          <w:rFonts w:ascii="Arial" w:hAnsi="Arial" w:cs="Arial"/>
          <w:sz w:val="16"/>
        </w:rPr>
        <w:t>and exclude right of use assets</w:t>
      </w:r>
      <w:r w:rsidR="00115843" w:rsidRPr="00D275CC">
        <w:rPr>
          <w:rFonts w:ascii="Arial" w:hAnsi="Arial" w:cs="Arial"/>
          <w:sz w:val="16"/>
        </w:rPr>
        <w:t>.</w:t>
      </w:r>
    </w:p>
    <w:p w14:paraId="224F8090" w14:textId="77777777" w:rsidR="00BF5A1E" w:rsidRPr="00BF5A1E" w:rsidRDefault="00BF5A1E" w:rsidP="00BF5A1E">
      <w:pPr>
        <w:spacing w:before="60" w:after="0" w:line="240" w:lineRule="auto"/>
        <w:rPr>
          <w:rFonts w:ascii="Arial" w:hAnsi="Arial" w:cs="Arial"/>
          <w:sz w:val="16"/>
          <w:szCs w:val="16"/>
        </w:rPr>
      </w:pPr>
      <w:r w:rsidRPr="00BF5A1E">
        <w:rPr>
          <w:rFonts w:ascii="Arial" w:hAnsi="Arial" w:cs="Arial"/>
          <w:sz w:val="16"/>
          <w:szCs w:val="16"/>
        </w:rPr>
        <w:t>Note: Departmental appropriation splits and totals are indicative estimates and may change in the course of the budget year as government priorities change.</w:t>
      </w:r>
    </w:p>
    <w:p w14:paraId="6753C14F" w14:textId="77777777" w:rsidR="00115843" w:rsidRDefault="00115843" w:rsidP="00115843">
      <w:pPr>
        <w:spacing w:after="0" w:line="240" w:lineRule="auto"/>
        <w:ind w:left="426" w:hanging="426"/>
        <w:rPr>
          <w:rFonts w:ascii="Arial" w:hAnsi="Arial" w:cs="Arial"/>
          <w:sz w:val="16"/>
        </w:rPr>
      </w:pPr>
      <w:r>
        <w:rPr>
          <w:rFonts w:ascii="Arial" w:hAnsi="Arial" w:cs="Arial"/>
          <w:sz w:val="16"/>
        </w:rPr>
        <w:br w:type="page"/>
      </w:r>
    </w:p>
    <w:p w14:paraId="132BF374" w14:textId="4693850A" w:rsidR="00115843" w:rsidRDefault="00115843" w:rsidP="00115843">
      <w:pPr>
        <w:spacing w:after="0"/>
      </w:pPr>
      <w:r>
        <w:rPr>
          <w:rStyle w:val="TableHeadingChar"/>
        </w:rPr>
        <w:lastRenderedPageBreak/>
        <w:t>Table 2.6</w:t>
      </w:r>
      <w:r w:rsidRPr="00B166C6">
        <w:rPr>
          <w:rStyle w:val="TableHeadingChar"/>
        </w:rPr>
        <w:t>.2:</w:t>
      </w:r>
      <w:r>
        <w:rPr>
          <w:rStyle w:val="TableHeadingChar"/>
        </w:rPr>
        <w:t xml:space="preserve"> Program components of Outcome 6</w:t>
      </w:r>
      <w:r>
        <w:t xml:space="preserve"> </w:t>
      </w:r>
    </w:p>
    <w:tbl>
      <w:tblPr>
        <w:tblW w:w="5000" w:type="pct"/>
        <w:tblLook w:val="04A0" w:firstRow="1" w:lastRow="0" w:firstColumn="1" w:lastColumn="0" w:noHBand="0" w:noVBand="1"/>
      </w:tblPr>
      <w:tblGrid>
        <w:gridCol w:w="3253"/>
        <w:gridCol w:w="933"/>
        <w:gridCol w:w="880"/>
        <w:gridCol w:w="882"/>
        <w:gridCol w:w="882"/>
        <w:gridCol w:w="880"/>
      </w:tblGrid>
      <w:tr w:rsidR="002F7B17" w:rsidRPr="002F7B17" w14:paraId="765E190B" w14:textId="77777777" w:rsidTr="002F7B17">
        <w:trPr>
          <w:trHeight w:val="204"/>
        </w:trPr>
        <w:tc>
          <w:tcPr>
            <w:tcW w:w="2109" w:type="pct"/>
            <w:tcBorders>
              <w:top w:val="single" w:sz="4" w:space="0" w:color="auto"/>
              <w:left w:val="nil"/>
              <w:bottom w:val="nil"/>
              <w:right w:val="nil"/>
            </w:tcBorders>
            <w:shd w:val="clear" w:color="auto" w:fill="auto"/>
            <w:noWrap/>
            <w:vAlign w:val="bottom"/>
            <w:hideMark/>
          </w:tcPr>
          <w:p w14:paraId="5C0DA087" w14:textId="77777777" w:rsidR="002F7B17" w:rsidRPr="002F7B17" w:rsidRDefault="002F7B17" w:rsidP="002F7B17">
            <w:pPr>
              <w:spacing w:after="0" w:line="240" w:lineRule="auto"/>
              <w:rPr>
                <w:rFonts w:ascii="Arial" w:hAnsi="Arial" w:cs="Arial"/>
                <w:sz w:val="16"/>
                <w:szCs w:val="16"/>
              </w:rPr>
            </w:pPr>
            <w:r w:rsidRPr="002F7B17">
              <w:rPr>
                <w:rFonts w:ascii="Arial" w:hAnsi="Arial" w:cs="Arial"/>
                <w:sz w:val="16"/>
                <w:szCs w:val="16"/>
              </w:rPr>
              <w:t> </w:t>
            </w:r>
          </w:p>
        </w:tc>
        <w:tc>
          <w:tcPr>
            <w:tcW w:w="605" w:type="pct"/>
            <w:tcBorders>
              <w:top w:val="single" w:sz="4" w:space="0" w:color="auto"/>
              <w:left w:val="nil"/>
              <w:bottom w:val="nil"/>
              <w:right w:val="nil"/>
            </w:tcBorders>
            <w:shd w:val="clear" w:color="auto" w:fill="auto"/>
            <w:vAlign w:val="bottom"/>
            <w:hideMark/>
          </w:tcPr>
          <w:p w14:paraId="11D441D9" w14:textId="77777777"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2022-23</w:t>
            </w:r>
            <w:r w:rsidRPr="002F7B17">
              <w:rPr>
                <w:rFonts w:ascii="Arial" w:hAnsi="Arial" w:cs="Arial"/>
                <w:sz w:val="16"/>
                <w:szCs w:val="16"/>
              </w:rPr>
              <w:br/>
              <w:t>Estimated  actual</w:t>
            </w:r>
            <w:r w:rsidRPr="002F7B17">
              <w:rPr>
                <w:rFonts w:ascii="Arial" w:hAnsi="Arial" w:cs="Arial"/>
                <w:sz w:val="16"/>
                <w:szCs w:val="16"/>
              </w:rPr>
              <w:br/>
              <w:t>$'000</w:t>
            </w:r>
          </w:p>
        </w:tc>
        <w:tc>
          <w:tcPr>
            <w:tcW w:w="571" w:type="pct"/>
            <w:tcBorders>
              <w:top w:val="single" w:sz="4" w:space="0" w:color="auto"/>
              <w:left w:val="nil"/>
              <w:bottom w:val="nil"/>
              <w:right w:val="nil"/>
            </w:tcBorders>
            <w:shd w:val="clear" w:color="000000" w:fill="E6E6E6"/>
            <w:vAlign w:val="bottom"/>
            <w:hideMark/>
          </w:tcPr>
          <w:p w14:paraId="16EEDD67" w14:textId="77777777"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2023-24</w:t>
            </w:r>
            <w:r w:rsidRPr="002F7B17">
              <w:rPr>
                <w:rFonts w:ascii="Arial" w:hAnsi="Arial" w:cs="Arial"/>
                <w:sz w:val="16"/>
                <w:szCs w:val="16"/>
              </w:rPr>
              <w:br/>
              <w:t xml:space="preserve"> Budget</w:t>
            </w:r>
            <w:r w:rsidRPr="002F7B17">
              <w:rPr>
                <w:rFonts w:ascii="Arial" w:hAnsi="Arial" w:cs="Arial"/>
                <w:sz w:val="16"/>
                <w:szCs w:val="16"/>
              </w:rPr>
              <w:br/>
              <w:t xml:space="preserve">                                      $'000</w:t>
            </w:r>
          </w:p>
        </w:tc>
        <w:tc>
          <w:tcPr>
            <w:tcW w:w="572" w:type="pct"/>
            <w:tcBorders>
              <w:top w:val="single" w:sz="4" w:space="0" w:color="auto"/>
              <w:left w:val="nil"/>
              <w:bottom w:val="nil"/>
              <w:right w:val="nil"/>
            </w:tcBorders>
            <w:shd w:val="clear" w:color="auto" w:fill="auto"/>
            <w:vAlign w:val="bottom"/>
            <w:hideMark/>
          </w:tcPr>
          <w:p w14:paraId="64B07B67" w14:textId="77777777"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2024-25</w:t>
            </w:r>
            <w:r w:rsidRPr="002F7B17">
              <w:rPr>
                <w:rFonts w:ascii="Arial" w:hAnsi="Arial" w:cs="Arial"/>
                <w:sz w:val="16"/>
                <w:szCs w:val="16"/>
              </w:rPr>
              <w:br/>
              <w:t>Forward estimate</w:t>
            </w:r>
            <w:r w:rsidRPr="002F7B17">
              <w:rPr>
                <w:rFonts w:ascii="Arial" w:hAnsi="Arial" w:cs="Arial"/>
                <w:sz w:val="16"/>
                <w:szCs w:val="16"/>
              </w:rPr>
              <w:br/>
              <w:t>$'000</w:t>
            </w:r>
          </w:p>
        </w:tc>
        <w:tc>
          <w:tcPr>
            <w:tcW w:w="572" w:type="pct"/>
            <w:tcBorders>
              <w:top w:val="single" w:sz="4" w:space="0" w:color="auto"/>
              <w:left w:val="nil"/>
              <w:bottom w:val="nil"/>
              <w:right w:val="nil"/>
            </w:tcBorders>
            <w:shd w:val="clear" w:color="auto" w:fill="auto"/>
            <w:vAlign w:val="bottom"/>
            <w:hideMark/>
          </w:tcPr>
          <w:p w14:paraId="617B0717" w14:textId="77777777"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2025-26</w:t>
            </w:r>
            <w:r w:rsidRPr="002F7B17">
              <w:rPr>
                <w:rFonts w:ascii="Arial" w:hAnsi="Arial" w:cs="Arial"/>
                <w:sz w:val="16"/>
                <w:szCs w:val="16"/>
              </w:rPr>
              <w:br/>
              <w:t>Forward estimate</w:t>
            </w:r>
            <w:r w:rsidRPr="002F7B17">
              <w:rPr>
                <w:rFonts w:ascii="Arial" w:hAnsi="Arial" w:cs="Arial"/>
                <w:sz w:val="16"/>
                <w:szCs w:val="16"/>
              </w:rPr>
              <w:br/>
              <w:t>$'000</w:t>
            </w:r>
          </w:p>
        </w:tc>
        <w:tc>
          <w:tcPr>
            <w:tcW w:w="572" w:type="pct"/>
            <w:tcBorders>
              <w:top w:val="single" w:sz="4" w:space="0" w:color="auto"/>
              <w:left w:val="nil"/>
              <w:bottom w:val="nil"/>
              <w:right w:val="nil"/>
            </w:tcBorders>
            <w:shd w:val="clear" w:color="auto" w:fill="auto"/>
            <w:vAlign w:val="bottom"/>
            <w:hideMark/>
          </w:tcPr>
          <w:p w14:paraId="47CBF40B" w14:textId="77777777"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2026-27</w:t>
            </w:r>
            <w:r w:rsidRPr="002F7B17">
              <w:rPr>
                <w:rFonts w:ascii="Arial" w:hAnsi="Arial" w:cs="Arial"/>
                <w:sz w:val="16"/>
                <w:szCs w:val="16"/>
              </w:rPr>
              <w:br/>
              <w:t>Forward estimate</w:t>
            </w:r>
            <w:r w:rsidRPr="002F7B17">
              <w:rPr>
                <w:rFonts w:ascii="Arial" w:hAnsi="Arial" w:cs="Arial"/>
                <w:sz w:val="16"/>
                <w:szCs w:val="16"/>
              </w:rPr>
              <w:br/>
              <w:t>$'000</w:t>
            </w:r>
          </w:p>
        </w:tc>
      </w:tr>
      <w:tr w:rsidR="002F7B17" w:rsidRPr="002F7B17" w14:paraId="3B6E590E" w14:textId="77777777" w:rsidTr="002F7B17">
        <w:trPr>
          <w:trHeight w:val="204"/>
        </w:trPr>
        <w:tc>
          <w:tcPr>
            <w:tcW w:w="3857" w:type="pct"/>
            <w:gridSpan w:val="4"/>
            <w:tcBorders>
              <w:top w:val="single" w:sz="4" w:space="0" w:color="auto"/>
              <w:left w:val="nil"/>
              <w:bottom w:val="single" w:sz="4" w:space="0" w:color="auto"/>
              <w:right w:val="nil"/>
            </w:tcBorders>
            <w:shd w:val="clear" w:color="000000" w:fill="E6E6E6"/>
            <w:noWrap/>
            <w:vAlign w:val="bottom"/>
            <w:hideMark/>
          </w:tcPr>
          <w:p w14:paraId="12F3AD0A" w14:textId="77777777" w:rsidR="002F7B17" w:rsidRPr="002F7B17" w:rsidRDefault="002F7B17" w:rsidP="002F7B17">
            <w:pPr>
              <w:spacing w:after="0" w:line="240" w:lineRule="auto"/>
              <w:rPr>
                <w:rFonts w:ascii="Arial" w:hAnsi="Arial" w:cs="Arial"/>
                <w:b/>
                <w:bCs/>
                <w:sz w:val="16"/>
                <w:szCs w:val="16"/>
              </w:rPr>
            </w:pPr>
            <w:r w:rsidRPr="002F7B17">
              <w:rPr>
                <w:rFonts w:ascii="Arial" w:hAnsi="Arial" w:cs="Arial"/>
                <w:b/>
                <w:bCs/>
                <w:sz w:val="16"/>
                <w:szCs w:val="16"/>
              </w:rPr>
              <w:t>Components for Program 6.1: Arts and Cultural Development</w:t>
            </w:r>
          </w:p>
        </w:tc>
        <w:tc>
          <w:tcPr>
            <w:tcW w:w="572" w:type="pct"/>
            <w:tcBorders>
              <w:top w:val="single" w:sz="4" w:space="0" w:color="auto"/>
              <w:left w:val="nil"/>
              <w:bottom w:val="single" w:sz="4" w:space="0" w:color="auto"/>
              <w:right w:val="nil"/>
            </w:tcBorders>
            <w:shd w:val="clear" w:color="000000" w:fill="E6E6E6"/>
            <w:noWrap/>
            <w:vAlign w:val="bottom"/>
            <w:hideMark/>
          </w:tcPr>
          <w:p w14:paraId="29421DCB" w14:textId="77777777" w:rsidR="002F7B17" w:rsidRPr="002F7B17" w:rsidRDefault="002F7B17" w:rsidP="002F7B17">
            <w:pPr>
              <w:spacing w:after="0" w:line="240" w:lineRule="auto"/>
              <w:rPr>
                <w:rFonts w:ascii="Arial" w:hAnsi="Arial" w:cs="Arial"/>
                <w:sz w:val="16"/>
                <w:szCs w:val="16"/>
              </w:rPr>
            </w:pPr>
            <w:r w:rsidRPr="002F7B17">
              <w:rPr>
                <w:rFonts w:ascii="Arial" w:hAnsi="Arial" w:cs="Arial"/>
                <w:sz w:val="16"/>
                <w:szCs w:val="16"/>
              </w:rPr>
              <w:t> </w:t>
            </w:r>
          </w:p>
        </w:tc>
        <w:tc>
          <w:tcPr>
            <w:tcW w:w="572" w:type="pct"/>
            <w:tcBorders>
              <w:top w:val="single" w:sz="4" w:space="0" w:color="auto"/>
              <w:left w:val="nil"/>
              <w:bottom w:val="single" w:sz="4" w:space="0" w:color="auto"/>
              <w:right w:val="nil"/>
            </w:tcBorders>
            <w:shd w:val="clear" w:color="000000" w:fill="E6E6E6"/>
            <w:noWrap/>
            <w:vAlign w:val="bottom"/>
            <w:hideMark/>
          </w:tcPr>
          <w:p w14:paraId="687DC152" w14:textId="77777777" w:rsidR="002F7B17" w:rsidRPr="002F7B17" w:rsidRDefault="002F7B17" w:rsidP="002F7B17">
            <w:pPr>
              <w:spacing w:after="0" w:line="240" w:lineRule="auto"/>
              <w:rPr>
                <w:rFonts w:ascii="Arial" w:hAnsi="Arial" w:cs="Arial"/>
                <w:sz w:val="16"/>
                <w:szCs w:val="16"/>
              </w:rPr>
            </w:pPr>
            <w:r w:rsidRPr="002F7B17">
              <w:rPr>
                <w:rFonts w:ascii="Arial" w:hAnsi="Arial" w:cs="Arial"/>
                <w:sz w:val="16"/>
                <w:szCs w:val="16"/>
              </w:rPr>
              <w:t> </w:t>
            </w:r>
          </w:p>
        </w:tc>
      </w:tr>
      <w:tr w:rsidR="002F7B17" w:rsidRPr="002F7B17" w14:paraId="6F635E8B" w14:textId="77777777" w:rsidTr="002F7B17">
        <w:trPr>
          <w:trHeight w:val="204"/>
        </w:trPr>
        <w:tc>
          <w:tcPr>
            <w:tcW w:w="2109" w:type="pct"/>
            <w:tcBorders>
              <w:top w:val="nil"/>
              <w:left w:val="nil"/>
              <w:bottom w:val="nil"/>
              <w:right w:val="nil"/>
            </w:tcBorders>
            <w:shd w:val="clear" w:color="auto" w:fill="auto"/>
            <w:vAlign w:val="bottom"/>
            <w:hideMark/>
          </w:tcPr>
          <w:p w14:paraId="135B4801" w14:textId="77777777" w:rsidR="002F7B17" w:rsidRPr="002F7B17" w:rsidRDefault="002F7B17" w:rsidP="002F7B17">
            <w:pPr>
              <w:spacing w:after="0" w:line="240" w:lineRule="auto"/>
              <w:rPr>
                <w:rFonts w:ascii="Arial" w:hAnsi="Arial" w:cs="Arial"/>
                <w:sz w:val="16"/>
                <w:szCs w:val="16"/>
              </w:rPr>
            </w:pPr>
            <w:r w:rsidRPr="002F7B17">
              <w:rPr>
                <w:rFonts w:ascii="Arial" w:hAnsi="Arial" w:cs="Arial"/>
                <w:sz w:val="16"/>
                <w:szCs w:val="16"/>
              </w:rPr>
              <w:t>Administered expenses:</w:t>
            </w:r>
          </w:p>
        </w:tc>
        <w:tc>
          <w:tcPr>
            <w:tcW w:w="605" w:type="pct"/>
            <w:tcBorders>
              <w:top w:val="nil"/>
              <w:left w:val="nil"/>
              <w:bottom w:val="nil"/>
              <w:right w:val="nil"/>
            </w:tcBorders>
            <w:shd w:val="clear" w:color="auto" w:fill="auto"/>
            <w:noWrap/>
            <w:vAlign w:val="bottom"/>
            <w:hideMark/>
          </w:tcPr>
          <w:p w14:paraId="2FE600A4" w14:textId="77777777" w:rsidR="002F7B17" w:rsidRPr="002F7B17" w:rsidRDefault="002F7B17" w:rsidP="002F7B17">
            <w:pPr>
              <w:spacing w:after="0" w:line="240" w:lineRule="auto"/>
              <w:jc w:val="right"/>
              <w:rPr>
                <w:rFonts w:ascii="Arial" w:hAnsi="Arial" w:cs="Arial"/>
                <w:sz w:val="16"/>
                <w:szCs w:val="16"/>
              </w:rPr>
            </w:pPr>
          </w:p>
        </w:tc>
        <w:tc>
          <w:tcPr>
            <w:tcW w:w="571" w:type="pct"/>
            <w:tcBorders>
              <w:top w:val="nil"/>
              <w:left w:val="nil"/>
              <w:bottom w:val="nil"/>
              <w:right w:val="nil"/>
            </w:tcBorders>
            <w:shd w:val="clear" w:color="000000" w:fill="E6E6E6"/>
            <w:noWrap/>
            <w:vAlign w:val="bottom"/>
            <w:hideMark/>
          </w:tcPr>
          <w:p w14:paraId="25B368D9" w14:textId="673D0EC2" w:rsidR="002F7B17" w:rsidRPr="002F7B17" w:rsidRDefault="002F7B17" w:rsidP="002F7B17">
            <w:pPr>
              <w:spacing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6ECA1B6E" w14:textId="77777777" w:rsidR="002F7B17" w:rsidRPr="002F7B17" w:rsidRDefault="002F7B17" w:rsidP="002F7B17">
            <w:pPr>
              <w:spacing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5A8B398E" w14:textId="77777777" w:rsidR="002F7B17" w:rsidRPr="002F7B17" w:rsidRDefault="002F7B17" w:rsidP="002F7B17">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2A2BDA53" w14:textId="77777777" w:rsidR="002F7B17" w:rsidRPr="002F7B17" w:rsidRDefault="002F7B17" w:rsidP="002F7B17">
            <w:pPr>
              <w:spacing w:after="0" w:line="240" w:lineRule="auto"/>
              <w:jc w:val="right"/>
              <w:rPr>
                <w:rFonts w:ascii="Times New Roman" w:hAnsi="Times New Roman"/>
              </w:rPr>
            </w:pPr>
          </w:p>
        </w:tc>
      </w:tr>
      <w:tr w:rsidR="002F7B17" w:rsidRPr="002F7B17" w14:paraId="6AB2875E" w14:textId="77777777" w:rsidTr="002F7B17">
        <w:trPr>
          <w:trHeight w:val="204"/>
        </w:trPr>
        <w:tc>
          <w:tcPr>
            <w:tcW w:w="2109" w:type="pct"/>
            <w:tcBorders>
              <w:top w:val="nil"/>
              <w:left w:val="nil"/>
              <w:bottom w:val="nil"/>
              <w:right w:val="nil"/>
            </w:tcBorders>
            <w:shd w:val="clear" w:color="auto" w:fill="auto"/>
            <w:vAlign w:val="bottom"/>
            <w:hideMark/>
          </w:tcPr>
          <w:p w14:paraId="522EE3C5" w14:textId="77777777" w:rsidR="002F7B17" w:rsidRPr="002F7B17" w:rsidRDefault="002F7B17" w:rsidP="007B5C33">
            <w:pPr>
              <w:spacing w:after="0" w:line="240" w:lineRule="auto"/>
              <w:ind w:left="113"/>
              <w:rPr>
                <w:rFonts w:ascii="Arial" w:hAnsi="Arial" w:cs="Arial"/>
                <w:sz w:val="16"/>
                <w:szCs w:val="16"/>
              </w:rPr>
            </w:pPr>
            <w:r w:rsidRPr="002F7B17">
              <w:rPr>
                <w:rFonts w:ascii="Arial" w:hAnsi="Arial" w:cs="Arial"/>
                <w:sz w:val="16"/>
                <w:szCs w:val="16"/>
              </w:rPr>
              <w:t>Arts and Cultural Development</w:t>
            </w:r>
          </w:p>
        </w:tc>
        <w:tc>
          <w:tcPr>
            <w:tcW w:w="605" w:type="pct"/>
            <w:tcBorders>
              <w:top w:val="nil"/>
              <w:left w:val="nil"/>
              <w:bottom w:val="nil"/>
              <w:right w:val="nil"/>
            </w:tcBorders>
            <w:shd w:val="clear" w:color="auto" w:fill="auto"/>
            <w:noWrap/>
            <w:vAlign w:val="bottom"/>
            <w:hideMark/>
          </w:tcPr>
          <w:p w14:paraId="6BE4DE58" w14:textId="2C6C2216"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2,348</w:t>
            </w:r>
          </w:p>
        </w:tc>
        <w:tc>
          <w:tcPr>
            <w:tcW w:w="571" w:type="pct"/>
            <w:tcBorders>
              <w:top w:val="nil"/>
              <w:left w:val="nil"/>
              <w:bottom w:val="nil"/>
              <w:right w:val="nil"/>
            </w:tcBorders>
            <w:shd w:val="clear" w:color="000000" w:fill="E6E6E6"/>
            <w:noWrap/>
            <w:vAlign w:val="bottom"/>
            <w:hideMark/>
          </w:tcPr>
          <w:p w14:paraId="4632D7BF" w14:textId="4B647843"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3,029</w:t>
            </w:r>
          </w:p>
        </w:tc>
        <w:tc>
          <w:tcPr>
            <w:tcW w:w="572" w:type="pct"/>
            <w:tcBorders>
              <w:top w:val="nil"/>
              <w:left w:val="nil"/>
              <w:bottom w:val="nil"/>
              <w:right w:val="nil"/>
            </w:tcBorders>
            <w:shd w:val="clear" w:color="auto" w:fill="auto"/>
            <w:noWrap/>
            <w:vAlign w:val="bottom"/>
            <w:hideMark/>
          </w:tcPr>
          <w:p w14:paraId="278B84F1" w14:textId="68668D1C"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3,194</w:t>
            </w:r>
          </w:p>
        </w:tc>
        <w:tc>
          <w:tcPr>
            <w:tcW w:w="572" w:type="pct"/>
            <w:tcBorders>
              <w:top w:val="nil"/>
              <w:left w:val="nil"/>
              <w:bottom w:val="nil"/>
              <w:right w:val="nil"/>
            </w:tcBorders>
            <w:shd w:val="clear" w:color="auto" w:fill="auto"/>
            <w:noWrap/>
            <w:vAlign w:val="bottom"/>
            <w:hideMark/>
          </w:tcPr>
          <w:p w14:paraId="2E77E120" w14:textId="41406528"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3,510</w:t>
            </w:r>
          </w:p>
        </w:tc>
        <w:tc>
          <w:tcPr>
            <w:tcW w:w="572" w:type="pct"/>
            <w:tcBorders>
              <w:top w:val="nil"/>
              <w:left w:val="nil"/>
              <w:bottom w:val="nil"/>
              <w:right w:val="nil"/>
            </w:tcBorders>
            <w:shd w:val="clear" w:color="auto" w:fill="auto"/>
            <w:noWrap/>
            <w:vAlign w:val="bottom"/>
            <w:hideMark/>
          </w:tcPr>
          <w:p w14:paraId="48045EB8" w14:textId="5E757E48"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3,776</w:t>
            </w:r>
          </w:p>
        </w:tc>
      </w:tr>
      <w:tr w:rsidR="002F7B17" w:rsidRPr="002F7B17" w14:paraId="4E1B375F" w14:textId="77777777" w:rsidTr="002F7B17">
        <w:trPr>
          <w:trHeight w:val="204"/>
        </w:trPr>
        <w:tc>
          <w:tcPr>
            <w:tcW w:w="2109" w:type="pct"/>
            <w:tcBorders>
              <w:top w:val="nil"/>
              <w:left w:val="nil"/>
              <w:bottom w:val="nil"/>
              <w:right w:val="nil"/>
            </w:tcBorders>
            <w:shd w:val="clear" w:color="auto" w:fill="auto"/>
            <w:vAlign w:val="bottom"/>
            <w:hideMark/>
          </w:tcPr>
          <w:p w14:paraId="5E0008C6" w14:textId="77777777" w:rsidR="002F7B17" w:rsidRPr="002F7B17" w:rsidRDefault="002F7B17" w:rsidP="007B5C33">
            <w:pPr>
              <w:spacing w:after="0" w:line="240" w:lineRule="auto"/>
              <w:ind w:left="113"/>
              <w:rPr>
                <w:rFonts w:ascii="Arial" w:hAnsi="Arial" w:cs="Arial"/>
                <w:sz w:val="16"/>
                <w:szCs w:val="16"/>
              </w:rPr>
            </w:pPr>
            <w:r w:rsidRPr="002F7B17">
              <w:rPr>
                <w:rFonts w:ascii="Arial" w:hAnsi="Arial" w:cs="Arial"/>
                <w:sz w:val="16"/>
                <w:szCs w:val="16"/>
              </w:rPr>
              <w:t>Arts Training</w:t>
            </w:r>
          </w:p>
        </w:tc>
        <w:tc>
          <w:tcPr>
            <w:tcW w:w="605" w:type="pct"/>
            <w:tcBorders>
              <w:top w:val="nil"/>
              <w:left w:val="nil"/>
              <w:bottom w:val="nil"/>
              <w:right w:val="nil"/>
            </w:tcBorders>
            <w:shd w:val="clear" w:color="auto" w:fill="auto"/>
            <w:noWrap/>
            <w:vAlign w:val="bottom"/>
            <w:hideMark/>
          </w:tcPr>
          <w:p w14:paraId="425D75C9" w14:textId="5C7A6653"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32,057</w:t>
            </w:r>
          </w:p>
        </w:tc>
        <w:tc>
          <w:tcPr>
            <w:tcW w:w="571" w:type="pct"/>
            <w:tcBorders>
              <w:top w:val="nil"/>
              <w:left w:val="nil"/>
              <w:bottom w:val="nil"/>
              <w:right w:val="nil"/>
            </w:tcBorders>
            <w:shd w:val="clear" w:color="000000" w:fill="E6E6E6"/>
            <w:noWrap/>
            <w:vAlign w:val="bottom"/>
            <w:hideMark/>
          </w:tcPr>
          <w:p w14:paraId="167C8267" w14:textId="5EB453A5"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31,561</w:t>
            </w:r>
          </w:p>
        </w:tc>
        <w:tc>
          <w:tcPr>
            <w:tcW w:w="572" w:type="pct"/>
            <w:tcBorders>
              <w:top w:val="nil"/>
              <w:left w:val="nil"/>
              <w:bottom w:val="nil"/>
              <w:right w:val="nil"/>
            </w:tcBorders>
            <w:shd w:val="clear" w:color="auto" w:fill="auto"/>
            <w:noWrap/>
            <w:vAlign w:val="bottom"/>
            <w:hideMark/>
          </w:tcPr>
          <w:p w14:paraId="41A36FDA" w14:textId="46F9C472"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24,415</w:t>
            </w:r>
          </w:p>
        </w:tc>
        <w:tc>
          <w:tcPr>
            <w:tcW w:w="572" w:type="pct"/>
            <w:tcBorders>
              <w:top w:val="nil"/>
              <w:left w:val="nil"/>
              <w:bottom w:val="nil"/>
              <w:right w:val="nil"/>
            </w:tcBorders>
            <w:shd w:val="clear" w:color="auto" w:fill="auto"/>
            <w:noWrap/>
            <w:vAlign w:val="bottom"/>
            <w:hideMark/>
          </w:tcPr>
          <w:p w14:paraId="3606CE25" w14:textId="76F22BA4"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24,988</w:t>
            </w:r>
          </w:p>
        </w:tc>
        <w:tc>
          <w:tcPr>
            <w:tcW w:w="572" w:type="pct"/>
            <w:tcBorders>
              <w:top w:val="nil"/>
              <w:left w:val="nil"/>
              <w:bottom w:val="nil"/>
              <w:right w:val="nil"/>
            </w:tcBorders>
            <w:shd w:val="clear" w:color="auto" w:fill="auto"/>
            <w:noWrap/>
            <w:vAlign w:val="bottom"/>
            <w:hideMark/>
          </w:tcPr>
          <w:p w14:paraId="3E1F3403" w14:textId="438137CD"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25,274</w:t>
            </w:r>
          </w:p>
        </w:tc>
      </w:tr>
      <w:tr w:rsidR="002F7B17" w:rsidRPr="002F7B17" w14:paraId="79271A76" w14:textId="77777777" w:rsidTr="002F7B17">
        <w:trPr>
          <w:trHeight w:val="204"/>
        </w:trPr>
        <w:tc>
          <w:tcPr>
            <w:tcW w:w="2109" w:type="pct"/>
            <w:tcBorders>
              <w:top w:val="nil"/>
              <w:left w:val="nil"/>
              <w:bottom w:val="nil"/>
              <w:right w:val="nil"/>
            </w:tcBorders>
            <w:shd w:val="clear" w:color="auto" w:fill="auto"/>
            <w:vAlign w:val="bottom"/>
            <w:hideMark/>
          </w:tcPr>
          <w:p w14:paraId="05282104" w14:textId="77777777" w:rsidR="002F7B17" w:rsidRPr="002F7B17" w:rsidRDefault="002F7B17" w:rsidP="007B5C33">
            <w:pPr>
              <w:spacing w:after="0" w:line="240" w:lineRule="auto"/>
              <w:ind w:left="113"/>
              <w:rPr>
                <w:rFonts w:ascii="Arial" w:hAnsi="Arial" w:cs="Arial"/>
                <w:sz w:val="16"/>
                <w:szCs w:val="16"/>
              </w:rPr>
            </w:pPr>
            <w:r w:rsidRPr="002F7B17">
              <w:rPr>
                <w:rFonts w:ascii="Arial" w:hAnsi="Arial" w:cs="Arial"/>
                <w:sz w:val="16"/>
                <w:szCs w:val="16"/>
              </w:rPr>
              <w:t>Australian Music</w:t>
            </w:r>
          </w:p>
        </w:tc>
        <w:tc>
          <w:tcPr>
            <w:tcW w:w="605" w:type="pct"/>
            <w:tcBorders>
              <w:top w:val="nil"/>
              <w:left w:val="nil"/>
              <w:bottom w:val="nil"/>
              <w:right w:val="nil"/>
            </w:tcBorders>
            <w:shd w:val="clear" w:color="auto" w:fill="auto"/>
            <w:noWrap/>
            <w:vAlign w:val="bottom"/>
            <w:hideMark/>
          </w:tcPr>
          <w:p w14:paraId="6F874056" w14:textId="4F468BD0"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6,375</w:t>
            </w:r>
          </w:p>
        </w:tc>
        <w:tc>
          <w:tcPr>
            <w:tcW w:w="571" w:type="pct"/>
            <w:tcBorders>
              <w:top w:val="nil"/>
              <w:left w:val="nil"/>
              <w:bottom w:val="nil"/>
              <w:right w:val="nil"/>
            </w:tcBorders>
            <w:shd w:val="clear" w:color="000000" w:fill="E6E6E6"/>
            <w:noWrap/>
            <w:vAlign w:val="bottom"/>
            <w:hideMark/>
          </w:tcPr>
          <w:p w14:paraId="32BC11B0" w14:textId="606E8A52"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5,000</w:t>
            </w:r>
          </w:p>
        </w:tc>
        <w:tc>
          <w:tcPr>
            <w:tcW w:w="572" w:type="pct"/>
            <w:tcBorders>
              <w:top w:val="nil"/>
              <w:left w:val="nil"/>
              <w:bottom w:val="nil"/>
              <w:right w:val="nil"/>
            </w:tcBorders>
            <w:shd w:val="clear" w:color="auto" w:fill="auto"/>
            <w:noWrap/>
            <w:vAlign w:val="bottom"/>
            <w:hideMark/>
          </w:tcPr>
          <w:p w14:paraId="73FF5CE2" w14:textId="0BBD4AE0"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w:t>
            </w:r>
          </w:p>
        </w:tc>
        <w:tc>
          <w:tcPr>
            <w:tcW w:w="572" w:type="pct"/>
            <w:tcBorders>
              <w:top w:val="nil"/>
              <w:left w:val="nil"/>
              <w:bottom w:val="nil"/>
              <w:right w:val="nil"/>
            </w:tcBorders>
            <w:shd w:val="clear" w:color="auto" w:fill="auto"/>
            <w:noWrap/>
            <w:vAlign w:val="bottom"/>
            <w:hideMark/>
          </w:tcPr>
          <w:p w14:paraId="269B430A" w14:textId="77EE3A1B"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w:t>
            </w:r>
          </w:p>
        </w:tc>
        <w:tc>
          <w:tcPr>
            <w:tcW w:w="572" w:type="pct"/>
            <w:tcBorders>
              <w:top w:val="nil"/>
              <w:left w:val="nil"/>
              <w:bottom w:val="nil"/>
              <w:right w:val="nil"/>
            </w:tcBorders>
            <w:shd w:val="clear" w:color="auto" w:fill="auto"/>
            <w:noWrap/>
            <w:vAlign w:val="bottom"/>
            <w:hideMark/>
          </w:tcPr>
          <w:p w14:paraId="2D6790B4" w14:textId="093809A2"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w:t>
            </w:r>
          </w:p>
        </w:tc>
      </w:tr>
      <w:tr w:rsidR="002F7B17" w:rsidRPr="002F7B17" w14:paraId="6F625884" w14:textId="77777777" w:rsidTr="002F7B17">
        <w:trPr>
          <w:trHeight w:val="204"/>
        </w:trPr>
        <w:tc>
          <w:tcPr>
            <w:tcW w:w="2109" w:type="pct"/>
            <w:tcBorders>
              <w:top w:val="nil"/>
              <w:left w:val="nil"/>
              <w:bottom w:val="nil"/>
              <w:right w:val="nil"/>
            </w:tcBorders>
            <w:shd w:val="clear" w:color="auto" w:fill="auto"/>
            <w:vAlign w:val="bottom"/>
            <w:hideMark/>
          </w:tcPr>
          <w:p w14:paraId="6C2F0F3C" w14:textId="77777777" w:rsidR="002F7B17" w:rsidRPr="002F7B17" w:rsidRDefault="002F7B17" w:rsidP="007B5C33">
            <w:pPr>
              <w:spacing w:after="0" w:line="240" w:lineRule="auto"/>
              <w:ind w:left="113"/>
              <w:rPr>
                <w:rFonts w:ascii="Arial" w:hAnsi="Arial" w:cs="Arial"/>
                <w:sz w:val="16"/>
                <w:szCs w:val="16"/>
              </w:rPr>
            </w:pPr>
            <w:r w:rsidRPr="002F7B17">
              <w:rPr>
                <w:rFonts w:ascii="Arial" w:hAnsi="Arial" w:cs="Arial"/>
                <w:sz w:val="16"/>
                <w:szCs w:val="16"/>
              </w:rPr>
              <w:t>Awards</w:t>
            </w:r>
          </w:p>
        </w:tc>
        <w:tc>
          <w:tcPr>
            <w:tcW w:w="605" w:type="pct"/>
            <w:tcBorders>
              <w:top w:val="nil"/>
              <w:left w:val="nil"/>
              <w:bottom w:val="nil"/>
              <w:right w:val="nil"/>
            </w:tcBorders>
            <w:shd w:val="clear" w:color="auto" w:fill="auto"/>
            <w:noWrap/>
            <w:vAlign w:val="bottom"/>
            <w:hideMark/>
          </w:tcPr>
          <w:p w14:paraId="64686010" w14:textId="45D64E03"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658</w:t>
            </w:r>
          </w:p>
        </w:tc>
        <w:tc>
          <w:tcPr>
            <w:tcW w:w="571" w:type="pct"/>
            <w:tcBorders>
              <w:top w:val="nil"/>
              <w:left w:val="nil"/>
              <w:bottom w:val="nil"/>
              <w:right w:val="nil"/>
            </w:tcBorders>
            <w:shd w:val="clear" w:color="000000" w:fill="E6E6E6"/>
            <w:noWrap/>
            <w:vAlign w:val="bottom"/>
            <w:hideMark/>
          </w:tcPr>
          <w:p w14:paraId="133A3BFA" w14:textId="497BB1D7"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w:t>
            </w:r>
          </w:p>
        </w:tc>
        <w:tc>
          <w:tcPr>
            <w:tcW w:w="572" w:type="pct"/>
            <w:tcBorders>
              <w:top w:val="nil"/>
              <w:left w:val="nil"/>
              <w:bottom w:val="nil"/>
              <w:right w:val="nil"/>
            </w:tcBorders>
            <w:shd w:val="clear" w:color="auto" w:fill="auto"/>
            <w:noWrap/>
            <w:vAlign w:val="bottom"/>
            <w:hideMark/>
          </w:tcPr>
          <w:p w14:paraId="3C1BAA75" w14:textId="29625C66"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w:t>
            </w:r>
          </w:p>
        </w:tc>
        <w:tc>
          <w:tcPr>
            <w:tcW w:w="572" w:type="pct"/>
            <w:tcBorders>
              <w:top w:val="nil"/>
              <w:left w:val="nil"/>
              <w:bottom w:val="nil"/>
              <w:right w:val="nil"/>
            </w:tcBorders>
            <w:shd w:val="clear" w:color="auto" w:fill="auto"/>
            <w:noWrap/>
            <w:vAlign w:val="bottom"/>
            <w:hideMark/>
          </w:tcPr>
          <w:p w14:paraId="0C670CAB" w14:textId="3D7F7FFC"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w:t>
            </w:r>
          </w:p>
        </w:tc>
        <w:tc>
          <w:tcPr>
            <w:tcW w:w="572" w:type="pct"/>
            <w:tcBorders>
              <w:top w:val="nil"/>
              <w:left w:val="nil"/>
              <w:bottom w:val="nil"/>
              <w:right w:val="nil"/>
            </w:tcBorders>
            <w:shd w:val="clear" w:color="auto" w:fill="auto"/>
            <w:noWrap/>
            <w:vAlign w:val="bottom"/>
            <w:hideMark/>
          </w:tcPr>
          <w:p w14:paraId="685DBE81" w14:textId="5F5DB299"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w:t>
            </w:r>
          </w:p>
        </w:tc>
      </w:tr>
      <w:tr w:rsidR="002F7B17" w:rsidRPr="002F7B17" w14:paraId="2086ED6B" w14:textId="77777777" w:rsidTr="002F7B17">
        <w:trPr>
          <w:trHeight w:val="204"/>
        </w:trPr>
        <w:tc>
          <w:tcPr>
            <w:tcW w:w="2109" w:type="pct"/>
            <w:tcBorders>
              <w:top w:val="nil"/>
              <w:left w:val="nil"/>
              <w:bottom w:val="nil"/>
              <w:right w:val="nil"/>
            </w:tcBorders>
            <w:shd w:val="clear" w:color="auto" w:fill="auto"/>
            <w:vAlign w:val="bottom"/>
            <w:hideMark/>
          </w:tcPr>
          <w:p w14:paraId="2AEAB13F" w14:textId="77777777" w:rsidR="002F7B17" w:rsidRPr="002F7B17" w:rsidRDefault="002F7B17" w:rsidP="007B5C33">
            <w:pPr>
              <w:spacing w:after="0" w:line="240" w:lineRule="auto"/>
              <w:ind w:left="113"/>
              <w:rPr>
                <w:rFonts w:ascii="Arial" w:hAnsi="Arial" w:cs="Arial"/>
                <w:sz w:val="16"/>
                <w:szCs w:val="16"/>
              </w:rPr>
            </w:pPr>
            <w:r w:rsidRPr="002F7B17">
              <w:rPr>
                <w:rFonts w:ascii="Arial" w:hAnsi="Arial" w:cs="Arial"/>
                <w:sz w:val="16"/>
                <w:szCs w:val="16"/>
              </w:rPr>
              <w:t>Collections</w:t>
            </w:r>
          </w:p>
        </w:tc>
        <w:tc>
          <w:tcPr>
            <w:tcW w:w="605" w:type="pct"/>
            <w:tcBorders>
              <w:top w:val="nil"/>
              <w:left w:val="nil"/>
              <w:bottom w:val="nil"/>
              <w:right w:val="nil"/>
            </w:tcBorders>
            <w:shd w:val="clear" w:color="auto" w:fill="auto"/>
            <w:noWrap/>
            <w:vAlign w:val="bottom"/>
            <w:hideMark/>
          </w:tcPr>
          <w:p w14:paraId="089E89F1" w14:textId="28997F6F"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11,217</w:t>
            </w:r>
          </w:p>
        </w:tc>
        <w:tc>
          <w:tcPr>
            <w:tcW w:w="571" w:type="pct"/>
            <w:tcBorders>
              <w:top w:val="nil"/>
              <w:left w:val="nil"/>
              <w:bottom w:val="nil"/>
              <w:right w:val="nil"/>
            </w:tcBorders>
            <w:shd w:val="clear" w:color="000000" w:fill="E6E6E6"/>
            <w:noWrap/>
            <w:vAlign w:val="bottom"/>
            <w:hideMark/>
          </w:tcPr>
          <w:p w14:paraId="451EA40A" w14:textId="23BA95B9"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14,150</w:t>
            </w:r>
          </w:p>
        </w:tc>
        <w:tc>
          <w:tcPr>
            <w:tcW w:w="572" w:type="pct"/>
            <w:tcBorders>
              <w:top w:val="nil"/>
              <w:left w:val="nil"/>
              <w:bottom w:val="nil"/>
              <w:right w:val="nil"/>
            </w:tcBorders>
            <w:shd w:val="clear" w:color="auto" w:fill="auto"/>
            <w:noWrap/>
            <w:vAlign w:val="bottom"/>
            <w:hideMark/>
          </w:tcPr>
          <w:p w14:paraId="4387E408" w14:textId="480EB039"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14,750</w:t>
            </w:r>
          </w:p>
        </w:tc>
        <w:tc>
          <w:tcPr>
            <w:tcW w:w="572" w:type="pct"/>
            <w:tcBorders>
              <w:top w:val="nil"/>
              <w:left w:val="nil"/>
              <w:bottom w:val="nil"/>
              <w:right w:val="nil"/>
            </w:tcBorders>
            <w:shd w:val="clear" w:color="auto" w:fill="auto"/>
            <w:noWrap/>
            <w:vAlign w:val="bottom"/>
            <w:hideMark/>
          </w:tcPr>
          <w:p w14:paraId="4F43DCEC" w14:textId="768B68A0"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14,458</w:t>
            </w:r>
          </w:p>
        </w:tc>
        <w:tc>
          <w:tcPr>
            <w:tcW w:w="572" w:type="pct"/>
            <w:tcBorders>
              <w:top w:val="nil"/>
              <w:left w:val="nil"/>
              <w:bottom w:val="nil"/>
              <w:right w:val="nil"/>
            </w:tcBorders>
            <w:shd w:val="clear" w:color="auto" w:fill="auto"/>
            <w:noWrap/>
            <w:vAlign w:val="bottom"/>
            <w:hideMark/>
          </w:tcPr>
          <w:p w14:paraId="797F37A7" w14:textId="5D39ADDF"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14,401</w:t>
            </w:r>
          </w:p>
        </w:tc>
      </w:tr>
      <w:tr w:rsidR="002F7B17" w:rsidRPr="002F7B17" w14:paraId="4CCAECBD" w14:textId="77777777" w:rsidTr="002F7B17">
        <w:trPr>
          <w:trHeight w:val="204"/>
        </w:trPr>
        <w:tc>
          <w:tcPr>
            <w:tcW w:w="2109" w:type="pct"/>
            <w:tcBorders>
              <w:top w:val="nil"/>
              <w:left w:val="nil"/>
              <w:bottom w:val="nil"/>
              <w:right w:val="nil"/>
            </w:tcBorders>
            <w:shd w:val="clear" w:color="auto" w:fill="auto"/>
            <w:vAlign w:val="bottom"/>
            <w:hideMark/>
          </w:tcPr>
          <w:p w14:paraId="734EDD23" w14:textId="77777777" w:rsidR="002F7B17" w:rsidRPr="002F7B17" w:rsidRDefault="002F7B17" w:rsidP="007B5C33">
            <w:pPr>
              <w:spacing w:after="0" w:line="240" w:lineRule="auto"/>
              <w:ind w:left="113"/>
              <w:rPr>
                <w:rFonts w:ascii="Arial" w:hAnsi="Arial" w:cs="Arial"/>
                <w:sz w:val="16"/>
                <w:szCs w:val="16"/>
              </w:rPr>
            </w:pPr>
            <w:r w:rsidRPr="002F7B17">
              <w:rPr>
                <w:rFonts w:ascii="Arial" w:hAnsi="Arial" w:cs="Arial"/>
                <w:sz w:val="16"/>
                <w:szCs w:val="16"/>
              </w:rPr>
              <w:t>Depreciation and Amortisation</w:t>
            </w:r>
          </w:p>
        </w:tc>
        <w:tc>
          <w:tcPr>
            <w:tcW w:w="605" w:type="pct"/>
            <w:tcBorders>
              <w:top w:val="nil"/>
              <w:left w:val="nil"/>
              <w:bottom w:val="nil"/>
              <w:right w:val="nil"/>
            </w:tcBorders>
            <w:shd w:val="clear" w:color="auto" w:fill="auto"/>
            <w:noWrap/>
            <w:vAlign w:val="bottom"/>
            <w:hideMark/>
          </w:tcPr>
          <w:p w14:paraId="33867B8E" w14:textId="08D025A6"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2,389</w:t>
            </w:r>
          </w:p>
        </w:tc>
        <w:tc>
          <w:tcPr>
            <w:tcW w:w="571" w:type="pct"/>
            <w:tcBorders>
              <w:top w:val="nil"/>
              <w:left w:val="nil"/>
              <w:bottom w:val="nil"/>
              <w:right w:val="nil"/>
            </w:tcBorders>
            <w:shd w:val="clear" w:color="000000" w:fill="E6E6E6"/>
            <w:noWrap/>
            <w:vAlign w:val="bottom"/>
            <w:hideMark/>
          </w:tcPr>
          <w:p w14:paraId="493EC988" w14:textId="3440F86B"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2,389</w:t>
            </w:r>
          </w:p>
        </w:tc>
        <w:tc>
          <w:tcPr>
            <w:tcW w:w="572" w:type="pct"/>
            <w:tcBorders>
              <w:top w:val="nil"/>
              <w:left w:val="nil"/>
              <w:bottom w:val="nil"/>
              <w:right w:val="nil"/>
            </w:tcBorders>
            <w:shd w:val="clear" w:color="auto" w:fill="auto"/>
            <w:noWrap/>
            <w:vAlign w:val="bottom"/>
            <w:hideMark/>
          </w:tcPr>
          <w:p w14:paraId="08C6432C" w14:textId="3B86F3AB"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2,389</w:t>
            </w:r>
          </w:p>
        </w:tc>
        <w:tc>
          <w:tcPr>
            <w:tcW w:w="572" w:type="pct"/>
            <w:tcBorders>
              <w:top w:val="nil"/>
              <w:left w:val="nil"/>
              <w:bottom w:val="nil"/>
              <w:right w:val="nil"/>
            </w:tcBorders>
            <w:shd w:val="clear" w:color="auto" w:fill="auto"/>
            <w:noWrap/>
            <w:vAlign w:val="bottom"/>
            <w:hideMark/>
          </w:tcPr>
          <w:p w14:paraId="390B9D84" w14:textId="433EB5F2"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2,389</w:t>
            </w:r>
          </w:p>
        </w:tc>
        <w:tc>
          <w:tcPr>
            <w:tcW w:w="572" w:type="pct"/>
            <w:tcBorders>
              <w:top w:val="nil"/>
              <w:left w:val="nil"/>
              <w:bottom w:val="nil"/>
              <w:right w:val="nil"/>
            </w:tcBorders>
            <w:shd w:val="clear" w:color="auto" w:fill="auto"/>
            <w:noWrap/>
            <w:vAlign w:val="bottom"/>
            <w:hideMark/>
          </w:tcPr>
          <w:p w14:paraId="0DA6A314" w14:textId="57D6E20C"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2,389</w:t>
            </w:r>
          </w:p>
        </w:tc>
      </w:tr>
      <w:tr w:rsidR="002F7B17" w:rsidRPr="002F7B17" w14:paraId="3A706ACF" w14:textId="77777777" w:rsidTr="002F7B17">
        <w:trPr>
          <w:trHeight w:val="204"/>
        </w:trPr>
        <w:tc>
          <w:tcPr>
            <w:tcW w:w="2109" w:type="pct"/>
            <w:tcBorders>
              <w:top w:val="nil"/>
              <w:left w:val="nil"/>
              <w:bottom w:val="nil"/>
              <w:right w:val="nil"/>
            </w:tcBorders>
            <w:shd w:val="clear" w:color="auto" w:fill="auto"/>
            <w:vAlign w:val="bottom"/>
            <w:hideMark/>
          </w:tcPr>
          <w:p w14:paraId="1FE8EA86" w14:textId="77777777" w:rsidR="002F7B17" w:rsidRPr="002F7B17" w:rsidRDefault="002F7B17" w:rsidP="007B5C33">
            <w:pPr>
              <w:spacing w:after="0" w:line="240" w:lineRule="auto"/>
              <w:ind w:left="113"/>
              <w:rPr>
                <w:rFonts w:ascii="Arial" w:hAnsi="Arial" w:cs="Arial"/>
                <w:sz w:val="16"/>
                <w:szCs w:val="16"/>
              </w:rPr>
            </w:pPr>
            <w:r w:rsidRPr="002F7B17">
              <w:rPr>
                <w:rFonts w:ascii="Arial" w:hAnsi="Arial" w:cs="Arial"/>
                <w:sz w:val="16"/>
                <w:szCs w:val="16"/>
              </w:rPr>
              <w:t>Film and Television</w:t>
            </w:r>
          </w:p>
        </w:tc>
        <w:tc>
          <w:tcPr>
            <w:tcW w:w="605" w:type="pct"/>
            <w:tcBorders>
              <w:top w:val="nil"/>
              <w:left w:val="nil"/>
              <w:bottom w:val="nil"/>
              <w:right w:val="nil"/>
            </w:tcBorders>
            <w:shd w:val="clear" w:color="auto" w:fill="auto"/>
            <w:noWrap/>
            <w:vAlign w:val="bottom"/>
            <w:hideMark/>
          </w:tcPr>
          <w:p w14:paraId="4579E4AE" w14:textId="69AADE18"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155,132</w:t>
            </w:r>
          </w:p>
        </w:tc>
        <w:tc>
          <w:tcPr>
            <w:tcW w:w="571" w:type="pct"/>
            <w:tcBorders>
              <w:top w:val="nil"/>
              <w:left w:val="nil"/>
              <w:bottom w:val="nil"/>
              <w:right w:val="nil"/>
            </w:tcBorders>
            <w:shd w:val="clear" w:color="000000" w:fill="E6E6E6"/>
            <w:noWrap/>
            <w:vAlign w:val="bottom"/>
            <w:hideMark/>
          </w:tcPr>
          <w:p w14:paraId="7046C46B" w14:textId="5B172299"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135,468</w:t>
            </w:r>
          </w:p>
        </w:tc>
        <w:tc>
          <w:tcPr>
            <w:tcW w:w="572" w:type="pct"/>
            <w:tcBorders>
              <w:top w:val="nil"/>
              <w:left w:val="nil"/>
              <w:bottom w:val="nil"/>
              <w:right w:val="nil"/>
            </w:tcBorders>
            <w:shd w:val="clear" w:color="auto" w:fill="auto"/>
            <w:noWrap/>
            <w:vAlign w:val="bottom"/>
            <w:hideMark/>
          </w:tcPr>
          <w:p w14:paraId="65EA3B93" w14:textId="2197264B"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157,596</w:t>
            </w:r>
          </w:p>
        </w:tc>
        <w:tc>
          <w:tcPr>
            <w:tcW w:w="572" w:type="pct"/>
            <w:tcBorders>
              <w:top w:val="nil"/>
              <w:left w:val="nil"/>
              <w:bottom w:val="nil"/>
              <w:right w:val="nil"/>
            </w:tcBorders>
            <w:shd w:val="clear" w:color="auto" w:fill="auto"/>
            <w:noWrap/>
            <w:vAlign w:val="bottom"/>
            <w:hideMark/>
          </w:tcPr>
          <w:p w14:paraId="65FC563C" w14:textId="3EA4D580"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124,718</w:t>
            </w:r>
          </w:p>
        </w:tc>
        <w:tc>
          <w:tcPr>
            <w:tcW w:w="572" w:type="pct"/>
            <w:tcBorders>
              <w:top w:val="nil"/>
              <w:left w:val="nil"/>
              <w:bottom w:val="nil"/>
              <w:right w:val="nil"/>
            </w:tcBorders>
            <w:shd w:val="clear" w:color="auto" w:fill="auto"/>
            <w:noWrap/>
            <w:vAlign w:val="bottom"/>
            <w:hideMark/>
          </w:tcPr>
          <w:p w14:paraId="1C8521DA" w14:textId="549F6990"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89,976</w:t>
            </w:r>
          </w:p>
        </w:tc>
      </w:tr>
      <w:tr w:rsidR="002F7B17" w:rsidRPr="002F7B17" w14:paraId="62AF4347" w14:textId="77777777" w:rsidTr="002F7B17">
        <w:trPr>
          <w:trHeight w:val="204"/>
        </w:trPr>
        <w:tc>
          <w:tcPr>
            <w:tcW w:w="2109" w:type="pct"/>
            <w:tcBorders>
              <w:top w:val="nil"/>
              <w:left w:val="nil"/>
              <w:bottom w:val="nil"/>
              <w:right w:val="nil"/>
            </w:tcBorders>
            <w:shd w:val="clear" w:color="auto" w:fill="auto"/>
            <w:vAlign w:val="bottom"/>
            <w:hideMark/>
          </w:tcPr>
          <w:p w14:paraId="05BE4D09" w14:textId="77777777" w:rsidR="002F7B17" w:rsidRPr="002F7B17" w:rsidRDefault="002F7B17" w:rsidP="007B5C33">
            <w:pPr>
              <w:spacing w:after="0" w:line="240" w:lineRule="auto"/>
              <w:ind w:left="113"/>
              <w:rPr>
                <w:rFonts w:ascii="Arial" w:hAnsi="Arial" w:cs="Arial"/>
                <w:sz w:val="16"/>
                <w:szCs w:val="16"/>
              </w:rPr>
            </w:pPr>
            <w:r w:rsidRPr="002F7B17">
              <w:rPr>
                <w:rFonts w:ascii="Arial" w:hAnsi="Arial" w:cs="Arial"/>
                <w:sz w:val="16"/>
                <w:szCs w:val="16"/>
              </w:rPr>
              <w:t>Indigenous Arts, Languages and Repatriation</w:t>
            </w:r>
          </w:p>
        </w:tc>
        <w:tc>
          <w:tcPr>
            <w:tcW w:w="605" w:type="pct"/>
            <w:tcBorders>
              <w:top w:val="nil"/>
              <w:left w:val="nil"/>
              <w:bottom w:val="nil"/>
              <w:right w:val="nil"/>
            </w:tcBorders>
            <w:shd w:val="clear" w:color="auto" w:fill="auto"/>
            <w:noWrap/>
            <w:vAlign w:val="bottom"/>
            <w:hideMark/>
          </w:tcPr>
          <w:p w14:paraId="709E10D5" w14:textId="02A19FE5"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57,804</w:t>
            </w:r>
          </w:p>
        </w:tc>
        <w:tc>
          <w:tcPr>
            <w:tcW w:w="571" w:type="pct"/>
            <w:tcBorders>
              <w:top w:val="nil"/>
              <w:left w:val="nil"/>
              <w:bottom w:val="nil"/>
              <w:right w:val="nil"/>
            </w:tcBorders>
            <w:shd w:val="clear" w:color="000000" w:fill="E6E6E6"/>
            <w:noWrap/>
            <w:vAlign w:val="bottom"/>
            <w:hideMark/>
          </w:tcPr>
          <w:p w14:paraId="7AF8AEEA" w14:textId="0D7FBADC"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65,028</w:t>
            </w:r>
          </w:p>
        </w:tc>
        <w:tc>
          <w:tcPr>
            <w:tcW w:w="572" w:type="pct"/>
            <w:tcBorders>
              <w:top w:val="nil"/>
              <w:left w:val="nil"/>
              <w:bottom w:val="nil"/>
              <w:right w:val="nil"/>
            </w:tcBorders>
            <w:shd w:val="clear" w:color="auto" w:fill="auto"/>
            <w:noWrap/>
            <w:vAlign w:val="bottom"/>
            <w:hideMark/>
          </w:tcPr>
          <w:p w14:paraId="315B4ACF" w14:textId="783032E8"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63,229</w:t>
            </w:r>
          </w:p>
        </w:tc>
        <w:tc>
          <w:tcPr>
            <w:tcW w:w="572" w:type="pct"/>
            <w:tcBorders>
              <w:top w:val="nil"/>
              <w:left w:val="nil"/>
              <w:bottom w:val="nil"/>
              <w:right w:val="nil"/>
            </w:tcBorders>
            <w:shd w:val="clear" w:color="auto" w:fill="auto"/>
            <w:noWrap/>
            <w:vAlign w:val="bottom"/>
            <w:hideMark/>
          </w:tcPr>
          <w:p w14:paraId="1651AE29" w14:textId="6C1DECD5"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61,634</w:t>
            </w:r>
          </w:p>
        </w:tc>
        <w:tc>
          <w:tcPr>
            <w:tcW w:w="572" w:type="pct"/>
            <w:tcBorders>
              <w:top w:val="nil"/>
              <w:left w:val="nil"/>
              <w:bottom w:val="nil"/>
              <w:right w:val="nil"/>
            </w:tcBorders>
            <w:shd w:val="clear" w:color="auto" w:fill="auto"/>
            <w:noWrap/>
            <w:vAlign w:val="bottom"/>
            <w:hideMark/>
          </w:tcPr>
          <w:p w14:paraId="56930EE5" w14:textId="53139FA3"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62,935</w:t>
            </w:r>
          </w:p>
        </w:tc>
      </w:tr>
      <w:tr w:rsidR="002F7B17" w:rsidRPr="002F7B17" w14:paraId="25D91620" w14:textId="77777777" w:rsidTr="002F7B17">
        <w:trPr>
          <w:trHeight w:val="204"/>
        </w:trPr>
        <w:tc>
          <w:tcPr>
            <w:tcW w:w="2109" w:type="pct"/>
            <w:tcBorders>
              <w:top w:val="nil"/>
              <w:left w:val="nil"/>
              <w:bottom w:val="nil"/>
              <w:right w:val="nil"/>
            </w:tcBorders>
            <w:shd w:val="clear" w:color="auto" w:fill="auto"/>
            <w:vAlign w:val="bottom"/>
            <w:hideMark/>
          </w:tcPr>
          <w:p w14:paraId="78B4DDB2" w14:textId="77777777" w:rsidR="002F7B17" w:rsidRPr="002F7B17" w:rsidRDefault="002F7B17" w:rsidP="007B5C33">
            <w:pPr>
              <w:spacing w:after="0" w:line="240" w:lineRule="auto"/>
              <w:ind w:left="113"/>
              <w:rPr>
                <w:rFonts w:ascii="Arial" w:hAnsi="Arial" w:cs="Arial"/>
                <w:sz w:val="16"/>
                <w:szCs w:val="16"/>
              </w:rPr>
            </w:pPr>
            <w:r w:rsidRPr="002F7B17">
              <w:rPr>
                <w:rFonts w:ascii="Arial" w:hAnsi="Arial" w:cs="Arial"/>
                <w:sz w:val="16"/>
                <w:szCs w:val="16"/>
              </w:rPr>
              <w:t>Lending Rights</w:t>
            </w:r>
          </w:p>
        </w:tc>
        <w:tc>
          <w:tcPr>
            <w:tcW w:w="605" w:type="pct"/>
            <w:tcBorders>
              <w:top w:val="nil"/>
              <w:left w:val="nil"/>
              <w:bottom w:val="nil"/>
              <w:right w:val="nil"/>
            </w:tcBorders>
            <w:shd w:val="clear" w:color="auto" w:fill="auto"/>
            <w:noWrap/>
            <w:vAlign w:val="bottom"/>
            <w:hideMark/>
          </w:tcPr>
          <w:p w14:paraId="4DA9ECE0" w14:textId="32E01E96"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23,613</w:t>
            </w:r>
          </w:p>
        </w:tc>
        <w:tc>
          <w:tcPr>
            <w:tcW w:w="571" w:type="pct"/>
            <w:tcBorders>
              <w:top w:val="nil"/>
              <w:left w:val="nil"/>
              <w:bottom w:val="nil"/>
              <w:right w:val="nil"/>
            </w:tcBorders>
            <w:shd w:val="clear" w:color="000000" w:fill="E6E6E6"/>
            <w:noWrap/>
            <w:vAlign w:val="bottom"/>
            <w:hideMark/>
          </w:tcPr>
          <w:p w14:paraId="0AF126EB" w14:textId="5B022952"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27,063</w:t>
            </w:r>
          </w:p>
        </w:tc>
        <w:tc>
          <w:tcPr>
            <w:tcW w:w="572" w:type="pct"/>
            <w:tcBorders>
              <w:top w:val="nil"/>
              <w:left w:val="nil"/>
              <w:bottom w:val="nil"/>
              <w:right w:val="nil"/>
            </w:tcBorders>
            <w:shd w:val="clear" w:color="auto" w:fill="auto"/>
            <w:noWrap/>
            <w:vAlign w:val="bottom"/>
            <w:hideMark/>
          </w:tcPr>
          <w:p w14:paraId="606EBB2B" w14:textId="7CF81DE8"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28,618</w:t>
            </w:r>
          </w:p>
        </w:tc>
        <w:tc>
          <w:tcPr>
            <w:tcW w:w="572" w:type="pct"/>
            <w:tcBorders>
              <w:top w:val="nil"/>
              <w:left w:val="nil"/>
              <w:bottom w:val="nil"/>
              <w:right w:val="nil"/>
            </w:tcBorders>
            <w:shd w:val="clear" w:color="auto" w:fill="auto"/>
            <w:noWrap/>
            <w:vAlign w:val="bottom"/>
            <w:hideMark/>
          </w:tcPr>
          <w:p w14:paraId="130F4A7F" w14:textId="55A0356E"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29,311</w:t>
            </w:r>
          </w:p>
        </w:tc>
        <w:tc>
          <w:tcPr>
            <w:tcW w:w="572" w:type="pct"/>
            <w:tcBorders>
              <w:top w:val="nil"/>
              <w:left w:val="nil"/>
              <w:bottom w:val="nil"/>
              <w:right w:val="nil"/>
            </w:tcBorders>
            <w:shd w:val="clear" w:color="auto" w:fill="auto"/>
            <w:noWrap/>
            <w:vAlign w:val="bottom"/>
            <w:hideMark/>
          </w:tcPr>
          <w:p w14:paraId="4CA9B6DD" w14:textId="7E2EA961"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30,553</w:t>
            </w:r>
          </w:p>
        </w:tc>
      </w:tr>
      <w:tr w:rsidR="002F7B17" w:rsidRPr="002F7B17" w14:paraId="2292DE1C" w14:textId="77777777" w:rsidTr="002F7B17">
        <w:trPr>
          <w:trHeight w:val="204"/>
        </w:trPr>
        <w:tc>
          <w:tcPr>
            <w:tcW w:w="2109" w:type="pct"/>
            <w:tcBorders>
              <w:top w:val="nil"/>
              <w:left w:val="nil"/>
              <w:bottom w:val="nil"/>
              <w:right w:val="nil"/>
            </w:tcBorders>
            <w:shd w:val="clear" w:color="auto" w:fill="auto"/>
            <w:vAlign w:val="bottom"/>
            <w:hideMark/>
          </w:tcPr>
          <w:p w14:paraId="14329B4D" w14:textId="77777777" w:rsidR="002F7B17" w:rsidRPr="002F7B17" w:rsidRDefault="002F7B17" w:rsidP="007B5C33">
            <w:pPr>
              <w:spacing w:after="0" w:line="240" w:lineRule="auto"/>
              <w:ind w:left="113"/>
              <w:rPr>
                <w:rFonts w:ascii="Arial" w:hAnsi="Arial" w:cs="Arial"/>
                <w:sz w:val="16"/>
                <w:szCs w:val="16"/>
              </w:rPr>
            </w:pPr>
            <w:r w:rsidRPr="002F7B17">
              <w:rPr>
                <w:rFonts w:ascii="Arial" w:hAnsi="Arial" w:cs="Arial"/>
                <w:sz w:val="16"/>
                <w:szCs w:val="16"/>
              </w:rPr>
              <w:t>Private Sector Support</w:t>
            </w:r>
          </w:p>
        </w:tc>
        <w:tc>
          <w:tcPr>
            <w:tcW w:w="605" w:type="pct"/>
            <w:tcBorders>
              <w:top w:val="nil"/>
              <w:left w:val="nil"/>
              <w:bottom w:val="nil"/>
              <w:right w:val="nil"/>
            </w:tcBorders>
            <w:shd w:val="clear" w:color="auto" w:fill="auto"/>
            <w:noWrap/>
            <w:vAlign w:val="bottom"/>
            <w:hideMark/>
          </w:tcPr>
          <w:p w14:paraId="747C8BFF" w14:textId="5F24E812"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4,705</w:t>
            </w:r>
          </w:p>
        </w:tc>
        <w:tc>
          <w:tcPr>
            <w:tcW w:w="571" w:type="pct"/>
            <w:tcBorders>
              <w:top w:val="nil"/>
              <w:left w:val="nil"/>
              <w:bottom w:val="nil"/>
              <w:right w:val="nil"/>
            </w:tcBorders>
            <w:shd w:val="clear" w:color="000000" w:fill="E6E6E6"/>
            <w:noWrap/>
            <w:vAlign w:val="bottom"/>
            <w:hideMark/>
          </w:tcPr>
          <w:p w14:paraId="6913AA39" w14:textId="25E7E1DE"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w:t>
            </w:r>
          </w:p>
        </w:tc>
        <w:tc>
          <w:tcPr>
            <w:tcW w:w="572" w:type="pct"/>
            <w:tcBorders>
              <w:top w:val="nil"/>
              <w:left w:val="nil"/>
              <w:bottom w:val="nil"/>
              <w:right w:val="nil"/>
            </w:tcBorders>
            <w:shd w:val="clear" w:color="auto" w:fill="auto"/>
            <w:noWrap/>
            <w:vAlign w:val="bottom"/>
            <w:hideMark/>
          </w:tcPr>
          <w:p w14:paraId="32763ED3" w14:textId="4BD0C7A2"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w:t>
            </w:r>
          </w:p>
        </w:tc>
        <w:tc>
          <w:tcPr>
            <w:tcW w:w="572" w:type="pct"/>
            <w:tcBorders>
              <w:top w:val="nil"/>
              <w:left w:val="nil"/>
              <w:bottom w:val="nil"/>
              <w:right w:val="nil"/>
            </w:tcBorders>
            <w:shd w:val="clear" w:color="auto" w:fill="auto"/>
            <w:noWrap/>
            <w:vAlign w:val="bottom"/>
            <w:hideMark/>
          </w:tcPr>
          <w:p w14:paraId="7D54F0A0" w14:textId="23875E5B"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w:t>
            </w:r>
          </w:p>
        </w:tc>
        <w:tc>
          <w:tcPr>
            <w:tcW w:w="572" w:type="pct"/>
            <w:tcBorders>
              <w:top w:val="nil"/>
              <w:left w:val="nil"/>
              <w:bottom w:val="nil"/>
              <w:right w:val="nil"/>
            </w:tcBorders>
            <w:shd w:val="clear" w:color="auto" w:fill="auto"/>
            <w:noWrap/>
            <w:vAlign w:val="bottom"/>
            <w:hideMark/>
          </w:tcPr>
          <w:p w14:paraId="3EA0315F" w14:textId="1B3B8DFF"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w:t>
            </w:r>
          </w:p>
        </w:tc>
      </w:tr>
      <w:tr w:rsidR="002F7B17" w:rsidRPr="002F7B17" w14:paraId="7809FC52" w14:textId="77777777" w:rsidTr="002F7B17">
        <w:trPr>
          <w:trHeight w:val="204"/>
        </w:trPr>
        <w:tc>
          <w:tcPr>
            <w:tcW w:w="2109" w:type="pct"/>
            <w:tcBorders>
              <w:top w:val="nil"/>
              <w:left w:val="nil"/>
              <w:bottom w:val="nil"/>
              <w:right w:val="nil"/>
            </w:tcBorders>
            <w:shd w:val="clear" w:color="auto" w:fill="auto"/>
            <w:vAlign w:val="bottom"/>
            <w:hideMark/>
          </w:tcPr>
          <w:p w14:paraId="775F8E6B" w14:textId="77777777" w:rsidR="002F7B17" w:rsidRPr="002F7B17" w:rsidRDefault="002F7B17" w:rsidP="007B5C33">
            <w:pPr>
              <w:spacing w:after="0" w:line="240" w:lineRule="auto"/>
              <w:ind w:left="113"/>
              <w:rPr>
                <w:rFonts w:ascii="Arial" w:hAnsi="Arial" w:cs="Arial"/>
                <w:sz w:val="16"/>
                <w:szCs w:val="16"/>
              </w:rPr>
            </w:pPr>
            <w:r w:rsidRPr="002F7B17">
              <w:rPr>
                <w:rFonts w:ascii="Arial" w:hAnsi="Arial" w:cs="Arial"/>
                <w:sz w:val="16"/>
                <w:szCs w:val="16"/>
              </w:rPr>
              <w:t>Regional Arts</w:t>
            </w:r>
          </w:p>
        </w:tc>
        <w:tc>
          <w:tcPr>
            <w:tcW w:w="605" w:type="pct"/>
            <w:tcBorders>
              <w:top w:val="nil"/>
              <w:left w:val="nil"/>
              <w:bottom w:val="nil"/>
              <w:right w:val="nil"/>
            </w:tcBorders>
            <w:shd w:val="clear" w:color="auto" w:fill="auto"/>
            <w:noWrap/>
            <w:vAlign w:val="bottom"/>
            <w:hideMark/>
          </w:tcPr>
          <w:p w14:paraId="27E78C31" w14:textId="56C3274F"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7,535</w:t>
            </w:r>
          </w:p>
        </w:tc>
        <w:tc>
          <w:tcPr>
            <w:tcW w:w="571" w:type="pct"/>
            <w:tcBorders>
              <w:top w:val="nil"/>
              <w:left w:val="nil"/>
              <w:bottom w:val="nil"/>
              <w:right w:val="nil"/>
            </w:tcBorders>
            <w:shd w:val="clear" w:color="000000" w:fill="E6E6E6"/>
            <w:noWrap/>
            <w:vAlign w:val="bottom"/>
            <w:hideMark/>
          </w:tcPr>
          <w:p w14:paraId="78FA0E3C" w14:textId="17C7D9F8"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10,051</w:t>
            </w:r>
          </w:p>
        </w:tc>
        <w:tc>
          <w:tcPr>
            <w:tcW w:w="572" w:type="pct"/>
            <w:tcBorders>
              <w:top w:val="nil"/>
              <w:left w:val="nil"/>
              <w:bottom w:val="nil"/>
              <w:right w:val="nil"/>
            </w:tcBorders>
            <w:shd w:val="clear" w:color="auto" w:fill="auto"/>
            <w:noWrap/>
            <w:vAlign w:val="bottom"/>
            <w:hideMark/>
          </w:tcPr>
          <w:p w14:paraId="2C011D38" w14:textId="6901B185"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10,398</w:t>
            </w:r>
          </w:p>
        </w:tc>
        <w:tc>
          <w:tcPr>
            <w:tcW w:w="572" w:type="pct"/>
            <w:tcBorders>
              <w:top w:val="nil"/>
              <w:left w:val="nil"/>
              <w:bottom w:val="nil"/>
              <w:right w:val="nil"/>
            </w:tcBorders>
            <w:shd w:val="clear" w:color="auto" w:fill="auto"/>
            <w:noWrap/>
            <w:vAlign w:val="bottom"/>
            <w:hideMark/>
          </w:tcPr>
          <w:p w14:paraId="41CAA5EA" w14:textId="01041E87"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10,634</w:t>
            </w:r>
          </w:p>
        </w:tc>
        <w:tc>
          <w:tcPr>
            <w:tcW w:w="572" w:type="pct"/>
            <w:tcBorders>
              <w:top w:val="nil"/>
              <w:left w:val="nil"/>
              <w:bottom w:val="nil"/>
              <w:right w:val="nil"/>
            </w:tcBorders>
            <w:shd w:val="clear" w:color="auto" w:fill="auto"/>
            <w:noWrap/>
            <w:vAlign w:val="bottom"/>
            <w:hideMark/>
          </w:tcPr>
          <w:p w14:paraId="164BE12B" w14:textId="1613C10A"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10,855</w:t>
            </w:r>
          </w:p>
        </w:tc>
      </w:tr>
      <w:tr w:rsidR="002F7B17" w:rsidRPr="002F7B17" w14:paraId="5ABA456F" w14:textId="77777777" w:rsidTr="002F7B17">
        <w:trPr>
          <w:trHeight w:val="204"/>
        </w:trPr>
        <w:tc>
          <w:tcPr>
            <w:tcW w:w="2109" w:type="pct"/>
            <w:tcBorders>
              <w:top w:val="nil"/>
              <w:left w:val="nil"/>
              <w:bottom w:val="nil"/>
              <w:right w:val="nil"/>
            </w:tcBorders>
            <w:shd w:val="clear" w:color="auto" w:fill="auto"/>
            <w:noWrap/>
            <w:vAlign w:val="bottom"/>
            <w:hideMark/>
          </w:tcPr>
          <w:p w14:paraId="3221BD7E" w14:textId="77777777" w:rsidR="002F7B17" w:rsidRPr="002F7B17" w:rsidRDefault="002F7B17" w:rsidP="007B5C33">
            <w:pPr>
              <w:spacing w:after="0" w:line="240" w:lineRule="auto"/>
              <w:rPr>
                <w:rFonts w:ascii="Arial" w:hAnsi="Arial" w:cs="Arial"/>
                <w:sz w:val="16"/>
                <w:szCs w:val="16"/>
              </w:rPr>
            </w:pPr>
            <w:r w:rsidRPr="002F7B17">
              <w:rPr>
                <w:rFonts w:ascii="Arial" w:hAnsi="Arial" w:cs="Arial"/>
                <w:sz w:val="16"/>
                <w:szCs w:val="16"/>
              </w:rPr>
              <w:t>Special Accounts</w:t>
            </w:r>
          </w:p>
        </w:tc>
        <w:tc>
          <w:tcPr>
            <w:tcW w:w="605" w:type="pct"/>
            <w:tcBorders>
              <w:top w:val="nil"/>
              <w:left w:val="nil"/>
              <w:bottom w:val="nil"/>
              <w:right w:val="nil"/>
            </w:tcBorders>
            <w:shd w:val="clear" w:color="auto" w:fill="auto"/>
            <w:noWrap/>
            <w:vAlign w:val="bottom"/>
            <w:hideMark/>
          </w:tcPr>
          <w:p w14:paraId="536F4D3C" w14:textId="77777777" w:rsidR="002F7B17" w:rsidRPr="002F7B17" w:rsidRDefault="002F7B17" w:rsidP="002F7B17">
            <w:pPr>
              <w:spacing w:after="0" w:line="240" w:lineRule="auto"/>
              <w:ind w:firstLineChars="100" w:firstLine="160"/>
              <w:jc w:val="right"/>
              <w:rPr>
                <w:rFonts w:ascii="Arial" w:hAnsi="Arial" w:cs="Arial"/>
                <w:sz w:val="16"/>
                <w:szCs w:val="16"/>
              </w:rPr>
            </w:pPr>
          </w:p>
        </w:tc>
        <w:tc>
          <w:tcPr>
            <w:tcW w:w="571" w:type="pct"/>
            <w:tcBorders>
              <w:top w:val="nil"/>
              <w:left w:val="nil"/>
              <w:bottom w:val="nil"/>
              <w:right w:val="nil"/>
            </w:tcBorders>
            <w:shd w:val="clear" w:color="000000" w:fill="E6E6E6"/>
            <w:noWrap/>
            <w:vAlign w:val="bottom"/>
            <w:hideMark/>
          </w:tcPr>
          <w:p w14:paraId="6FF2D50E" w14:textId="0EE1659E" w:rsidR="002F7B17" w:rsidRPr="002F7B17" w:rsidRDefault="002F7B17" w:rsidP="002F7B17">
            <w:pPr>
              <w:spacing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51E46741" w14:textId="77777777" w:rsidR="002F7B17" w:rsidRPr="002F7B17" w:rsidRDefault="002F7B17" w:rsidP="002F7B17">
            <w:pPr>
              <w:spacing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425A1B7B" w14:textId="77777777" w:rsidR="002F7B17" w:rsidRPr="002F7B17" w:rsidRDefault="002F7B17" w:rsidP="002F7B17">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15DD029F" w14:textId="77777777" w:rsidR="002F7B17" w:rsidRPr="002F7B17" w:rsidRDefault="002F7B17" w:rsidP="002F7B17">
            <w:pPr>
              <w:spacing w:after="0" w:line="240" w:lineRule="auto"/>
              <w:jc w:val="right"/>
              <w:rPr>
                <w:rFonts w:ascii="Times New Roman" w:hAnsi="Times New Roman"/>
              </w:rPr>
            </w:pPr>
          </w:p>
        </w:tc>
      </w:tr>
      <w:tr w:rsidR="002F7B17" w:rsidRPr="002F7B17" w14:paraId="028D9800" w14:textId="77777777" w:rsidTr="002F7B17">
        <w:trPr>
          <w:trHeight w:val="204"/>
        </w:trPr>
        <w:tc>
          <w:tcPr>
            <w:tcW w:w="2109" w:type="pct"/>
            <w:tcBorders>
              <w:top w:val="nil"/>
              <w:left w:val="nil"/>
              <w:bottom w:val="nil"/>
              <w:right w:val="nil"/>
            </w:tcBorders>
            <w:shd w:val="clear" w:color="auto" w:fill="auto"/>
            <w:vAlign w:val="bottom"/>
            <w:hideMark/>
          </w:tcPr>
          <w:p w14:paraId="37068B97" w14:textId="77777777" w:rsidR="002F7B17" w:rsidRPr="002F7B17" w:rsidRDefault="002F7B17" w:rsidP="007B5C33">
            <w:pPr>
              <w:spacing w:after="0" w:line="240" w:lineRule="auto"/>
              <w:ind w:left="113"/>
              <w:rPr>
                <w:rFonts w:ascii="Arial" w:hAnsi="Arial" w:cs="Arial"/>
                <w:sz w:val="16"/>
                <w:szCs w:val="16"/>
              </w:rPr>
            </w:pPr>
            <w:r w:rsidRPr="002F7B17">
              <w:rPr>
                <w:rFonts w:ascii="Arial" w:hAnsi="Arial" w:cs="Arial"/>
                <w:sz w:val="16"/>
                <w:szCs w:val="16"/>
              </w:rPr>
              <w:t>National Cultural Heritage Account</w:t>
            </w:r>
          </w:p>
        </w:tc>
        <w:tc>
          <w:tcPr>
            <w:tcW w:w="605" w:type="pct"/>
            <w:tcBorders>
              <w:top w:val="nil"/>
              <w:left w:val="nil"/>
              <w:bottom w:val="nil"/>
              <w:right w:val="nil"/>
            </w:tcBorders>
            <w:shd w:val="clear" w:color="auto" w:fill="auto"/>
            <w:noWrap/>
            <w:vAlign w:val="bottom"/>
            <w:hideMark/>
          </w:tcPr>
          <w:p w14:paraId="1125F8A6" w14:textId="78041A3A"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500</w:t>
            </w:r>
          </w:p>
        </w:tc>
        <w:tc>
          <w:tcPr>
            <w:tcW w:w="571" w:type="pct"/>
            <w:tcBorders>
              <w:top w:val="nil"/>
              <w:left w:val="nil"/>
              <w:bottom w:val="nil"/>
              <w:right w:val="nil"/>
            </w:tcBorders>
            <w:shd w:val="clear" w:color="000000" w:fill="E6E6E6"/>
            <w:noWrap/>
            <w:vAlign w:val="bottom"/>
            <w:hideMark/>
          </w:tcPr>
          <w:p w14:paraId="78C0B525" w14:textId="506F11A0"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500</w:t>
            </w:r>
          </w:p>
        </w:tc>
        <w:tc>
          <w:tcPr>
            <w:tcW w:w="572" w:type="pct"/>
            <w:tcBorders>
              <w:top w:val="nil"/>
              <w:left w:val="nil"/>
              <w:bottom w:val="nil"/>
              <w:right w:val="nil"/>
            </w:tcBorders>
            <w:shd w:val="clear" w:color="auto" w:fill="auto"/>
            <w:noWrap/>
            <w:vAlign w:val="bottom"/>
            <w:hideMark/>
          </w:tcPr>
          <w:p w14:paraId="13F2392A" w14:textId="50041498"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500</w:t>
            </w:r>
          </w:p>
        </w:tc>
        <w:tc>
          <w:tcPr>
            <w:tcW w:w="572" w:type="pct"/>
            <w:tcBorders>
              <w:top w:val="nil"/>
              <w:left w:val="nil"/>
              <w:bottom w:val="nil"/>
              <w:right w:val="nil"/>
            </w:tcBorders>
            <w:shd w:val="clear" w:color="auto" w:fill="auto"/>
            <w:noWrap/>
            <w:vAlign w:val="bottom"/>
            <w:hideMark/>
          </w:tcPr>
          <w:p w14:paraId="4E87C950" w14:textId="4796F385"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500</w:t>
            </w:r>
          </w:p>
        </w:tc>
        <w:tc>
          <w:tcPr>
            <w:tcW w:w="572" w:type="pct"/>
            <w:tcBorders>
              <w:top w:val="nil"/>
              <w:left w:val="nil"/>
              <w:bottom w:val="nil"/>
              <w:right w:val="nil"/>
            </w:tcBorders>
            <w:shd w:val="clear" w:color="auto" w:fill="auto"/>
            <w:noWrap/>
            <w:vAlign w:val="bottom"/>
            <w:hideMark/>
          </w:tcPr>
          <w:p w14:paraId="4A42DFB9" w14:textId="0509092A"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500</w:t>
            </w:r>
          </w:p>
        </w:tc>
      </w:tr>
      <w:tr w:rsidR="002F7B17" w:rsidRPr="002F7B17" w14:paraId="73444DAC" w14:textId="77777777" w:rsidTr="002F7B17">
        <w:trPr>
          <w:trHeight w:val="204"/>
        </w:trPr>
        <w:tc>
          <w:tcPr>
            <w:tcW w:w="2109" w:type="pct"/>
            <w:tcBorders>
              <w:top w:val="nil"/>
              <w:left w:val="nil"/>
              <w:bottom w:val="nil"/>
              <w:right w:val="nil"/>
            </w:tcBorders>
            <w:shd w:val="clear" w:color="auto" w:fill="auto"/>
            <w:noWrap/>
            <w:vAlign w:val="bottom"/>
            <w:hideMark/>
          </w:tcPr>
          <w:p w14:paraId="0D0CD8AC" w14:textId="7658ADBD" w:rsidR="002F7B17" w:rsidRPr="002F7B17" w:rsidRDefault="002F7B17" w:rsidP="007B5C33">
            <w:pPr>
              <w:spacing w:after="0" w:line="240" w:lineRule="auto"/>
              <w:rPr>
                <w:rFonts w:ascii="Arial" w:hAnsi="Arial" w:cs="Arial"/>
                <w:sz w:val="16"/>
                <w:szCs w:val="16"/>
              </w:rPr>
            </w:pPr>
            <w:r w:rsidRPr="002F7B17">
              <w:rPr>
                <w:rFonts w:ascii="Arial" w:hAnsi="Arial" w:cs="Arial"/>
                <w:sz w:val="16"/>
                <w:szCs w:val="16"/>
              </w:rPr>
              <w:t>Payments to corporate entities</w:t>
            </w:r>
            <w:r w:rsidRPr="007B5C33">
              <w:rPr>
                <w:rFonts w:ascii="Arial" w:hAnsi="Arial" w:cs="Arial"/>
                <w:sz w:val="16"/>
                <w:szCs w:val="16"/>
                <w:vertAlign w:val="superscript"/>
              </w:rPr>
              <w:t>(a)</w:t>
            </w:r>
          </w:p>
        </w:tc>
        <w:tc>
          <w:tcPr>
            <w:tcW w:w="605" w:type="pct"/>
            <w:tcBorders>
              <w:top w:val="nil"/>
              <w:left w:val="nil"/>
              <w:bottom w:val="nil"/>
              <w:right w:val="nil"/>
            </w:tcBorders>
            <w:shd w:val="clear" w:color="auto" w:fill="auto"/>
            <w:noWrap/>
            <w:vAlign w:val="bottom"/>
            <w:hideMark/>
          </w:tcPr>
          <w:p w14:paraId="40E0F975" w14:textId="77777777" w:rsidR="002F7B17" w:rsidRPr="002F7B17" w:rsidRDefault="002F7B17" w:rsidP="002F7B17">
            <w:pPr>
              <w:spacing w:after="0" w:line="240" w:lineRule="auto"/>
              <w:ind w:firstLineChars="100" w:firstLine="160"/>
              <w:jc w:val="right"/>
              <w:rPr>
                <w:rFonts w:ascii="Arial" w:hAnsi="Arial" w:cs="Arial"/>
                <w:sz w:val="16"/>
                <w:szCs w:val="16"/>
              </w:rPr>
            </w:pPr>
          </w:p>
        </w:tc>
        <w:tc>
          <w:tcPr>
            <w:tcW w:w="571" w:type="pct"/>
            <w:tcBorders>
              <w:top w:val="nil"/>
              <w:left w:val="nil"/>
              <w:bottom w:val="nil"/>
              <w:right w:val="nil"/>
            </w:tcBorders>
            <w:shd w:val="clear" w:color="000000" w:fill="E6E6E6"/>
            <w:noWrap/>
            <w:vAlign w:val="bottom"/>
            <w:hideMark/>
          </w:tcPr>
          <w:p w14:paraId="11CEC61A" w14:textId="46B14D8D" w:rsidR="002F7B17" w:rsidRPr="002F7B17" w:rsidRDefault="002F7B17" w:rsidP="002F7B17">
            <w:pPr>
              <w:spacing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44929E60" w14:textId="77777777" w:rsidR="002F7B17" w:rsidRPr="002F7B17" w:rsidRDefault="002F7B17" w:rsidP="002F7B17">
            <w:pPr>
              <w:spacing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47D294ED" w14:textId="77777777" w:rsidR="002F7B17" w:rsidRPr="002F7B17" w:rsidRDefault="002F7B17" w:rsidP="002F7B17">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74A82FF2" w14:textId="77777777" w:rsidR="002F7B17" w:rsidRPr="002F7B17" w:rsidRDefault="002F7B17" w:rsidP="002F7B17">
            <w:pPr>
              <w:spacing w:after="0" w:line="240" w:lineRule="auto"/>
              <w:jc w:val="right"/>
              <w:rPr>
                <w:rFonts w:ascii="Times New Roman" w:hAnsi="Times New Roman"/>
              </w:rPr>
            </w:pPr>
          </w:p>
        </w:tc>
      </w:tr>
      <w:tr w:rsidR="002F7B17" w:rsidRPr="002F7B17" w14:paraId="0277E5A9" w14:textId="77777777" w:rsidTr="002F7B17">
        <w:trPr>
          <w:trHeight w:val="204"/>
        </w:trPr>
        <w:tc>
          <w:tcPr>
            <w:tcW w:w="2109" w:type="pct"/>
            <w:tcBorders>
              <w:top w:val="nil"/>
              <w:left w:val="nil"/>
              <w:bottom w:val="nil"/>
              <w:right w:val="nil"/>
            </w:tcBorders>
            <w:shd w:val="clear" w:color="auto" w:fill="auto"/>
            <w:vAlign w:val="bottom"/>
            <w:hideMark/>
          </w:tcPr>
          <w:p w14:paraId="1E64BBF1" w14:textId="77777777" w:rsidR="002F7B17" w:rsidRPr="002F7B17" w:rsidRDefault="002F7B17" w:rsidP="007B5C33">
            <w:pPr>
              <w:spacing w:after="0" w:line="240" w:lineRule="auto"/>
              <w:ind w:left="113"/>
              <w:rPr>
                <w:rFonts w:ascii="Arial" w:hAnsi="Arial" w:cs="Arial"/>
                <w:sz w:val="16"/>
                <w:szCs w:val="16"/>
              </w:rPr>
            </w:pPr>
            <w:r w:rsidRPr="002F7B17">
              <w:rPr>
                <w:rFonts w:ascii="Arial" w:hAnsi="Arial" w:cs="Arial"/>
                <w:sz w:val="16"/>
                <w:szCs w:val="16"/>
              </w:rPr>
              <w:t>Australia Council</w:t>
            </w:r>
          </w:p>
        </w:tc>
        <w:tc>
          <w:tcPr>
            <w:tcW w:w="605" w:type="pct"/>
            <w:tcBorders>
              <w:top w:val="nil"/>
              <w:left w:val="nil"/>
              <w:bottom w:val="nil"/>
              <w:right w:val="nil"/>
            </w:tcBorders>
            <w:shd w:val="clear" w:color="auto" w:fill="auto"/>
            <w:noWrap/>
            <w:vAlign w:val="bottom"/>
            <w:hideMark/>
          </w:tcPr>
          <w:p w14:paraId="198ADB27" w14:textId="1AF8E408"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220,531</w:t>
            </w:r>
          </w:p>
        </w:tc>
        <w:tc>
          <w:tcPr>
            <w:tcW w:w="571" w:type="pct"/>
            <w:tcBorders>
              <w:top w:val="nil"/>
              <w:left w:val="nil"/>
              <w:bottom w:val="nil"/>
              <w:right w:val="nil"/>
            </w:tcBorders>
            <w:shd w:val="clear" w:color="000000" w:fill="E6E6E6"/>
            <w:noWrap/>
            <w:vAlign w:val="bottom"/>
            <w:hideMark/>
          </w:tcPr>
          <w:p w14:paraId="7F062F65" w14:textId="5950B729"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257,974</w:t>
            </w:r>
          </w:p>
        </w:tc>
        <w:tc>
          <w:tcPr>
            <w:tcW w:w="572" w:type="pct"/>
            <w:tcBorders>
              <w:top w:val="nil"/>
              <w:left w:val="nil"/>
              <w:bottom w:val="nil"/>
              <w:right w:val="nil"/>
            </w:tcBorders>
            <w:shd w:val="clear" w:color="auto" w:fill="auto"/>
            <w:noWrap/>
            <w:vAlign w:val="bottom"/>
            <w:hideMark/>
          </w:tcPr>
          <w:p w14:paraId="2B5539CB" w14:textId="088F78D7"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289,049</w:t>
            </w:r>
          </w:p>
        </w:tc>
        <w:tc>
          <w:tcPr>
            <w:tcW w:w="572" w:type="pct"/>
            <w:tcBorders>
              <w:top w:val="nil"/>
              <w:left w:val="nil"/>
              <w:bottom w:val="nil"/>
              <w:right w:val="nil"/>
            </w:tcBorders>
            <w:shd w:val="clear" w:color="auto" w:fill="auto"/>
            <w:noWrap/>
            <w:vAlign w:val="bottom"/>
            <w:hideMark/>
          </w:tcPr>
          <w:p w14:paraId="7F96DD36" w14:textId="031B7486"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311,236</w:t>
            </w:r>
          </w:p>
        </w:tc>
        <w:tc>
          <w:tcPr>
            <w:tcW w:w="572" w:type="pct"/>
            <w:tcBorders>
              <w:top w:val="nil"/>
              <w:left w:val="nil"/>
              <w:bottom w:val="nil"/>
              <w:right w:val="nil"/>
            </w:tcBorders>
            <w:shd w:val="clear" w:color="auto" w:fill="auto"/>
            <w:noWrap/>
            <w:vAlign w:val="bottom"/>
            <w:hideMark/>
          </w:tcPr>
          <w:p w14:paraId="59B150DC" w14:textId="4F51F6CB"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326,228</w:t>
            </w:r>
          </w:p>
        </w:tc>
      </w:tr>
      <w:tr w:rsidR="002F7B17" w:rsidRPr="002F7B17" w14:paraId="4C94FFC7" w14:textId="77777777" w:rsidTr="002F7B17">
        <w:trPr>
          <w:trHeight w:val="204"/>
        </w:trPr>
        <w:tc>
          <w:tcPr>
            <w:tcW w:w="2109" w:type="pct"/>
            <w:tcBorders>
              <w:top w:val="nil"/>
              <w:left w:val="nil"/>
              <w:bottom w:val="nil"/>
              <w:right w:val="nil"/>
            </w:tcBorders>
            <w:shd w:val="clear" w:color="auto" w:fill="auto"/>
            <w:vAlign w:val="bottom"/>
            <w:hideMark/>
          </w:tcPr>
          <w:p w14:paraId="4CB240C9" w14:textId="77777777" w:rsidR="002F7B17" w:rsidRPr="002F7B17" w:rsidRDefault="002F7B17" w:rsidP="007B5C33">
            <w:pPr>
              <w:spacing w:after="0" w:line="240" w:lineRule="auto"/>
              <w:ind w:left="113"/>
              <w:rPr>
                <w:rFonts w:ascii="Arial" w:hAnsi="Arial" w:cs="Arial"/>
                <w:sz w:val="16"/>
                <w:szCs w:val="16"/>
              </w:rPr>
            </w:pPr>
            <w:r w:rsidRPr="002F7B17">
              <w:rPr>
                <w:rFonts w:ascii="Arial" w:hAnsi="Arial" w:cs="Arial"/>
                <w:sz w:val="16"/>
                <w:szCs w:val="16"/>
              </w:rPr>
              <w:t>Australian Film, Television and Radio School</w:t>
            </w:r>
          </w:p>
        </w:tc>
        <w:tc>
          <w:tcPr>
            <w:tcW w:w="605" w:type="pct"/>
            <w:tcBorders>
              <w:top w:val="nil"/>
              <w:left w:val="nil"/>
              <w:bottom w:val="nil"/>
              <w:right w:val="nil"/>
            </w:tcBorders>
            <w:shd w:val="clear" w:color="auto" w:fill="auto"/>
            <w:noWrap/>
            <w:vAlign w:val="bottom"/>
            <w:hideMark/>
          </w:tcPr>
          <w:p w14:paraId="6D6C484B" w14:textId="1675B9D8"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22,997</w:t>
            </w:r>
          </w:p>
        </w:tc>
        <w:tc>
          <w:tcPr>
            <w:tcW w:w="571" w:type="pct"/>
            <w:tcBorders>
              <w:top w:val="nil"/>
              <w:left w:val="nil"/>
              <w:bottom w:val="nil"/>
              <w:right w:val="nil"/>
            </w:tcBorders>
            <w:shd w:val="clear" w:color="000000" w:fill="E6E6E6"/>
            <w:noWrap/>
            <w:vAlign w:val="bottom"/>
            <w:hideMark/>
          </w:tcPr>
          <w:p w14:paraId="6E1E5DF4" w14:textId="3D6753C2"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24,283</w:t>
            </w:r>
          </w:p>
        </w:tc>
        <w:tc>
          <w:tcPr>
            <w:tcW w:w="572" w:type="pct"/>
            <w:tcBorders>
              <w:top w:val="nil"/>
              <w:left w:val="nil"/>
              <w:bottom w:val="nil"/>
              <w:right w:val="nil"/>
            </w:tcBorders>
            <w:shd w:val="clear" w:color="auto" w:fill="auto"/>
            <w:noWrap/>
            <w:vAlign w:val="bottom"/>
            <w:hideMark/>
          </w:tcPr>
          <w:p w14:paraId="1E074B76" w14:textId="40050D79"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24,177</w:t>
            </w:r>
          </w:p>
        </w:tc>
        <w:tc>
          <w:tcPr>
            <w:tcW w:w="572" w:type="pct"/>
            <w:tcBorders>
              <w:top w:val="nil"/>
              <w:left w:val="nil"/>
              <w:bottom w:val="nil"/>
              <w:right w:val="nil"/>
            </w:tcBorders>
            <w:shd w:val="clear" w:color="auto" w:fill="auto"/>
            <w:noWrap/>
            <w:vAlign w:val="bottom"/>
            <w:hideMark/>
          </w:tcPr>
          <w:p w14:paraId="18E69E0C" w14:textId="1CE2A630"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24,440</w:t>
            </w:r>
          </w:p>
        </w:tc>
        <w:tc>
          <w:tcPr>
            <w:tcW w:w="572" w:type="pct"/>
            <w:tcBorders>
              <w:top w:val="nil"/>
              <w:left w:val="nil"/>
              <w:bottom w:val="nil"/>
              <w:right w:val="nil"/>
            </w:tcBorders>
            <w:shd w:val="clear" w:color="auto" w:fill="auto"/>
            <w:noWrap/>
            <w:vAlign w:val="bottom"/>
            <w:hideMark/>
          </w:tcPr>
          <w:p w14:paraId="624A0454" w14:textId="3E0E4100"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24,737</w:t>
            </w:r>
          </w:p>
        </w:tc>
      </w:tr>
      <w:tr w:rsidR="002F7B17" w:rsidRPr="002F7B17" w14:paraId="258837CE" w14:textId="77777777" w:rsidTr="002F7B17">
        <w:trPr>
          <w:trHeight w:val="204"/>
        </w:trPr>
        <w:tc>
          <w:tcPr>
            <w:tcW w:w="2109" w:type="pct"/>
            <w:tcBorders>
              <w:top w:val="nil"/>
              <w:left w:val="nil"/>
              <w:bottom w:val="nil"/>
              <w:right w:val="nil"/>
            </w:tcBorders>
            <w:shd w:val="clear" w:color="auto" w:fill="auto"/>
            <w:vAlign w:val="bottom"/>
            <w:hideMark/>
          </w:tcPr>
          <w:p w14:paraId="0B255967" w14:textId="77777777" w:rsidR="002F7B17" w:rsidRPr="002F7B17" w:rsidRDefault="002F7B17" w:rsidP="007B5C33">
            <w:pPr>
              <w:spacing w:after="0" w:line="240" w:lineRule="auto"/>
              <w:ind w:left="113"/>
              <w:rPr>
                <w:rFonts w:ascii="Arial" w:hAnsi="Arial" w:cs="Arial"/>
                <w:sz w:val="16"/>
                <w:szCs w:val="16"/>
              </w:rPr>
            </w:pPr>
            <w:r w:rsidRPr="002F7B17">
              <w:rPr>
                <w:rFonts w:ascii="Arial" w:hAnsi="Arial" w:cs="Arial"/>
                <w:sz w:val="16"/>
                <w:szCs w:val="16"/>
              </w:rPr>
              <w:t>Australian National Maritime Museum</w:t>
            </w:r>
          </w:p>
        </w:tc>
        <w:tc>
          <w:tcPr>
            <w:tcW w:w="605" w:type="pct"/>
            <w:tcBorders>
              <w:top w:val="nil"/>
              <w:left w:val="nil"/>
              <w:bottom w:val="nil"/>
              <w:right w:val="nil"/>
            </w:tcBorders>
            <w:shd w:val="clear" w:color="auto" w:fill="auto"/>
            <w:noWrap/>
            <w:vAlign w:val="bottom"/>
            <w:hideMark/>
          </w:tcPr>
          <w:p w14:paraId="32E36B4F" w14:textId="43E0745E"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24,017</w:t>
            </w:r>
          </w:p>
        </w:tc>
        <w:tc>
          <w:tcPr>
            <w:tcW w:w="571" w:type="pct"/>
            <w:tcBorders>
              <w:top w:val="nil"/>
              <w:left w:val="nil"/>
              <w:bottom w:val="nil"/>
              <w:right w:val="nil"/>
            </w:tcBorders>
            <w:shd w:val="clear" w:color="000000" w:fill="E6E6E6"/>
            <w:noWrap/>
            <w:vAlign w:val="bottom"/>
            <w:hideMark/>
          </w:tcPr>
          <w:p w14:paraId="59987397" w14:textId="14DD0C0C"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27,029</w:t>
            </w:r>
          </w:p>
        </w:tc>
        <w:tc>
          <w:tcPr>
            <w:tcW w:w="572" w:type="pct"/>
            <w:tcBorders>
              <w:top w:val="nil"/>
              <w:left w:val="nil"/>
              <w:bottom w:val="nil"/>
              <w:right w:val="nil"/>
            </w:tcBorders>
            <w:shd w:val="clear" w:color="auto" w:fill="auto"/>
            <w:noWrap/>
            <w:vAlign w:val="bottom"/>
            <w:hideMark/>
          </w:tcPr>
          <w:p w14:paraId="4897430B" w14:textId="7F23F049"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24,882</w:t>
            </w:r>
          </w:p>
        </w:tc>
        <w:tc>
          <w:tcPr>
            <w:tcW w:w="572" w:type="pct"/>
            <w:tcBorders>
              <w:top w:val="nil"/>
              <w:left w:val="nil"/>
              <w:bottom w:val="nil"/>
              <w:right w:val="nil"/>
            </w:tcBorders>
            <w:shd w:val="clear" w:color="auto" w:fill="auto"/>
            <w:noWrap/>
            <w:vAlign w:val="bottom"/>
            <w:hideMark/>
          </w:tcPr>
          <w:p w14:paraId="6DF3D901" w14:textId="20C62F1C"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25,029</w:t>
            </w:r>
          </w:p>
        </w:tc>
        <w:tc>
          <w:tcPr>
            <w:tcW w:w="572" w:type="pct"/>
            <w:tcBorders>
              <w:top w:val="nil"/>
              <w:left w:val="nil"/>
              <w:bottom w:val="nil"/>
              <w:right w:val="nil"/>
            </w:tcBorders>
            <w:shd w:val="clear" w:color="auto" w:fill="auto"/>
            <w:noWrap/>
            <w:vAlign w:val="bottom"/>
            <w:hideMark/>
          </w:tcPr>
          <w:p w14:paraId="3ED8FDAA" w14:textId="6E0A121F"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26,382</w:t>
            </w:r>
          </w:p>
        </w:tc>
      </w:tr>
      <w:tr w:rsidR="002F7B17" w:rsidRPr="002F7B17" w14:paraId="0905F940" w14:textId="77777777" w:rsidTr="002F7B17">
        <w:trPr>
          <w:trHeight w:val="204"/>
        </w:trPr>
        <w:tc>
          <w:tcPr>
            <w:tcW w:w="2109" w:type="pct"/>
            <w:tcBorders>
              <w:top w:val="nil"/>
              <w:left w:val="nil"/>
              <w:bottom w:val="nil"/>
              <w:right w:val="nil"/>
            </w:tcBorders>
            <w:shd w:val="clear" w:color="auto" w:fill="auto"/>
            <w:vAlign w:val="bottom"/>
            <w:hideMark/>
          </w:tcPr>
          <w:p w14:paraId="75D19387" w14:textId="77777777" w:rsidR="002F7B17" w:rsidRPr="002F7B17" w:rsidRDefault="002F7B17" w:rsidP="007B5C33">
            <w:pPr>
              <w:spacing w:after="0" w:line="240" w:lineRule="auto"/>
              <w:ind w:left="113"/>
              <w:rPr>
                <w:rFonts w:ascii="Arial" w:hAnsi="Arial" w:cs="Arial"/>
                <w:sz w:val="16"/>
                <w:szCs w:val="16"/>
              </w:rPr>
            </w:pPr>
            <w:r w:rsidRPr="002F7B17">
              <w:rPr>
                <w:rFonts w:ascii="Arial" w:hAnsi="Arial" w:cs="Arial"/>
                <w:sz w:val="16"/>
                <w:szCs w:val="16"/>
              </w:rPr>
              <w:t>National Film and Sound Archive of Australia</w:t>
            </w:r>
          </w:p>
        </w:tc>
        <w:tc>
          <w:tcPr>
            <w:tcW w:w="605" w:type="pct"/>
            <w:tcBorders>
              <w:top w:val="nil"/>
              <w:left w:val="nil"/>
              <w:bottom w:val="nil"/>
              <w:right w:val="nil"/>
            </w:tcBorders>
            <w:shd w:val="clear" w:color="auto" w:fill="auto"/>
            <w:noWrap/>
            <w:vAlign w:val="bottom"/>
            <w:hideMark/>
          </w:tcPr>
          <w:p w14:paraId="04159D01" w14:textId="13661E02"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29,702</w:t>
            </w:r>
          </w:p>
        </w:tc>
        <w:tc>
          <w:tcPr>
            <w:tcW w:w="571" w:type="pct"/>
            <w:tcBorders>
              <w:top w:val="nil"/>
              <w:left w:val="nil"/>
              <w:bottom w:val="nil"/>
              <w:right w:val="nil"/>
            </w:tcBorders>
            <w:shd w:val="clear" w:color="000000" w:fill="E6E6E6"/>
            <w:noWrap/>
            <w:vAlign w:val="bottom"/>
            <w:hideMark/>
          </w:tcPr>
          <w:p w14:paraId="4C34E5B0" w14:textId="4F99F82F"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37,270</w:t>
            </w:r>
          </w:p>
        </w:tc>
        <w:tc>
          <w:tcPr>
            <w:tcW w:w="572" w:type="pct"/>
            <w:tcBorders>
              <w:top w:val="nil"/>
              <w:left w:val="nil"/>
              <w:bottom w:val="nil"/>
              <w:right w:val="nil"/>
            </w:tcBorders>
            <w:shd w:val="clear" w:color="auto" w:fill="auto"/>
            <w:noWrap/>
            <w:vAlign w:val="bottom"/>
            <w:hideMark/>
          </w:tcPr>
          <w:p w14:paraId="245C5EDD" w14:textId="60D30B86"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39,768</w:t>
            </w:r>
          </w:p>
        </w:tc>
        <w:tc>
          <w:tcPr>
            <w:tcW w:w="572" w:type="pct"/>
            <w:tcBorders>
              <w:top w:val="nil"/>
              <w:left w:val="nil"/>
              <w:bottom w:val="nil"/>
              <w:right w:val="nil"/>
            </w:tcBorders>
            <w:shd w:val="clear" w:color="auto" w:fill="auto"/>
            <w:noWrap/>
            <w:vAlign w:val="bottom"/>
            <w:hideMark/>
          </w:tcPr>
          <w:p w14:paraId="06B01A88" w14:textId="1B6DF577"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41,521</w:t>
            </w:r>
          </w:p>
        </w:tc>
        <w:tc>
          <w:tcPr>
            <w:tcW w:w="572" w:type="pct"/>
            <w:tcBorders>
              <w:top w:val="nil"/>
              <w:left w:val="nil"/>
              <w:bottom w:val="nil"/>
              <w:right w:val="nil"/>
            </w:tcBorders>
            <w:shd w:val="clear" w:color="auto" w:fill="auto"/>
            <w:noWrap/>
            <w:vAlign w:val="bottom"/>
            <w:hideMark/>
          </w:tcPr>
          <w:p w14:paraId="2CF68982" w14:textId="646E8B47"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42,504</w:t>
            </w:r>
          </w:p>
        </w:tc>
      </w:tr>
      <w:tr w:rsidR="002F7B17" w:rsidRPr="002F7B17" w14:paraId="3C72FD3E" w14:textId="77777777" w:rsidTr="002F7B17">
        <w:trPr>
          <w:trHeight w:val="204"/>
        </w:trPr>
        <w:tc>
          <w:tcPr>
            <w:tcW w:w="2109" w:type="pct"/>
            <w:tcBorders>
              <w:top w:val="nil"/>
              <w:left w:val="nil"/>
              <w:bottom w:val="nil"/>
              <w:right w:val="nil"/>
            </w:tcBorders>
            <w:shd w:val="clear" w:color="auto" w:fill="auto"/>
            <w:vAlign w:val="bottom"/>
            <w:hideMark/>
          </w:tcPr>
          <w:p w14:paraId="4537C87E" w14:textId="77777777" w:rsidR="002F7B17" w:rsidRPr="002F7B17" w:rsidRDefault="002F7B17" w:rsidP="007B5C33">
            <w:pPr>
              <w:spacing w:after="0" w:line="240" w:lineRule="auto"/>
              <w:ind w:left="113"/>
              <w:rPr>
                <w:rFonts w:ascii="Arial" w:hAnsi="Arial" w:cs="Arial"/>
                <w:sz w:val="16"/>
                <w:szCs w:val="16"/>
              </w:rPr>
            </w:pPr>
            <w:r w:rsidRPr="002F7B17">
              <w:rPr>
                <w:rFonts w:ascii="Arial" w:hAnsi="Arial" w:cs="Arial"/>
                <w:sz w:val="16"/>
                <w:szCs w:val="16"/>
              </w:rPr>
              <w:t>National Gallery of Australia</w:t>
            </w:r>
          </w:p>
        </w:tc>
        <w:tc>
          <w:tcPr>
            <w:tcW w:w="605" w:type="pct"/>
            <w:tcBorders>
              <w:top w:val="nil"/>
              <w:left w:val="nil"/>
              <w:bottom w:val="nil"/>
              <w:right w:val="nil"/>
            </w:tcBorders>
            <w:shd w:val="clear" w:color="auto" w:fill="auto"/>
            <w:noWrap/>
            <w:vAlign w:val="bottom"/>
            <w:hideMark/>
          </w:tcPr>
          <w:p w14:paraId="0813651D" w14:textId="7FE213B5"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48,045</w:t>
            </w:r>
          </w:p>
        </w:tc>
        <w:tc>
          <w:tcPr>
            <w:tcW w:w="571" w:type="pct"/>
            <w:tcBorders>
              <w:top w:val="nil"/>
              <w:left w:val="nil"/>
              <w:bottom w:val="nil"/>
              <w:right w:val="nil"/>
            </w:tcBorders>
            <w:shd w:val="clear" w:color="000000" w:fill="E6E6E6"/>
            <w:noWrap/>
            <w:vAlign w:val="bottom"/>
            <w:hideMark/>
          </w:tcPr>
          <w:p w14:paraId="6B1ACD1E" w14:textId="1F1AFCB2"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66,003</w:t>
            </w:r>
          </w:p>
        </w:tc>
        <w:tc>
          <w:tcPr>
            <w:tcW w:w="572" w:type="pct"/>
            <w:tcBorders>
              <w:top w:val="nil"/>
              <w:left w:val="nil"/>
              <w:bottom w:val="nil"/>
              <w:right w:val="nil"/>
            </w:tcBorders>
            <w:shd w:val="clear" w:color="auto" w:fill="auto"/>
            <w:noWrap/>
            <w:vAlign w:val="bottom"/>
            <w:hideMark/>
          </w:tcPr>
          <w:p w14:paraId="7E3BF1F4" w14:textId="695CE88B"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68,686</w:t>
            </w:r>
          </w:p>
        </w:tc>
        <w:tc>
          <w:tcPr>
            <w:tcW w:w="572" w:type="pct"/>
            <w:tcBorders>
              <w:top w:val="nil"/>
              <w:left w:val="nil"/>
              <w:bottom w:val="nil"/>
              <w:right w:val="nil"/>
            </w:tcBorders>
            <w:shd w:val="clear" w:color="auto" w:fill="auto"/>
            <w:noWrap/>
            <w:vAlign w:val="bottom"/>
            <w:hideMark/>
          </w:tcPr>
          <w:p w14:paraId="5CBE19CC" w14:textId="2C51F8F6"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70,830</w:t>
            </w:r>
          </w:p>
        </w:tc>
        <w:tc>
          <w:tcPr>
            <w:tcW w:w="572" w:type="pct"/>
            <w:tcBorders>
              <w:top w:val="nil"/>
              <w:left w:val="nil"/>
              <w:bottom w:val="nil"/>
              <w:right w:val="nil"/>
            </w:tcBorders>
            <w:shd w:val="clear" w:color="auto" w:fill="auto"/>
            <w:noWrap/>
            <w:vAlign w:val="bottom"/>
            <w:hideMark/>
          </w:tcPr>
          <w:p w14:paraId="03F08034" w14:textId="5FC8AE63"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73,575</w:t>
            </w:r>
          </w:p>
        </w:tc>
      </w:tr>
      <w:tr w:rsidR="002F7B17" w:rsidRPr="002F7B17" w14:paraId="22F2EB46" w14:textId="77777777" w:rsidTr="002F7B17">
        <w:trPr>
          <w:trHeight w:val="204"/>
        </w:trPr>
        <w:tc>
          <w:tcPr>
            <w:tcW w:w="2109" w:type="pct"/>
            <w:tcBorders>
              <w:top w:val="nil"/>
              <w:left w:val="nil"/>
              <w:bottom w:val="nil"/>
              <w:right w:val="nil"/>
            </w:tcBorders>
            <w:shd w:val="clear" w:color="auto" w:fill="auto"/>
            <w:vAlign w:val="bottom"/>
            <w:hideMark/>
          </w:tcPr>
          <w:p w14:paraId="226A0FC3" w14:textId="77777777" w:rsidR="002F7B17" w:rsidRPr="002F7B17" w:rsidRDefault="002F7B17" w:rsidP="007B5C33">
            <w:pPr>
              <w:spacing w:after="0" w:line="240" w:lineRule="auto"/>
              <w:ind w:left="113"/>
              <w:rPr>
                <w:rFonts w:ascii="Arial" w:hAnsi="Arial" w:cs="Arial"/>
                <w:sz w:val="16"/>
                <w:szCs w:val="16"/>
              </w:rPr>
            </w:pPr>
            <w:r w:rsidRPr="002F7B17">
              <w:rPr>
                <w:rFonts w:ascii="Arial" w:hAnsi="Arial" w:cs="Arial"/>
                <w:sz w:val="16"/>
                <w:szCs w:val="16"/>
              </w:rPr>
              <w:t>National Library of Australia</w:t>
            </w:r>
          </w:p>
        </w:tc>
        <w:tc>
          <w:tcPr>
            <w:tcW w:w="605" w:type="pct"/>
            <w:tcBorders>
              <w:top w:val="nil"/>
              <w:left w:val="nil"/>
              <w:bottom w:val="nil"/>
              <w:right w:val="nil"/>
            </w:tcBorders>
            <w:shd w:val="clear" w:color="auto" w:fill="auto"/>
            <w:noWrap/>
            <w:vAlign w:val="bottom"/>
            <w:hideMark/>
          </w:tcPr>
          <w:p w14:paraId="59EB7651" w14:textId="30D6EE92"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60,989</w:t>
            </w:r>
          </w:p>
        </w:tc>
        <w:tc>
          <w:tcPr>
            <w:tcW w:w="571" w:type="pct"/>
            <w:tcBorders>
              <w:top w:val="nil"/>
              <w:left w:val="nil"/>
              <w:bottom w:val="nil"/>
              <w:right w:val="nil"/>
            </w:tcBorders>
            <w:shd w:val="clear" w:color="000000" w:fill="E6E6E6"/>
            <w:noWrap/>
            <w:vAlign w:val="bottom"/>
            <w:hideMark/>
          </w:tcPr>
          <w:p w14:paraId="3926F065" w14:textId="408B3260"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75,948</w:t>
            </w:r>
          </w:p>
        </w:tc>
        <w:tc>
          <w:tcPr>
            <w:tcW w:w="572" w:type="pct"/>
            <w:tcBorders>
              <w:top w:val="nil"/>
              <w:left w:val="nil"/>
              <w:bottom w:val="nil"/>
              <w:right w:val="nil"/>
            </w:tcBorders>
            <w:shd w:val="clear" w:color="auto" w:fill="auto"/>
            <w:noWrap/>
            <w:vAlign w:val="bottom"/>
            <w:hideMark/>
          </w:tcPr>
          <w:p w14:paraId="25E12CE8" w14:textId="371876D3"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86,219</w:t>
            </w:r>
          </w:p>
        </w:tc>
        <w:tc>
          <w:tcPr>
            <w:tcW w:w="572" w:type="pct"/>
            <w:tcBorders>
              <w:top w:val="nil"/>
              <w:left w:val="nil"/>
              <w:bottom w:val="nil"/>
              <w:right w:val="nil"/>
            </w:tcBorders>
            <w:shd w:val="clear" w:color="auto" w:fill="auto"/>
            <w:noWrap/>
            <w:vAlign w:val="bottom"/>
            <w:hideMark/>
          </w:tcPr>
          <w:p w14:paraId="4A848E6E" w14:textId="40935059"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77,084</w:t>
            </w:r>
          </w:p>
        </w:tc>
        <w:tc>
          <w:tcPr>
            <w:tcW w:w="572" w:type="pct"/>
            <w:tcBorders>
              <w:top w:val="nil"/>
              <w:left w:val="nil"/>
              <w:bottom w:val="nil"/>
              <w:right w:val="nil"/>
            </w:tcBorders>
            <w:shd w:val="clear" w:color="auto" w:fill="auto"/>
            <w:noWrap/>
            <w:vAlign w:val="bottom"/>
            <w:hideMark/>
          </w:tcPr>
          <w:p w14:paraId="5A58FD1B" w14:textId="6E7E3C0C"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79,071</w:t>
            </w:r>
          </w:p>
        </w:tc>
      </w:tr>
      <w:tr w:rsidR="002F7B17" w:rsidRPr="002F7B17" w14:paraId="4E783FF4" w14:textId="77777777" w:rsidTr="002F7B17">
        <w:trPr>
          <w:trHeight w:val="204"/>
        </w:trPr>
        <w:tc>
          <w:tcPr>
            <w:tcW w:w="2109" w:type="pct"/>
            <w:tcBorders>
              <w:top w:val="nil"/>
              <w:left w:val="nil"/>
              <w:bottom w:val="nil"/>
              <w:right w:val="nil"/>
            </w:tcBorders>
            <w:shd w:val="clear" w:color="auto" w:fill="auto"/>
            <w:vAlign w:val="bottom"/>
            <w:hideMark/>
          </w:tcPr>
          <w:p w14:paraId="5C389693" w14:textId="77777777" w:rsidR="002F7B17" w:rsidRPr="002F7B17" w:rsidRDefault="002F7B17" w:rsidP="007B5C33">
            <w:pPr>
              <w:spacing w:after="0" w:line="240" w:lineRule="auto"/>
              <w:ind w:left="113"/>
              <w:rPr>
                <w:rFonts w:ascii="Arial" w:hAnsi="Arial" w:cs="Arial"/>
                <w:sz w:val="16"/>
                <w:szCs w:val="16"/>
              </w:rPr>
            </w:pPr>
            <w:r w:rsidRPr="002F7B17">
              <w:rPr>
                <w:rFonts w:ascii="Arial" w:hAnsi="Arial" w:cs="Arial"/>
                <w:sz w:val="16"/>
                <w:szCs w:val="16"/>
              </w:rPr>
              <w:t>National Museum of Australia</w:t>
            </w:r>
          </w:p>
        </w:tc>
        <w:tc>
          <w:tcPr>
            <w:tcW w:w="605" w:type="pct"/>
            <w:tcBorders>
              <w:top w:val="nil"/>
              <w:left w:val="nil"/>
              <w:bottom w:val="nil"/>
              <w:right w:val="nil"/>
            </w:tcBorders>
            <w:shd w:val="clear" w:color="auto" w:fill="auto"/>
            <w:noWrap/>
            <w:vAlign w:val="bottom"/>
            <w:hideMark/>
          </w:tcPr>
          <w:p w14:paraId="01F55D72" w14:textId="7BD290C4"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50,912</w:t>
            </w:r>
          </w:p>
        </w:tc>
        <w:tc>
          <w:tcPr>
            <w:tcW w:w="571" w:type="pct"/>
            <w:tcBorders>
              <w:top w:val="nil"/>
              <w:left w:val="nil"/>
              <w:bottom w:val="nil"/>
              <w:right w:val="nil"/>
            </w:tcBorders>
            <w:shd w:val="clear" w:color="000000" w:fill="E6E6E6"/>
            <w:noWrap/>
            <w:vAlign w:val="bottom"/>
            <w:hideMark/>
          </w:tcPr>
          <w:p w14:paraId="3D0EA24D" w14:textId="5808AB82"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53,768</w:t>
            </w:r>
          </w:p>
        </w:tc>
        <w:tc>
          <w:tcPr>
            <w:tcW w:w="572" w:type="pct"/>
            <w:tcBorders>
              <w:top w:val="nil"/>
              <w:left w:val="nil"/>
              <w:bottom w:val="nil"/>
              <w:right w:val="nil"/>
            </w:tcBorders>
            <w:shd w:val="clear" w:color="auto" w:fill="auto"/>
            <w:noWrap/>
            <w:vAlign w:val="bottom"/>
            <w:hideMark/>
          </w:tcPr>
          <w:p w14:paraId="75752D2D" w14:textId="5FA88140"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55,192</w:t>
            </w:r>
          </w:p>
        </w:tc>
        <w:tc>
          <w:tcPr>
            <w:tcW w:w="572" w:type="pct"/>
            <w:tcBorders>
              <w:top w:val="nil"/>
              <w:left w:val="nil"/>
              <w:bottom w:val="nil"/>
              <w:right w:val="nil"/>
            </w:tcBorders>
            <w:shd w:val="clear" w:color="auto" w:fill="auto"/>
            <w:noWrap/>
            <w:vAlign w:val="bottom"/>
            <w:hideMark/>
          </w:tcPr>
          <w:p w14:paraId="2B5319F3" w14:textId="5E736B16"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55,595</w:t>
            </w:r>
          </w:p>
        </w:tc>
        <w:tc>
          <w:tcPr>
            <w:tcW w:w="572" w:type="pct"/>
            <w:tcBorders>
              <w:top w:val="nil"/>
              <w:left w:val="nil"/>
              <w:bottom w:val="nil"/>
              <w:right w:val="nil"/>
            </w:tcBorders>
            <w:shd w:val="clear" w:color="auto" w:fill="auto"/>
            <w:noWrap/>
            <w:vAlign w:val="bottom"/>
            <w:hideMark/>
          </w:tcPr>
          <w:p w14:paraId="2E1749D5" w14:textId="0CE007FB"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56,965</w:t>
            </w:r>
          </w:p>
        </w:tc>
      </w:tr>
      <w:tr w:rsidR="002F7B17" w:rsidRPr="002F7B17" w14:paraId="51520189" w14:textId="77777777" w:rsidTr="002F7B17">
        <w:trPr>
          <w:trHeight w:val="204"/>
        </w:trPr>
        <w:tc>
          <w:tcPr>
            <w:tcW w:w="2109" w:type="pct"/>
            <w:tcBorders>
              <w:top w:val="nil"/>
              <w:left w:val="nil"/>
              <w:bottom w:val="nil"/>
              <w:right w:val="nil"/>
            </w:tcBorders>
            <w:shd w:val="clear" w:color="auto" w:fill="auto"/>
            <w:vAlign w:val="bottom"/>
            <w:hideMark/>
          </w:tcPr>
          <w:p w14:paraId="763A49BB" w14:textId="77777777" w:rsidR="002F7B17" w:rsidRPr="002F7B17" w:rsidRDefault="002F7B17" w:rsidP="007B5C33">
            <w:pPr>
              <w:spacing w:after="0" w:line="240" w:lineRule="auto"/>
              <w:ind w:left="113"/>
              <w:rPr>
                <w:rFonts w:ascii="Arial" w:hAnsi="Arial" w:cs="Arial"/>
                <w:sz w:val="16"/>
                <w:szCs w:val="16"/>
              </w:rPr>
            </w:pPr>
            <w:r w:rsidRPr="002F7B17">
              <w:rPr>
                <w:rFonts w:ascii="Arial" w:hAnsi="Arial" w:cs="Arial"/>
                <w:sz w:val="16"/>
                <w:szCs w:val="16"/>
              </w:rPr>
              <w:t>National Portrait Gallery of Australia</w:t>
            </w:r>
          </w:p>
        </w:tc>
        <w:tc>
          <w:tcPr>
            <w:tcW w:w="605" w:type="pct"/>
            <w:tcBorders>
              <w:top w:val="nil"/>
              <w:left w:val="nil"/>
              <w:bottom w:val="nil"/>
              <w:right w:val="nil"/>
            </w:tcBorders>
            <w:shd w:val="clear" w:color="auto" w:fill="auto"/>
            <w:noWrap/>
            <w:vAlign w:val="bottom"/>
            <w:hideMark/>
          </w:tcPr>
          <w:p w14:paraId="352B7FD3" w14:textId="099EEB9F"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12,615</w:t>
            </w:r>
          </w:p>
        </w:tc>
        <w:tc>
          <w:tcPr>
            <w:tcW w:w="571" w:type="pct"/>
            <w:tcBorders>
              <w:top w:val="nil"/>
              <w:left w:val="nil"/>
              <w:bottom w:val="nil"/>
              <w:right w:val="nil"/>
            </w:tcBorders>
            <w:shd w:val="clear" w:color="000000" w:fill="E6E6E6"/>
            <w:noWrap/>
            <w:vAlign w:val="bottom"/>
            <w:hideMark/>
          </w:tcPr>
          <w:p w14:paraId="60D382EA" w14:textId="30C1F885"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18,648</w:t>
            </w:r>
          </w:p>
        </w:tc>
        <w:tc>
          <w:tcPr>
            <w:tcW w:w="572" w:type="pct"/>
            <w:tcBorders>
              <w:top w:val="nil"/>
              <w:left w:val="nil"/>
              <w:bottom w:val="nil"/>
              <w:right w:val="nil"/>
            </w:tcBorders>
            <w:shd w:val="clear" w:color="auto" w:fill="auto"/>
            <w:noWrap/>
            <w:vAlign w:val="bottom"/>
            <w:hideMark/>
          </w:tcPr>
          <w:p w14:paraId="2D522CDE" w14:textId="1C67E447"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19,181</w:t>
            </w:r>
          </w:p>
        </w:tc>
        <w:tc>
          <w:tcPr>
            <w:tcW w:w="572" w:type="pct"/>
            <w:tcBorders>
              <w:top w:val="nil"/>
              <w:left w:val="nil"/>
              <w:bottom w:val="nil"/>
              <w:right w:val="nil"/>
            </w:tcBorders>
            <w:shd w:val="clear" w:color="auto" w:fill="auto"/>
            <w:noWrap/>
            <w:vAlign w:val="bottom"/>
            <w:hideMark/>
          </w:tcPr>
          <w:p w14:paraId="448FFCAB" w14:textId="58AD4917"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19,559</w:t>
            </w:r>
          </w:p>
        </w:tc>
        <w:tc>
          <w:tcPr>
            <w:tcW w:w="572" w:type="pct"/>
            <w:tcBorders>
              <w:top w:val="nil"/>
              <w:left w:val="nil"/>
              <w:bottom w:val="nil"/>
              <w:right w:val="nil"/>
            </w:tcBorders>
            <w:shd w:val="clear" w:color="auto" w:fill="auto"/>
            <w:noWrap/>
            <w:vAlign w:val="bottom"/>
            <w:hideMark/>
          </w:tcPr>
          <w:p w14:paraId="62DCF28D" w14:textId="0AD9D445"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20,082</w:t>
            </w:r>
          </w:p>
        </w:tc>
      </w:tr>
      <w:tr w:rsidR="002F7B17" w:rsidRPr="002F7B17" w14:paraId="4EA2563E" w14:textId="77777777" w:rsidTr="002F7B17">
        <w:trPr>
          <w:trHeight w:val="204"/>
        </w:trPr>
        <w:tc>
          <w:tcPr>
            <w:tcW w:w="2109" w:type="pct"/>
            <w:tcBorders>
              <w:top w:val="nil"/>
              <w:left w:val="nil"/>
              <w:bottom w:val="nil"/>
              <w:right w:val="nil"/>
            </w:tcBorders>
            <w:shd w:val="clear" w:color="auto" w:fill="auto"/>
            <w:vAlign w:val="bottom"/>
            <w:hideMark/>
          </w:tcPr>
          <w:p w14:paraId="5211B757" w14:textId="77777777" w:rsidR="002F7B17" w:rsidRPr="002F7B17" w:rsidRDefault="002F7B17" w:rsidP="007B5C33">
            <w:pPr>
              <w:spacing w:after="0" w:line="240" w:lineRule="auto"/>
              <w:ind w:left="113"/>
              <w:rPr>
                <w:rFonts w:ascii="Arial" w:hAnsi="Arial" w:cs="Arial"/>
                <w:sz w:val="16"/>
                <w:szCs w:val="16"/>
              </w:rPr>
            </w:pPr>
            <w:r w:rsidRPr="002F7B17">
              <w:rPr>
                <w:rFonts w:ascii="Arial" w:hAnsi="Arial" w:cs="Arial"/>
                <w:sz w:val="16"/>
                <w:szCs w:val="16"/>
              </w:rPr>
              <w:t>Old Parliament House</w:t>
            </w:r>
          </w:p>
        </w:tc>
        <w:tc>
          <w:tcPr>
            <w:tcW w:w="605" w:type="pct"/>
            <w:tcBorders>
              <w:top w:val="nil"/>
              <w:left w:val="nil"/>
              <w:bottom w:val="nil"/>
              <w:right w:val="nil"/>
            </w:tcBorders>
            <w:shd w:val="clear" w:color="auto" w:fill="auto"/>
            <w:noWrap/>
            <w:vAlign w:val="bottom"/>
            <w:hideMark/>
          </w:tcPr>
          <w:p w14:paraId="0CB364E4" w14:textId="61B11788"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15,261</w:t>
            </w:r>
          </w:p>
        </w:tc>
        <w:tc>
          <w:tcPr>
            <w:tcW w:w="571" w:type="pct"/>
            <w:tcBorders>
              <w:top w:val="nil"/>
              <w:left w:val="nil"/>
              <w:bottom w:val="nil"/>
              <w:right w:val="nil"/>
            </w:tcBorders>
            <w:shd w:val="clear" w:color="000000" w:fill="E6E6E6"/>
            <w:noWrap/>
            <w:vAlign w:val="bottom"/>
            <w:hideMark/>
          </w:tcPr>
          <w:p w14:paraId="593241F6" w14:textId="61E0ACA6"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21,702</w:t>
            </w:r>
          </w:p>
        </w:tc>
        <w:tc>
          <w:tcPr>
            <w:tcW w:w="572" w:type="pct"/>
            <w:tcBorders>
              <w:top w:val="nil"/>
              <w:left w:val="nil"/>
              <w:bottom w:val="nil"/>
              <w:right w:val="nil"/>
            </w:tcBorders>
            <w:shd w:val="clear" w:color="auto" w:fill="auto"/>
            <w:noWrap/>
            <w:vAlign w:val="bottom"/>
            <w:hideMark/>
          </w:tcPr>
          <w:p w14:paraId="781970FA" w14:textId="034C39E5"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22,283</w:t>
            </w:r>
          </w:p>
        </w:tc>
        <w:tc>
          <w:tcPr>
            <w:tcW w:w="572" w:type="pct"/>
            <w:tcBorders>
              <w:top w:val="nil"/>
              <w:left w:val="nil"/>
              <w:bottom w:val="nil"/>
              <w:right w:val="nil"/>
            </w:tcBorders>
            <w:shd w:val="clear" w:color="auto" w:fill="auto"/>
            <w:noWrap/>
            <w:vAlign w:val="bottom"/>
            <w:hideMark/>
          </w:tcPr>
          <w:p w14:paraId="03101545" w14:textId="1E55B4A6"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22,924</w:t>
            </w:r>
          </w:p>
        </w:tc>
        <w:tc>
          <w:tcPr>
            <w:tcW w:w="572" w:type="pct"/>
            <w:tcBorders>
              <w:top w:val="nil"/>
              <w:left w:val="nil"/>
              <w:bottom w:val="nil"/>
              <w:right w:val="nil"/>
            </w:tcBorders>
            <w:shd w:val="clear" w:color="auto" w:fill="auto"/>
            <w:noWrap/>
            <w:vAlign w:val="bottom"/>
            <w:hideMark/>
          </w:tcPr>
          <w:p w14:paraId="1B0CA1A7" w14:textId="59000F75"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23,554</w:t>
            </w:r>
          </w:p>
        </w:tc>
      </w:tr>
      <w:tr w:rsidR="002F7B17" w:rsidRPr="002F7B17" w14:paraId="2AA7816E" w14:textId="77777777" w:rsidTr="002F7B17">
        <w:trPr>
          <w:trHeight w:val="204"/>
        </w:trPr>
        <w:tc>
          <w:tcPr>
            <w:tcW w:w="2109" w:type="pct"/>
            <w:tcBorders>
              <w:top w:val="nil"/>
              <w:left w:val="nil"/>
              <w:bottom w:val="nil"/>
              <w:right w:val="nil"/>
            </w:tcBorders>
            <w:shd w:val="clear" w:color="auto" w:fill="auto"/>
            <w:vAlign w:val="bottom"/>
            <w:hideMark/>
          </w:tcPr>
          <w:p w14:paraId="44D35972" w14:textId="77777777" w:rsidR="002F7B17" w:rsidRPr="002F7B17" w:rsidRDefault="002F7B17" w:rsidP="007B5C33">
            <w:pPr>
              <w:spacing w:after="0" w:line="240" w:lineRule="auto"/>
              <w:ind w:left="113"/>
              <w:rPr>
                <w:rFonts w:ascii="Arial" w:hAnsi="Arial" w:cs="Arial"/>
                <w:sz w:val="16"/>
                <w:szCs w:val="16"/>
              </w:rPr>
            </w:pPr>
            <w:r w:rsidRPr="002F7B17">
              <w:rPr>
                <w:rFonts w:ascii="Arial" w:hAnsi="Arial" w:cs="Arial"/>
                <w:sz w:val="16"/>
                <w:szCs w:val="16"/>
              </w:rPr>
              <w:t>Screen Australia</w:t>
            </w:r>
          </w:p>
        </w:tc>
        <w:tc>
          <w:tcPr>
            <w:tcW w:w="605" w:type="pct"/>
            <w:tcBorders>
              <w:top w:val="nil"/>
              <w:left w:val="nil"/>
              <w:bottom w:val="nil"/>
              <w:right w:val="nil"/>
            </w:tcBorders>
            <w:shd w:val="clear" w:color="auto" w:fill="auto"/>
            <w:noWrap/>
            <w:vAlign w:val="bottom"/>
            <w:hideMark/>
          </w:tcPr>
          <w:p w14:paraId="7B1B4AD8" w14:textId="725DF376"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27,834</w:t>
            </w:r>
          </w:p>
        </w:tc>
        <w:tc>
          <w:tcPr>
            <w:tcW w:w="571" w:type="pct"/>
            <w:tcBorders>
              <w:top w:val="nil"/>
              <w:left w:val="nil"/>
              <w:bottom w:val="nil"/>
              <w:right w:val="nil"/>
            </w:tcBorders>
            <w:shd w:val="clear" w:color="000000" w:fill="E6E6E6"/>
            <w:noWrap/>
            <w:vAlign w:val="bottom"/>
            <w:hideMark/>
          </w:tcPr>
          <w:p w14:paraId="611337E7" w14:textId="1951EEA7"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12,890</w:t>
            </w:r>
          </w:p>
        </w:tc>
        <w:tc>
          <w:tcPr>
            <w:tcW w:w="572" w:type="pct"/>
            <w:tcBorders>
              <w:top w:val="nil"/>
              <w:left w:val="nil"/>
              <w:bottom w:val="nil"/>
              <w:right w:val="nil"/>
            </w:tcBorders>
            <w:shd w:val="clear" w:color="auto" w:fill="auto"/>
            <w:noWrap/>
            <w:vAlign w:val="bottom"/>
            <w:hideMark/>
          </w:tcPr>
          <w:p w14:paraId="39548770" w14:textId="773D4F03"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13,234</w:t>
            </w:r>
          </w:p>
        </w:tc>
        <w:tc>
          <w:tcPr>
            <w:tcW w:w="572" w:type="pct"/>
            <w:tcBorders>
              <w:top w:val="nil"/>
              <w:left w:val="nil"/>
              <w:bottom w:val="nil"/>
              <w:right w:val="nil"/>
            </w:tcBorders>
            <w:shd w:val="clear" w:color="auto" w:fill="auto"/>
            <w:noWrap/>
            <w:vAlign w:val="bottom"/>
            <w:hideMark/>
          </w:tcPr>
          <w:p w14:paraId="7ADCAA74" w14:textId="060D17D6"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13,413</w:t>
            </w:r>
          </w:p>
        </w:tc>
        <w:tc>
          <w:tcPr>
            <w:tcW w:w="572" w:type="pct"/>
            <w:tcBorders>
              <w:top w:val="nil"/>
              <w:left w:val="nil"/>
              <w:bottom w:val="nil"/>
              <w:right w:val="nil"/>
            </w:tcBorders>
            <w:shd w:val="clear" w:color="auto" w:fill="auto"/>
            <w:noWrap/>
            <w:vAlign w:val="bottom"/>
            <w:hideMark/>
          </w:tcPr>
          <w:p w14:paraId="7E840B04" w14:textId="3F581607" w:rsidR="002F7B17" w:rsidRPr="002F7B17" w:rsidRDefault="002F7B17" w:rsidP="002F7B17">
            <w:pPr>
              <w:spacing w:after="0" w:line="240" w:lineRule="auto"/>
              <w:jc w:val="right"/>
              <w:rPr>
                <w:rFonts w:ascii="Arial" w:hAnsi="Arial" w:cs="Arial"/>
                <w:sz w:val="16"/>
                <w:szCs w:val="16"/>
              </w:rPr>
            </w:pPr>
            <w:r w:rsidRPr="002F7B17">
              <w:rPr>
                <w:rFonts w:ascii="Arial" w:hAnsi="Arial" w:cs="Arial"/>
                <w:sz w:val="16"/>
                <w:szCs w:val="16"/>
              </w:rPr>
              <w:t>13,593</w:t>
            </w:r>
          </w:p>
        </w:tc>
      </w:tr>
      <w:tr w:rsidR="002F7B17" w:rsidRPr="002F7B17" w14:paraId="63E4E52D" w14:textId="77777777" w:rsidTr="002F7B17">
        <w:trPr>
          <w:trHeight w:val="204"/>
        </w:trPr>
        <w:tc>
          <w:tcPr>
            <w:tcW w:w="2109" w:type="pct"/>
            <w:tcBorders>
              <w:top w:val="nil"/>
              <w:left w:val="nil"/>
              <w:bottom w:val="single" w:sz="4" w:space="0" w:color="auto"/>
              <w:right w:val="nil"/>
            </w:tcBorders>
            <w:shd w:val="clear" w:color="auto" w:fill="auto"/>
            <w:noWrap/>
            <w:vAlign w:val="bottom"/>
            <w:hideMark/>
          </w:tcPr>
          <w:p w14:paraId="771D1EDE" w14:textId="77777777" w:rsidR="002F7B17" w:rsidRPr="002F7B17" w:rsidRDefault="002F7B17" w:rsidP="002F7B17">
            <w:pPr>
              <w:spacing w:after="0" w:line="240" w:lineRule="auto"/>
              <w:rPr>
                <w:rFonts w:ascii="Arial" w:hAnsi="Arial" w:cs="Arial"/>
                <w:b/>
                <w:bCs/>
                <w:sz w:val="16"/>
                <w:szCs w:val="16"/>
              </w:rPr>
            </w:pPr>
            <w:r w:rsidRPr="002F7B17">
              <w:rPr>
                <w:rFonts w:ascii="Arial" w:hAnsi="Arial" w:cs="Arial"/>
                <w:b/>
                <w:bCs/>
                <w:sz w:val="16"/>
                <w:szCs w:val="16"/>
              </w:rPr>
              <w:t>Total expenses for Program 6.1</w:t>
            </w:r>
          </w:p>
        </w:tc>
        <w:tc>
          <w:tcPr>
            <w:tcW w:w="605" w:type="pct"/>
            <w:tcBorders>
              <w:top w:val="single" w:sz="4" w:space="0" w:color="auto"/>
              <w:left w:val="nil"/>
              <w:bottom w:val="single" w:sz="4" w:space="0" w:color="auto"/>
              <w:right w:val="nil"/>
            </w:tcBorders>
            <w:shd w:val="clear" w:color="auto" w:fill="auto"/>
            <w:noWrap/>
            <w:vAlign w:val="bottom"/>
            <w:hideMark/>
          </w:tcPr>
          <w:p w14:paraId="3336168C" w14:textId="3151E79B" w:rsidR="002F7B17" w:rsidRPr="002F7B17" w:rsidRDefault="002F7B17" w:rsidP="002F7B17">
            <w:pPr>
              <w:spacing w:after="0" w:line="240" w:lineRule="auto"/>
              <w:jc w:val="right"/>
              <w:rPr>
                <w:rFonts w:ascii="Arial" w:hAnsi="Arial" w:cs="Arial"/>
                <w:b/>
                <w:bCs/>
                <w:sz w:val="16"/>
                <w:szCs w:val="16"/>
              </w:rPr>
            </w:pPr>
            <w:r w:rsidRPr="002F7B17">
              <w:rPr>
                <w:rFonts w:ascii="Arial" w:hAnsi="Arial" w:cs="Arial"/>
                <w:b/>
                <w:bCs/>
                <w:sz w:val="16"/>
                <w:szCs w:val="16"/>
              </w:rPr>
              <w:t>817,236</w:t>
            </w:r>
          </w:p>
        </w:tc>
        <w:tc>
          <w:tcPr>
            <w:tcW w:w="571" w:type="pct"/>
            <w:tcBorders>
              <w:top w:val="single" w:sz="4" w:space="0" w:color="auto"/>
              <w:left w:val="nil"/>
              <w:bottom w:val="single" w:sz="4" w:space="0" w:color="auto"/>
              <w:right w:val="nil"/>
            </w:tcBorders>
            <w:shd w:val="clear" w:color="000000" w:fill="E6E6E6"/>
            <w:noWrap/>
            <w:vAlign w:val="bottom"/>
            <w:hideMark/>
          </w:tcPr>
          <w:p w14:paraId="3D0BC1EA" w14:textId="2E2EEFB7" w:rsidR="002F7B17" w:rsidRPr="002F7B17" w:rsidRDefault="002F7B17" w:rsidP="002F7B17">
            <w:pPr>
              <w:spacing w:after="0" w:line="240" w:lineRule="auto"/>
              <w:jc w:val="right"/>
              <w:rPr>
                <w:rFonts w:ascii="Arial" w:hAnsi="Arial" w:cs="Arial"/>
                <w:b/>
                <w:bCs/>
                <w:sz w:val="16"/>
                <w:szCs w:val="16"/>
              </w:rPr>
            </w:pPr>
            <w:r w:rsidRPr="002F7B17">
              <w:rPr>
                <w:rFonts w:ascii="Arial" w:hAnsi="Arial" w:cs="Arial"/>
                <w:b/>
                <w:bCs/>
                <w:sz w:val="16"/>
                <w:szCs w:val="16"/>
              </w:rPr>
              <w:t>889,754</w:t>
            </w:r>
          </w:p>
        </w:tc>
        <w:tc>
          <w:tcPr>
            <w:tcW w:w="572" w:type="pct"/>
            <w:tcBorders>
              <w:top w:val="single" w:sz="4" w:space="0" w:color="auto"/>
              <w:left w:val="nil"/>
              <w:bottom w:val="single" w:sz="4" w:space="0" w:color="auto"/>
              <w:right w:val="nil"/>
            </w:tcBorders>
            <w:shd w:val="clear" w:color="auto" w:fill="auto"/>
            <w:noWrap/>
            <w:vAlign w:val="bottom"/>
            <w:hideMark/>
          </w:tcPr>
          <w:p w14:paraId="071B0BAC" w14:textId="59AF011E" w:rsidR="002F7B17" w:rsidRPr="002F7B17" w:rsidRDefault="002F7B17" w:rsidP="002F7B17">
            <w:pPr>
              <w:spacing w:after="0" w:line="240" w:lineRule="auto"/>
              <w:jc w:val="right"/>
              <w:rPr>
                <w:rFonts w:ascii="Arial" w:hAnsi="Arial" w:cs="Arial"/>
                <w:b/>
                <w:bCs/>
                <w:sz w:val="16"/>
                <w:szCs w:val="16"/>
              </w:rPr>
            </w:pPr>
            <w:r w:rsidRPr="002F7B17">
              <w:rPr>
                <w:rFonts w:ascii="Arial" w:hAnsi="Arial" w:cs="Arial"/>
                <w:b/>
                <w:bCs/>
                <w:sz w:val="16"/>
                <w:szCs w:val="16"/>
              </w:rPr>
              <w:t>947,760</w:t>
            </w:r>
          </w:p>
        </w:tc>
        <w:tc>
          <w:tcPr>
            <w:tcW w:w="572" w:type="pct"/>
            <w:tcBorders>
              <w:top w:val="single" w:sz="4" w:space="0" w:color="auto"/>
              <w:left w:val="nil"/>
              <w:bottom w:val="single" w:sz="4" w:space="0" w:color="auto"/>
              <w:right w:val="nil"/>
            </w:tcBorders>
            <w:shd w:val="clear" w:color="auto" w:fill="auto"/>
            <w:noWrap/>
            <w:vAlign w:val="bottom"/>
            <w:hideMark/>
          </w:tcPr>
          <w:p w14:paraId="339B7AE9" w14:textId="29CABA3C" w:rsidR="002F7B17" w:rsidRPr="002F7B17" w:rsidRDefault="002F7B17" w:rsidP="002F7B17">
            <w:pPr>
              <w:spacing w:after="0" w:line="240" w:lineRule="auto"/>
              <w:jc w:val="right"/>
              <w:rPr>
                <w:rFonts w:ascii="Arial" w:hAnsi="Arial" w:cs="Arial"/>
                <w:b/>
                <w:bCs/>
                <w:sz w:val="16"/>
                <w:szCs w:val="16"/>
              </w:rPr>
            </w:pPr>
            <w:r w:rsidRPr="002F7B17">
              <w:rPr>
                <w:rFonts w:ascii="Arial" w:hAnsi="Arial" w:cs="Arial"/>
                <w:b/>
                <w:bCs/>
                <w:sz w:val="16"/>
                <w:szCs w:val="16"/>
              </w:rPr>
              <w:t>933,773</w:t>
            </w:r>
          </w:p>
        </w:tc>
        <w:tc>
          <w:tcPr>
            <w:tcW w:w="572" w:type="pct"/>
            <w:tcBorders>
              <w:top w:val="single" w:sz="4" w:space="0" w:color="auto"/>
              <w:left w:val="nil"/>
              <w:bottom w:val="single" w:sz="4" w:space="0" w:color="auto"/>
              <w:right w:val="nil"/>
            </w:tcBorders>
            <w:shd w:val="clear" w:color="auto" w:fill="auto"/>
            <w:noWrap/>
            <w:vAlign w:val="bottom"/>
            <w:hideMark/>
          </w:tcPr>
          <w:p w14:paraId="6EC703AD" w14:textId="61575D92" w:rsidR="002F7B17" w:rsidRPr="002F7B17" w:rsidRDefault="002F7B17" w:rsidP="002F7B17">
            <w:pPr>
              <w:spacing w:after="0" w:line="240" w:lineRule="auto"/>
              <w:jc w:val="right"/>
              <w:rPr>
                <w:rFonts w:ascii="Arial" w:hAnsi="Arial" w:cs="Arial"/>
                <w:b/>
                <w:bCs/>
                <w:sz w:val="16"/>
                <w:szCs w:val="16"/>
              </w:rPr>
            </w:pPr>
            <w:r w:rsidRPr="002F7B17">
              <w:rPr>
                <w:rFonts w:ascii="Arial" w:hAnsi="Arial" w:cs="Arial"/>
                <w:b/>
                <w:bCs/>
                <w:sz w:val="16"/>
                <w:szCs w:val="16"/>
              </w:rPr>
              <w:t>927,350</w:t>
            </w:r>
          </w:p>
        </w:tc>
      </w:tr>
    </w:tbl>
    <w:p w14:paraId="2463993E" w14:textId="04DED4C7" w:rsidR="00C6640B" w:rsidRDefault="00C6640B" w:rsidP="00310EE0">
      <w:pPr>
        <w:spacing w:before="60" w:after="0" w:line="240" w:lineRule="auto"/>
        <w:rPr>
          <w:rFonts w:ascii="Arial" w:hAnsi="Arial" w:cs="Arial"/>
          <w:sz w:val="16"/>
        </w:rPr>
      </w:pPr>
      <w:r w:rsidRPr="00310EE0">
        <w:rPr>
          <w:rFonts w:ascii="Arial" w:eastAsia="Calibri" w:hAnsi="Arial" w:cs="Arial"/>
          <w:sz w:val="16"/>
          <w:szCs w:val="22"/>
          <w:lang w:val="en-US" w:eastAsia="en-US"/>
        </w:rPr>
        <w:t>Table has been prepared inclusive of 2022-23 Additional Estimates</w:t>
      </w:r>
      <w:r>
        <w:rPr>
          <w:rFonts w:ascii="Arial" w:hAnsi="Arial" w:cs="Arial"/>
          <w:sz w:val="16"/>
        </w:rPr>
        <w:t xml:space="preserve"> figures.</w:t>
      </w:r>
    </w:p>
    <w:p w14:paraId="35768DD6" w14:textId="1BA22AB5" w:rsidR="00115843" w:rsidRPr="00764C7D" w:rsidRDefault="00115843" w:rsidP="00977C28">
      <w:pPr>
        <w:pStyle w:val="ListParagraph"/>
        <w:numPr>
          <w:ilvl w:val="0"/>
          <w:numId w:val="117"/>
        </w:numPr>
        <w:spacing w:after="0" w:line="240" w:lineRule="auto"/>
        <w:ind w:left="426" w:hanging="426"/>
        <w:rPr>
          <w:rFonts w:ascii="Arial" w:hAnsi="Arial" w:cs="Arial"/>
          <w:sz w:val="16"/>
        </w:rPr>
      </w:pPr>
      <w:r w:rsidRPr="00764C7D">
        <w:rPr>
          <w:rFonts w:ascii="Arial" w:hAnsi="Arial" w:cs="Arial"/>
          <w:sz w:val="16"/>
        </w:rPr>
        <w:t xml:space="preserve">Relates to appropriation for corporate entities provided through </w:t>
      </w:r>
      <w:r>
        <w:rPr>
          <w:rFonts w:ascii="Arial" w:hAnsi="Arial" w:cs="Arial"/>
          <w:sz w:val="16"/>
        </w:rPr>
        <w:t xml:space="preserve">the </w:t>
      </w:r>
      <w:r w:rsidR="009D1FE5">
        <w:rPr>
          <w:rFonts w:ascii="Arial" w:hAnsi="Arial" w:cs="Arial"/>
          <w:sz w:val="16"/>
        </w:rPr>
        <w:t>D</w:t>
      </w:r>
      <w:r>
        <w:rPr>
          <w:rFonts w:ascii="Arial" w:hAnsi="Arial" w:cs="Arial"/>
          <w:sz w:val="16"/>
        </w:rPr>
        <w:t>epartment</w:t>
      </w:r>
      <w:r w:rsidRPr="00764C7D">
        <w:rPr>
          <w:rFonts w:ascii="Arial" w:hAnsi="Arial" w:cs="Arial"/>
          <w:sz w:val="16"/>
        </w:rPr>
        <w:t>.</w:t>
      </w:r>
    </w:p>
    <w:p w14:paraId="202C26E8" w14:textId="3646E767" w:rsidR="00115843" w:rsidRDefault="00115843" w:rsidP="00115843">
      <w:pPr>
        <w:spacing w:after="0" w:line="240" w:lineRule="auto"/>
        <w:rPr>
          <w:rFonts w:ascii="Arial" w:hAnsi="Arial" w:cs="Arial"/>
          <w:sz w:val="16"/>
        </w:rPr>
      </w:pPr>
      <w:r>
        <w:rPr>
          <w:rFonts w:ascii="Arial" w:hAnsi="Arial" w:cs="Arial"/>
          <w:sz w:val="16"/>
        </w:rPr>
        <w:br w:type="page"/>
      </w:r>
    </w:p>
    <w:p w14:paraId="592818AF" w14:textId="77777777" w:rsidR="00FA669F" w:rsidRDefault="00FA669F" w:rsidP="00115843">
      <w:pPr>
        <w:spacing w:after="0" w:line="240" w:lineRule="auto"/>
        <w:rPr>
          <w:rFonts w:ascii="Arial" w:hAnsi="Arial" w:cs="Arial"/>
          <w:sz w:val="16"/>
        </w:rPr>
      </w:pPr>
    </w:p>
    <w:p w14:paraId="58DD55CA" w14:textId="3536572E" w:rsidR="00115843" w:rsidRPr="00F71634" w:rsidRDefault="00115843" w:rsidP="00115843">
      <w:pPr>
        <w:pStyle w:val="TableHeading"/>
      </w:pPr>
      <w:r>
        <w:t>Table 2.6</w:t>
      </w:r>
      <w:r w:rsidRPr="00F71634">
        <w:t xml:space="preserve">.3: Performance </w:t>
      </w:r>
      <w:r>
        <w:t>measure</w:t>
      </w:r>
      <w:r w:rsidR="003B10D9">
        <w:rPr>
          <w:lang w:val="en-US"/>
        </w:rPr>
        <w:t>s</w:t>
      </w:r>
      <w:r w:rsidRPr="00F71634">
        <w:t xml:space="preserve"> for Outcome </w:t>
      </w:r>
      <w:r>
        <w:rPr>
          <w:lang w:val="en-GB"/>
        </w:rPr>
        <w:t>6</w:t>
      </w:r>
    </w:p>
    <w:p w14:paraId="3E311979" w14:textId="5E3F1442" w:rsidR="00115843" w:rsidRPr="003D3825" w:rsidRDefault="00115843" w:rsidP="00115843">
      <w:r w:rsidRPr="003D3825">
        <w:t xml:space="preserve">Table 2.6.3 details the performance measures for each program associated with Outcome 6.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w:t>
      </w:r>
      <w:r w:rsidR="00C6640B">
        <w:t>2023–24</w:t>
      </w:r>
      <w:r w:rsidR="00C6640B">
        <w:rPr>
          <w:spacing w:val="-3"/>
        </w:rPr>
        <w:t xml:space="preserve"> </w:t>
      </w:r>
      <w:r w:rsidRPr="003D3825">
        <w:t>Budget measures that have created new programs or materially changed existing programs are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478"/>
        <w:gridCol w:w="3667"/>
      </w:tblGrid>
      <w:tr w:rsidR="00115843" w:rsidRPr="00764C7D" w14:paraId="49B033C8" w14:textId="77777777" w:rsidTr="005334F2">
        <w:trPr>
          <w:trHeight w:val="569"/>
        </w:trPr>
        <w:tc>
          <w:tcPr>
            <w:tcW w:w="5000" w:type="pct"/>
            <w:gridSpan w:val="3"/>
            <w:shd w:val="clear" w:color="auto" w:fill="E6E6E6"/>
          </w:tcPr>
          <w:p w14:paraId="7CAB10CB" w14:textId="6A20D37F" w:rsidR="00115843" w:rsidRPr="00764C7D" w:rsidRDefault="00115843" w:rsidP="00FB0D02">
            <w:pPr>
              <w:pStyle w:val="TableColumnHeadingLeft"/>
              <w:rPr>
                <w:rFonts w:cs="Arial"/>
              </w:rPr>
            </w:pPr>
            <w:r w:rsidRPr="00764C7D">
              <w:rPr>
                <w:rStyle w:val="TableHeadingChar"/>
                <w:rFonts w:cs="Arial"/>
                <w:b/>
              </w:rPr>
              <w:t xml:space="preserve">Outcome </w:t>
            </w:r>
            <w:r w:rsidRPr="00764C7D">
              <w:rPr>
                <w:rStyle w:val="TableHeadingChar"/>
                <w:rFonts w:cs="Arial"/>
                <w:b/>
                <w:lang w:val="en-GB"/>
              </w:rPr>
              <w:t>6</w:t>
            </w:r>
            <w:r w:rsidRPr="00764C7D">
              <w:rPr>
                <w:rFonts w:cs="Arial"/>
              </w:rPr>
              <w:t xml:space="preserve"> </w:t>
            </w:r>
            <w:r w:rsidRPr="00764C7D">
              <w:rPr>
                <w:rFonts w:cs="Arial"/>
                <w:b w:val="0"/>
              </w:rPr>
              <w:t xml:space="preserve">– </w:t>
            </w:r>
            <w:r w:rsidRPr="00764C7D">
              <w:rPr>
                <w:rFonts w:eastAsia="Calibri" w:cs="Arial"/>
                <w:b w:val="0"/>
                <w:lang w:eastAsia="en-US"/>
              </w:rPr>
              <w:t>Participation in, and access to, Australia’s arts and culture through developing and supporting cultural expression</w:t>
            </w:r>
            <w:r w:rsidR="00390F61">
              <w:rPr>
                <w:rFonts w:eastAsia="Calibri" w:cs="Arial"/>
                <w:b w:val="0"/>
                <w:lang w:eastAsia="en-US"/>
              </w:rPr>
              <w:t>.</w:t>
            </w:r>
          </w:p>
        </w:tc>
      </w:tr>
      <w:tr w:rsidR="00115843" w:rsidRPr="00764C7D" w14:paraId="37CBED07" w14:textId="77777777" w:rsidTr="005334F2">
        <w:trPr>
          <w:trHeight w:val="522"/>
        </w:trPr>
        <w:tc>
          <w:tcPr>
            <w:tcW w:w="5000" w:type="pct"/>
            <w:gridSpan w:val="3"/>
            <w:shd w:val="clear" w:color="auto" w:fill="E6E6E6"/>
          </w:tcPr>
          <w:p w14:paraId="07BF5933" w14:textId="77777777" w:rsidR="00115843" w:rsidRPr="00764C7D" w:rsidRDefault="00115843" w:rsidP="00FB0D02">
            <w:pPr>
              <w:pStyle w:val="TableTextLeft"/>
              <w:rPr>
                <w:rFonts w:eastAsia="Arial"/>
                <w:szCs w:val="18"/>
              </w:rPr>
            </w:pPr>
            <w:r w:rsidRPr="0019217D">
              <w:rPr>
                <w:b/>
              </w:rPr>
              <w:t>Program 6.1</w:t>
            </w:r>
            <w:r w:rsidRPr="00764C7D">
              <w:t xml:space="preserve"> </w:t>
            </w:r>
            <w:r w:rsidRPr="00764C7D">
              <w:rPr>
                <w:szCs w:val="18"/>
              </w:rPr>
              <w:t xml:space="preserve">– </w:t>
            </w:r>
            <w:r w:rsidRPr="005334F2">
              <w:rPr>
                <w:rFonts w:eastAsia="Calibri" w:cs="Arial"/>
                <w:b/>
                <w:szCs w:val="18"/>
                <w:lang w:eastAsia="en-US"/>
              </w:rPr>
              <w:t>Arts and Cultural Development</w:t>
            </w:r>
            <w:r w:rsidRPr="00764C7D">
              <w:rPr>
                <w:rFonts w:eastAsia="Arial"/>
                <w:szCs w:val="18"/>
              </w:rPr>
              <w:t xml:space="preserve"> </w:t>
            </w:r>
          </w:p>
          <w:p w14:paraId="52CDAF53" w14:textId="77777777" w:rsidR="00115843" w:rsidRPr="00764C7D" w:rsidRDefault="00115843" w:rsidP="00FB0D02">
            <w:pPr>
              <w:pStyle w:val="TableTextLeft"/>
            </w:pPr>
            <w:r w:rsidRPr="00764C7D">
              <w:t>To provide an environment in which all Australians can access and benefit from creative experiences and culture, supporting inclusiveness and growth in Australia’s creative sector, and protecting and promoting Australian content and culture.</w:t>
            </w:r>
          </w:p>
        </w:tc>
      </w:tr>
      <w:tr w:rsidR="00115843" w:rsidRPr="00F4063B" w14:paraId="2CE1F508" w14:textId="77777777" w:rsidTr="00FB0D02">
        <w:trPr>
          <w:trHeight w:val="694"/>
        </w:trPr>
        <w:tc>
          <w:tcPr>
            <w:tcW w:w="1010" w:type="pct"/>
            <w:tcBorders>
              <w:bottom w:val="double" w:sz="4" w:space="0" w:color="auto"/>
            </w:tcBorders>
          </w:tcPr>
          <w:p w14:paraId="2550F246" w14:textId="3E501E00" w:rsidR="00115843" w:rsidRPr="00F4063B" w:rsidRDefault="00115843" w:rsidP="00FB0D02">
            <w:pPr>
              <w:tabs>
                <w:tab w:val="left" w:pos="709"/>
              </w:tabs>
              <w:spacing w:before="60" w:after="60"/>
              <w:rPr>
                <w:rFonts w:ascii="Arial" w:hAnsi="Arial" w:cs="Arial"/>
                <w:b/>
                <w:sz w:val="16"/>
                <w:szCs w:val="16"/>
              </w:rPr>
            </w:pPr>
            <w:r w:rsidRPr="00F4063B">
              <w:rPr>
                <w:rFonts w:ascii="Arial" w:eastAsia="Calibri" w:hAnsi="Arial" w:cs="Arial"/>
                <w:b/>
                <w:sz w:val="16"/>
                <w:szCs w:val="16"/>
              </w:rPr>
              <w:t>Key</w:t>
            </w:r>
            <w:r>
              <w:rPr>
                <w:rFonts w:ascii="Arial" w:eastAsia="Calibri" w:hAnsi="Arial" w:cs="Arial"/>
                <w:b/>
                <w:sz w:val="16"/>
                <w:szCs w:val="16"/>
              </w:rPr>
              <w:t xml:space="preserve"> </w:t>
            </w:r>
            <w:r w:rsidRPr="00F4063B">
              <w:rPr>
                <w:rFonts w:ascii="Arial" w:eastAsia="Calibri" w:hAnsi="Arial" w:cs="Arial"/>
                <w:b/>
                <w:sz w:val="16"/>
                <w:szCs w:val="16"/>
              </w:rPr>
              <w:t>Activities</w:t>
            </w:r>
            <w:r>
              <w:rPr>
                <w:rFonts w:ascii="Arial" w:eastAsia="Calibri" w:hAnsi="Arial" w:cs="Arial"/>
                <w:b/>
                <w:sz w:val="16"/>
                <w:szCs w:val="16"/>
              </w:rPr>
              <w:t xml:space="preserve"> </w:t>
            </w:r>
          </w:p>
        </w:tc>
        <w:tc>
          <w:tcPr>
            <w:tcW w:w="3990" w:type="pct"/>
            <w:gridSpan w:val="2"/>
            <w:tcBorders>
              <w:bottom w:val="double" w:sz="4" w:space="0" w:color="auto"/>
            </w:tcBorders>
          </w:tcPr>
          <w:p w14:paraId="121BF14A" w14:textId="4AF22FFB" w:rsidR="00F7162F" w:rsidRDefault="00F7162F" w:rsidP="00977C28">
            <w:pPr>
              <w:pStyle w:val="ListParagraph"/>
              <w:numPr>
                <w:ilvl w:val="0"/>
                <w:numId w:val="9"/>
              </w:numPr>
              <w:spacing w:before="60" w:after="60" w:line="240" w:lineRule="auto"/>
              <w:ind w:left="321" w:hanging="321"/>
              <w:rPr>
                <w:rFonts w:ascii="Arial" w:hAnsi="Arial" w:cs="Arial"/>
                <w:sz w:val="16"/>
                <w:szCs w:val="16"/>
              </w:rPr>
            </w:pPr>
            <w:r>
              <w:rPr>
                <w:rFonts w:ascii="Arial" w:hAnsi="Arial" w:cs="Arial"/>
                <w:sz w:val="16"/>
                <w:szCs w:val="16"/>
              </w:rPr>
              <w:t>Deliver</w:t>
            </w:r>
            <w:r w:rsidR="009F7F65">
              <w:rPr>
                <w:rFonts w:ascii="Arial" w:hAnsi="Arial" w:cs="Arial"/>
                <w:sz w:val="16"/>
                <w:szCs w:val="16"/>
              </w:rPr>
              <w:t xml:space="preserve"> on </w:t>
            </w:r>
            <w:r w:rsidR="009F7F65" w:rsidRPr="009F7F65">
              <w:rPr>
                <w:rFonts w:ascii="Arial" w:hAnsi="Arial" w:cs="Arial"/>
                <w:i/>
                <w:sz w:val="16"/>
                <w:szCs w:val="16"/>
              </w:rPr>
              <w:t>Revive</w:t>
            </w:r>
            <w:r>
              <w:rPr>
                <w:rFonts w:ascii="Arial" w:hAnsi="Arial" w:cs="Arial"/>
                <w:sz w:val="16"/>
                <w:szCs w:val="16"/>
              </w:rPr>
              <w:t xml:space="preserve"> policy and programs that support the cultural and creative sectors and enable all Australians to access and participate in cultural and creative activities. </w:t>
            </w:r>
          </w:p>
          <w:p w14:paraId="5504710F" w14:textId="77777777" w:rsidR="00F7162F" w:rsidRDefault="00F7162F" w:rsidP="00977C28">
            <w:pPr>
              <w:pStyle w:val="ListParagraph"/>
              <w:numPr>
                <w:ilvl w:val="0"/>
                <w:numId w:val="9"/>
              </w:numPr>
              <w:spacing w:before="60" w:after="60" w:line="240" w:lineRule="auto"/>
              <w:ind w:left="321" w:hanging="321"/>
              <w:rPr>
                <w:rFonts w:ascii="Arial" w:hAnsi="Arial" w:cs="Arial"/>
                <w:i/>
                <w:sz w:val="16"/>
                <w:szCs w:val="16"/>
              </w:rPr>
            </w:pPr>
            <w:r>
              <w:rPr>
                <w:rFonts w:ascii="Arial" w:hAnsi="Arial" w:cs="Arial"/>
                <w:sz w:val="16"/>
                <w:szCs w:val="16"/>
              </w:rPr>
              <w:t xml:space="preserve">Deliver policies and programs to support Australian cultural heritage, including Indigenous cultural heritage, arts, languages and repatriation. </w:t>
            </w:r>
          </w:p>
          <w:p w14:paraId="267229BD" w14:textId="77777777" w:rsidR="00F7162F" w:rsidRDefault="00F7162F" w:rsidP="00977C28">
            <w:pPr>
              <w:pStyle w:val="ListParagraph"/>
              <w:numPr>
                <w:ilvl w:val="0"/>
                <w:numId w:val="9"/>
              </w:numPr>
              <w:spacing w:before="60" w:after="60" w:line="240" w:lineRule="auto"/>
              <w:ind w:left="321" w:hanging="321"/>
              <w:rPr>
                <w:rFonts w:ascii="Arial" w:hAnsi="Arial" w:cs="Arial"/>
                <w:sz w:val="16"/>
                <w:szCs w:val="16"/>
              </w:rPr>
            </w:pPr>
            <w:r>
              <w:rPr>
                <w:rFonts w:ascii="Arial" w:hAnsi="Arial" w:cs="Arial"/>
                <w:sz w:val="16"/>
                <w:szCs w:val="16"/>
              </w:rPr>
              <w:t>Protecting and promoting Australian content and classification.</w:t>
            </w:r>
          </w:p>
          <w:p w14:paraId="00F407F5" w14:textId="04B7F09C" w:rsidR="00115843" w:rsidRPr="00376425" w:rsidRDefault="00F7162F" w:rsidP="00977C28">
            <w:pPr>
              <w:pStyle w:val="ListParagraph"/>
              <w:numPr>
                <w:ilvl w:val="0"/>
                <w:numId w:val="9"/>
              </w:numPr>
              <w:spacing w:before="60" w:after="60" w:line="240" w:lineRule="auto"/>
              <w:ind w:left="321" w:hanging="321"/>
              <w:rPr>
                <w:rFonts w:ascii="Arial" w:hAnsi="Arial" w:cs="Arial"/>
                <w:i/>
                <w:sz w:val="16"/>
                <w:szCs w:val="16"/>
              </w:rPr>
            </w:pPr>
            <w:r w:rsidRPr="00F7162F">
              <w:rPr>
                <w:rFonts w:ascii="Arial" w:hAnsi="Arial" w:cs="Arial"/>
                <w:sz w:val="16"/>
                <w:szCs w:val="16"/>
              </w:rPr>
              <w:t>Supporting inclusive creative and cultural sectors.</w:t>
            </w:r>
          </w:p>
        </w:tc>
      </w:tr>
      <w:tr w:rsidR="00115843" w:rsidRPr="00F4063B" w14:paraId="1AE9F6ED" w14:textId="77777777" w:rsidTr="00FB0D02">
        <w:trPr>
          <w:trHeight w:val="258"/>
        </w:trPr>
        <w:tc>
          <w:tcPr>
            <w:tcW w:w="1010" w:type="pct"/>
            <w:tcBorders>
              <w:top w:val="double" w:sz="4" w:space="0" w:color="auto"/>
              <w:bottom w:val="single" w:sz="4" w:space="0" w:color="auto"/>
              <w:right w:val="single" w:sz="4" w:space="0" w:color="auto"/>
            </w:tcBorders>
          </w:tcPr>
          <w:p w14:paraId="73820221" w14:textId="77777777" w:rsidR="00115843" w:rsidRPr="00CD1CF1" w:rsidRDefault="00115843" w:rsidP="00FB0D02">
            <w:pPr>
              <w:pStyle w:val="TableTextBase"/>
              <w:rPr>
                <w:b/>
                <w:sz w:val="16"/>
                <w:szCs w:val="16"/>
              </w:rPr>
            </w:pPr>
            <w:bookmarkStart w:id="40" w:name="_Hlk112667205"/>
            <w:r w:rsidRPr="00CD1CF1">
              <w:rPr>
                <w:b/>
                <w:sz w:val="16"/>
                <w:szCs w:val="16"/>
              </w:rPr>
              <w:t>Year</w:t>
            </w:r>
          </w:p>
        </w:tc>
        <w:tc>
          <w:tcPr>
            <w:tcW w:w="1609" w:type="pct"/>
            <w:tcBorders>
              <w:top w:val="double" w:sz="4" w:space="0" w:color="auto"/>
              <w:left w:val="single" w:sz="4" w:space="0" w:color="auto"/>
              <w:bottom w:val="single" w:sz="4" w:space="0" w:color="auto"/>
              <w:right w:val="single" w:sz="4" w:space="0" w:color="auto"/>
            </w:tcBorders>
          </w:tcPr>
          <w:p w14:paraId="5D98A99B" w14:textId="77777777" w:rsidR="00115843" w:rsidRPr="00CD1CF1" w:rsidRDefault="00115843" w:rsidP="00FB0D02">
            <w:pPr>
              <w:pStyle w:val="TableTextBase"/>
              <w:rPr>
                <w:rFonts w:cs="Arial"/>
                <w:b/>
                <w:sz w:val="16"/>
                <w:szCs w:val="16"/>
              </w:rPr>
            </w:pPr>
            <w:r w:rsidRPr="00CD1CF1">
              <w:rPr>
                <w:rFonts w:cs="Arial"/>
                <w:b/>
                <w:sz w:val="16"/>
                <w:szCs w:val="16"/>
              </w:rPr>
              <w:t>Performance measures</w:t>
            </w:r>
          </w:p>
        </w:tc>
        <w:tc>
          <w:tcPr>
            <w:tcW w:w="2381" w:type="pct"/>
            <w:tcBorders>
              <w:top w:val="double" w:sz="4" w:space="0" w:color="auto"/>
              <w:left w:val="single" w:sz="4" w:space="0" w:color="auto"/>
              <w:bottom w:val="single" w:sz="4" w:space="0" w:color="auto"/>
            </w:tcBorders>
          </w:tcPr>
          <w:p w14:paraId="44AF7A0C" w14:textId="77777777" w:rsidR="00115843" w:rsidRPr="00CD1CF1" w:rsidRDefault="00115843" w:rsidP="00FB0D02">
            <w:pPr>
              <w:pStyle w:val="TableTextBase"/>
              <w:rPr>
                <w:rFonts w:cs="Arial"/>
                <w:b/>
                <w:sz w:val="16"/>
                <w:szCs w:val="16"/>
              </w:rPr>
            </w:pPr>
            <w:r w:rsidRPr="00CD1CF1">
              <w:rPr>
                <w:rFonts w:cs="Arial"/>
                <w:b/>
                <w:sz w:val="16"/>
                <w:szCs w:val="16"/>
              </w:rPr>
              <w:t>Expected Performance Results</w:t>
            </w:r>
          </w:p>
        </w:tc>
      </w:tr>
      <w:bookmarkEnd w:id="40"/>
      <w:tr w:rsidR="00115843" w:rsidRPr="00F4063B" w14:paraId="0B2ECAE6" w14:textId="77777777" w:rsidTr="00FB0D02">
        <w:trPr>
          <w:cantSplit/>
          <w:trHeight w:val="642"/>
        </w:trPr>
        <w:tc>
          <w:tcPr>
            <w:tcW w:w="1010" w:type="pct"/>
            <w:vMerge w:val="restart"/>
            <w:tcBorders>
              <w:top w:val="single" w:sz="4" w:space="0" w:color="auto"/>
              <w:right w:val="single" w:sz="4" w:space="0" w:color="auto"/>
            </w:tcBorders>
          </w:tcPr>
          <w:p w14:paraId="1CB2B066" w14:textId="37C0EF98" w:rsidR="00115843" w:rsidRPr="00C92559" w:rsidRDefault="00F7162F" w:rsidP="00FB0D02">
            <w:pPr>
              <w:pStyle w:val="TableTextBase"/>
              <w:rPr>
                <w:sz w:val="16"/>
                <w:szCs w:val="16"/>
              </w:rPr>
            </w:pPr>
            <w:r>
              <w:rPr>
                <w:sz w:val="16"/>
                <w:szCs w:val="16"/>
              </w:rPr>
              <w:t>Current</w:t>
            </w:r>
            <w:r w:rsidR="00115843" w:rsidRPr="00C92559">
              <w:rPr>
                <w:sz w:val="16"/>
                <w:szCs w:val="16"/>
              </w:rPr>
              <w:t xml:space="preserve"> year </w:t>
            </w:r>
            <w:r w:rsidR="00115843" w:rsidRPr="00C92559">
              <w:rPr>
                <w:sz w:val="16"/>
                <w:szCs w:val="16"/>
              </w:rPr>
              <w:br/>
              <w:t>202</w:t>
            </w:r>
            <w:r>
              <w:rPr>
                <w:sz w:val="16"/>
                <w:szCs w:val="16"/>
              </w:rPr>
              <w:t>2</w:t>
            </w:r>
            <w:r w:rsidR="00115843" w:rsidRPr="00C92559">
              <w:rPr>
                <w:sz w:val="16"/>
                <w:szCs w:val="16"/>
              </w:rPr>
              <w:t>–2</w:t>
            </w:r>
            <w:r>
              <w:rPr>
                <w:sz w:val="16"/>
                <w:szCs w:val="16"/>
              </w:rPr>
              <w:t>3</w:t>
            </w:r>
          </w:p>
        </w:tc>
        <w:tc>
          <w:tcPr>
            <w:tcW w:w="1609" w:type="pct"/>
            <w:tcBorders>
              <w:top w:val="single" w:sz="4" w:space="0" w:color="auto"/>
              <w:left w:val="single" w:sz="4" w:space="0" w:color="auto"/>
              <w:bottom w:val="single" w:sz="4" w:space="0" w:color="auto"/>
              <w:right w:val="single" w:sz="4" w:space="0" w:color="auto"/>
            </w:tcBorders>
          </w:tcPr>
          <w:p w14:paraId="0E260BC7" w14:textId="77777777" w:rsidR="00115843" w:rsidRPr="00C92559" w:rsidRDefault="00115843" w:rsidP="00FB0D02">
            <w:pPr>
              <w:pStyle w:val="TableTextBase"/>
              <w:rPr>
                <w:rFonts w:eastAsia="Calibri" w:cs="Arial"/>
                <w:sz w:val="16"/>
                <w:szCs w:val="16"/>
                <w:lang w:eastAsia="en-US"/>
              </w:rPr>
            </w:pPr>
            <w:r w:rsidRPr="00C92559">
              <w:rPr>
                <w:rFonts w:eastAsia="Calibri" w:cs="Arial"/>
                <w:sz w:val="16"/>
                <w:szCs w:val="16"/>
                <w:lang w:eastAsia="en-US"/>
              </w:rPr>
              <w:t>Progress against the National Arts and Disability Strategy (Strategy)</w:t>
            </w:r>
          </w:p>
        </w:tc>
        <w:tc>
          <w:tcPr>
            <w:tcW w:w="2381" w:type="pct"/>
            <w:tcBorders>
              <w:top w:val="single" w:sz="4" w:space="0" w:color="auto"/>
              <w:left w:val="single" w:sz="4" w:space="0" w:color="auto"/>
              <w:bottom w:val="single" w:sz="4" w:space="0" w:color="auto"/>
            </w:tcBorders>
          </w:tcPr>
          <w:p w14:paraId="7C36B6B8" w14:textId="77777777" w:rsidR="00F7162F" w:rsidRPr="00F7162F" w:rsidRDefault="00F7162F" w:rsidP="00977C28">
            <w:pPr>
              <w:numPr>
                <w:ilvl w:val="0"/>
                <w:numId w:val="171"/>
              </w:numPr>
              <w:spacing w:before="60" w:after="60" w:line="240" w:lineRule="auto"/>
              <w:ind w:left="256" w:right="-12" w:hanging="256"/>
              <w:rPr>
                <w:rFonts w:ascii="Arial" w:eastAsia="Calibri" w:hAnsi="Arial" w:cs="Arial"/>
                <w:sz w:val="16"/>
                <w:szCs w:val="16"/>
              </w:rPr>
            </w:pPr>
            <w:r w:rsidRPr="00F7162F">
              <w:rPr>
                <w:rFonts w:ascii="Arial" w:eastAsia="Calibri" w:hAnsi="Arial" w:cs="Arial"/>
                <w:sz w:val="16"/>
                <w:szCs w:val="16"/>
              </w:rPr>
              <w:t>Development of the Associated Plan was delayed by the timing of the publication of Australia’s Disability Strategy (released in December 2021), under which the Associated Plan is being developed.</w:t>
            </w:r>
          </w:p>
          <w:p w14:paraId="5A0C9A0B" w14:textId="77777777" w:rsidR="00F7162F" w:rsidRPr="00F7162F" w:rsidRDefault="00F7162F" w:rsidP="00977C28">
            <w:pPr>
              <w:numPr>
                <w:ilvl w:val="0"/>
                <w:numId w:val="171"/>
              </w:numPr>
              <w:spacing w:before="60" w:after="60" w:line="240" w:lineRule="auto"/>
              <w:ind w:left="256" w:right="-12" w:hanging="256"/>
              <w:rPr>
                <w:rFonts w:ascii="Arial" w:eastAsia="Calibri" w:hAnsi="Arial" w:cs="Arial"/>
                <w:sz w:val="16"/>
                <w:szCs w:val="16"/>
              </w:rPr>
            </w:pPr>
            <w:r w:rsidRPr="00F7162F">
              <w:rPr>
                <w:rFonts w:ascii="Arial" w:eastAsia="Calibri" w:hAnsi="Arial" w:cs="Arial"/>
                <w:sz w:val="16"/>
                <w:szCs w:val="16"/>
              </w:rPr>
              <w:t xml:space="preserve">Following the May 2022 Federal Election and change of government, the development of the Associated Plan, including the resource hub updates, became a matter to be considered in the context of the National Cultural Policy, which was developed between June 2022 and January 2023. </w:t>
            </w:r>
          </w:p>
          <w:p w14:paraId="307E72BC" w14:textId="77777777" w:rsidR="00F7162F" w:rsidRPr="00F7162F" w:rsidRDefault="00F7162F" w:rsidP="00977C28">
            <w:pPr>
              <w:numPr>
                <w:ilvl w:val="0"/>
                <w:numId w:val="171"/>
              </w:numPr>
              <w:spacing w:before="60" w:after="60" w:line="240" w:lineRule="auto"/>
              <w:ind w:left="256" w:right="-12" w:hanging="256"/>
              <w:rPr>
                <w:rFonts w:ascii="Arial" w:eastAsia="Calibri" w:hAnsi="Arial" w:cs="Arial"/>
                <w:sz w:val="16"/>
                <w:szCs w:val="16"/>
              </w:rPr>
            </w:pPr>
            <w:r w:rsidRPr="00F7162F">
              <w:rPr>
                <w:rFonts w:ascii="Arial" w:eastAsia="Calibri" w:hAnsi="Arial" w:cs="Arial"/>
                <w:sz w:val="16"/>
                <w:szCs w:val="16"/>
              </w:rPr>
              <w:t>Through the National Cultural Policy, launched in January 2023, the Government is providing $5 million for a National Arts and Disability Associated Plan.</w:t>
            </w:r>
          </w:p>
          <w:p w14:paraId="55E41368" w14:textId="42348F3B" w:rsidR="00F7162F" w:rsidRDefault="00F7162F" w:rsidP="00977C28">
            <w:pPr>
              <w:numPr>
                <w:ilvl w:val="0"/>
                <w:numId w:val="171"/>
              </w:numPr>
              <w:spacing w:before="60" w:after="60" w:line="240" w:lineRule="auto"/>
              <w:ind w:left="256" w:right="-12" w:hanging="256"/>
              <w:rPr>
                <w:rFonts w:ascii="Arial" w:eastAsia="Calibri" w:hAnsi="Arial" w:cs="Arial"/>
                <w:sz w:val="16"/>
                <w:szCs w:val="16"/>
              </w:rPr>
            </w:pPr>
            <w:r w:rsidRPr="00F7162F">
              <w:rPr>
                <w:rFonts w:ascii="Arial" w:eastAsia="Calibri" w:hAnsi="Arial" w:cs="Arial"/>
                <w:sz w:val="16"/>
                <w:szCs w:val="16"/>
              </w:rPr>
              <w:t>Between February</w:t>
            </w:r>
            <w:r w:rsidR="00390F61">
              <w:rPr>
                <w:rFonts w:ascii="Arial" w:eastAsia="Calibri" w:hAnsi="Arial" w:cs="Arial"/>
                <w:sz w:val="16"/>
                <w:szCs w:val="16"/>
              </w:rPr>
              <w:t>-</w:t>
            </w:r>
            <w:r w:rsidRPr="00F7162F">
              <w:rPr>
                <w:rFonts w:ascii="Arial" w:eastAsia="Calibri" w:hAnsi="Arial" w:cs="Arial"/>
                <w:sz w:val="16"/>
                <w:szCs w:val="16"/>
              </w:rPr>
              <w:t xml:space="preserve">June 2023, the Department expects to undertake a range of activities, including targeted consultation to inform the Associated Plan and measures. </w:t>
            </w:r>
          </w:p>
          <w:p w14:paraId="36664ADC" w14:textId="77777777" w:rsidR="00115843" w:rsidRDefault="00F7162F" w:rsidP="00977C28">
            <w:pPr>
              <w:numPr>
                <w:ilvl w:val="0"/>
                <w:numId w:val="171"/>
              </w:numPr>
              <w:spacing w:before="60" w:after="60" w:line="240" w:lineRule="auto"/>
              <w:ind w:left="256" w:right="-12" w:hanging="256"/>
              <w:rPr>
                <w:rFonts w:ascii="Arial" w:eastAsia="Calibri" w:hAnsi="Arial" w:cs="Arial"/>
                <w:sz w:val="16"/>
                <w:szCs w:val="16"/>
              </w:rPr>
            </w:pPr>
            <w:r w:rsidRPr="00F7162F">
              <w:rPr>
                <w:rFonts w:ascii="Arial" w:eastAsia="Calibri" w:hAnsi="Arial" w:cs="Arial"/>
                <w:sz w:val="16"/>
                <w:szCs w:val="16"/>
              </w:rPr>
              <w:t>The Associated Plan is expected to be released in 2023–24.</w:t>
            </w:r>
          </w:p>
          <w:p w14:paraId="5073F299" w14:textId="5BC225C7" w:rsidR="00711B61" w:rsidRPr="00F7162F" w:rsidRDefault="00711B61" w:rsidP="00711B61">
            <w:pPr>
              <w:spacing w:before="60" w:after="60" w:line="240" w:lineRule="auto"/>
              <w:ind w:right="-12"/>
              <w:rPr>
                <w:rFonts w:ascii="Arial" w:eastAsia="Calibri" w:hAnsi="Arial" w:cs="Arial"/>
                <w:sz w:val="16"/>
                <w:szCs w:val="16"/>
              </w:rPr>
            </w:pPr>
            <w:r w:rsidRPr="00F7162F">
              <w:rPr>
                <w:rFonts w:ascii="Arial" w:eastAsia="Calibri" w:hAnsi="Arial" w:cs="Arial"/>
                <w:sz w:val="16"/>
                <w:szCs w:val="16"/>
              </w:rPr>
              <w:t>Target expected to be partially met.</w:t>
            </w:r>
          </w:p>
        </w:tc>
      </w:tr>
      <w:tr w:rsidR="00115843" w:rsidRPr="00F4063B" w14:paraId="6835504E" w14:textId="77777777" w:rsidTr="00FB0D02">
        <w:trPr>
          <w:cantSplit/>
          <w:trHeight w:val="642"/>
        </w:trPr>
        <w:tc>
          <w:tcPr>
            <w:tcW w:w="1010" w:type="pct"/>
            <w:vMerge/>
            <w:tcBorders>
              <w:right w:val="single" w:sz="4" w:space="0" w:color="auto"/>
            </w:tcBorders>
          </w:tcPr>
          <w:p w14:paraId="1D2AA1F0" w14:textId="77777777" w:rsidR="00115843" w:rsidRPr="00C92559" w:rsidRDefault="00115843" w:rsidP="00FB0D02">
            <w:pPr>
              <w:pStyle w:val="TableTextBase"/>
              <w:rPr>
                <w:sz w:val="16"/>
                <w:szCs w:val="16"/>
              </w:rPr>
            </w:pPr>
          </w:p>
        </w:tc>
        <w:tc>
          <w:tcPr>
            <w:tcW w:w="1609" w:type="pct"/>
            <w:tcBorders>
              <w:top w:val="single" w:sz="4" w:space="0" w:color="auto"/>
              <w:left w:val="single" w:sz="4" w:space="0" w:color="auto"/>
              <w:bottom w:val="single" w:sz="4" w:space="0" w:color="auto"/>
              <w:right w:val="single" w:sz="4" w:space="0" w:color="auto"/>
            </w:tcBorders>
          </w:tcPr>
          <w:p w14:paraId="07933980" w14:textId="53765F19" w:rsidR="00115843" w:rsidRPr="00C92559" w:rsidRDefault="00F7162F" w:rsidP="00FB0D02">
            <w:pPr>
              <w:pStyle w:val="TableTextBase"/>
              <w:rPr>
                <w:rFonts w:eastAsia="Calibri" w:cs="Arial"/>
                <w:sz w:val="16"/>
                <w:szCs w:val="16"/>
                <w:lang w:eastAsia="en-US"/>
              </w:rPr>
            </w:pPr>
            <w:r w:rsidRPr="00F7162F">
              <w:rPr>
                <w:rFonts w:eastAsia="Calibri" w:cs="Arial"/>
                <w:sz w:val="16"/>
                <w:szCs w:val="16"/>
                <w:lang w:eastAsia="en-US"/>
              </w:rPr>
              <w:t>Number of students enrolled in courses at national performing arts training organisations</w:t>
            </w:r>
          </w:p>
        </w:tc>
        <w:tc>
          <w:tcPr>
            <w:tcW w:w="2381" w:type="pct"/>
            <w:tcBorders>
              <w:top w:val="single" w:sz="4" w:space="0" w:color="auto"/>
              <w:left w:val="single" w:sz="4" w:space="0" w:color="auto"/>
              <w:bottom w:val="single" w:sz="4" w:space="0" w:color="auto"/>
            </w:tcBorders>
          </w:tcPr>
          <w:p w14:paraId="21AE307C" w14:textId="48467272" w:rsidR="00711B61" w:rsidRDefault="00711B61" w:rsidP="00FB0D02">
            <w:pPr>
              <w:pStyle w:val="TableTextBase"/>
              <w:rPr>
                <w:rFonts w:eastAsia="Calibri" w:cs="Arial"/>
                <w:sz w:val="16"/>
                <w:szCs w:val="16"/>
              </w:rPr>
            </w:pPr>
            <w:r>
              <w:rPr>
                <w:rFonts w:eastAsia="Calibri" w:cs="Arial"/>
                <w:sz w:val="16"/>
                <w:szCs w:val="16"/>
              </w:rPr>
              <w:t xml:space="preserve">Target: </w:t>
            </w:r>
            <w:r w:rsidRPr="00861157">
              <w:rPr>
                <w:rFonts w:eastAsia="Calibri" w:cs="Arial"/>
                <w:sz w:val="16"/>
                <w:szCs w:val="16"/>
              </w:rPr>
              <w:t>≥800 students in each calendar year</w:t>
            </w:r>
            <w:r>
              <w:rPr>
                <w:rFonts w:eastAsia="Calibri" w:cs="Arial"/>
                <w:sz w:val="16"/>
                <w:szCs w:val="16"/>
              </w:rPr>
              <w:t>.</w:t>
            </w:r>
          </w:p>
          <w:p w14:paraId="2D1A622E" w14:textId="1EFE6D27" w:rsidR="00115843" w:rsidRPr="00C92559" w:rsidRDefault="00F7162F" w:rsidP="00711B61">
            <w:pPr>
              <w:pStyle w:val="TableTextBase"/>
              <w:spacing w:before="120"/>
              <w:rPr>
                <w:rFonts w:cs="Arial"/>
                <w:sz w:val="16"/>
                <w:szCs w:val="16"/>
              </w:rPr>
            </w:pPr>
            <w:r w:rsidRPr="00F7162F">
              <w:rPr>
                <w:rFonts w:eastAsia="Calibri" w:cs="Arial"/>
                <w:sz w:val="16"/>
                <w:szCs w:val="16"/>
              </w:rPr>
              <w:t>Target expected to be met.</w:t>
            </w:r>
          </w:p>
        </w:tc>
      </w:tr>
    </w:tbl>
    <w:p w14:paraId="7E0046D5" w14:textId="77777777" w:rsidR="00115843" w:rsidRDefault="00115843" w:rsidP="0011584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63"/>
        <w:gridCol w:w="3593"/>
      </w:tblGrid>
      <w:tr w:rsidR="00115843" w:rsidRPr="0019217D" w14:paraId="0C787972" w14:textId="77777777" w:rsidTr="007E2FEF">
        <w:trPr>
          <w:trHeight w:val="258"/>
        </w:trPr>
        <w:tc>
          <w:tcPr>
            <w:tcW w:w="873" w:type="pct"/>
            <w:tcBorders>
              <w:top w:val="double" w:sz="4" w:space="0" w:color="auto"/>
              <w:bottom w:val="single" w:sz="4" w:space="0" w:color="auto"/>
              <w:right w:val="single" w:sz="4" w:space="0" w:color="auto"/>
            </w:tcBorders>
          </w:tcPr>
          <w:p w14:paraId="6BAA5E13" w14:textId="77777777" w:rsidR="00115843" w:rsidRPr="0019217D" w:rsidRDefault="00115843" w:rsidP="00FB0D02">
            <w:pPr>
              <w:pStyle w:val="TableTextBase"/>
              <w:rPr>
                <w:b/>
                <w:sz w:val="16"/>
                <w:szCs w:val="16"/>
              </w:rPr>
            </w:pPr>
            <w:r w:rsidRPr="0019217D">
              <w:rPr>
                <w:b/>
                <w:sz w:val="16"/>
                <w:szCs w:val="16"/>
              </w:rPr>
              <w:lastRenderedPageBreak/>
              <w:t>Year</w:t>
            </w:r>
          </w:p>
        </w:tc>
        <w:tc>
          <w:tcPr>
            <w:tcW w:w="1794" w:type="pct"/>
            <w:tcBorders>
              <w:top w:val="double" w:sz="4" w:space="0" w:color="auto"/>
              <w:left w:val="single" w:sz="4" w:space="0" w:color="auto"/>
              <w:bottom w:val="single" w:sz="4" w:space="0" w:color="auto"/>
              <w:right w:val="single" w:sz="4" w:space="0" w:color="auto"/>
            </w:tcBorders>
          </w:tcPr>
          <w:p w14:paraId="01E7F31F" w14:textId="77777777" w:rsidR="00115843" w:rsidRPr="0019217D" w:rsidRDefault="00115843" w:rsidP="00FB0D02">
            <w:pPr>
              <w:pStyle w:val="TableTextBase"/>
              <w:rPr>
                <w:rFonts w:cs="Arial"/>
                <w:b/>
                <w:sz w:val="16"/>
                <w:szCs w:val="16"/>
              </w:rPr>
            </w:pPr>
            <w:r w:rsidRPr="0019217D">
              <w:rPr>
                <w:rFonts w:cs="Arial"/>
                <w:b/>
                <w:sz w:val="16"/>
                <w:szCs w:val="16"/>
              </w:rPr>
              <w:t>Performance measures</w:t>
            </w:r>
          </w:p>
        </w:tc>
        <w:tc>
          <w:tcPr>
            <w:tcW w:w="2333" w:type="pct"/>
            <w:tcBorders>
              <w:top w:val="double" w:sz="4" w:space="0" w:color="auto"/>
              <w:left w:val="single" w:sz="4" w:space="0" w:color="auto"/>
              <w:bottom w:val="single" w:sz="4" w:space="0" w:color="auto"/>
            </w:tcBorders>
          </w:tcPr>
          <w:p w14:paraId="3A669540" w14:textId="77777777" w:rsidR="00115843" w:rsidRPr="0019217D" w:rsidRDefault="00115843" w:rsidP="00FB0D02">
            <w:pPr>
              <w:pStyle w:val="TableTextBase"/>
              <w:rPr>
                <w:rFonts w:cs="Arial"/>
                <w:b/>
                <w:sz w:val="16"/>
                <w:szCs w:val="16"/>
              </w:rPr>
            </w:pPr>
            <w:r w:rsidRPr="0019217D">
              <w:rPr>
                <w:rFonts w:cs="Arial"/>
                <w:b/>
                <w:sz w:val="16"/>
                <w:szCs w:val="16"/>
              </w:rPr>
              <w:t>Expected Performance Results</w:t>
            </w:r>
          </w:p>
        </w:tc>
      </w:tr>
      <w:tr w:rsidR="00CD1BA1" w:rsidRPr="0019217D" w14:paraId="201A6905" w14:textId="77777777" w:rsidTr="00FA669F">
        <w:trPr>
          <w:cantSplit/>
          <w:trHeight w:val="837"/>
        </w:trPr>
        <w:tc>
          <w:tcPr>
            <w:tcW w:w="873" w:type="pct"/>
            <w:vMerge w:val="restart"/>
            <w:tcBorders>
              <w:right w:val="single" w:sz="4" w:space="0" w:color="auto"/>
            </w:tcBorders>
          </w:tcPr>
          <w:p w14:paraId="04D7AF95" w14:textId="7359E283" w:rsidR="00CD1BA1" w:rsidRPr="0019217D" w:rsidRDefault="00CD1BA1" w:rsidP="00D24268">
            <w:pPr>
              <w:pStyle w:val="TableTextBase"/>
              <w:rPr>
                <w:sz w:val="16"/>
                <w:szCs w:val="16"/>
              </w:rPr>
            </w:pPr>
            <w:r>
              <w:rPr>
                <w:sz w:val="16"/>
                <w:szCs w:val="16"/>
              </w:rPr>
              <w:t>Current</w:t>
            </w:r>
            <w:r w:rsidRPr="0019217D">
              <w:rPr>
                <w:sz w:val="16"/>
                <w:szCs w:val="16"/>
              </w:rPr>
              <w:t xml:space="preserve"> year </w:t>
            </w:r>
            <w:r w:rsidRPr="0019217D">
              <w:rPr>
                <w:sz w:val="16"/>
                <w:szCs w:val="16"/>
              </w:rPr>
              <w:br/>
              <w:t>202</w:t>
            </w:r>
            <w:r>
              <w:rPr>
                <w:sz w:val="16"/>
                <w:szCs w:val="16"/>
              </w:rPr>
              <w:t>2</w:t>
            </w:r>
            <w:r w:rsidRPr="0019217D">
              <w:rPr>
                <w:sz w:val="16"/>
                <w:szCs w:val="16"/>
              </w:rPr>
              <w:t>–2</w:t>
            </w:r>
            <w:r>
              <w:rPr>
                <w:sz w:val="16"/>
                <w:szCs w:val="16"/>
              </w:rPr>
              <w:t>3</w:t>
            </w:r>
            <w:r w:rsidRPr="0019217D">
              <w:rPr>
                <w:sz w:val="16"/>
                <w:szCs w:val="16"/>
              </w:rPr>
              <w:t xml:space="preserve"> cont.</w:t>
            </w:r>
          </w:p>
        </w:tc>
        <w:tc>
          <w:tcPr>
            <w:tcW w:w="1794" w:type="pct"/>
            <w:tcBorders>
              <w:top w:val="single" w:sz="4" w:space="0" w:color="auto"/>
              <w:left w:val="single" w:sz="4" w:space="0" w:color="auto"/>
              <w:bottom w:val="single" w:sz="4" w:space="0" w:color="auto"/>
              <w:right w:val="single" w:sz="4" w:space="0" w:color="auto"/>
            </w:tcBorders>
          </w:tcPr>
          <w:p w14:paraId="7E5C625B" w14:textId="7B1177C2" w:rsidR="00CD1BA1" w:rsidRPr="0019217D" w:rsidRDefault="00CD1BA1" w:rsidP="00CD1BA1">
            <w:pPr>
              <w:spacing w:before="60" w:after="60" w:line="240" w:lineRule="auto"/>
              <w:contextualSpacing/>
              <w:rPr>
                <w:rFonts w:eastAsia="Calibri" w:cs="Arial"/>
                <w:sz w:val="16"/>
                <w:szCs w:val="16"/>
              </w:rPr>
            </w:pPr>
            <w:r w:rsidRPr="00CD1BA1">
              <w:rPr>
                <w:rFonts w:ascii="Arial" w:eastAsia="Calibri" w:hAnsi="Arial" w:cs="Arial"/>
                <w:sz w:val="16"/>
                <w:szCs w:val="16"/>
              </w:rPr>
              <w:t>Number of payments made to claimants (including authors, illustrators and publishers) through lending rights</w:t>
            </w:r>
          </w:p>
        </w:tc>
        <w:tc>
          <w:tcPr>
            <w:tcW w:w="2333" w:type="pct"/>
            <w:tcBorders>
              <w:top w:val="single" w:sz="4" w:space="0" w:color="auto"/>
              <w:left w:val="single" w:sz="4" w:space="0" w:color="auto"/>
              <w:bottom w:val="single" w:sz="4" w:space="0" w:color="auto"/>
            </w:tcBorders>
          </w:tcPr>
          <w:p w14:paraId="60EDCCF2" w14:textId="6E84E9D8" w:rsidR="00711B61" w:rsidRDefault="00711B61" w:rsidP="00CD1BA1">
            <w:pPr>
              <w:spacing w:before="60" w:after="60" w:line="240" w:lineRule="auto"/>
              <w:rPr>
                <w:rFonts w:ascii="Arial" w:eastAsia="Calibri" w:hAnsi="Arial" w:cs="Arial"/>
                <w:sz w:val="16"/>
                <w:szCs w:val="16"/>
              </w:rPr>
            </w:pPr>
            <w:r>
              <w:rPr>
                <w:rFonts w:ascii="Arial" w:eastAsia="Calibri" w:hAnsi="Arial" w:cs="Arial"/>
                <w:sz w:val="16"/>
                <w:szCs w:val="16"/>
              </w:rPr>
              <w:t xml:space="preserve">Target: </w:t>
            </w:r>
            <w:r w:rsidRPr="00861157">
              <w:rPr>
                <w:rFonts w:ascii="Arial" w:eastAsia="Calibri" w:hAnsi="Arial" w:cs="Arial"/>
                <w:sz w:val="16"/>
                <w:szCs w:val="16"/>
              </w:rPr>
              <w:t>≥16,000 payments to claimants in each financial year</w:t>
            </w:r>
            <w:r>
              <w:rPr>
                <w:rFonts w:ascii="Arial" w:eastAsia="Calibri" w:hAnsi="Arial" w:cs="Arial"/>
                <w:sz w:val="16"/>
                <w:szCs w:val="16"/>
              </w:rPr>
              <w:t>.</w:t>
            </w:r>
          </w:p>
          <w:p w14:paraId="019DDC55" w14:textId="268F4243" w:rsidR="00CD1BA1" w:rsidRPr="00CD1BA1" w:rsidRDefault="00CD1BA1" w:rsidP="00711B61">
            <w:pPr>
              <w:spacing w:before="120" w:after="60" w:line="240" w:lineRule="auto"/>
              <w:rPr>
                <w:rFonts w:ascii="Arial" w:hAnsi="Arial" w:cs="Arial"/>
                <w:sz w:val="16"/>
                <w:szCs w:val="16"/>
              </w:rPr>
            </w:pPr>
            <w:r w:rsidRPr="00CD1BA1">
              <w:rPr>
                <w:rFonts w:ascii="Arial" w:eastAsia="Calibri" w:hAnsi="Arial" w:cs="Arial"/>
                <w:sz w:val="16"/>
                <w:szCs w:val="16"/>
              </w:rPr>
              <w:t>Target expected to be met.</w:t>
            </w:r>
          </w:p>
        </w:tc>
      </w:tr>
      <w:tr w:rsidR="00CD1BA1" w:rsidRPr="0019217D" w14:paraId="18449937" w14:textId="77777777" w:rsidTr="007E2FEF">
        <w:trPr>
          <w:cantSplit/>
          <w:trHeight w:val="642"/>
        </w:trPr>
        <w:tc>
          <w:tcPr>
            <w:tcW w:w="873" w:type="pct"/>
            <w:vMerge/>
            <w:tcBorders>
              <w:right w:val="single" w:sz="4" w:space="0" w:color="auto"/>
            </w:tcBorders>
          </w:tcPr>
          <w:p w14:paraId="303BAAE0" w14:textId="1D49CD7F" w:rsidR="00CD1BA1" w:rsidRPr="0019217D" w:rsidRDefault="00CD1BA1" w:rsidP="00FB0D02">
            <w:pPr>
              <w:pStyle w:val="TableTextBase"/>
              <w:rPr>
                <w:sz w:val="16"/>
                <w:szCs w:val="16"/>
              </w:rPr>
            </w:pPr>
          </w:p>
        </w:tc>
        <w:tc>
          <w:tcPr>
            <w:tcW w:w="1794" w:type="pct"/>
            <w:tcBorders>
              <w:top w:val="single" w:sz="4" w:space="0" w:color="auto"/>
              <w:left w:val="single" w:sz="4" w:space="0" w:color="auto"/>
              <w:bottom w:val="single" w:sz="4" w:space="0" w:color="auto"/>
              <w:right w:val="single" w:sz="4" w:space="0" w:color="auto"/>
            </w:tcBorders>
          </w:tcPr>
          <w:p w14:paraId="7C173258" w14:textId="4206554A" w:rsidR="00CD1BA1" w:rsidRPr="0019217D" w:rsidRDefault="00CD1BA1" w:rsidP="00FB0D02">
            <w:pPr>
              <w:pStyle w:val="TableTextBase"/>
              <w:rPr>
                <w:rFonts w:asciiTheme="minorHAnsi" w:eastAsia="Calibri" w:hAnsiTheme="minorHAnsi" w:cstheme="minorHAnsi"/>
                <w:sz w:val="16"/>
                <w:szCs w:val="16"/>
                <w:lang w:eastAsia="en-US"/>
              </w:rPr>
            </w:pPr>
            <w:r w:rsidRPr="00CD1BA1">
              <w:rPr>
                <w:rFonts w:eastAsia="Calibri" w:cs="Arial"/>
                <w:sz w:val="16"/>
                <w:szCs w:val="16"/>
              </w:rPr>
              <w:t>Number of art centres and art fairs funded through the Indigenous Visual Arts Industry Support (IVAIS) program</w:t>
            </w:r>
          </w:p>
        </w:tc>
        <w:tc>
          <w:tcPr>
            <w:tcW w:w="2333" w:type="pct"/>
            <w:tcBorders>
              <w:top w:val="single" w:sz="4" w:space="0" w:color="auto"/>
              <w:left w:val="single" w:sz="4" w:space="0" w:color="auto"/>
              <w:bottom w:val="single" w:sz="4" w:space="0" w:color="auto"/>
            </w:tcBorders>
          </w:tcPr>
          <w:p w14:paraId="5A8EB43A" w14:textId="4B3FCBC9" w:rsidR="00711B61" w:rsidRPr="00711B61" w:rsidRDefault="00711B61" w:rsidP="00FB0D02">
            <w:pPr>
              <w:spacing w:before="60" w:after="60" w:line="240" w:lineRule="auto"/>
              <w:rPr>
                <w:rFonts w:ascii="Arial" w:eastAsia="Calibri" w:hAnsi="Arial" w:cs="Arial"/>
                <w:sz w:val="16"/>
                <w:szCs w:val="16"/>
              </w:rPr>
            </w:pPr>
            <w:r>
              <w:rPr>
                <w:rFonts w:ascii="Arial" w:eastAsia="Calibri" w:hAnsi="Arial" w:cs="Arial"/>
                <w:sz w:val="16"/>
                <w:szCs w:val="16"/>
              </w:rPr>
              <w:t xml:space="preserve">Target: </w:t>
            </w:r>
            <w:r w:rsidRPr="00861157">
              <w:rPr>
                <w:rFonts w:ascii="Arial" w:eastAsia="Calibri" w:hAnsi="Arial" w:cs="Arial"/>
                <w:sz w:val="16"/>
                <w:szCs w:val="16"/>
              </w:rPr>
              <w:t>≥16,000 payments to claimants in each financial year</w:t>
            </w:r>
            <w:r>
              <w:rPr>
                <w:rFonts w:ascii="Arial" w:eastAsia="Calibri" w:hAnsi="Arial" w:cs="Arial"/>
                <w:sz w:val="16"/>
                <w:szCs w:val="16"/>
              </w:rPr>
              <w:t>.</w:t>
            </w:r>
          </w:p>
          <w:p w14:paraId="5838DB5E" w14:textId="22C42A12" w:rsidR="00CD1BA1" w:rsidRPr="0019217D" w:rsidRDefault="00CD1BA1" w:rsidP="00711B61">
            <w:pPr>
              <w:spacing w:before="120" w:after="60" w:line="240" w:lineRule="auto"/>
              <w:rPr>
                <w:rFonts w:ascii="Arial" w:eastAsia="Calibri" w:hAnsi="Arial" w:cs="Arial"/>
                <w:sz w:val="16"/>
                <w:szCs w:val="16"/>
              </w:rPr>
            </w:pPr>
            <w:r w:rsidRPr="00CD1BA1">
              <w:rPr>
                <w:rFonts w:ascii="Arial" w:eastAsia="Calibri" w:hAnsi="Arial" w:cs="Arial"/>
                <w:sz w:val="16"/>
                <w:szCs w:val="16"/>
              </w:rPr>
              <w:t>Target expected to be met.</w:t>
            </w:r>
          </w:p>
        </w:tc>
      </w:tr>
      <w:tr w:rsidR="00CD1BA1" w:rsidRPr="0019217D" w14:paraId="0D80B504" w14:textId="77777777" w:rsidTr="007E2FEF">
        <w:trPr>
          <w:cantSplit/>
          <w:trHeight w:val="1012"/>
        </w:trPr>
        <w:tc>
          <w:tcPr>
            <w:tcW w:w="873" w:type="pct"/>
            <w:vMerge/>
            <w:tcBorders>
              <w:right w:val="single" w:sz="4" w:space="0" w:color="auto"/>
            </w:tcBorders>
          </w:tcPr>
          <w:p w14:paraId="1AB69452" w14:textId="257FAD6E" w:rsidR="00CD1BA1" w:rsidRPr="0019217D" w:rsidRDefault="00CD1BA1" w:rsidP="00FB0D02">
            <w:pPr>
              <w:pStyle w:val="TableTextBase"/>
              <w:rPr>
                <w:b/>
                <w:sz w:val="16"/>
                <w:szCs w:val="16"/>
              </w:rPr>
            </w:pPr>
          </w:p>
        </w:tc>
        <w:tc>
          <w:tcPr>
            <w:tcW w:w="1794" w:type="pct"/>
            <w:tcBorders>
              <w:top w:val="single" w:sz="4" w:space="0" w:color="auto"/>
              <w:left w:val="single" w:sz="4" w:space="0" w:color="auto"/>
              <w:bottom w:val="single" w:sz="4" w:space="0" w:color="auto"/>
              <w:right w:val="single" w:sz="4" w:space="0" w:color="auto"/>
            </w:tcBorders>
          </w:tcPr>
          <w:p w14:paraId="4E82F2E7" w14:textId="77777777" w:rsidR="00CD1BA1" w:rsidRPr="00CD1BA1" w:rsidRDefault="00CD1BA1" w:rsidP="00CD1BA1">
            <w:pPr>
              <w:pStyle w:val="TableTextBase"/>
              <w:rPr>
                <w:rFonts w:eastAsia="Calibri" w:cs="Arial"/>
                <w:sz w:val="16"/>
                <w:szCs w:val="16"/>
                <w:lang w:eastAsia="en-US"/>
              </w:rPr>
            </w:pPr>
            <w:r w:rsidRPr="00CD1BA1">
              <w:rPr>
                <w:rFonts w:eastAsia="Calibri" w:cs="Arial"/>
                <w:sz w:val="16"/>
                <w:szCs w:val="16"/>
                <w:lang w:eastAsia="en-US"/>
              </w:rPr>
              <w:t>Repatriation activities that support:</w:t>
            </w:r>
          </w:p>
          <w:p w14:paraId="351BF4F6" w14:textId="77777777" w:rsidR="00CD1BA1" w:rsidRDefault="00CD1BA1" w:rsidP="00977C28">
            <w:pPr>
              <w:pStyle w:val="TableTextBase"/>
              <w:numPr>
                <w:ilvl w:val="0"/>
                <w:numId w:val="172"/>
              </w:numPr>
              <w:ind w:left="247" w:hanging="247"/>
              <w:rPr>
                <w:rFonts w:eastAsia="Calibri" w:cs="Arial"/>
                <w:sz w:val="16"/>
                <w:szCs w:val="16"/>
                <w:lang w:eastAsia="en-US"/>
              </w:rPr>
            </w:pPr>
            <w:r w:rsidRPr="00CD1BA1">
              <w:rPr>
                <w:rFonts w:eastAsia="Calibri" w:cs="Arial"/>
                <w:sz w:val="16"/>
                <w:szCs w:val="16"/>
                <w:lang w:eastAsia="en-US"/>
              </w:rPr>
              <w:t>securing new international agreements and facilitation of the repatriation of Aboriginal and Torres Strait Islander ancestral remains (ancestors).</w:t>
            </w:r>
          </w:p>
          <w:p w14:paraId="6964D040" w14:textId="79B53A6D" w:rsidR="00CD1BA1" w:rsidRPr="00CD1BA1" w:rsidRDefault="00CD1BA1" w:rsidP="00977C28">
            <w:pPr>
              <w:pStyle w:val="TableTextBase"/>
              <w:numPr>
                <w:ilvl w:val="0"/>
                <w:numId w:val="172"/>
              </w:numPr>
              <w:ind w:left="247" w:hanging="247"/>
              <w:rPr>
                <w:rFonts w:eastAsia="Calibri" w:cs="Arial"/>
                <w:sz w:val="16"/>
                <w:szCs w:val="16"/>
                <w:lang w:eastAsia="en-US"/>
              </w:rPr>
            </w:pPr>
            <w:r w:rsidRPr="00CD1BA1">
              <w:rPr>
                <w:rFonts w:eastAsia="Calibri" w:cs="Arial"/>
                <w:sz w:val="16"/>
                <w:szCs w:val="16"/>
                <w:lang w:eastAsia="en-US"/>
              </w:rPr>
              <w:t>funding agreements executed under the Indigenous Repatriation Program — Museum Grants and facilitation of the repatriation of ancestors and secret sacred objects</w:t>
            </w:r>
          </w:p>
        </w:tc>
        <w:tc>
          <w:tcPr>
            <w:tcW w:w="2333" w:type="pct"/>
            <w:tcBorders>
              <w:top w:val="single" w:sz="4" w:space="0" w:color="auto"/>
              <w:left w:val="single" w:sz="4" w:space="0" w:color="auto"/>
              <w:bottom w:val="single" w:sz="4" w:space="0" w:color="auto"/>
            </w:tcBorders>
          </w:tcPr>
          <w:p w14:paraId="2ACCCA7C" w14:textId="2799F0DA" w:rsidR="00CD1BA1" w:rsidRPr="0019217D" w:rsidRDefault="00CD1BA1" w:rsidP="00FB0D02">
            <w:pPr>
              <w:spacing w:before="60" w:after="60" w:line="240" w:lineRule="auto"/>
              <w:rPr>
                <w:rFonts w:ascii="Arial" w:hAnsi="Arial"/>
                <w:b/>
                <w:sz w:val="16"/>
                <w:szCs w:val="16"/>
              </w:rPr>
            </w:pPr>
            <w:r w:rsidRPr="00CD1BA1">
              <w:rPr>
                <w:rFonts w:ascii="Arial" w:eastAsia="Calibri" w:hAnsi="Arial" w:cs="Arial"/>
                <w:sz w:val="16"/>
                <w:szCs w:val="16"/>
              </w:rPr>
              <w:t>No target.</w:t>
            </w:r>
          </w:p>
        </w:tc>
      </w:tr>
      <w:tr w:rsidR="00CD1BA1" w:rsidRPr="0019217D" w14:paraId="1B81F32C" w14:textId="77777777" w:rsidTr="007E2FEF">
        <w:trPr>
          <w:cantSplit/>
          <w:trHeight w:val="642"/>
        </w:trPr>
        <w:tc>
          <w:tcPr>
            <w:tcW w:w="873" w:type="pct"/>
            <w:vMerge/>
            <w:tcBorders>
              <w:right w:val="single" w:sz="4" w:space="0" w:color="auto"/>
            </w:tcBorders>
          </w:tcPr>
          <w:p w14:paraId="1DAD1640" w14:textId="1064ED77" w:rsidR="00CD1BA1" w:rsidRPr="0019217D" w:rsidRDefault="00CD1BA1" w:rsidP="00FB0D02">
            <w:pPr>
              <w:pStyle w:val="TableTextBase"/>
              <w:rPr>
                <w:sz w:val="16"/>
                <w:szCs w:val="16"/>
              </w:rPr>
            </w:pPr>
          </w:p>
        </w:tc>
        <w:tc>
          <w:tcPr>
            <w:tcW w:w="1794" w:type="pct"/>
            <w:tcBorders>
              <w:top w:val="single" w:sz="4" w:space="0" w:color="auto"/>
              <w:left w:val="single" w:sz="4" w:space="0" w:color="auto"/>
              <w:bottom w:val="single" w:sz="4" w:space="0" w:color="auto"/>
              <w:right w:val="single" w:sz="4" w:space="0" w:color="auto"/>
            </w:tcBorders>
          </w:tcPr>
          <w:p w14:paraId="2EB137C2" w14:textId="190C94BE" w:rsidR="00CD1BA1" w:rsidRPr="00CD1BA1" w:rsidRDefault="00CD1BA1" w:rsidP="00CD1BA1">
            <w:pPr>
              <w:spacing w:before="60" w:after="60" w:line="240" w:lineRule="auto"/>
              <w:contextualSpacing/>
              <w:rPr>
                <w:rFonts w:ascii="Arial" w:eastAsia="Calibri" w:hAnsi="Arial" w:cs="Arial"/>
                <w:sz w:val="16"/>
                <w:szCs w:val="16"/>
              </w:rPr>
            </w:pPr>
            <w:r w:rsidRPr="00CD1BA1">
              <w:rPr>
                <w:rFonts w:ascii="Arial" w:eastAsia="Calibri" w:hAnsi="Arial" w:cs="Arial"/>
                <w:sz w:val="16"/>
                <w:szCs w:val="16"/>
              </w:rPr>
              <w:t>Effectiveness of the current Australian content and classification frameworks</w:t>
            </w:r>
            <w:r w:rsidRPr="00CD1BA1">
              <w:rPr>
                <w:rFonts w:ascii="Arial" w:eastAsia="Calibri" w:hAnsi="Arial" w:cs="Arial"/>
                <w:sz w:val="16"/>
                <w:szCs w:val="16"/>
                <w:vertAlign w:val="superscript"/>
              </w:rPr>
              <w:t>(a)</w:t>
            </w:r>
          </w:p>
        </w:tc>
        <w:tc>
          <w:tcPr>
            <w:tcW w:w="2333" w:type="pct"/>
            <w:tcBorders>
              <w:top w:val="single" w:sz="4" w:space="0" w:color="auto"/>
              <w:left w:val="single" w:sz="4" w:space="0" w:color="auto"/>
              <w:bottom w:val="single" w:sz="4" w:space="0" w:color="auto"/>
            </w:tcBorders>
          </w:tcPr>
          <w:p w14:paraId="5C664C73" w14:textId="77777777" w:rsidR="00711B61" w:rsidRPr="00861157" w:rsidRDefault="00711B61" w:rsidP="00711B61">
            <w:pPr>
              <w:spacing w:before="60" w:after="60" w:line="240" w:lineRule="auto"/>
              <w:ind w:right="-12"/>
              <w:rPr>
                <w:rFonts w:ascii="Arial" w:eastAsia="Calibri" w:hAnsi="Arial" w:cs="Arial"/>
                <w:sz w:val="16"/>
                <w:szCs w:val="16"/>
              </w:rPr>
            </w:pPr>
            <w:r>
              <w:rPr>
                <w:rFonts w:ascii="Arial" w:eastAsia="Calibri" w:hAnsi="Arial" w:cs="Arial"/>
                <w:sz w:val="16"/>
                <w:szCs w:val="16"/>
              </w:rPr>
              <w:t xml:space="preserve">Target: </w:t>
            </w:r>
            <w:r w:rsidRPr="00861157">
              <w:rPr>
                <w:rFonts w:ascii="Arial" w:eastAsia="Calibri" w:hAnsi="Arial" w:cs="Arial"/>
                <w:sz w:val="16"/>
                <w:szCs w:val="16"/>
              </w:rPr>
              <w:t>Reporting in each financial year shows organisations are meeting or exceeding statutory obligations:</w:t>
            </w:r>
          </w:p>
          <w:p w14:paraId="6F14902A" w14:textId="77777777" w:rsidR="00711B61" w:rsidRDefault="00711B61" w:rsidP="00977C28">
            <w:pPr>
              <w:numPr>
                <w:ilvl w:val="0"/>
                <w:numId w:val="238"/>
              </w:numPr>
              <w:spacing w:before="60" w:after="60" w:line="240" w:lineRule="auto"/>
              <w:ind w:left="465" w:right="-12"/>
              <w:contextualSpacing/>
              <w:rPr>
                <w:rFonts w:ascii="Arial" w:eastAsia="Calibri" w:hAnsi="Arial" w:cs="Arial"/>
                <w:sz w:val="16"/>
                <w:szCs w:val="16"/>
              </w:rPr>
            </w:pPr>
            <w:r w:rsidRPr="00861157">
              <w:rPr>
                <w:rFonts w:ascii="Arial" w:eastAsia="Calibri" w:hAnsi="Arial" w:cs="Arial"/>
                <w:sz w:val="16"/>
                <w:szCs w:val="16"/>
              </w:rPr>
              <w:t>Australian content quota compliance and the existence of public data on Australian content available on streaming video on demand services</w:t>
            </w:r>
          </w:p>
          <w:p w14:paraId="784C3111" w14:textId="43AD6BFD" w:rsidR="00711B61" w:rsidRPr="00711B61" w:rsidRDefault="00711B61" w:rsidP="00977C28">
            <w:pPr>
              <w:numPr>
                <w:ilvl w:val="0"/>
                <w:numId w:val="238"/>
              </w:numPr>
              <w:spacing w:before="60" w:after="60" w:line="240" w:lineRule="auto"/>
              <w:ind w:left="465" w:right="-12"/>
              <w:contextualSpacing/>
              <w:rPr>
                <w:rFonts w:ascii="Arial" w:eastAsia="Calibri" w:hAnsi="Arial" w:cs="Arial"/>
                <w:sz w:val="16"/>
                <w:szCs w:val="16"/>
              </w:rPr>
            </w:pPr>
            <w:r w:rsidRPr="00711B61">
              <w:rPr>
                <w:rFonts w:ascii="Arial" w:eastAsia="Calibri" w:hAnsi="Arial" w:cs="Arial"/>
                <w:sz w:val="16"/>
                <w:szCs w:val="16"/>
              </w:rPr>
              <w:t>100% of Classification decisions by the Classification Board and Classification Review Board made and published on the National Classification Database within statutory timeframes.</w:t>
            </w:r>
          </w:p>
          <w:p w14:paraId="21B0ED07" w14:textId="369B20F5" w:rsidR="00CD1BA1" w:rsidRPr="0019217D" w:rsidRDefault="00CD1BA1" w:rsidP="00711B61">
            <w:pPr>
              <w:spacing w:before="120" w:after="60" w:line="240" w:lineRule="auto"/>
              <w:rPr>
                <w:rFonts w:ascii="Arial" w:eastAsia="Calibri" w:hAnsi="Arial" w:cs="Arial"/>
                <w:sz w:val="16"/>
                <w:szCs w:val="16"/>
              </w:rPr>
            </w:pPr>
            <w:r w:rsidRPr="00CD1BA1">
              <w:rPr>
                <w:rFonts w:ascii="Arial" w:eastAsia="Calibri" w:hAnsi="Arial" w:cs="Arial"/>
                <w:sz w:val="16"/>
                <w:szCs w:val="16"/>
              </w:rPr>
              <w:t>Target expected to be partially met.</w:t>
            </w:r>
          </w:p>
        </w:tc>
      </w:tr>
      <w:tr w:rsidR="00CD1BA1" w:rsidRPr="00861157" w14:paraId="1E32BCDC" w14:textId="77777777" w:rsidTr="00D24268">
        <w:trPr>
          <w:cantSplit/>
          <w:trHeight w:val="1590"/>
        </w:trPr>
        <w:tc>
          <w:tcPr>
            <w:tcW w:w="873" w:type="pct"/>
            <w:vMerge/>
            <w:tcBorders>
              <w:right w:val="single" w:sz="4" w:space="0" w:color="auto"/>
            </w:tcBorders>
          </w:tcPr>
          <w:p w14:paraId="355A7C11" w14:textId="3733DF39" w:rsidR="00CD1BA1" w:rsidRPr="00861157" w:rsidRDefault="00CD1BA1" w:rsidP="00FB0D02">
            <w:pPr>
              <w:pStyle w:val="TableTextBase"/>
              <w:rPr>
                <w:sz w:val="16"/>
                <w:szCs w:val="16"/>
              </w:rPr>
            </w:pPr>
          </w:p>
        </w:tc>
        <w:tc>
          <w:tcPr>
            <w:tcW w:w="1794" w:type="pct"/>
            <w:tcBorders>
              <w:top w:val="single" w:sz="4" w:space="0" w:color="auto"/>
              <w:left w:val="single" w:sz="4" w:space="0" w:color="auto"/>
              <w:bottom w:val="single" w:sz="4" w:space="0" w:color="auto"/>
              <w:right w:val="single" w:sz="4" w:space="0" w:color="auto"/>
            </w:tcBorders>
          </w:tcPr>
          <w:p w14:paraId="52B828AA" w14:textId="2D96EEB5" w:rsidR="00CD1BA1" w:rsidRPr="00861157" w:rsidRDefault="00CD1BA1" w:rsidP="00CD1BA1">
            <w:pPr>
              <w:spacing w:before="60" w:after="60" w:line="240" w:lineRule="auto"/>
              <w:contextualSpacing/>
              <w:rPr>
                <w:rFonts w:eastAsia="Calibri" w:cs="Arial"/>
                <w:sz w:val="16"/>
                <w:szCs w:val="16"/>
              </w:rPr>
            </w:pPr>
            <w:r w:rsidRPr="00CD1BA1">
              <w:rPr>
                <w:rFonts w:ascii="Arial" w:eastAsia="Calibri" w:hAnsi="Arial" w:cs="Arial"/>
                <w:sz w:val="16"/>
                <w:szCs w:val="16"/>
              </w:rPr>
              <w:t>Impact of our activities to support Indigenous visual arts, languages and culture indicated through the number of Indigenous language centres and Indigenous art centres funded, the number of arts workers employed and artists active with funded art centres</w:t>
            </w:r>
          </w:p>
        </w:tc>
        <w:tc>
          <w:tcPr>
            <w:tcW w:w="2333" w:type="pct"/>
            <w:tcBorders>
              <w:top w:val="single" w:sz="4" w:space="0" w:color="auto"/>
              <w:left w:val="single" w:sz="4" w:space="0" w:color="auto"/>
              <w:bottom w:val="single" w:sz="4" w:space="0" w:color="auto"/>
            </w:tcBorders>
          </w:tcPr>
          <w:p w14:paraId="0F03682F" w14:textId="77777777" w:rsidR="00711B61" w:rsidRPr="00861157" w:rsidRDefault="00711B61" w:rsidP="00711B61">
            <w:pPr>
              <w:spacing w:before="60" w:after="60" w:line="240" w:lineRule="auto"/>
              <w:ind w:right="-12"/>
              <w:rPr>
                <w:rFonts w:ascii="Arial" w:eastAsia="Calibri" w:hAnsi="Arial" w:cs="Arial"/>
                <w:sz w:val="16"/>
                <w:szCs w:val="16"/>
              </w:rPr>
            </w:pPr>
            <w:r>
              <w:rPr>
                <w:rFonts w:ascii="Arial" w:eastAsia="Calibri" w:hAnsi="Arial" w:cs="Arial"/>
                <w:sz w:val="16"/>
                <w:szCs w:val="16"/>
              </w:rPr>
              <w:t xml:space="preserve">Target: </w:t>
            </w:r>
            <w:r w:rsidRPr="00861157">
              <w:rPr>
                <w:rFonts w:ascii="Arial" w:eastAsia="Calibri" w:hAnsi="Arial" w:cs="Arial"/>
                <w:sz w:val="16"/>
                <w:szCs w:val="16"/>
              </w:rPr>
              <w:t>Reporting in each financial year shows:</w:t>
            </w:r>
          </w:p>
          <w:p w14:paraId="10C09A2F" w14:textId="77777777" w:rsidR="00711B61" w:rsidRPr="00861157" w:rsidRDefault="00711B61" w:rsidP="00977C28">
            <w:pPr>
              <w:numPr>
                <w:ilvl w:val="0"/>
                <w:numId w:val="239"/>
              </w:numPr>
              <w:spacing w:before="60" w:after="60" w:line="240" w:lineRule="auto"/>
              <w:ind w:right="-12"/>
              <w:contextualSpacing/>
              <w:rPr>
                <w:rFonts w:ascii="Arial" w:eastAsia="Calibri" w:hAnsi="Arial" w:cs="Arial"/>
                <w:sz w:val="16"/>
                <w:szCs w:val="16"/>
              </w:rPr>
            </w:pPr>
            <w:r w:rsidRPr="00861157">
              <w:rPr>
                <w:rFonts w:ascii="Arial" w:eastAsia="Calibri" w:hAnsi="Arial" w:cs="Arial"/>
                <w:sz w:val="16"/>
                <w:szCs w:val="16"/>
              </w:rPr>
              <w:t>≥20 language centres in the financial year funded</w:t>
            </w:r>
          </w:p>
          <w:p w14:paraId="762EE7C2" w14:textId="77777777" w:rsidR="00711B61" w:rsidRDefault="00711B61" w:rsidP="00977C28">
            <w:pPr>
              <w:numPr>
                <w:ilvl w:val="0"/>
                <w:numId w:val="239"/>
              </w:numPr>
              <w:spacing w:before="60" w:after="60" w:line="240" w:lineRule="auto"/>
              <w:ind w:right="-12"/>
              <w:contextualSpacing/>
              <w:rPr>
                <w:rFonts w:ascii="Arial" w:eastAsia="Calibri" w:hAnsi="Arial" w:cs="Arial"/>
                <w:sz w:val="16"/>
                <w:szCs w:val="16"/>
              </w:rPr>
            </w:pPr>
            <w:r w:rsidRPr="00861157">
              <w:rPr>
                <w:rFonts w:ascii="Arial" w:eastAsia="Calibri" w:hAnsi="Arial" w:cs="Arial"/>
                <w:sz w:val="16"/>
                <w:szCs w:val="16"/>
              </w:rPr>
              <w:t xml:space="preserve">≥450 Indigenous art centre workers employed; and </w:t>
            </w:r>
          </w:p>
          <w:p w14:paraId="53FE5A7D" w14:textId="33D10EBB" w:rsidR="00711B61" w:rsidRPr="00711B61" w:rsidRDefault="00711B61" w:rsidP="00977C28">
            <w:pPr>
              <w:numPr>
                <w:ilvl w:val="0"/>
                <w:numId w:val="239"/>
              </w:numPr>
              <w:spacing w:before="60" w:after="60" w:line="240" w:lineRule="auto"/>
              <w:ind w:right="-12"/>
              <w:contextualSpacing/>
              <w:rPr>
                <w:rFonts w:ascii="Arial" w:eastAsia="Calibri" w:hAnsi="Arial" w:cs="Arial"/>
                <w:sz w:val="16"/>
                <w:szCs w:val="16"/>
              </w:rPr>
            </w:pPr>
            <w:r w:rsidRPr="00711B61">
              <w:rPr>
                <w:rFonts w:ascii="Arial" w:eastAsia="Calibri" w:hAnsi="Arial" w:cs="Arial"/>
                <w:sz w:val="16"/>
                <w:szCs w:val="16"/>
              </w:rPr>
              <w:t>≥8000 artists engaged.</w:t>
            </w:r>
          </w:p>
          <w:p w14:paraId="302BDFBA" w14:textId="7DB997B8" w:rsidR="00CD1BA1" w:rsidRPr="00861157" w:rsidRDefault="00CD1BA1" w:rsidP="00711B61">
            <w:pPr>
              <w:spacing w:before="120" w:after="60" w:line="240" w:lineRule="auto"/>
              <w:rPr>
                <w:rFonts w:ascii="Arial" w:eastAsia="Calibri" w:hAnsi="Arial" w:cs="Arial"/>
                <w:sz w:val="16"/>
                <w:szCs w:val="16"/>
              </w:rPr>
            </w:pPr>
            <w:r w:rsidRPr="00CD1BA1">
              <w:rPr>
                <w:rFonts w:ascii="Arial" w:eastAsia="Calibri" w:hAnsi="Arial" w:cs="Arial"/>
                <w:sz w:val="16"/>
                <w:szCs w:val="16"/>
              </w:rPr>
              <w:t>Target expected to be met.</w:t>
            </w:r>
          </w:p>
        </w:tc>
      </w:tr>
      <w:tr w:rsidR="00CD1BA1" w:rsidRPr="00861157" w14:paraId="2D61D408" w14:textId="77777777" w:rsidTr="00CD1BA1">
        <w:trPr>
          <w:cantSplit/>
          <w:trHeight w:val="306"/>
        </w:trPr>
        <w:tc>
          <w:tcPr>
            <w:tcW w:w="873" w:type="pct"/>
            <w:vMerge/>
            <w:tcBorders>
              <w:right w:val="single" w:sz="4" w:space="0" w:color="auto"/>
            </w:tcBorders>
          </w:tcPr>
          <w:p w14:paraId="1B84190B" w14:textId="77777777" w:rsidR="00CD1BA1" w:rsidRPr="00861157" w:rsidRDefault="00CD1BA1" w:rsidP="00FB0D02">
            <w:pPr>
              <w:pStyle w:val="TableTextBase"/>
              <w:rPr>
                <w:b/>
                <w:sz w:val="16"/>
                <w:szCs w:val="16"/>
              </w:rPr>
            </w:pPr>
          </w:p>
        </w:tc>
        <w:tc>
          <w:tcPr>
            <w:tcW w:w="1794" w:type="pct"/>
            <w:tcBorders>
              <w:top w:val="single" w:sz="4" w:space="0" w:color="auto"/>
              <w:left w:val="single" w:sz="4" w:space="0" w:color="auto"/>
              <w:bottom w:val="single" w:sz="4" w:space="0" w:color="auto"/>
              <w:right w:val="single" w:sz="4" w:space="0" w:color="auto"/>
            </w:tcBorders>
          </w:tcPr>
          <w:p w14:paraId="025AFC07" w14:textId="77777777" w:rsidR="00CD1BA1" w:rsidRPr="00CD1BA1" w:rsidRDefault="00CD1BA1" w:rsidP="00CD1BA1">
            <w:pPr>
              <w:spacing w:before="60" w:after="60" w:line="240" w:lineRule="auto"/>
              <w:rPr>
                <w:rFonts w:ascii="Arial" w:eastAsia="Calibri" w:hAnsi="Arial" w:cs="Arial"/>
                <w:sz w:val="16"/>
                <w:szCs w:val="16"/>
              </w:rPr>
            </w:pPr>
            <w:r w:rsidRPr="00CD1BA1">
              <w:rPr>
                <w:rFonts w:ascii="Arial" w:eastAsia="Calibri" w:hAnsi="Arial" w:cs="Arial"/>
                <w:sz w:val="16"/>
                <w:szCs w:val="16"/>
              </w:rPr>
              <w:t>Impact of our arts and cultural activities to support regional access and participation, indicated through:</w:t>
            </w:r>
          </w:p>
          <w:p w14:paraId="7160D1B8" w14:textId="77777777" w:rsidR="00CD1BA1" w:rsidRDefault="00CD1BA1" w:rsidP="00977C28">
            <w:pPr>
              <w:numPr>
                <w:ilvl w:val="0"/>
                <w:numId w:val="173"/>
              </w:numPr>
              <w:spacing w:before="60" w:after="60" w:line="240" w:lineRule="auto"/>
              <w:ind w:left="389" w:hanging="389"/>
              <w:rPr>
                <w:rFonts w:ascii="Arial" w:eastAsia="Calibri" w:hAnsi="Arial" w:cs="Arial"/>
                <w:sz w:val="16"/>
                <w:szCs w:val="16"/>
              </w:rPr>
            </w:pPr>
            <w:r w:rsidRPr="00CD1BA1">
              <w:rPr>
                <w:rFonts w:ascii="Arial" w:eastAsia="Calibri" w:hAnsi="Arial" w:cs="Arial"/>
                <w:sz w:val="16"/>
                <w:szCs w:val="16"/>
              </w:rPr>
              <w:t>projected audience numbers / participants involved with funded projects.</w:t>
            </w:r>
          </w:p>
          <w:p w14:paraId="35C17BA9" w14:textId="7EBE7A5E" w:rsidR="00CD1BA1" w:rsidRPr="00CD1BA1" w:rsidRDefault="00CD1BA1" w:rsidP="00977C28">
            <w:pPr>
              <w:numPr>
                <w:ilvl w:val="0"/>
                <w:numId w:val="173"/>
              </w:numPr>
              <w:spacing w:before="60" w:after="60" w:line="240" w:lineRule="auto"/>
              <w:ind w:left="389" w:hanging="389"/>
              <w:rPr>
                <w:rFonts w:ascii="Arial" w:eastAsia="Calibri" w:hAnsi="Arial" w:cs="Arial"/>
                <w:sz w:val="16"/>
                <w:szCs w:val="16"/>
              </w:rPr>
            </w:pPr>
            <w:r w:rsidRPr="00CD1BA1">
              <w:rPr>
                <w:rFonts w:ascii="Arial" w:eastAsia="Calibri" w:hAnsi="Arial" w:cs="Arial"/>
                <w:sz w:val="16"/>
                <w:szCs w:val="16"/>
              </w:rPr>
              <w:t>number of regional/remote locations that hosted funded projects</w:t>
            </w:r>
          </w:p>
        </w:tc>
        <w:tc>
          <w:tcPr>
            <w:tcW w:w="2333" w:type="pct"/>
            <w:tcBorders>
              <w:top w:val="single" w:sz="4" w:space="0" w:color="auto"/>
              <w:left w:val="single" w:sz="4" w:space="0" w:color="auto"/>
              <w:bottom w:val="single" w:sz="4" w:space="0" w:color="auto"/>
            </w:tcBorders>
          </w:tcPr>
          <w:p w14:paraId="6984C74D" w14:textId="1E28D96A" w:rsidR="00711B61" w:rsidRDefault="00711B61" w:rsidP="00FB0D02">
            <w:pPr>
              <w:spacing w:before="60" w:after="60" w:line="240" w:lineRule="auto"/>
              <w:ind w:right="-12"/>
              <w:rPr>
                <w:rFonts w:ascii="Arial" w:eastAsia="Calibri" w:hAnsi="Arial" w:cs="Arial"/>
                <w:sz w:val="16"/>
                <w:szCs w:val="16"/>
              </w:rPr>
            </w:pPr>
            <w:r>
              <w:rPr>
                <w:rFonts w:ascii="Arial" w:eastAsia="Calibri" w:hAnsi="Arial" w:cs="Arial"/>
                <w:sz w:val="16"/>
                <w:szCs w:val="16"/>
              </w:rPr>
              <w:t xml:space="preserve">Target: </w:t>
            </w:r>
            <w:r w:rsidRPr="00861157">
              <w:rPr>
                <w:rFonts w:ascii="Arial" w:eastAsia="Calibri" w:hAnsi="Arial" w:cs="Arial"/>
                <w:sz w:val="16"/>
                <w:szCs w:val="16"/>
              </w:rPr>
              <w:t>2021–22 was the first year of data capture. It is not envisaged that the numbers will increase each year, given the variety of projects funded and that the programs are competitive grant programs</w:t>
            </w:r>
            <w:r>
              <w:rPr>
                <w:rFonts w:ascii="Arial" w:eastAsia="Calibri" w:hAnsi="Arial" w:cs="Arial"/>
                <w:sz w:val="16"/>
                <w:szCs w:val="16"/>
              </w:rPr>
              <w:t>.</w:t>
            </w:r>
          </w:p>
          <w:p w14:paraId="6245DDFB" w14:textId="68BE59B8" w:rsidR="00CD1BA1" w:rsidRPr="00861157" w:rsidRDefault="00CD1BA1" w:rsidP="00711B61">
            <w:pPr>
              <w:spacing w:before="120" w:after="60" w:line="240" w:lineRule="auto"/>
              <w:ind w:right="-12"/>
              <w:rPr>
                <w:rFonts w:ascii="Arial" w:hAnsi="Arial"/>
                <w:b/>
                <w:sz w:val="16"/>
                <w:szCs w:val="16"/>
              </w:rPr>
            </w:pPr>
            <w:r w:rsidRPr="00CD1BA1">
              <w:rPr>
                <w:rFonts w:ascii="Arial" w:eastAsia="Calibri" w:hAnsi="Arial" w:cs="Arial"/>
                <w:sz w:val="16"/>
                <w:szCs w:val="16"/>
              </w:rPr>
              <w:t>Target expected to be met.</w:t>
            </w:r>
          </w:p>
        </w:tc>
      </w:tr>
    </w:tbl>
    <w:p w14:paraId="5B68CA44" w14:textId="5ACC0C9B" w:rsidR="00115843" w:rsidRDefault="00115843" w:rsidP="00115843">
      <w:r>
        <w:br w:type="page"/>
      </w:r>
    </w:p>
    <w:p w14:paraId="610C7A69" w14:textId="77777777" w:rsidR="00FA669F" w:rsidRDefault="00FA669F" w:rsidP="00FA669F">
      <w:pPr>
        <w:spacing w:after="0"/>
      </w:pP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2797"/>
        <w:gridCol w:w="3526"/>
      </w:tblGrid>
      <w:tr w:rsidR="00115843" w:rsidRPr="00861157" w14:paraId="3EF18367" w14:textId="77777777" w:rsidTr="005F455C">
        <w:trPr>
          <w:trHeight w:val="258"/>
        </w:trPr>
        <w:tc>
          <w:tcPr>
            <w:tcW w:w="876" w:type="pct"/>
            <w:tcBorders>
              <w:top w:val="double" w:sz="4" w:space="0" w:color="auto"/>
              <w:bottom w:val="single" w:sz="4" w:space="0" w:color="auto"/>
              <w:right w:val="single" w:sz="4" w:space="0" w:color="auto"/>
            </w:tcBorders>
          </w:tcPr>
          <w:p w14:paraId="5E248498" w14:textId="77777777" w:rsidR="00115843" w:rsidRPr="00861157" w:rsidRDefault="00115843" w:rsidP="00FB0D02">
            <w:pPr>
              <w:pStyle w:val="TableTextBase"/>
              <w:rPr>
                <w:b/>
                <w:sz w:val="16"/>
                <w:szCs w:val="16"/>
              </w:rPr>
            </w:pPr>
            <w:r w:rsidRPr="00861157">
              <w:rPr>
                <w:b/>
                <w:sz w:val="16"/>
                <w:szCs w:val="16"/>
              </w:rPr>
              <w:t>Year</w:t>
            </w:r>
          </w:p>
        </w:tc>
        <w:tc>
          <w:tcPr>
            <w:tcW w:w="1824" w:type="pct"/>
            <w:tcBorders>
              <w:top w:val="double" w:sz="4" w:space="0" w:color="auto"/>
              <w:left w:val="single" w:sz="4" w:space="0" w:color="auto"/>
              <w:bottom w:val="single" w:sz="4" w:space="0" w:color="auto"/>
              <w:right w:val="single" w:sz="4" w:space="0" w:color="auto"/>
            </w:tcBorders>
          </w:tcPr>
          <w:p w14:paraId="39FF98A8" w14:textId="77777777" w:rsidR="00115843" w:rsidRPr="00861157" w:rsidRDefault="00115843" w:rsidP="00FB0D02">
            <w:pPr>
              <w:pStyle w:val="TableTextBase"/>
              <w:rPr>
                <w:rFonts w:cs="Arial"/>
                <w:b/>
                <w:sz w:val="16"/>
                <w:szCs w:val="16"/>
              </w:rPr>
            </w:pPr>
            <w:r w:rsidRPr="00861157">
              <w:rPr>
                <w:rFonts w:cs="Arial"/>
                <w:b/>
                <w:sz w:val="16"/>
                <w:szCs w:val="16"/>
              </w:rPr>
              <w:t>Performance measures</w:t>
            </w:r>
          </w:p>
        </w:tc>
        <w:tc>
          <w:tcPr>
            <w:tcW w:w="2300" w:type="pct"/>
            <w:tcBorders>
              <w:top w:val="double" w:sz="4" w:space="0" w:color="auto"/>
              <w:left w:val="single" w:sz="4" w:space="0" w:color="auto"/>
              <w:bottom w:val="single" w:sz="4" w:space="0" w:color="auto"/>
            </w:tcBorders>
          </w:tcPr>
          <w:p w14:paraId="1D902BEA" w14:textId="4C3FAEE9" w:rsidR="00115843" w:rsidRPr="00861157" w:rsidRDefault="00CD1BA1" w:rsidP="00FB0D02">
            <w:pPr>
              <w:pStyle w:val="TableTextBase"/>
              <w:rPr>
                <w:rFonts w:cs="Arial"/>
                <w:b/>
                <w:sz w:val="16"/>
                <w:szCs w:val="16"/>
              </w:rPr>
            </w:pPr>
            <w:r>
              <w:rPr>
                <w:rFonts w:cs="Arial"/>
                <w:b/>
                <w:sz w:val="16"/>
                <w:szCs w:val="16"/>
              </w:rPr>
              <w:t>Planne</w:t>
            </w:r>
            <w:r w:rsidR="00115843" w:rsidRPr="00861157">
              <w:rPr>
                <w:rFonts w:cs="Arial"/>
                <w:b/>
                <w:sz w:val="16"/>
                <w:szCs w:val="16"/>
              </w:rPr>
              <w:t>d Performance Results</w:t>
            </w:r>
          </w:p>
        </w:tc>
      </w:tr>
      <w:tr w:rsidR="005F455C" w:rsidRPr="00861157" w14:paraId="60575C35" w14:textId="77777777" w:rsidTr="005F455C">
        <w:trPr>
          <w:cantSplit/>
          <w:trHeight w:val="642"/>
        </w:trPr>
        <w:tc>
          <w:tcPr>
            <w:tcW w:w="876" w:type="pct"/>
            <w:vMerge w:val="restart"/>
            <w:tcBorders>
              <w:right w:val="single" w:sz="4" w:space="0" w:color="auto"/>
            </w:tcBorders>
          </w:tcPr>
          <w:p w14:paraId="524AE6A0" w14:textId="34C04381" w:rsidR="005F455C" w:rsidRPr="00861157" w:rsidRDefault="005F455C" w:rsidP="005F455C">
            <w:pPr>
              <w:pStyle w:val="TableTextBase"/>
              <w:rPr>
                <w:sz w:val="16"/>
                <w:szCs w:val="16"/>
              </w:rPr>
            </w:pPr>
            <w:r>
              <w:rPr>
                <w:sz w:val="16"/>
                <w:szCs w:val="16"/>
              </w:rPr>
              <w:t>Budget</w:t>
            </w:r>
            <w:r w:rsidRPr="00861157">
              <w:rPr>
                <w:sz w:val="16"/>
                <w:szCs w:val="16"/>
              </w:rPr>
              <w:t xml:space="preserve"> year </w:t>
            </w:r>
            <w:r w:rsidRPr="00861157">
              <w:rPr>
                <w:sz w:val="16"/>
                <w:szCs w:val="16"/>
              </w:rPr>
              <w:br/>
              <w:t>202</w:t>
            </w:r>
            <w:r>
              <w:rPr>
                <w:sz w:val="16"/>
                <w:szCs w:val="16"/>
              </w:rPr>
              <w:t>3</w:t>
            </w:r>
            <w:r w:rsidRPr="00861157">
              <w:rPr>
                <w:sz w:val="16"/>
                <w:szCs w:val="16"/>
              </w:rPr>
              <w:t>–2</w:t>
            </w:r>
            <w:r>
              <w:rPr>
                <w:sz w:val="16"/>
                <w:szCs w:val="16"/>
              </w:rPr>
              <w:t>4</w:t>
            </w:r>
          </w:p>
        </w:tc>
        <w:tc>
          <w:tcPr>
            <w:tcW w:w="1824" w:type="pct"/>
            <w:tcBorders>
              <w:top w:val="single" w:sz="4" w:space="0" w:color="auto"/>
              <w:left w:val="single" w:sz="4" w:space="0" w:color="auto"/>
              <w:bottom w:val="single" w:sz="4" w:space="0" w:color="auto"/>
              <w:right w:val="single" w:sz="4" w:space="0" w:color="auto"/>
            </w:tcBorders>
          </w:tcPr>
          <w:p w14:paraId="7793CE1F" w14:textId="5110D1CF" w:rsidR="005F455C" w:rsidRPr="00861157" w:rsidRDefault="005F455C" w:rsidP="00CD1BA1">
            <w:pPr>
              <w:spacing w:before="60" w:after="60" w:line="240" w:lineRule="auto"/>
              <w:contextualSpacing/>
              <w:rPr>
                <w:rFonts w:ascii="Arial" w:eastAsia="Calibri" w:hAnsi="Arial" w:cs="Arial"/>
                <w:sz w:val="16"/>
                <w:szCs w:val="16"/>
              </w:rPr>
            </w:pPr>
            <w:r w:rsidRPr="00CD1BA1">
              <w:rPr>
                <w:rFonts w:ascii="Arial" w:eastAsia="Calibri" w:hAnsi="Arial" w:cs="Arial"/>
                <w:i/>
                <w:sz w:val="16"/>
                <w:szCs w:val="16"/>
              </w:rPr>
              <w:t>Progress against the delivery of a National Arts and Disability Associated Plan</w:t>
            </w:r>
          </w:p>
        </w:tc>
        <w:tc>
          <w:tcPr>
            <w:tcW w:w="2300" w:type="pct"/>
            <w:tcBorders>
              <w:top w:val="single" w:sz="4" w:space="0" w:color="auto"/>
              <w:left w:val="single" w:sz="4" w:space="0" w:color="auto"/>
              <w:bottom w:val="single" w:sz="4" w:space="0" w:color="auto"/>
            </w:tcBorders>
          </w:tcPr>
          <w:p w14:paraId="4612F53F" w14:textId="31E66103" w:rsidR="005F455C" w:rsidRPr="00861157" w:rsidRDefault="005F455C" w:rsidP="00CD1BA1">
            <w:pPr>
              <w:pStyle w:val="TableTextPortrait"/>
              <w:spacing w:before="60" w:after="60" w:line="240" w:lineRule="auto"/>
              <w:rPr>
                <w:rFonts w:ascii="Arial" w:eastAsia="Calibri" w:hAnsi="Arial" w:cs="Arial"/>
                <w:sz w:val="16"/>
                <w:szCs w:val="16"/>
              </w:rPr>
            </w:pPr>
            <w:r w:rsidRPr="00CD1BA1">
              <w:rPr>
                <w:rFonts w:ascii="Arial" w:eastAsia="Calibri" w:hAnsi="Arial" w:cs="Arial"/>
                <w:i/>
                <w:sz w:val="16"/>
                <w:szCs w:val="16"/>
                <w:lang w:eastAsia="en-AU"/>
              </w:rPr>
              <w:t>The National Arts and Disability Associated Plan is released.</w:t>
            </w:r>
          </w:p>
        </w:tc>
      </w:tr>
      <w:tr w:rsidR="005F455C" w:rsidRPr="00861157" w14:paraId="03BE94C7" w14:textId="77777777" w:rsidTr="00FA669F">
        <w:trPr>
          <w:cantSplit/>
          <w:trHeight w:hRule="exact" w:val="717"/>
        </w:trPr>
        <w:tc>
          <w:tcPr>
            <w:tcW w:w="876" w:type="pct"/>
            <w:vMerge/>
            <w:tcBorders>
              <w:right w:val="single" w:sz="4" w:space="0" w:color="auto"/>
            </w:tcBorders>
          </w:tcPr>
          <w:p w14:paraId="127953CB" w14:textId="29856F54" w:rsidR="005F455C" w:rsidRPr="00861157" w:rsidRDefault="005F455C" w:rsidP="00FB0D02">
            <w:pPr>
              <w:spacing w:before="60" w:after="60" w:line="240" w:lineRule="auto"/>
              <w:rPr>
                <w:sz w:val="16"/>
                <w:szCs w:val="16"/>
              </w:rPr>
            </w:pPr>
          </w:p>
        </w:tc>
        <w:tc>
          <w:tcPr>
            <w:tcW w:w="1824" w:type="pct"/>
            <w:tcBorders>
              <w:top w:val="single" w:sz="4" w:space="0" w:color="auto"/>
              <w:left w:val="single" w:sz="4" w:space="0" w:color="auto"/>
              <w:bottom w:val="single" w:sz="4" w:space="0" w:color="auto"/>
              <w:right w:val="single" w:sz="4" w:space="0" w:color="auto"/>
            </w:tcBorders>
          </w:tcPr>
          <w:p w14:paraId="5F3FD5AB" w14:textId="77777777" w:rsidR="00FA669F" w:rsidRPr="00FA669F" w:rsidRDefault="00FA669F" w:rsidP="00FA669F">
            <w:pPr>
              <w:spacing w:after="0" w:line="240" w:lineRule="auto"/>
              <w:contextualSpacing/>
              <w:rPr>
                <w:rFonts w:ascii="Arial" w:eastAsia="Calibri" w:hAnsi="Arial" w:cs="Arial"/>
                <w:i/>
                <w:sz w:val="6"/>
                <w:szCs w:val="16"/>
              </w:rPr>
            </w:pPr>
          </w:p>
          <w:p w14:paraId="1417279F" w14:textId="755BD679" w:rsidR="005F455C" w:rsidRPr="00CD1BA1" w:rsidRDefault="005F455C" w:rsidP="00FA669F">
            <w:pPr>
              <w:spacing w:after="60" w:line="240" w:lineRule="auto"/>
              <w:contextualSpacing/>
              <w:rPr>
                <w:rFonts w:ascii="Arial" w:eastAsia="Calibri" w:hAnsi="Arial" w:cs="Arial"/>
                <w:i/>
                <w:sz w:val="16"/>
                <w:szCs w:val="16"/>
              </w:rPr>
            </w:pPr>
            <w:r w:rsidRPr="00CD1BA1">
              <w:rPr>
                <w:rFonts w:ascii="Arial" w:eastAsia="Calibri" w:hAnsi="Arial" w:cs="Arial"/>
                <w:i/>
                <w:sz w:val="16"/>
                <w:szCs w:val="16"/>
              </w:rPr>
              <w:t>Number of students completing courses at national performing arts training organisations</w:t>
            </w:r>
          </w:p>
        </w:tc>
        <w:tc>
          <w:tcPr>
            <w:tcW w:w="2300" w:type="pct"/>
            <w:tcBorders>
              <w:top w:val="single" w:sz="4" w:space="0" w:color="auto"/>
              <w:left w:val="single" w:sz="4" w:space="0" w:color="auto"/>
              <w:bottom w:val="single" w:sz="4" w:space="0" w:color="auto"/>
            </w:tcBorders>
          </w:tcPr>
          <w:p w14:paraId="20ECA993" w14:textId="77777777" w:rsidR="00FA669F" w:rsidRPr="00FA669F" w:rsidRDefault="00FA669F" w:rsidP="00FA669F">
            <w:pPr>
              <w:pStyle w:val="TableTextPortrait"/>
              <w:spacing w:before="0" w:after="0"/>
              <w:rPr>
                <w:rFonts w:ascii="Arial" w:eastAsia="Calibri" w:hAnsi="Arial" w:cs="Arial"/>
                <w:i/>
                <w:sz w:val="6"/>
                <w:szCs w:val="16"/>
                <w:lang w:eastAsia="en-AU"/>
              </w:rPr>
            </w:pPr>
          </w:p>
          <w:p w14:paraId="59E365A0" w14:textId="0AC77553" w:rsidR="005F455C" w:rsidRPr="00CD1BA1" w:rsidRDefault="005F455C" w:rsidP="00FA669F">
            <w:pPr>
              <w:pStyle w:val="TableTextPortrait"/>
              <w:spacing w:before="0" w:after="60"/>
              <w:rPr>
                <w:rFonts w:ascii="Arial" w:eastAsia="Calibri" w:hAnsi="Arial" w:cs="Arial"/>
                <w:i/>
                <w:sz w:val="16"/>
                <w:szCs w:val="16"/>
                <w:lang w:eastAsia="en-AU"/>
              </w:rPr>
            </w:pPr>
            <w:r w:rsidRPr="00CD1BA1">
              <w:rPr>
                <w:rFonts w:ascii="Arial" w:eastAsia="Calibri" w:hAnsi="Arial" w:cs="Arial"/>
                <w:i/>
                <w:sz w:val="16"/>
                <w:szCs w:val="16"/>
                <w:lang w:eastAsia="en-AU"/>
              </w:rPr>
              <w:t>≥900 students in each calendar year.</w:t>
            </w:r>
          </w:p>
        </w:tc>
      </w:tr>
      <w:tr w:rsidR="005F455C" w:rsidRPr="00861157" w14:paraId="407D3E9C" w14:textId="77777777" w:rsidTr="00FA669F">
        <w:trPr>
          <w:cantSplit/>
          <w:trHeight w:hRule="exact" w:val="983"/>
        </w:trPr>
        <w:tc>
          <w:tcPr>
            <w:tcW w:w="876" w:type="pct"/>
            <w:vMerge/>
            <w:tcBorders>
              <w:right w:val="single" w:sz="4" w:space="0" w:color="auto"/>
            </w:tcBorders>
          </w:tcPr>
          <w:p w14:paraId="415E4E1D" w14:textId="7124A512" w:rsidR="005F455C" w:rsidRPr="00861157" w:rsidRDefault="005F455C" w:rsidP="00FB0D02">
            <w:pPr>
              <w:spacing w:before="60" w:after="60" w:line="240" w:lineRule="auto"/>
              <w:rPr>
                <w:sz w:val="16"/>
                <w:szCs w:val="16"/>
              </w:rPr>
            </w:pPr>
          </w:p>
        </w:tc>
        <w:tc>
          <w:tcPr>
            <w:tcW w:w="1824" w:type="pct"/>
            <w:tcBorders>
              <w:top w:val="single" w:sz="4" w:space="0" w:color="auto"/>
              <w:left w:val="single" w:sz="4" w:space="0" w:color="auto"/>
              <w:bottom w:val="single" w:sz="4" w:space="0" w:color="auto"/>
              <w:right w:val="single" w:sz="4" w:space="0" w:color="auto"/>
            </w:tcBorders>
          </w:tcPr>
          <w:p w14:paraId="43647A85" w14:textId="77777777" w:rsidR="00FA669F" w:rsidRPr="00FA669F" w:rsidRDefault="00FA669F" w:rsidP="00CD1BA1">
            <w:pPr>
              <w:spacing w:before="60" w:after="60" w:line="240" w:lineRule="auto"/>
              <w:contextualSpacing/>
              <w:rPr>
                <w:rFonts w:ascii="Arial" w:eastAsia="Calibri" w:hAnsi="Arial" w:cs="Arial"/>
                <w:i/>
                <w:sz w:val="6"/>
                <w:szCs w:val="16"/>
              </w:rPr>
            </w:pPr>
          </w:p>
          <w:p w14:paraId="0F4FC036" w14:textId="45680A6B" w:rsidR="005F455C" w:rsidRPr="00861157" w:rsidRDefault="005F455C" w:rsidP="00CD1BA1">
            <w:pPr>
              <w:spacing w:before="60" w:after="60" w:line="240" w:lineRule="auto"/>
              <w:contextualSpacing/>
              <w:rPr>
                <w:rFonts w:ascii="Arial" w:eastAsia="Calibri" w:hAnsi="Arial" w:cs="Arial"/>
                <w:sz w:val="16"/>
                <w:szCs w:val="16"/>
              </w:rPr>
            </w:pPr>
            <w:r w:rsidRPr="00CD1BA1">
              <w:rPr>
                <w:rFonts w:ascii="Arial" w:eastAsia="Calibri" w:hAnsi="Arial" w:cs="Arial"/>
                <w:i/>
                <w:sz w:val="16"/>
                <w:szCs w:val="16"/>
              </w:rPr>
              <w:t>Number of payments made to claimants (including authors, illustrators and publishers) through lending rights</w:t>
            </w:r>
          </w:p>
        </w:tc>
        <w:tc>
          <w:tcPr>
            <w:tcW w:w="2300" w:type="pct"/>
            <w:tcBorders>
              <w:top w:val="single" w:sz="4" w:space="0" w:color="auto"/>
              <w:left w:val="single" w:sz="4" w:space="0" w:color="auto"/>
              <w:bottom w:val="single" w:sz="4" w:space="0" w:color="auto"/>
            </w:tcBorders>
          </w:tcPr>
          <w:p w14:paraId="5C04D571" w14:textId="701C607A" w:rsidR="005F455C" w:rsidRPr="00861157" w:rsidRDefault="005F455C" w:rsidP="00CD1BA1">
            <w:pPr>
              <w:pStyle w:val="TableTextBase"/>
              <w:rPr>
                <w:rFonts w:eastAsia="Calibri" w:cs="Arial"/>
                <w:sz w:val="16"/>
                <w:szCs w:val="16"/>
                <w:lang w:eastAsia="en-US"/>
              </w:rPr>
            </w:pPr>
            <w:r>
              <w:rPr>
                <w:i/>
                <w:sz w:val="16"/>
                <w:szCs w:val="16"/>
              </w:rPr>
              <w:t>≥17,000 payments to claimants in each financial year.</w:t>
            </w:r>
          </w:p>
        </w:tc>
      </w:tr>
      <w:tr w:rsidR="005F455C" w:rsidRPr="00861157" w14:paraId="2F2CD974" w14:textId="77777777" w:rsidTr="005F455C">
        <w:trPr>
          <w:cantSplit/>
          <w:trHeight w:val="306"/>
        </w:trPr>
        <w:tc>
          <w:tcPr>
            <w:tcW w:w="876" w:type="pct"/>
            <w:vMerge/>
            <w:tcBorders>
              <w:right w:val="single" w:sz="4" w:space="0" w:color="auto"/>
            </w:tcBorders>
          </w:tcPr>
          <w:p w14:paraId="1FD7ADB5" w14:textId="4FC7029E" w:rsidR="005F455C" w:rsidRPr="00861157" w:rsidRDefault="005F455C" w:rsidP="00FB0D02">
            <w:pPr>
              <w:spacing w:before="60" w:after="60" w:line="240" w:lineRule="auto"/>
              <w:rPr>
                <w:b/>
                <w:sz w:val="16"/>
                <w:szCs w:val="16"/>
              </w:rPr>
            </w:pPr>
          </w:p>
        </w:tc>
        <w:tc>
          <w:tcPr>
            <w:tcW w:w="1824" w:type="pct"/>
            <w:tcBorders>
              <w:top w:val="single" w:sz="4" w:space="0" w:color="auto"/>
              <w:left w:val="single" w:sz="4" w:space="0" w:color="auto"/>
              <w:bottom w:val="single" w:sz="4" w:space="0" w:color="auto"/>
              <w:right w:val="single" w:sz="4" w:space="0" w:color="auto"/>
            </w:tcBorders>
          </w:tcPr>
          <w:p w14:paraId="17F0B344" w14:textId="62446650" w:rsidR="005F455C" w:rsidRPr="00CD1BA1" w:rsidRDefault="005F455C" w:rsidP="00CD1BA1">
            <w:pPr>
              <w:spacing w:before="60" w:after="60" w:line="240" w:lineRule="auto"/>
              <w:rPr>
                <w:rFonts w:ascii="Arial" w:hAnsi="Arial" w:cs="Arial"/>
                <w:sz w:val="16"/>
                <w:szCs w:val="16"/>
              </w:rPr>
            </w:pPr>
            <w:r w:rsidRPr="00CD1BA1">
              <w:rPr>
                <w:rFonts w:ascii="Arial" w:eastAsia="Calibri" w:hAnsi="Arial" w:cs="Arial"/>
                <w:sz w:val="16"/>
                <w:szCs w:val="16"/>
              </w:rPr>
              <w:t xml:space="preserve">Number of Indigenous Art Centres, art fairs and industry service organisations funded through the </w:t>
            </w:r>
            <w:r w:rsidR="00711B61">
              <w:rPr>
                <w:rFonts w:ascii="Arial" w:eastAsia="Calibri" w:hAnsi="Arial" w:cs="Arial"/>
                <w:sz w:val="16"/>
                <w:szCs w:val="16"/>
              </w:rPr>
              <w:t>IVAIS</w:t>
            </w:r>
            <w:r w:rsidRPr="00CD1BA1">
              <w:rPr>
                <w:rFonts w:ascii="Arial" w:eastAsia="Calibri" w:hAnsi="Arial" w:cs="Arial"/>
                <w:sz w:val="16"/>
                <w:szCs w:val="16"/>
              </w:rPr>
              <w:t xml:space="preserve"> program</w:t>
            </w:r>
          </w:p>
        </w:tc>
        <w:tc>
          <w:tcPr>
            <w:tcW w:w="2300" w:type="pct"/>
            <w:tcBorders>
              <w:top w:val="single" w:sz="4" w:space="0" w:color="auto"/>
              <w:left w:val="single" w:sz="4" w:space="0" w:color="auto"/>
              <w:bottom w:val="single" w:sz="4" w:space="0" w:color="auto"/>
            </w:tcBorders>
          </w:tcPr>
          <w:p w14:paraId="4F05DE45" w14:textId="2E5E0EF3" w:rsidR="005F455C" w:rsidRPr="00CD1BA1" w:rsidRDefault="005F455C" w:rsidP="00FB0D02">
            <w:pPr>
              <w:spacing w:before="60" w:after="60" w:line="240" w:lineRule="auto"/>
              <w:ind w:left="22" w:right="-12" w:hanging="22"/>
              <w:rPr>
                <w:rFonts w:ascii="Arial" w:hAnsi="Arial" w:cs="Arial"/>
                <w:b/>
                <w:sz w:val="16"/>
                <w:szCs w:val="16"/>
              </w:rPr>
            </w:pPr>
            <w:r w:rsidRPr="00CD1BA1">
              <w:rPr>
                <w:rFonts w:ascii="Arial" w:eastAsia="Calibri" w:hAnsi="Arial" w:cs="Arial"/>
                <w:sz w:val="16"/>
                <w:szCs w:val="16"/>
              </w:rPr>
              <w:t>≥80 Indigenous Art Centres in the financial year.</w:t>
            </w:r>
          </w:p>
        </w:tc>
      </w:tr>
      <w:tr w:rsidR="005F455C" w:rsidRPr="00861157" w14:paraId="06D1E033" w14:textId="77777777" w:rsidTr="005F455C">
        <w:trPr>
          <w:cantSplit/>
          <w:trHeight w:val="306"/>
        </w:trPr>
        <w:tc>
          <w:tcPr>
            <w:tcW w:w="876" w:type="pct"/>
            <w:vMerge/>
            <w:tcBorders>
              <w:right w:val="single" w:sz="4" w:space="0" w:color="auto"/>
            </w:tcBorders>
            <w:vAlign w:val="center"/>
          </w:tcPr>
          <w:p w14:paraId="669F0F8E" w14:textId="2593E077" w:rsidR="005F455C" w:rsidRPr="00861157" w:rsidRDefault="005F455C" w:rsidP="00FB0D02">
            <w:pPr>
              <w:spacing w:before="60" w:after="60" w:line="240" w:lineRule="auto"/>
              <w:rPr>
                <w:b/>
                <w:sz w:val="16"/>
                <w:szCs w:val="16"/>
              </w:rPr>
            </w:pPr>
          </w:p>
        </w:tc>
        <w:tc>
          <w:tcPr>
            <w:tcW w:w="1824" w:type="pct"/>
            <w:tcBorders>
              <w:top w:val="single" w:sz="4" w:space="0" w:color="auto"/>
              <w:left w:val="single" w:sz="4" w:space="0" w:color="auto"/>
              <w:bottom w:val="single" w:sz="4" w:space="0" w:color="auto"/>
              <w:right w:val="single" w:sz="4" w:space="0" w:color="auto"/>
            </w:tcBorders>
          </w:tcPr>
          <w:p w14:paraId="1C9D0BD7" w14:textId="77777777" w:rsidR="005F455C" w:rsidRPr="007A79A8" w:rsidRDefault="005F455C" w:rsidP="00F122F0">
            <w:pPr>
              <w:pStyle w:val="TableParagraph"/>
              <w:spacing w:before="60"/>
              <w:ind w:right="309"/>
              <w:rPr>
                <w:sz w:val="16"/>
                <w:szCs w:val="16"/>
              </w:rPr>
            </w:pPr>
            <w:r w:rsidRPr="007A79A8">
              <w:rPr>
                <w:sz w:val="16"/>
                <w:szCs w:val="16"/>
              </w:rPr>
              <w:t>Activities to support the repatriation of Aboriginal and Torres Strait Islander ancestral remains and secret sacred objects:</w:t>
            </w:r>
          </w:p>
          <w:p w14:paraId="2A8108C0" w14:textId="77777777" w:rsidR="00140C67" w:rsidRPr="00CC0CE2" w:rsidRDefault="005F455C" w:rsidP="00977C28">
            <w:pPr>
              <w:pStyle w:val="TableTextBase"/>
              <w:numPr>
                <w:ilvl w:val="0"/>
                <w:numId w:val="240"/>
              </w:numPr>
              <w:ind w:left="389" w:hanging="389"/>
              <w:rPr>
                <w:rFonts w:eastAsia="Calibri" w:cs="Arial"/>
                <w:sz w:val="16"/>
                <w:szCs w:val="16"/>
                <w:lang w:eastAsia="en-US"/>
              </w:rPr>
            </w:pPr>
            <w:r w:rsidRPr="007A79A8">
              <w:rPr>
                <w:rFonts w:cs="Arial"/>
                <w:sz w:val="16"/>
                <w:szCs w:val="16"/>
              </w:rPr>
              <w:t xml:space="preserve">number of new agreements to repatriate ancestral remains from </w:t>
            </w:r>
            <w:r w:rsidRPr="00CC0CE2">
              <w:rPr>
                <w:rFonts w:eastAsia="Calibri" w:cs="Arial"/>
                <w:sz w:val="16"/>
                <w:szCs w:val="16"/>
                <w:lang w:eastAsia="en-US"/>
              </w:rPr>
              <w:t>overseas.</w:t>
            </w:r>
          </w:p>
          <w:p w14:paraId="01E6EEFB" w14:textId="77777777" w:rsidR="00CC0CE2" w:rsidRDefault="005F455C" w:rsidP="00977C28">
            <w:pPr>
              <w:pStyle w:val="TableTextBase"/>
              <w:numPr>
                <w:ilvl w:val="0"/>
                <w:numId w:val="240"/>
              </w:numPr>
              <w:ind w:left="389" w:hanging="389"/>
              <w:rPr>
                <w:rFonts w:cs="Arial"/>
                <w:sz w:val="16"/>
                <w:szCs w:val="16"/>
              </w:rPr>
            </w:pPr>
            <w:r w:rsidRPr="00CC0CE2">
              <w:rPr>
                <w:rFonts w:eastAsia="Calibri" w:cs="Arial"/>
                <w:sz w:val="16"/>
                <w:szCs w:val="16"/>
                <w:lang w:eastAsia="en-US"/>
              </w:rPr>
              <w:t>number of ancestral remains</w:t>
            </w:r>
            <w:r w:rsidRPr="00140C67">
              <w:rPr>
                <w:rFonts w:cs="Arial"/>
                <w:sz w:val="16"/>
                <w:szCs w:val="16"/>
              </w:rPr>
              <w:t xml:space="preserve"> and/or secret sacred objects repatriated to their community.</w:t>
            </w:r>
          </w:p>
          <w:p w14:paraId="20C3B4CD" w14:textId="539B24FD" w:rsidR="005F455C" w:rsidRPr="00CC0CE2" w:rsidRDefault="005F455C" w:rsidP="00977C28">
            <w:pPr>
              <w:pStyle w:val="TableTextBase"/>
              <w:numPr>
                <w:ilvl w:val="0"/>
                <w:numId w:val="240"/>
              </w:numPr>
              <w:ind w:left="389" w:hanging="389"/>
              <w:rPr>
                <w:rFonts w:cs="Arial"/>
                <w:sz w:val="16"/>
                <w:szCs w:val="16"/>
              </w:rPr>
            </w:pPr>
            <w:r w:rsidRPr="00CC0CE2">
              <w:rPr>
                <w:rFonts w:cs="Arial"/>
                <w:sz w:val="16"/>
                <w:szCs w:val="16"/>
              </w:rPr>
              <w:t>number of ancestral remains repatriated to Australia with no known community</w:t>
            </w:r>
          </w:p>
        </w:tc>
        <w:tc>
          <w:tcPr>
            <w:tcW w:w="2300" w:type="pct"/>
            <w:tcBorders>
              <w:top w:val="single" w:sz="4" w:space="0" w:color="auto"/>
              <w:left w:val="single" w:sz="4" w:space="0" w:color="auto"/>
              <w:bottom w:val="single" w:sz="4" w:space="0" w:color="auto"/>
            </w:tcBorders>
          </w:tcPr>
          <w:p w14:paraId="299CFE3B" w14:textId="6ABEDF0A" w:rsidR="005F455C" w:rsidRPr="00861157" w:rsidRDefault="005F455C" w:rsidP="00FB0D02">
            <w:pPr>
              <w:spacing w:before="60" w:after="60" w:line="240" w:lineRule="auto"/>
              <w:ind w:left="22" w:right="-12" w:hanging="22"/>
              <w:rPr>
                <w:rFonts w:ascii="Arial" w:hAnsi="Arial"/>
                <w:b/>
                <w:sz w:val="16"/>
                <w:szCs w:val="16"/>
              </w:rPr>
            </w:pPr>
            <w:r w:rsidRPr="005F455C">
              <w:rPr>
                <w:rFonts w:ascii="Arial" w:eastAsia="Calibri" w:hAnsi="Arial" w:cs="Arial"/>
                <w:sz w:val="16"/>
                <w:szCs w:val="16"/>
              </w:rPr>
              <w:t>Internationally, activities are responsive to international negotiations and community consultations. Domestically, activities are responsive to demand from the funding recipients and stakeholder consultation.</w:t>
            </w:r>
          </w:p>
        </w:tc>
      </w:tr>
      <w:tr w:rsidR="005F455C" w:rsidRPr="00861157" w14:paraId="284212A9" w14:textId="77777777" w:rsidTr="005F455C">
        <w:trPr>
          <w:cantSplit/>
          <w:trHeight w:val="306"/>
        </w:trPr>
        <w:tc>
          <w:tcPr>
            <w:tcW w:w="876" w:type="pct"/>
            <w:vMerge/>
            <w:tcBorders>
              <w:right w:val="single" w:sz="4" w:space="0" w:color="auto"/>
            </w:tcBorders>
          </w:tcPr>
          <w:p w14:paraId="19A3DE83" w14:textId="71CD4F21" w:rsidR="005F455C" w:rsidRPr="00861157" w:rsidRDefault="005F455C" w:rsidP="00FB0D02">
            <w:pPr>
              <w:spacing w:before="60" w:after="60" w:line="240" w:lineRule="auto"/>
              <w:rPr>
                <w:rFonts w:ascii="Arial" w:hAnsi="Arial" w:cs="Arial"/>
                <w:sz w:val="16"/>
                <w:szCs w:val="16"/>
              </w:rPr>
            </w:pPr>
          </w:p>
        </w:tc>
        <w:tc>
          <w:tcPr>
            <w:tcW w:w="1824" w:type="pct"/>
            <w:tcBorders>
              <w:top w:val="single" w:sz="4" w:space="0" w:color="auto"/>
              <w:left w:val="single" w:sz="4" w:space="0" w:color="auto"/>
              <w:bottom w:val="single" w:sz="4" w:space="0" w:color="auto"/>
              <w:right w:val="single" w:sz="4" w:space="0" w:color="auto"/>
            </w:tcBorders>
          </w:tcPr>
          <w:p w14:paraId="024BDDB8" w14:textId="25C62681" w:rsidR="005F455C" w:rsidRPr="00861157" w:rsidRDefault="005F455C" w:rsidP="00FB0D02">
            <w:pPr>
              <w:spacing w:before="60" w:after="60" w:line="240" w:lineRule="auto"/>
              <w:rPr>
                <w:rFonts w:ascii="Arial" w:eastAsia="Calibri" w:hAnsi="Arial" w:cs="Arial"/>
                <w:i/>
                <w:sz w:val="16"/>
                <w:szCs w:val="16"/>
              </w:rPr>
            </w:pPr>
            <w:r w:rsidRPr="005F455C">
              <w:rPr>
                <w:rFonts w:ascii="Arial" w:eastAsia="Calibri" w:hAnsi="Arial" w:cs="Arial"/>
                <w:i/>
                <w:sz w:val="16"/>
                <w:szCs w:val="16"/>
              </w:rPr>
              <w:t>Effectiveness of the current Australian content and classification frameworks</w:t>
            </w:r>
            <w:r w:rsidRPr="005F455C">
              <w:rPr>
                <w:rFonts w:ascii="Arial" w:eastAsia="Calibri" w:hAnsi="Arial" w:cs="Arial"/>
                <w:i/>
                <w:sz w:val="16"/>
                <w:szCs w:val="16"/>
                <w:vertAlign w:val="superscript"/>
              </w:rPr>
              <w:t>.(a)</w:t>
            </w:r>
          </w:p>
        </w:tc>
        <w:tc>
          <w:tcPr>
            <w:tcW w:w="2300" w:type="pct"/>
            <w:tcBorders>
              <w:top w:val="single" w:sz="4" w:space="0" w:color="auto"/>
              <w:left w:val="single" w:sz="4" w:space="0" w:color="auto"/>
              <w:bottom w:val="single" w:sz="4" w:space="0" w:color="auto"/>
            </w:tcBorders>
          </w:tcPr>
          <w:p w14:paraId="33859F6E" w14:textId="5154F9B8" w:rsidR="005F455C" w:rsidRPr="00861157" w:rsidRDefault="005F455C" w:rsidP="00FB0D02">
            <w:pPr>
              <w:spacing w:before="60" w:after="60" w:line="240" w:lineRule="auto"/>
              <w:ind w:left="22" w:hanging="22"/>
              <w:rPr>
                <w:rFonts w:ascii="Arial" w:hAnsi="Arial" w:cs="Arial"/>
                <w:b/>
                <w:sz w:val="16"/>
                <w:szCs w:val="16"/>
              </w:rPr>
            </w:pPr>
            <w:r w:rsidRPr="005F455C">
              <w:rPr>
                <w:rFonts w:ascii="Arial" w:eastAsia="Calibri" w:hAnsi="Arial" w:cs="Arial"/>
                <w:i/>
                <w:sz w:val="16"/>
                <w:szCs w:val="16"/>
              </w:rPr>
              <w:t>Reporting in each financial year shows organisations are meeting or exceeding statutory obligations: Australian content quota compliance and the existence of public data on Australian content available on streaming video on demand services.</w:t>
            </w:r>
          </w:p>
        </w:tc>
      </w:tr>
      <w:tr w:rsidR="005F455C" w:rsidRPr="00861157" w14:paraId="23643B21" w14:textId="77777777" w:rsidTr="005F455C">
        <w:trPr>
          <w:cantSplit/>
          <w:trHeight w:val="306"/>
        </w:trPr>
        <w:tc>
          <w:tcPr>
            <w:tcW w:w="876" w:type="pct"/>
            <w:vMerge/>
            <w:tcBorders>
              <w:right w:val="single" w:sz="4" w:space="0" w:color="auto"/>
            </w:tcBorders>
          </w:tcPr>
          <w:p w14:paraId="09D2A3C1" w14:textId="77777777" w:rsidR="005F455C" w:rsidRPr="00861157" w:rsidRDefault="005F455C" w:rsidP="00FB0D02">
            <w:pPr>
              <w:pStyle w:val="TableTextBase"/>
              <w:rPr>
                <w:rFonts w:cs="Arial"/>
                <w:b/>
                <w:sz w:val="16"/>
                <w:szCs w:val="16"/>
              </w:rPr>
            </w:pPr>
          </w:p>
        </w:tc>
        <w:tc>
          <w:tcPr>
            <w:tcW w:w="1824" w:type="pct"/>
            <w:tcBorders>
              <w:top w:val="single" w:sz="4" w:space="0" w:color="auto"/>
              <w:left w:val="single" w:sz="4" w:space="0" w:color="auto"/>
              <w:bottom w:val="single" w:sz="4" w:space="0" w:color="auto"/>
              <w:right w:val="single" w:sz="4" w:space="0" w:color="auto"/>
            </w:tcBorders>
          </w:tcPr>
          <w:p w14:paraId="70E0EC17" w14:textId="1315546B" w:rsidR="005F455C" w:rsidRPr="00861157" w:rsidRDefault="005F455C" w:rsidP="00FB0D02">
            <w:pPr>
              <w:pStyle w:val="TableTextBase"/>
              <w:rPr>
                <w:rFonts w:eastAsia="Calibri" w:cs="Arial"/>
                <w:sz w:val="16"/>
                <w:szCs w:val="16"/>
                <w:lang w:eastAsia="en-US"/>
              </w:rPr>
            </w:pPr>
            <w:r w:rsidRPr="005F455C">
              <w:rPr>
                <w:rFonts w:eastAsia="Calibri" w:cs="Arial"/>
                <w:i/>
                <w:sz w:val="16"/>
                <w:szCs w:val="16"/>
                <w:lang w:eastAsia="en-US"/>
              </w:rPr>
              <w:t>Reach of our funded activities to support Indigenous languages and Indigenous art forms (excluding visual arts) indicated through the number of Indigenous language centres receiving annual operational funding</w:t>
            </w:r>
          </w:p>
        </w:tc>
        <w:tc>
          <w:tcPr>
            <w:tcW w:w="2300" w:type="pct"/>
            <w:tcBorders>
              <w:top w:val="single" w:sz="4" w:space="0" w:color="auto"/>
              <w:left w:val="single" w:sz="4" w:space="0" w:color="auto"/>
              <w:bottom w:val="single" w:sz="4" w:space="0" w:color="auto"/>
            </w:tcBorders>
          </w:tcPr>
          <w:p w14:paraId="7FCE2B68" w14:textId="4213DA45" w:rsidR="005F455C" w:rsidRPr="00861157" w:rsidRDefault="005F455C" w:rsidP="00FB0D02">
            <w:pPr>
              <w:spacing w:before="60" w:after="60" w:line="240" w:lineRule="auto"/>
              <w:ind w:left="22" w:hanging="22"/>
              <w:rPr>
                <w:rFonts w:ascii="Arial" w:hAnsi="Arial" w:cs="Arial"/>
                <w:b/>
                <w:sz w:val="16"/>
                <w:szCs w:val="16"/>
              </w:rPr>
            </w:pPr>
            <w:r w:rsidRPr="005F455C">
              <w:rPr>
                <w:rFonts w:ascii="Arial" w:eastAsia="Calibri" w:hAnsi="Arial" w:cs="Arial"/>
                <w:i/>
                <w:sz w:val="16"/>
                <w:szCs w:val="16"/>
              </w:rPr>
              <w:t>Reporting in each financial year shows</w:t>
            </w:r>
            <w:r>
              <w:rPr>
                <w:rFonts w:ascii="Arial" w:eastAsia="Calibri" w:hAnsi="Arial" w:cs="Arial"/>
                <w:i/>
                <w:sz w:val="16"/>
                <w:szCs w:val="16"/>
              </w:rPr>
              <w:t xml:space="preserve"> </w:t>
            </w:r>
            <w:r w:rsidRPr="005F455C">
              <w:rPr>
                <w:rFonts w:ascii="Arial" w:eastAsia="Calibri" w:hAnsi="Arial" w:cs="Arial"/>
                <w:i/>
                <w:sz w:val="16"/>
                <w:szCs w:val="16"/>
              </w:rPr>
              <w:t>≥24 Indigenous language centres in the financial year funded.</w:t>
            </w:r>
          </w:p>
        </w:tc>
      </w:tr>
      <w:tr w:rsidR="005F455C" w:rsidRPr="00861157" w14:paraId="36C640E5" w14:textId="77777777" w:rsidTr="005F455C">
        <w:trPr>
          <w:cantSplit/>
          <w:trHeight w:val="306"/>
        </w:trPr>
        <w:tc>
          <w:tcPr>
            <w:tcW w:w="876" w:type="pct"/>
            <w:vMerge/>
            <w:tcBorders>
              <w:right w:val="single" w:sz="4" w:space="0" w:color="auto"/>
            </w:tcBorders>
          </w:tcPr>
          <w:p w14:paraId="573D2EB0" w14:textId="77777777" w:rsidR="005F455C" w:rsidRPr="00861157" w:rsidRDefault="005F455C" w:rsidP="00FB0D02">
            <w:pPr>
              <w:pStyle w:val="TableTextBase"/>
              <w:rPr>
                <w:rFonts w:cs="Arial"/>
                <w:b/>
                <w:sz w:val="16"/>
                <w:szCs w:val="16"/>
              </w:rPr>
            </w:pPr>
          </w:p>
        </w:tc>
        <w:tc>
          <w:tcPr>
            <w:tcW w:w="1824" w:type="pct"/>
            <w:tcBorders>
              <w:top w:val="single" w:sz="4" w:space="0" w:color="auto"/>
              <w:left w:val="single" w:sz="4" w:space="0" w:color="auto"/>
              <w:bottom w:val="single" w:sz="4" w:space="0" w:color="auto"/>
              <w:right w:val="single" w:sz="4" w:space="0" w:color="auto"/>
            </w:tcBorders>
          </w:tcPr>
          <w:p w14:paraId="6134FDA3" w14:textId="42A5156D" w:rsidR="005F455C" w:rsidRPr="00861157" w:rsidRDefault="005F455C" w:rsidP="00FB0D02">
            <w:pPr>
              <w:pStyle w:val="TableTextBase"/>
              <w:rPr>
                <w:rFonts w:cs="Arial"/>
                <w:b/>
                <w:sz w:val="16"/>
                <w:szCs w:val="16"/>
              </w:rPr>
            </w:pPr>
            <w:r w:rsidRPr="005F455C">
              <w:rPr>
                <w:rFonts w:eastAsia="Calibri" w:cs="Arial"/>
                <w:i/>
                <w:sz w:val="16"/>
                <w:szCs w:val="16"/>
                <w:lang w:eastAsia="en-US"/>
              </w:rPr>
              <w:t>Reach of our funded arts and cultural activities that support regional access and participation, indicated through estimated number of regional/remote locations that host funded activities</w:t>
            </w:r>
          </w:p>
        </w:tc>
        <w:tc>
          <w:tcPr>
            <w:tcW w:w="2300" w:type="pct"/>
            <w:tcBorders>
              <w:top w:val="single" w:sz="4" w:space="0" w:color="auto"/>
              <w:left w:val="single" w:sz="4" w:space="0" w:color="auto"/>
              <w:bottom w:val="single" w:sz="4" w:space="0" w:color="auto"/>
            </w:tcBorders>
          </w:tcPr>
          <w:p w14:paraId="48F33F0A" w14:textId="0747F7C3" w:rsidR="005F455C" w:rsidRPr="00861157" w:rsidRDefault="005F455C" w:rsidP="00FB0D02">
            <w:pPr>
              <w:spacing w:before="60" w:after="60" w:line="240" w:lineRule="auto"/>
              <w:ind w:left="22" w:hanging="22"/>
              <w:rPr>
                <w:rFonts w:ascii="Arial" w:hAnsi="Arial" w:cs="Arial"/>
                <w:b/>
                <w:sz w:val="16"/>
                <w:szCs w:val="16"/>
              </w:rPr>
            </w:pPr>
            <w:r w:rsidRPr="005F455C">
              <w:rPr>
                <w:rFonts w:ascii="Arial" w:eastAsia="Calibri" w:hAnsi="Arial" w:cs="Arial"/>
                <w:i/>
                <w:sz w:val="16"/>
                <w:szCs w:val="16"/>
              </w:rPr>
              <w:t>2021–22 was the first year of data capture and only included programs that could provide attendance and participation numbers as well as the number of regional/remote locations. Results for the number of regional/remote locations is expected to be variable over time, given the variety of activities funded and that some programs are competitive grant programs. The result for the number of locations in 2023–24 is expected to be a modest increase on the result for 2022–23.</w:t>
            </w:r>
          </w:p>
        </w:tc>
      </w:tr>
    </w:tbl>
    <w:p w14:paraId="45F3EAF2" w14:textId="77777777" w:rsidR="004370D3" w:rsidRDefault="004370D3">
      <w:r>
        <w:br w:type="page"/>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2797"/>
        <w:gridCol w:w="3526"/>
      </w:tblGrid>
      <w:tr w:rsidR="005F455C" w:rsidRPr="00861157" w14:paraId="0FC4CD5A" w14:textId="77777777" w:rsidTr="005F455C">
        <w:trPr>
          <w:cantSplit/>
          <w:trHeight w:val="306"/>
        </w:trPr>
        <w:tc>
          <w:tcPr>
            <w:tcW w:w="876" w:type="pct"/>
            <w:tcBorders>
              <w:top w:val="double" w:sz="4" w:space="0" w:color="auto"/>
              <w:right w:val="single" w:sz="4" w:space="0" w:color="auto"/>
            </w:tcBorders>
          </w:tcPr>
          <w:p w14:paraId="7ED59C8A" w14:textId="393BCB52" w:rsidR="005F455C" w:rsidRPr="005F455C" w:rsidRDefault="005F455C" w:rsidP="005F455C">
            <w:pPr>
              <w:pStyle w:val="TableTextBase"/>
              <w:rPr>
                <w:rFonts w:cs="Arial"/>
                <w:b/>
                <w:sz w:val="16"/>
                <w:szCs w:val="16"/>
              </w:rPr>
            </w:pPr>
            <w:r w:rsidRPr="005F455C">
              <w:rPr>
                <w:rFonts w:cs="Arial"/>
                <w:b/>
                <w:spacing w:val="-4"/>
                <w:sz w:val="16"/>
              </w:rPr>
              <w:lastRenderedPageBreak/>
              <w:t>Year</w:t>
            </w:r>
          </w:p>
        </w:tc>
        <w:tc>
          <w:tcPr>
            <w:tcW w:w="1824" w:type="pct"/>
            <w:tcBorders>
              <w:top w:val="double" w:sz="4" w:space="0" w:color="auto"/>
              <w:left w:val="single" w:sz="4" w:space="0" w:color="auto"/>
              <w:bottom w:val="single" w:sz="4" w:space="0" w:color="auto"/>
              <w:right w:val="single" w:sz="4" w:space="0" w:color="auto"/>
            </w:tcBorders>
          </w:tcPr>
          <w:p w14:paraId="63E3584F" w14:textId="0937B1D9" w:rsidR="005F455C" w:rsidRPr="005F455C" w:rsidRDefault="005F455C" w:rsidP="005F455C">
            <w:pPr>
              <w:spacing w:before="60" w:after="60" w:line="240" w:lineRule="auto"/>
              <w:rPr>
                <w:rFonts w:ascii="Arial" w:eastAsia="Calibri" w:hAnsi="Arial" w:cs="Arial"/>
                <w:sz w:val="16"/>
                <w:szCs w:val="16"/>
              </w:rPr>
            </w:pPr>
            <w:r w:rsidRPr="005F455C">
              <w:rPr>
                <w:rFonts w:ascii="Arial" w:hAnsi="Arial" w:cs="Arial"/>
                <w:b/>
                <w:spacing w:val="-4"/>
                <w:sz w:val="16"/>
              </w:rPr>
              <w:t>Performance measures</w:t>
            </w:r>
          </w:p>
        </w:tc>
        <w:tc>
          <w:tcPr>
            <w:tcW w:w="2300" w:type="pct"/>
            <w:tcBorders>
              <w:top w:val="double" w:sz="4" w:space="0" w:color="auto"/>
              <w:left w:val="single" w:sz="4" w:space="0" w:color="auto"/>
              <w:bottom w:val="single" w:sz="4" w:space="0" w:color="auto"/>
            </w:tcBorders>
          </w:tcPr>
          <w:p w14:paraId="23BFCA68" w14:textId="38AE768D" w:rsidR="005F455C" w:rsidRPr="005F455C" w:rsidRDefault="005F455C" w:rsidP="005F455C">
            <w:pPr>
              <w:spacing w:before="60" w:after="60" w:line="240" w:lineRule="auto"/>
              <w:ind w:left="22" w:hanging="22"/>
              <w:rPr>
                <w:rFonts w:ascii="Arial" w:eastAsia="Calibri" w:hAnsi="Arial" w:cs="Arial"/>
                <w:sz w:val="16"/>
                <w:szCs w:val="16"/>
              </w:rPr>
            </w:pPr>
            <w:r w:rsidRPr="005F455C">
              <w:rPr>
                <w:rFonts w:ascii="Arial" w:hAnsi="Arial" w:cs="Arial"/>
                <w:b/>
                <w:spacing w:val="-4"/>
                <w:sz w:val="16"/>
              </w:rPr>
              <w:t>Planned Performance Results</w:t>
            </w:r>
          </w:p>
        </w:tc>
      </w:tr>
      <w:tr w:rsidR="005F455C" w:rsidRPr="00861157" w14:paraId="4531FF41" w14:textId="77777777" w:rsidTr="005F455C">
        <w:trPr>
          <w:cantSplit/>
          <w:trHeight w:val="306"/>
        </w:trPr>
        <w:tc>
          <w:tcPr>
            <w:tcW w:w="876" w:type="pct"/>
            <w:vMerge w:val="restart"/>
            <w:tcBorders>
              <w:right w:val="single" w:sz="4" w:space="0" w:color="auto"/>
            </w:tcBorders>
          </w:tcPr>
          <w:p w14:paraId="6EB457FF" w14:textId="62A1F899" w:rsidR="005F455C" w:rsidRPr="00861157" w:rsidRDefault="005F455C" w:rsidP="005F455C">
            <w:pPr>
              <w:pStyle w:val="TableTextBase"/>
              <w:rPr>
                <w:rFonts w:cs="Arial"/>
                <w:b/>
                <w:sz w:val="16"/>
                <w:szCs w:val="16"/>
              </w:rPr>
            </w:pPr>
            <w:r>
              <w:rPr>
                <w:sz w:val="16"/>
              </w:rPr>
              <w:t>Forward</w:t>
            </w:r>
            <w:r>
              <w:rPr>
                <w:spacing w:val="-12"/>
                <w:sz w:val="16"/>
              </w:rPr>
              <w:t xml:space="preserve"> </w:t>
            </w:r>
            <w:r>
              <w:rPr>
                <w:sz w:val="16"/>
              </w:rPr>
              <w:t xml:space="preserve">Estimates </w:t>
            </w:r>
            <w:r>
              <w:rPr>
                <w:spacing w:val="-2"/>
                <w:sz w:val="16"/>
              </w:rPr>
              <w:t>2024–27</w:t>
            </w:r>
          </w:p>
        </w:tc>
        <w:tc>
          <w:tcPr>
            <w:tcW w:w="1824" w:type="pct"/>
            <w:tcBorders>
              <w:top w:val="single" w:sz="4" w:space="0" w:color="auto"/>
              <w:left w:val="single" w:sz="4" w:space="0" w:color="auto"/>
              <w:bottom w:val="single" w:sz="4" w:space="0" w:color="auto"/>
              <w:right w:val="single" w:sz="4" w:space="0" w:color="auto"/>
            </w:tcBorders>
          </w:tcPr>
          <w:p w14:paraId="17A0C46E" w14:textId="359F005C" w:rsidR="005F455C" w:rsidRPr="00861157" w:rsidRDefault="005F455C" w:rsidP="005F455C">
            <w:pPr>
              <w:spacing w:before="60" w:after="60" w:line="240" w:lineRule="auto"/>
              <w:rPr>
                <w:rFonts w:ascii="Arial" w:eastAsia="Calibri" w:hAnsi="Arial" w:cs="Arial"/>
                <w:sz w:val="16"/>
                <w:szCs w:val="16"/>
              </w:rPr>
            </w:pPr>
            <w:r w:rsidRPr="005F455C">
              <w:rPr>
                <w:rFonts w:ascii="Arial" w:eastAsia="Calibri" w:hAnsi="Arial" w:cs="Arial"/>
                <w:i/>
                <w:sz w:val="16"/>
                <w:szCs w:val="16"/>
              </w:rPr>
              <w:t>Progress against the delivery of a National Arts and Disability Associated Plan</w:t>
            </w:r>
          </w:p>
        </w:tc>
        <w:tc>
          <w:tcPr>
            <w:tcW w:w="2300" w:type="pct"/>
            <w:tcBorders>
              <w:top w:val="single" w:sz="4" w:space="0" w:color="auto"/>
              <w:left w:val="single" w:sz="4" w:space="0" w:color="auto"/>
              <w:bottom w:val="single" w:sz="4" w:space="0" w:color="auto"/>
            </w:tcBorders>
          </w:tcPr>
          <w:p w14:paraId="0D9C6DEE" w14:textId="3DF5F992" w:rsidR="005F455C" w:rsidRPr="00861157" w:rsidRDefault="005F455C" w:rsidP="005F455C">
            <w:pPr>
              <w:spacing w:before="60" w:after="60" w:line="240" w:lineRule="auto"/>
              <w:ind w:left="22" w:hanging="22"/>
              <w:rPr>
                <w:rFonts w:ascii="Arial" w:hAnsi="Arial" w:cs="Arial"/>
                <w:b/>
                <w:sz w:val="16"/>
                <w:szCs w:val="16"/>
              </w:rPr>
            </w:pPr>
            <w:r w:rsidRPr="005F455C">
              <w:rPr>
                <w:rFonts w:ascii="Arial" w:eastAsia="Calibri" w:hAnsi="Arial" w:cs="Arial"/>
                <w:i/>
                <w:sz w:val="16"/>
                <w:szCs w:val="16"/>
              </w:rPr>
              <w:t>Activities under the National Arts and Disability Associated Plan are being implemented. Over time, forward estimates targets will move from implementation to measuring impacts.</w:t>
            </w:r>
          </w:p>
        </w:tc>
      </w:tr>
      <w:tr w:rsidR="005F455C" w:rsidRPr="00861157" w14:paraId="6F0C36A4" w14:textId="77777777" w:rsidTr="00F122F0">
        <w:trPr>
          <w:cantSplit/>
          <w:trHeight w:val="656"/>
        </w:trPr>
        <w:tc>
          <w:tcPr>
            <w:tcW w:w="876" w:type="pct"/>
            <w:vMerge/>
            <w:tcBorders>
              <w:right w:val="single" w:sz="4" w:space="0" w:color="auto"/>
            </w:tcBorders>
          </w:tcPr>
          <w:p w14:paraId="2A1A3881" w14:textId="77777777" w:rsidR="005F455C" w:rsidRPr="00861157" w:rsidRDefault="005F455C" w:rsidP="005F455C">
            <w:pPr>
              <w:pStyle w:val="TableTextBase"/>
              <w:rPr>
                <w:rFonts w:cs="Arial"/>
                <w:b/>
                <w:sz w:val="16"/>
                <w:szCs w:val="16"/>
              </w:rPr>
            </w:pPr>
          </w:p>
        </w:tc>
        <w:tc>
          <w:tcPr>
            <w:tcW w:w="1824" w:type="pct"/>
            <w:tcBorders>
              <w:top w:val="single" w:sz="4" w:space="0" w:color="auto"/>
              <w:left w:val="single" w:sz="4" w:space="0" w:color="auto"/>
              <w:bottom w:val="single" w:sz="4" w:space="0" w:color="auto"/>
              <w:right w:val="single" w:sz="4" w:space="0" w:color="auto"/>
            </w:tcBorders>
          </w:tcPr>
          <w:p w14:paraId="6E36DA97" w14:textId="0F097975" w:rsidR="005F455C" w:rsidRPr="005F455C" w:rsidRDefault="00711B61" w:rsidP="005F455C">
            <w:pPr>
              <w:spacing w:before="60" w:after="60" w:line="240" w:lineRule="auto"/>
              <w:contextualSpacing/>
              <w:rPr>
                <w:rFonts w:ascii="Arial" w:eastAsia="Calibri" w:hAnsi="Arial" w:cs="Arial"/>
                <w:sz w:val="16"/>
                <w:szCs w:val="16"/>
              </w:rPr>
            </w:pPr>
            <w:r w:rsidRPr="00CD1BA1">
              <w:rPr>
                <w:rFonts w:ascii="Arial" w:eastAsia="Calibri" w:hAnsi="Arial" w:cs="Arial"/>
                <w:i/>
                <w:sz w:val="16"/>
                <w:szCs w:val="16"/>
              </w:rPr>
              <w:t>Number of students completing courses at national performing arts training organisations</w:t>
            </w:r>
          </w:p>
        </w:tc>
        <w:tc>
          <w:tcPr>
            <w:tcW w:w="2300" w:type="pct"/>
            <w:tcBorders>
              <w:top w:val="single" w:sz="4" w:space="0" w:color="auto"/>
              <w:left w:val="single" w:sz="4" w:space="0" w:color="auto"/>
              <w:bottom w:val="single" w:sz="4" w:space="0" w:color="auto"/>
            </w:tcBorders>
          </w:tcPr>
          <w:p w14:paraId="496CD3F5" w14:textId="479232C1" w:rsidR="005F455C" w:rsidRPr="005F455C" w:rsidRDefault="00711B61" w:rsidP="005F455C">
            <w:pPr>
              <w:spacing w:before="60" w:after="60" w:line="240" w:lineRule="auto"/>
              <w:ind w:left="22" w:hanging="22"/>
              <w:rPr>
                <w:rFonts w:ascii="Arial" w:hAnsi="Arial" w:cs="Arial"/>
                <w:b/>
                <w:sz w:val="16"/>
                <w:szCs w:val="16"/>
              </w:rPr>
            </w:pPr>
            <w:r w:rsidRPr="00CD1BA1">
              <w:rPr>
                <w:rFonts w:ascii="Arial" w:eastAsia="Calibri" w:hAnsi="Arial" w:cs="Arial"/>
                <w:i/>
                <w:sz w:val="16"/>
                <w:szCs w:val="16"/>
              </w:rPr>
              <w:t>≥900 students in each calendar year.</w:t>
            </w:r>
          </w:p>
        </w:tc>
      </w:tr>
      <w:tr w:rsidR="005F455C" w:rsidRPr="00861157" w14:paraId="62E3BEC7" w14:textId="77777777" w:rsidTr="00F122F0">
        <w:trPr>
          <w:cantSplit/>
          <w:trHeight w:val="851"/>
        </w:trPr>
        <w:tc>
          <w:tcPr>
            <w:tcW w:w="876" w:type="pct"/>
            <w:vMerge/>
            <w:tcBorders>
              <w:right w:val="single" w:sz="4" w:space="0" w:color="auto"/>
            </w:tcBorders>
          </w:tcPr>
          <w:p w14:paraId="00E39DF8" w14:textId="77777777" w:rsidR="005F455C" w:rsidRPr="00861157" w:rsidRDefault="005F455C" w:rsidP="005F455C">
            <w:pPr>
              <w:pStyle w:val="TableTextBase"/>
              <w:rPr>
                <w:rFonts w:cs="Arial"/>
                <w:b/>
                <w:sz w:val="16"/>
                <w:szCs w:val="16"/>
              </w:rPr>
            </w:pPr>
          </w:p>
        </w:tc>
        <w:tc>
          <w:tcPr>
            <w:tcW w:w="1824" w:type="pct"/>
            <w:tcBorders>
              <w:top w:val="single" w:sz="4" w:space="0" w:color="auto"/>
              <w:left w:val="single" w:sz="4" w:space="0" w:color="auto"/>
              <w:bottom w:val="single" w:sz="4" w:space="0" w:color="auto"/>
              <w:right w:val="single" w:sz="4" w:space="0" w:color="auto"/>
            </w:tcBorders>
          </w:tcPr>
          <w:p w14:paraId="372FDE7A" w14:textId="53BEDF83" w:rsidR="005F455C" w:rsidRPr="005F455C" w:rsidRDefault="00711B61" w:rsidP="005F455C">
            <w:pPr>
              <w:spacing w:before="60" w:after="60" w:line="240" w:lineRule="auto"/>
              <w:contextualSpacing/>
              <w:rPr>
                <w:rFonts w:ascii="Arial" w:eastAsia="Calibri" w:hAnsi="Arial" w:cs="Arial"/>
                <w:sz w:val="16"/>
                <w:szCs w:val="16"/>
              </w:rPr>
            </w:pPr>
            <w:r w:rsidRPr="00CD1BA1">
              <w:rPr>
                <w:rFonts w:ascii="Arial" w:eastAsia="Calibri" w:hAnsi="Arial" w:cs="Arial"/>
                <w:i/>
                <w:sz w:val="16"/>
                <w:szCs w:val="16"/>
              </w:rPr>
              <w:t>Number of payments made to claimants (including authors, illustrators and publishers) through lending rights</w:t>
            </w:r>
          </w:p>
        </w:tc>
        <w:tc>
          <w:tcPr>
            <w:tcW w:w="2300" w:type="pct"/>
            <w:tcBorders>
              <w:top w:val="single" w:sz="4" w:space="0" w:color="auto"/>
              <w:left w:val="single" w:sz="4" w:space="0" w:color="auto"/>
              <w:bottom w:val="single" w:sz="4" w:space="0" w:color="auto"/>
            </w:tcBorders>
          </w:tcPr>
          <w:p w14:paraId="4276CEAE" w14:textId="35AD310E" w:rsidR="005F455C" w:rsidRPr="005F455C" w:rsidRDefault="00711B61" w:rsidP="005F455C">
            <w:pPr>
              <w:spacing w:before="60" w:after="60" w:line="240" w:lineRule="auto"/>
              <w:ind w:left="22" w:hanging="22"/>
              <w:rPr>
                <w:rFonts w:ascii="Arial" w:hAnsi="Arial" w:cs="Arial"/>
                <w:b/>
                <w:sz w:val="16"/>
                <w:szCs w:val="16"/>
              </w:rPr>
            </w:pPr>
            <w:r w:rsidRPr="00711B61">
              <w:rPr>
                <w:rFonts w:ascii="Arial" w:eastAsia="Calibri" w:hAnsi="Arial" w:cs="Arial"/>
                <w:i/>
                <w:sz w:val="16"/>
                <w:szCs w:val="16"/>
              </w:rPr>
              <w:t>≥17,000 payments to claimants in each financial year.</w:t>
            </w:r>
          </w:p>
        </w:tc>
      </w:tr>
      <w:tr w:rsidR="005F455C" w:rsidRPr="00861157" w14:paraId="42596583" w14:textId="77777777" w:rsidTr="00F122F0">
        <w:trPr>
          <w:cantSplit/>
          <w:trHeight w:val="836"/>
        </w:trPr>
        <w:tc>
          <w:tcPr>
            <w:tcW w:w="876" w:type="pct"/>
            <w:vMerge/>
            <w:tcBorders>
              <w:right w:val="single" w:sz="4" w:space="0" w:color="auto"/>
            </w:tcBorders>
          </w:tcPr>
          <w:p w14:paraId="542E6315" w14:textId="77777777" w:rsidR="005F455C" w:rsidRPr="00861157" w:rsidRDefault="005F455C" w:rsidP="005F455C">
            <w:pPr>
              <w:pStyle w:val="TableTextBase"/>
              <w:rPr>
                <w:rFonts w:cs="Arial"/>
                <w:b/>
                <w:sz w:val="16"/>
                <w:szCs w:val="16"/>
              </w:rPr>
            </w:pPr>
          </w:p>
        </w:tc>
        <w:tc>
          <w:tcPr>
            <w:tcW w:w="1824" w:type="pct"/>
            <w:tcBorders>
              <w:top w:val="single" w:sz="4" w:space="0" w:color="auto"/>
              <w:left w:val="single" w:sz="4" w:space="0" w:color="auto"/>
              <w:bottom w:val="single" w:sz="4" w:space="0" w:color="auto"/>
              <w:right w:val="single" w:sz="4" w:space="0" w:color="auto"/>
            </w:tcBorders>
          </w:tcPr>
          <w:p w14:paraId="129C1198" w14:textId="53ED79D8" w:rsidR="005F455C" w:rsidRPr="005F455C" w:rsidRDefault="00711B61" w:rsidP="005F455C">
            <w:pPr>
              <w:spacing w:before="60" w:after="60" w:line="240" w:lineRule="auto"/>
              <w:contextualSpacing/>
              <w:rPr>
                <w:rFonts w:ascii="Arial" w:eastAsia="Calibri" w:hAnsi="Arial" w:cs="Arial"/>
                <w:sz w:val="16"/>
                <w:szCs w:val="16"/>
              </w:rPr>
            </w:pPr>
            <w:r w:rsidRPr="00CD1BA1">
              <w:rPr>
                <w:rFonts w:ascii="Arial" w:eastAsia="Calibri" w:hAnsi="Arial" w:cs="Arial"/>
                <w:sz w:val="16"/>
                <w:szCs w:val="16"/>
              </w:rPr>
              <w:t xml:space="preserve">Number of Indigenous Art Centres, art fairs and industry service organisations funded through the </w:t>
            </w:r>
            <w:r>
              <w:rPr>
                <w:rFonts w:ascii="Arial" w:eastAsia="Calibri" w:hAnsi="Arial" w:cs="Arial"/>
                <w:sz w:val="16"/>
                <w:szCs w:val="16"/>
              </w:rPr>
              <w:t>IVAIS</w:t>
            </w:r>
            <w:r w:rsidRPr="00CD1BA1">
              <w:rPr>
                <w:rFonts w:ascii="Arial" w:eastAsia="Calibri" w:hAnsi="Arial" w:cs="Arial"/>
                <w:sz w:val="16"/>
                <w:szCs w:val="16"/>
              </w:rPr>
              <w:t xml:space="preserve"> program</w:t>
            </w:r>
          </w:p>
        </w:tc>
        <w:tc>
          <w:tcPr>
            <w:tcW w:w="2300" w:type="pct"/>
            <w:tcBorders>
              <w:top w:val="single" w:sz="4" w:space="0" w:color="auto"/>
              <w:left w:val="single" w:sz="4" w:space="0" w:color="auto"/>
              <w:bottom w:val="single" w:sz="4" w:space="0" w:color="auto"/>
            </w:tcBorders>
          </w:tcPr>
          <w:p w14:paraId="085BBC74" w14:textId="71535859" w:rsidR="005F455C" w:rsidRPr="005F455C" w:rsidRDefault="00711B61" w:rsidP="005F455C">
            <w:pPr>
              <w:spacing w:before="60" w:after="60" w:line="240" w:lineRule="auto"/>
              <w:ind w:left="22" w:hanging="22"/>
              <w:rPr>
                <w:rFonts w:ascii="Arial" w:hAnsi="Arial" w:cs="Arial"/>
                <w:b/>
                <w:sz w:val="16"/>
                <w:szCs w:val="16"/>
              </w:rPr>
            </w:pPr>
            <w:r w:rsidRPr="00CD1BA1">
              <w:rPr>
                <w:rFonts w:ascii="Arial" w:eastAsia="Calibri" w:hAnsi="Arial" w:cs="Arial"/>
                <w:sz w:val="16"/>
                <w:szCs w:val="16"/>
              </w:rPr>
              <w:t>≥80 Indigenous Art Centres in the financial year.</w:t>
            </w:r>
          </w:p>
        </w:tc>
      </w:tr>
      <w:tr w:rsidR="005F455C" w:rsidRPr="00861157" w14:paraId="70948879" w14:textId="77777777" w:rsidTr="005F455C">
        <w:trPr>
          <w:cantSplit/>
          <w:trHeight w:val="1823"/>
        </w:trPr>
        <w:tc>
          <w:tcPr>
            <w:tcW w:w="876" w:type="pct"/>
            <w:vMerge/>
            <w:tcBorders>
              <w:right w:val="single" w:sz="4" w:space="0" w:color="auto"/>
            </w:tcBorders>
          </w:tcPr>
          <w:p w14:paraId="42992D36" w14:textId="77777777" w:rsidR="005F455C" w:rsidRPr="00861157" w:rsidRDefault="005F455C" w:rsidP="005F455C">
            <w:pPr>
              <w:pStyle w:val="TableTextBase"/>
              <w:rPr>
                <w:rFonts w:cs="Arial"/>
                <w:b/>
                <w:sz w:val="16"/>
                <w:szCs w:val="16"/>
              </w:rPr>
            </w:pPr>
          </w:p>
        </w:tc>
        <w:tc>
          <w:tcPr>
            <w:tcW w:w="1824" w:type="pct"/>
            <w:tcBorders>
              <w:top w:val="single" w:sz="4" w:space="0" w:color="auto"/>
              <w:left w:val="single" w:sz="4" w:space="0" w:color="auto"/>
              <w:bottom w:val="single" w:sz="4" w:space="0" w:color="auto"/>
              <w:right w:val="single" w:sz="4" w:space="0" w:color="auto"/>
            </w:tcBorders>
          </w:tcPr>
          <w:p w14:paraId="63327134" w14:textId="77777777" w:rsidR="005F455C" w:rsidRPr="005F455C" w:rsidRDefault="005F455C" w:rsidP="00F122F0">
            <w:pPr>
              <w:pStyle w:val="TableParagraph"/>
              <w:spacing w:before="60"/>
              <w:ind w:right="309"/>
              <w:rPr>
                <w:sz w:val="16"/>
                <w:szCs w:val="16"/>
              </w:rPr>
            </w:pPr>
            <w:r w:rsidRPr="005F455C">
              <w:rPr>
                <w:sz w:val="16"/>
                <w:szCs w:val="16"/>
              </w:rPr>
              <w:t>Activities to support the repatriation of Aboriginal and Torres Strait Islander ancestral remains and secret sacred objects:</w:t>
            </w:r>
          </w:p>
          <w:p w14:paraId="212DBBC6" w14:textId="77777777" w:rsidR="005F455C" w:rsidRPr="005F455C" w:rsidRDefault="005F455C" w:rsidP="00977C28">
            <w:pPr>
              <w:pStyle w:val="TableTextBase"/>
              <w:numPr>
                <w:ilvl w:val="0"/>
                <w:numId w:val="241"/>
              </w:numPr>
              <w:ind w:left="389" w:hanging="389"/>
              <w:rPr>
                <w:rFonts w:cs="Arial"/>
                <w:sz w:val="16"/>
                <w:szCs w:val="16"/>
              </w:rPr>
            </w:pPr>
            <w:r w:rsidRPr="005F455C">
              <w:rPr>
                <w:rFonts w:cs="Arial"/>
                <w:sz w:val="16"/>
                <w:szCs w:val="16"/>
              </w:rPr>
              <w:t>number of new agreements to repatriate ancestral remains from overseas.</w:t>
            </w:r>
          </w:p>
          <w:p w14:paraId="2A9BCF54" w14:textId="77777777" w:rsidR="00CC0CE2" w:rsidRDefault="005F455C" w:rsidP="00977C28">
            <w:pPr>
              <w:pStyle w:val="TableTextBase"/>
              <w:numPr>
                <w:ilvl w:val="0"/>
                <w:numId w:val="241"/>
              </w:numPr>
              <w:ind w:left="389" w:hanging="389"/>
              <w:rPr>
                <w:rFonts w:cs="Arial"/>
                <w:sz w:val="16"/>
                <w:szCs w:val="16"/>
              </w:rPr>
            </w:pPr>
            <w:r w:rsidRPr="005F455C">
              <w:rPr>
                <w:rFonts w:cs="Arial"/>
                <w:sz w:val="16"/>
                <w:szCs w:val="16"/>
              </w:rPr>
              <w:t>number of ancestral remains and/or secret sacred objects repatriated to their community.</w:t>
            </w:r>
          </w:p>
          <w:p w14:paraId="4D452BEB" w14:textId="0AF315E6" w:rsidR="005F455C" w:rsidRPr="00CC0CE2" w:rsidRDefault="005F455C" w:rsidP="00977C28">
            <w:pPr>
              <w:pStyle w:val="TableTextBase"/>
              <w:numPr>
                <w:ilvl w:val="0"/>
                <w:numId w:val="241"/>
              </w:numPr>
              <w:ind w:left="389" w:hanging="389"/>
              <w:rPr>
                <w:rFonts w:cs="Arial"/>
                <w:sz w:val="16"/>
                <w:szCs w:val="16"/>
              </w:rPr>
            </w:pPr>
            <w:r w:rsidRPr="00CC0CE2">
              <w:rPr>
                <w:rFonts w:cs="Arial"/>
                <w:sz w:val="16"/>
                <w:szCs w:val="16"/>
              </w:rPr>
              <w:t>number of ancestral remains repatriated to Australia with no known community</w:t>
            </w:r>
          </w:p>
        </w:tc>
        <w:tc>
          <w:tcPr>
            <w:tcW w:w="2300" w:type="pct"/>
            <w:tcBorders>
              <w:top w:val="single" w:sz="4" w:space="0" w:color="auto"/>
              <w:left w:val="single" w:sz="4" w:space="0" w:color="auto"/>
              <w:bottom w:val="single" w:sz="4" w:space="0" w:color="auto"/>
            </w:tcBorders>
          </w:tcPr>
          <w:p w14:paraId="71B2B9F3" w14:textId="69D0A3F7" w:rsidR="005F455C" w:rsidRPr="005F455C" w:rsidRDefault="005F455C" w:rsidP="005F455C">
            <w:pPr>
              <w:spacing w:before="60" w:after="60" w:line="240" w:lineRule="auto"/>
              <w:ind w:left="22" w:hanging="22"/>
              <w:rPr>
                <w:rFonts w:ascii="Arial" w:eastAsia="Calibri" w:hAnsi="Arial" w:cs="Arial"/>
                <w:sz w:val="16"/>
                <w:szCs w:val="16"/>
              </w:rPr>
            </w:pPr>
            <w:r w:rsidRPr="005F455C">
              <w:rPr>
                <w:rFonts w:ascii="Arial" w:eastAsia="Calibri" w:hAnsi="Arial" w:cs="Arial"/>
                <w:sz w:val="16"/>
                <w:szCs w:val="16"/>
              </w:rPr>
              <w:t>Internationally, activities are responsive to international negotiations and community consultations. Domestically, activities are responsive to demand from the funding recipients.</w:t>
            </w:r>
          </w:p>
        </w:tc>
      </w:tr>
      <w:tr w:rsidR="005F455C" w:rsidRPr="00861157" w14:paraId="378FF335" w14:textId="77777777" w:rsidTr="00F122F0">
        <w:trPr>
          <w:cantSplit/>
          <w:trHeight w:val="1046"/>
        </w:trPr>
        <w:tc>
          <w:tcPr>
            <w:tcW w:w="876" w:type="pct"/>
            <w:vMerge/>
            <w:tcBorders>
              <w:right w:val="single" w:sz="4" w:space="0" w:color="auto"/>
            </w:tcBorders>
          </w:tcPr>
          <w:p w14:paraId="0D448B10" w14:textId="77777777" w:rsidR="005F455C" w:rsidRPr="00861157" w:rsidRDefault="005F455C" w:rsidP="005F455C">
            <w:pPr>
              <w:pStyle w:val="TableTextBase"/>
              <w:rPr>
                <w:rFonts w:cs="Arial"/>
                <w:sz w:val="16"/>
                <w:szCs w:val="16"/>
              </w:rPr>
            </w:pPr>
          </w:p>
        </w:tc>
        <w:tc>
          <w:tcPr>
            <w:tcW w:w="1824" w:type="pct"/>
            <w:tcBorders>
              <w:top w:val="single" w:sz="4" w:space="0" w:color="auto"/>
              <w:left w:val="single" w:sz="4" w:space="0" w:color="auto"/>
              <w:bottom w:val="single" w:sz="4" w:space="0" w:color="auto"/>
              <w:right w:val="single" w:sz="4" w:space="0" w:color="auto"/>
            </w:tcBorders>
          </w:tcPr>
          <w:p w14:paraId="19979718" w14:textId="63868222" w:rsidR="005F455C" w:rsidRPr="00861157" w:rsidRDefault="005F455C" w:rsidP="005F455C">
            <w:pPr>
              <w:pStyle w:val="TableTextBase"/>
              <w:rPr>
                <w:rFonts w:cs="Arial"/>
                <w:b/>
                <w:sz w:val="16"/>
                <w:szCs w:val="16"/>
              </w:rPr>
            </w:pPr>
            <w:r w:rsidRPr="005F455C">
              <w:rPr>
                <w:rFonts w:eastAsia="Calibri" w:cs="Arial"/>
                <w:i/>
                <w:sz w:val="16"/>
                <w:szCs w:val="16"/>
                <w:lang w:eastAsia="en-US"/>
              </w:rPr>
              <w:t>Effectiveness of the current Australian content and classification frameworks</w:t>
            </w:r>
            <w:r w:rsidRPr="005F455C">
              <w:rPr>
                <w:rFonts w:eastAsia="Calibri" w:cs="Arial"/>
                <w:i/>
                <w:sz w:val="16"/>
                <w:szCs w:val="16"/>
                <w:vertAlign w:val="superscript"/>
                <w:lang w:eastAsia="en-US"/>
              </w:rPr>
              <w:t>.(a)</w:t>
            </w:r>
          </w:p>
        </w:tc>
        <w:tc>
          <w:tcPr>
            <w:tcW w:w="2300" w:type="pct"/>
            <w:tcBorders>
              <w:top w:val="single" w:sz="4" w:space="0" w:color="auto"/>
              <w:left w:val="single" w:sz="4" w:space="0" w:color="auto"/>
              <w:bottom w:val="single" w:sz="4" w:space="0" w:color="auto"/>
            </w:tcBorders>
          </w:tcPr>
          <w:p w14:paraId="0D5601CE" w14:textId="2B471077" w:rsidR="005F455C" w:rsidRPr="00861157" w:rsidRDefault="005F455C" w:rsidP="005F455C">
            <w:pPr>
              <w:spacing w:before="60" w:after="60" w:line="240" w:lineRule="auto"/>
              <w:ind w:right="-12"/>
              <w:contextualSpacing/>
              <w:rPr>
                <w:rFonts w:ascii="Arial" w:eastAsia="Calibri" w:hAnsi="Arial" w:cs="Arial"/>
                <w:sz w:val="16"/>
                <w:szCs w:val="16"/>
              </w:rPr>
            </w:pPr>
            <w:r w:rsidRPr="005F455C">
              <w:rPr>
                <w:rFonts w:ascii="Arial" w:eastAsia="Calibri" w:hAnsi="Arial" w:cs="Arial"/>
                <w:i/>
                <w:sz w:val="16"/>
                <w:szCs w:val="16"/>
              </w:rPr>
              <w:t>Reporting in each financial year shows frameworks are effective, based on: Australian content quota compliance and the existence of public data on Australian content available on streaming video on demand services.</w:t>
            </w:r>
          </w:p>
        </w:tc>
      </w:tr>
      <w:tr w:rsidR="005F455C" w:rsidRPr="00861157" w14:paraId="15579576" w14:textId="77777777" w:rsidTr="005F455C">
        <w:trPr>
          <w:cantSplit/>
          <w:trHeight w:val="1543"/>
        </w:trPr>
        <w:tc>
          <w:tcPr>
            <w:tcW w:w="876" w:type="pct"/>
            <w:vMerge/>
            <w:tcBorders>
              <w:right w:val="single" w:sz="4" w:space="0" w:color="auto"/>
            </w:tcBorders>
          </w:tcPr>
          <w:p w14:paraId="27883A53" w14:textId="77777777" w:rsidR="005F455C" w:rsidRPr="00861157" w:rsidRDefault="005F455C" w:rsidP="005F455C">
            <w:pPr>
              <w:pStyle w:val="TableTextBase"/>
              <w:rPr>
                <w:rFonts w:cs="Arial"/>
                <w:sz w:val="16"/>
                <w:szCs w:val="16"/>
              </w:rPr>
            </w:pPr>
          </w:p>
        </w:tc>
        <w:tc>
          <w:tcPr>
            <w:tcW w:w="1824" w:type="pct"/>
            <w:tcBorders>
              <w:top w:val="single" w:sz="4" w:space="0" w:color="auto"/>
              <w:left w:val="single" w:sz="4" w:space="0" w:color="auto"/>
              <w:bottom w:val="single" w:sz="4" w:space="0" w:color="auto"/>
              <w:right w:val="single" w:sz="4" w:space="0" w:color="auto"/>
            </w:tcBorders>
          </w:tcPr>
          <w:p w14:paraId="30325925" w14:textId="2702CEC2" w:rsidR="005F455C" w:rsidRPr="00861157" w:rsidRDefault="005F455C" w:rsidP="005F455C">
            <w:pPr>
              <w:pStyle w:val="TableTextBase"/>
              <w:rPr>
                <w:rFonts w:eastAsia="Calibri" w:cs="Arial"/>
                <w:i/>
                <w:sz w:val="16"/>
                <w:szCs w:val="16"/>
                <w:lang w:eastAsia="en-US"/>
              </w:rPr>
            </w:pPr>
            <w:r>
              <w:rPr>
                <w:i/>
                <w:sz w:val="16"/>
                <w:szCs w:val="16"/>
              </w:rPr>
              <w:t>Effectiveness of the current Australian classification framework</w:t>
            </w:r>
            <w:r>
              <w:rPr>
                <w:rFonts w:eastAsia="Calibri"/>
                <w:i/>
                <w:sz w:val="16"/>
                <w:szCs w:val="16"/>
                <w:vertAlign w:val="superscript"/>
              </w:rPr>
              <w:t>.(a)</w:t>
            </w:r>
          </w:p>
        </w:tc>
        <w:tc>
          <w:tcPr>
            <w:tcW w:w="2300" w:type="pct"/>
            <w:tcBorders>
              <w:top w:val="single" w:sz="4" w:space="0" w:color="auto"/>
              <w:left w:val="single" w:sz="4" w:space="0" w:color="auto"/>
              <w:bottom w:val="single" w:sz="4" w:space="0" w:color="auto"/>
            </w:tcBorders>
          </w:tcPr>
          <w:p w14:paraId="1692B5DD" w14:textId="03D0780C" w:rsidR="005F455C" w:rsidRPr="005F455C" w:rsidRDefault="005F455C" w:rsidP="005F455C">
            <w:pPr>
              <w:spacing w:before="60" w:after="60" w:line="240" w:lineRule="auto"/>
              <w:ind w:right="-12"/>
              <w:rPr>
                <w:rFonts w:ascii="Arial" w:eastAsia="Calibri" w:hAnsi="Arial" w:cs="Arial"/>
                <w:sz w:val="16"/>
                <w:szCs w:val="16"/>
              </w:rPr>
            </w:pPr>
            <w:r w:rsidRPr="005F455C">
              <w:rPr>
                <w:rFonts w:ascii="Arial" w:eastAsia="Calibri" w:hAnsi="Arial" w:cs="Arial"/>
                <w:sz w:val="16"/>
                <w:szCs w:val="16"/>
              </w:rPr>
              <w:t>Reporting in each financial year shows framework is effective, based on: Informing the Australian public by publishing 100% of classification decisions made by the Classification Board and Classification Review Board on the publicly available National Classification Database.</w:t>
            </w:r>
          </w:p>
        </w:tc>
      </w:tr>
      <w:tr w:rsidR="005F455C" w:rsidRPr="00861157" w14:paraId="31A03626" w14:textId="77777777" w:rsidTr="005F455C">
        <w:trPr>
          <w:cantSplit/>
          <w:trHeight w:val="727"/>
        </w:trPr>
        <w:tc>
          <w:tcPr>
            <w:tcW w:w="876" w:type="pct"/>
            <w:vMerge/>
            <w:tcBorders>
              <w:right w:val="single" w:sz="4" w:space="0" w:color="auto"/>
            </w:tcBorders>
          </w:tcPr>
          <w:p w14:paraId="5AED0408" w14:textId="77777777" w:rsidR="005F455C" w:rsidRPr="00861157" w:rsidRDefault="005F455C" w:rsidP="005F455C">
            <w:pPr>
              <w:pStyle w:val="TableTextBase"/>
              <w:rPr>
                <w:rFonts w:cs="Arial"/>
                <w:sz w:val="16"/>
                <w:szCs w:val="16"/>
              </w:rPr>
            </w:pPr>
          </w:p>
        </w:tc>
        <w:tc>
          <w:tcPr>
            <w:tcW w:w="1824" w:type="pct"/>
            <w:tcBorders>
              <w:top w:val="single" w:sz="4" w:space="0" w:color="auto"/>
              <w:left w:val="single" w:sz="4" w:space="0" w:color="auto"/>
              <w:bottom w:val="single" w:sz="4" w:space="0" w:color="auto"/>
              <w:right w:val="single" w:sz="4" w:space="0" w:color="auto"/>
            </w:tcBorders>
          </w:tcPr>
          <w:p w14:paraId="51C07B0D" w14:textId="49BEFEB0" w:rsidR="005F455C" w:rsidRDefault="00711B61" w:rsidP="005F455C">
            <w:pPr>
              <w:pStyle w:val="TableTextBase"/>
              <w:rPr>
                <w:i/>
                <w:sz w:val="16"/>
                <w:szCs w:val="16"/>
              </w:rPr>
            </w:pPr>
            <w:r w:rsidRPr="005F455C">
              <w:rPr>
                <w:rFonts w:eastAsia="Calibri" w:cs="Arial"/>
                <w:i/>
                <w:sz w:val="16"/>
                <w:szCs w:val="16"/>
                <w:lang w:eastAsia="en-US"/>
              </w:rPr>
              <w:t>Reach of our funded activities to support Indigenous languages and Indigenous art forms (excluding visual arts) indicated through the number of Indigenous language centres receiving annual operational funding</w:t>
            </w:r>
          </w:p>
        </w:tc>
        <w:tc>
          <w:tcPr>
            <w:tcW w:w="2300" w:type="pct"/>
            <w:tcBorders>
              <w:top w:val="single" w:sz="4" w:space="0" w:color="auto"/>
              <w:left w:val="single" w:sz="4" w:space="0" w:color="auto"/>
              <w:bottom w:val="single" w:sz="4" w:space="0" w:color="auto"/>
            </w:tcBorders>
          </w:tcPr>
          <w:p w14:paraId="603D7AE3" w14:textId="556A4936" w:rsidR="005F455C" w:rsidRPr="005F455C" w:rsidRDefault="00711B61" w:rsidP="005F455C">
            <w:pPr>
              <w:pStyle w:val="TableTextBase"/>
              <w:rPr>
                <w:rFonts w:eastAsia="Calibri" w:cs="Arial"/>
                <w:sz w:val="16"/>
                <w:szCs w:val="16"/>
              </w:rPr>
            </w:pPr>
            <w:r w:rsidRPr="005F455C">
              <w:rPr>
                <w:rFonts w:eastAsia="Calibri" w:cs="Arial"/>
                <w:i/>
                <w:sz w:val="16"/>
                <w:szCs w:val="16"/>
              </w:rPr>
              <w:t>Reporting in each financial year shows</w:t>
            </w:r>
            <w:r>
              <w:rPr>
                <w:rFonts w:eastAsia="Calibri" w:cs="Arial"/>
                <w:i/>
                <w:sz w:val="16"/>
                <w:szCs w:val="16"/>
              </w:rPr>
              <w:t xml:space="preserve"> </w:t>
            </w:r>
            <w:r w:rsidRPr="005F455C">
              <w:rPr>
                <w:rFonts w:eastAsia="Calibri" w:cs="Arial"/>
                <w:i/>
                <w:sz w:val="16"/>
                <w:szCs w:val="16"/>
              </w:rPr>
              <w:t>≥24 Indigenous language centres in the financial year funded.</w:t>
            </w:r>
          </w:p>
        </w:tc>
      </w:tr>
    </w:tbl>
    <w:p w14:paraId="251EE418" w14:textId="7CD62123" w:rsidR="00711B61" w:rsidRDefault="00711B61">
      <w:r>
        <w:br w:type="page"/>
      </w:r>
    </w:p>
    <w:p w14:paraId="3DC23EB1" w14:textId="77777777" w:rsidR="00F122F0" w:rsidRDefault="00F122F0" w:rsidP="00F122F0">
      <w:pPr>
        <w:spacing w:after="0"/>
      </w:pP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2797"/>
        <w:gridCol w:w="3526"/>
      </w:tblGrid>
      <w:tr w:rsidR="00711B61" w:rsidRPr="00861157" w14:paraId="13B77F96" w14:textId="77777777" w:rsidTr="00711B61">
        <w:trPr>
          <w:cantSplit/>
          <w:trHeight w:val="316"/>
        </w:trPr>
        <w:tc>
          <w:tcPr>
            <w:tcW w:w="876" w:type="pct"/>
            <w:tcBorders>
              <w:top w:val="double" w:sz="4" w:space="0" w:color="auto"/>
              <w:bottom w:val="single" w:sz="4" w:space="0" w:color="auto"/>
              <w:right w:val="single" w:sz="4" w:space="0" w:color="auto"/>
            </w:tcBorders>
          </w:tcPr>
          <w:p w14:paraId="79D53B72" w14:textId="021E3F87" w:rsidR="00711B61" w:rsidRPr="00861157" w:rsidRDefault="00711B61" w:rsidP="00711B61">
            <w:pPr>
              <w:pStyle w:val="TableTextBase"/>
              <w:rPr>
                <w:rFonts w:cs="Arial"/>
                <w:sz w:val="16"/>
                <w:szCs w:val="16"/>
              </w:rPr>
            </w:pPr>
            <w:r w:rsidRPr="005F455C">
              <w:rPr>
                <w:rFonts w:cs="Arial"/>
                <w:b/>
                <w:spacing w:val="-4"/>
                <w:sz w:val="16"/>
              </w:rPr>
              <w:t>Year</w:t>
            </w:r>
          </w:p>
        </w:tc>
        <w:tc>
          <w:tcPr>
            <w:tcW w:w="1824" w:type="pct"/>
            <w:tcBorders>
              <w:top w:val="double" w:sz="4" w:space="0" w:color="auto"/>
              <w:left w:val="single" w:sz="4" w:space="0" w:color="auto"/>
              <w:bottom w:val="single" w:sz="4" w:space="0" w:color="auto"/>
              <w:right w:val="single" w:sz="4" w:space="0" w:color="auto"/>
            </w:tcBorders>
          </w:tcPr>
          <w:p w14:paraId="04568991" w14:textId="5D77DAF5" w:rsidR="00711B61" w:rsidRDefault="00711B61" w:rsidP="00711B61">
            <w:pPr>
              <w:pStyle w:val="TableTextBase"/>
              <w:rPr>
                <w:i/>
                <w:sz w:val="16"/>
                <w:szCs w:val="16"/>
              </w:rPr>
            </w:pPr>
            <w:r w:rsidRPr="005F455C">
              <w:rPr>
                <w:rFonts w:cs="Arial"/>
                <w:b/>
                <w:spacing w:val="-4"/>
                <w:sz w:val="16"/>
              </w:rPr>
              <w:t>Performance measures</w:t>
            </w:r>
          </w:p>
        </w:tc>
        <w:tc>
          <w:tcPr>
            <w:tcW w:w="2300" w:type="pct"/>
            <w:tcBorders>
              <w:top w:val="double" w:sz="4" w:space="0" w:color="auto"/>
              <w:left w:val="single" w:sz="4" w:space="0" w:color="auto"/>
              <w:bottom w:val="single" w:sz="4" w:space="0" w:color="auto"/>
            </w:tcBorders>
          </w:tcPr>
          <w:p w14:paraId="06E82A9D" w14:textId="5A17DCB2" w:rsidR="00711B61" w:rsidRPr="005F455C" w:rsidRDefault="00711B61" w:rsidP="00711B61">
            <w:pPr>
              <w:spacing w:before="60" w:after="60" w:line="240" w:lineRule="auto"/>
              <w:ind w:right="-12"/>
              <w:rPr>
                <w:rFonts w:ascii="Arial" w:hAnsi="Arial"/>
                <w:i/>
                <w:sz w:val="16"/>
                <w:szCs w:val="16"/>
              </w:rPr>
            </w:pPr>
            <w:r w:rsidRPr="005F455C">
              <w:rPr>
                <w:rFonts w:ascii="Arial" w:hAnsi="Arial" w:cs="Arial"/>
                <w:b/>
                <w:spacing w:val="-4"/>
                <w:sz w:val="16"/>
              </w:rPr>
              <w:t>Planned Performance Results</w:t>
            </w:r>
          </w:p>
        </w:tc>
      </w:tr>
      <w:tr w:rsidR="00711B61" w:rsidRPr="00861157" w14:paraId="4421B7BF" w14:textId="77777777" w:rsidTr="005F455C">
        <w:trPr>
          <w:cantSplit/>
          <w:trHeight w:val="727"/>
        </w:trPr>
        <w:tc>
          <w:tcPr>
            <w:tcW w:w="876" w:type="pct"/>
            <w:tcBorders>
              <w:bottom w:val="single" w:sz="4" w:space="0" w:color="auto"/>
              <w:right w:val="single" w:sz="4" w:space="0" w:color="auto"/>
            </w:tcBorders>
          </w:tcPr>
          <w:p w14:paraId="6FBB3675" w14:textId="65B6A4EE" w:rsidR="00711B61" w:rsidRPr="00861157" w:rsidRDefault="00711B61" w:rsidP="00711B61">
            <w:pPr>
              <w:pStyle w:val="TableTextBase"/>
              <w:rPr>
                <w:rFonts w:cs="Arial"/>
                <w:sz w:val="16"/>
                <w:szCs w:val="16"/>
              </w:rPr>
            </w:pPr>
            <w:r>
              <w:rPr>
                <w:sz w:val="16"/>
              </w:rPr>
              <w:t>Forward</w:t>
            </w:r>
            <w:r>
              <w:rPr>
                <w:spacing w:val="-12"/>
                <w:sz w:val="16"/>
              </w:rPr>
              <w:t xml:space="preserve"> </w:t>
            </w:r>
            <w:r>
              <w:rPr>
                <w:sz w:val="16"/>
              </w:rPr>
              <w:t xml:space="preserve">Estimates </w:t>
            </w:r>
            <w:r>
              <w:rPr>
                <w:spacing w:val="-2"/>
                <w:sz w:val="16"/>
              </w:rPr>
              <w:t>2024–27 cont.</w:t>
            </w:r>
          </w:p>
        </w:tc>
        <w:tc>
          <w:tcPr>
            <w:tcW w:w="1824" w:type="pct"/>
            <w:tcBorders>
              <w:top w:val="single" w:sz="4" w:space="0" w:color="auto"/>
              <w:left w:val="single" w:sz="4" w:space="0" w:color="auto"/>
              <w:bottom w:val="single" w:sz="4" w:space="0" w:color="auto"/>
              <w:right w:val="single" w:sz="4" w:space="0" w:color="auto"/>
            </w:tcBorders>
          </w:tcPr>
          <w:p w14:paraId="7C252834" w14:textId="251A78F8" w:rsidR="00711B61" w:rsidRDefault="00711B61" w:rsidP="00711B61">
            <w:pPr>
              <w:pStyle w:val="TableTextBase"/>
              <w:rPr>
                <w:i/>
                <w:sz w:val="16"/>
                <w:szCs w:val="16"/>
              </w:rPr>
            </w:pPr>
            <w:r>
              <w:rPr>
                <w:i/>
                <w:sz w:val="16"/>
                <w:szCs w:val="16"/>
              </w:rPr>
              <w:t>Reach of our funded arts and cultural activities that support regional access and participation, indicated through estimated number of regional/remote locations that host funded activities</w:t>
            </w:r>
          </w:p>
        </w:tc>
        <w:tc>
          <w:tcPr>
            <w:tcW w:w="2300" w:type="pct"/>
            <w:tcBorders>
              <w:top w:val="single" w:sz="4" w:space="0" w:color="auto"/>
              <w:left w:val="single" w:sz="4" w:space="0" w:color="auto"/>
              <w:bottom w:val="single" w:sz="4" w:space="0" w:color="auto"/>
            </w:tcBorders>
          </w:tcPr>
          <w:p w14:paraId="38843CEA" w14:textId="000FA4CD" w:rsidR="00711B61" w:rsidRPr="005F455C" w:rsidRDefault="00711B61" w:rsidP="00711B61">
            <w:pPr>
              <w:spacing w:before="60" w:after="60" w:line="240" w:lineRule="auto"/>
              <w:ind w:right="-12"/>
              <w:rPr>
                <w:rFonts w:ascii="Arial" w:eastAsia="Calibri" w:hAnsi="Arial" w:cs="Arial"/>
                <w:sz w:val="16"/>
                <w:szCs w:val="16"/>
              </w:rPr>
            </w:pPr>
            <w:r w:rsidRPr="005F455C">
              <w:rPr>
                <w:rFonts w:ascii="Arial" w:hAnsi="Arial"/>
                <w:i/>
                <w:sz w:val="16"/>
                <w:szCs w:val="16"/>
              </w:rPr>
              <w:t>2021–22 was the first year of data capture and only included programs that could provide attendance and participation numbers as well as the number of regional/remote locations. Results for the number of regional/remote locations is expected to be variable over time, given the variety of projects funded and that some programs are competitive grant programs.</w:t>
            </w:r>
          </w:p>
        </w:tc>
      </w:tr>
    </w:tbl>
    <w:p w14:paraId="667291D8" w14:textId="77777777" w:rsidR="00115843" w:rsidRDefault="00115843" w:rsidP="00115843">
      <w:pPr>
        <w:pStyle w:val="ChartandTableFootnoteAlpha"/>
        <w:numPr>
          <w:ilvl w:val="0"/>
          <w:numId w:val="0"/>
        </w:numPr>
        <w:spacing w:before="60"/>
      </w:pPr>
      <w:r w:rsidRPr="001B2F81">
        <w:t xml:space="preserve">New or modified performance </w:t>
      </w:r>
      <w:r w:rsidRPr="00E12264">
        <w:t>measures</w:t>
      </w:r>
      <w:r w:rsidRPr="001B2F81">
        <w:t xml:space="preserve"> that reflect new or materially changed programs are shown in </w:t>
      </w:r>
      <w:r w:rsidRPr="003D46F4">
        <w:rPr>
          <w:i/>
        </w:rPr>
        <w:t>italics.</w:t>
      </w:r>
      <w:r w:rsidRPr="001B2F81">
        <w:t xml:space="preserve"> </w:t>
      </w:r>
    </w:p>
    <w:p w14:paraId="027F027B" w14:textId="77777777" w:rsidR="00115843" w:rsidRPr="00A93F63" w:rsidRDefault="00115843" w:rsidP="00977C28">
      <w:pPr>
        <w:pStyle w:val="ListParagraph"/>
        <w:numPr>
          <w:ilvl w:val="0"/>
          <w:numId w:val="118"/>
        </w:numPr>
        <w:spacing w:after="120" w:line="240" w:lineRule="auto"/>
        <w:ind w:left="426" w:hanging="426"/>
        <w:rPr>
          <w:rFonts w:ascii="Arial" w:hAnsi="Arial" w:cs="Arial"/>
          <w:sz w:val="16"/>
        </w:rPr>
      </w:pPr>
      <w:r w:rsidRPr="00A93F63">
        <w:rPr>
          <w:rFonts w:ascii="Arial" w:hAnsi="Arial" w:cs="Arial"/>
          <w:sz w:val="16"/>
          <w:szCs w:val="14"/>
        </w:rPr>
        <w:t>This measure is linked to Program 5.1 Digital Technologies and Communications Services and Program 6.1 Arts and Cultural Development.</w:t>
      </w:r>
    </w:p>
    <w:p w14:paraId="4BF0D232" w14:textId="1604E92D" w:rsidR="00557DDF" w:rsidRPr="00557DDF" w:rsidRDefault="00557DDF" w:rsidP="00557DDF">
      <w:pPr>
        <w:spacing w:before="30" w:after="0" w:line="240" w:lineRule="auto"/>
        <w:ind w:right="55"/>
        <w:rPr>
          <w:rFonts w:ascii="Arial" w:hAnsi="Arial" w:cs="Arial"/>
          <w:sz w:val="16"/>
        </w:rPr>
      </w:pPr>
      <w:r w:rsidRPr="00557DDF">
        <w:rPr>
          <w:rFonts w:ascii="Arial" w:hAnsi="Arial" w:cs="Arial"/>
          <w:color w:val="000000"/>
          <w:sz w:val="16"/>
          <w:szCs w:val="16"/>
        </w:rPr>
        <w:t xml:space="preserve">The </w:t>
      </w:r>
      <w:r w:rsidR="00E17F15">
        <w:rPr>
          <w:rFonts w:ascii="Arial" w:hAnsi="Arial" w:cs="Arial"/>
          <w:color w:val="000000"/>
          <w:sz w:val="16"/>
          <w:szCs w:val="16"/>
        </w:rPr>
        <w:t>Department</w:t>
      </w:r>
      <w:r w:rsidRPr="00557DDF">
        <w:rPr>
          <w:rFonts w:ascii="Arial" w:hAnsi="Arial" w:cs="Arial"/>
          <w:color w:val="000000"/>
          <w:sz w:val="16"/>
          <w:szCs w:val="16"/>
        </w:rPr>
        <w:t xml:space="preserve"> has undertaken a suite of assessment and assurance activities regarding performance measures since the 2022</w:t>
      </w:r>
      <w:r w:rsidRPr="00557DDF">
        <w:rPr>
          <w:rFonts w:ascii="Arial" w:hAnsi="Arial" w:cs="Arial"/>
          <w:sz w:val="16"/>
          <w:szCs w:val="16"/>
        </w:rPr>
        <w:t>–</w:t>
      </w:r>
      <w:r w:rsidRPr="00557DDF">
        <w:rPr>
          <w:rFonts w:ascii="Arial" w:hAnsi="Arial" w:cs="Arial"/>
          <w:color w:val="000000"/>
          <w:sz w:val="16"/>
          <w:szCs w:val="16"/>
        </w:rPr>
        <w:t>23 Budget. As a result, a number of measures have been added, removed, or amended in the 2023</w:t>
      </w:r>
      <w:r w:rsidRPr="00557DDF">
        <w:rPr>
          <w:rFonts w:ascii="Arial" w:hAnsi="Arial" w:cs="Arial"/>
          <w:sz w:val="16"/>
          <w:szCs w:val="16"/>
        </w:rPr>
        <w:t>–</w:t>
      </w:r>
      <w:r w:rsidRPr="00557DDF">
        <w:rPr>
          <w:rFonts w:ascii="Arial" w:hAnsi="Arial" w:cs="Arial"/>
          <w:color w:val="000000"/>
          <w:sz w:val="16"/>
          <w:szCs w:val="16"/>
        </w:rPr>
        <w:t xml:space="preserve">24 Portfolio Budget Statements. Further details will be provided in the </w:t>
      </w:r>
      <w:r w:rsidR="0000369A">
        <w:rPr>
          <w:rFonts w:ascii="Arial" w:hAnsi="Arial" w:cs="Arial"/>
          <w:color w:val="000000"/>
          <w:sz w:val="16"/>
          <w:szCs w:val="16"/>
        </w:rPr>
        <w:t>Department’s</w:t>
      </w:r>
      <w:r w:rsidRPr="00557DDF">
        <w:rPr>
          <w:rFonts w:ascii="Arial" w:hAnsi="Arial" w:cs="Arial"/>
          <w:color w:val="000000"/>
          <w:sz w:val="16"/>
          <w:szCs w:val="16"/>
        </w:rPr>
        <w:t xml:space="preserve"> Corporate Plan 2023</w:t>
      </w:r>
      <w:r w:rsidRPr="00557DDF">
        <w:rPr>
          <w:rFonts w:ascii="Arial" w:hAnsi="Arial" w:cs="Arial"/>
          <w:sz w:val="16"/>
          <w:szCs w:val="16"/>
        </w:rPr>
        <w:t>–</w:t>
      </w:r>
      <w:r w:rsidRPr="00557DDF">
        <w:rPr>
          <w:rFonts w:ascii="Arial" w:hAnsi="Arial" w:cs="Arial"/>
          <w:color w:val="000000"/>
          <w:sz w:val="16"/>
          <w:szCs w:val="16"/>
        </w:rPr>
        <w:t>24.  </w:t>
      </w:r>
    </w:p>
    <w:p w14:paraId="5D8ED08B" w14:textId="77777777" w:rsidR="00115843" w:rsidRDefault="00115843" w:rsidP="00115843">
      <w:pPr>
        <w:spacing w:after="0" w:line="240" w:lineRule="auto"/>
        <w:rPr>
          <w:rFonts w:ascii="Arial" w:hAnsi="Arial" w:cs="Arial"/>
          <w:sz w:val="16"/>
        </w:rPr>
      </w:pPr>
      <w:r>
        <w:rPr>
          <w:rFonts w:ascii="Arial" w:hAnsi="Arial" w:cs="Arial"/>
          <w:sz w:val="16"/>
        </w:rPr>
        <w:br w:type="page"/>
      </w:r>
    </w:p>
    <w:p w14:paraId="4AE3569D" w14:textId="77777777" w:rsidR="00115843" w:rsidRPr="00300A68" w:rsidRDefault="00115843" w:rsidP="00115843">
      <w:pPr>
        <w:pStyle w:val="Heading2-ITRDCA"/>
      </w:pPr>
      <w:bookmarkStart w:id="41" w:name="_Toc117242353"/>
      <w:r w:rsidRPr="00300A68">
        <w:lastRenderedPageBreak/>
        <w:t>Section 3: Budgeted financial statements</w:t>
      </w:r>
      <w:bookmarkEnd w:id="41"/>
    </w:p>
    <w:p w14:paraId="0E7EA805" w14:textId="73922BFA" w:rsidR="00115843" w:rsidRPr="00542D5C" w:rsidRDefault="00115843" w:rsidP="00115843">
      <w:r w:rsidRPr="00542D5C">
        <w:t xml:space="preserve">Section 3 presents budgeted financial statements which provide a comprehensive snapshot of </w:t>
      </w:r>
      <w:r w:rsidR="00BD7E6C">
        <w:t>the De</w:t>
      </w:r>
      <w:r w:rsidR="00077736">
        <w:t>partment’s</w:t>
      </w:r>
      <w:r w:rsidRPr="00542D5C">
        <w:t xml:space="preserve"> finances for the 202</w:t>
      </w:r>
      <w:r w:rsidR="00EB7700">
        <w:t>3-24</w:t>
      </w:r>
      <w:r w:rsidRPr="00542D5C">
        <w:rPr>
          <w:color w:val="00B050"/>
        </w:rPr>
        <w:t xml:space="preserve"> </w:t>
      </w:r>
      <w:r>
        <w:t>B</w:t>
      </w:r>
      <w:r w:rsidRPr="00542D5C">
        <w:t>udget year, including the impact of budget measures and resourcing on financial statements.</w:t>
      </w:r>
    </w:p>
    <w:p w14:paraId="2C007945" w14:textId="77777777" w:rsidR="00115843" w:rsidRPr="00300A68" w:rsidRDefault="00115843" w:rsidP="00115843">
      <w:pPr>
        <w:pStyle w:val="Heading3-ITRDCA"/>
      </w:pPr>
      <w:bookmarkStart w:id="42" w:name="_Toc117242354"/>
      <w:r w:rsidRPr="00300A68">
        <w:t>3.1</w:t>
      </w:r>
      <w:r w:rsidRPr="00300A68">
        <w:tab/>
        <w:t>Budgeted financial statements</w:t>
      </w:r>
      <w:bookmarkEnd w:id="42"/>
    </w:p>
    <w:p w14:paraId="29392169" w14:textId="77777777" w:rsidR="00115843" w:rsidRDefault="00115843" w:rsidP="00115843">
      <w:pPr>
        <w:pStyle w:val="Heading4"/>
      </w:pPr>
      <w:r>
        <w:t>3.1.1</w:t>
      </w:r>
      <w:r>
        <w:tab/>
      </w:r>
      <w:bookmarkStart w:id="43" w:name="_Hlk115856401"/>
      <w:r>
        <w:t>Explanatory notes and analysis of budgeted financial statements</w:t>
      </w:r>
      <w:bookmarkEnd w:id="43"/>
    </w:p>
    <w:p w14:paraId="560B5208" w14:textId="77777777" w:rsidR="00C6640B" w:rsidRDefault="00C6640B" w:rsidP="00C6640B">
      <w:pPr>
        <w:rPr>
          <w:sz w:val="22"/>
        </w:rPr>
      </w:pPr>
      <w:bookmarkStart w:id="44" w:name="_Hlk116545450"/>
      <w:r>
        <w:rPr>
          <w:b/>
          <w:bCs/>
        </w:rPr>
        <w:t>Departmental</w:t>
      </w:r>
    </w:p>
    <w:bookmarkEnd w:id="44"/>
    <w:p w14:paraId="118E2C06" w14:textId="77777777" w:rsidR="00DB5309" w:rsidRDefault="00DB5309" w:rsidP="00DB5309">
      <w:pPr>
        <w:pStyle w:val="NormalWeb"/>
        <w:rPr>
          <w:rFonts w:ascii="Book Antiqua" w:hAnsi="Book Antiqua"/>
          <w:color w:val="000000"/>
          <w:sz w:val="20"/>
          <w:szCs w:val="20"/>
        </w:rPr>
      </w:pPr>
      <w:r>
        <w:rPr>
          <w:rFonts w:ascii="Book Antiqua" w:hAnsi="Book Antiqua"/>
          <w:color w:val="000000"/>
          <w:sz w:val="20"/>
          <w:szCs w:val="20"/>
        </w:rPr>
        <w:t>The Department is budgeting to break even in 2023-24 and the forward estimates, after adjusting for depreciation and amortisation expenses, and adjustments for leases.</w:t>
      </w:r>
    </w:p>
    <w:p w14:paraId="163B955C" w14:textId="77777777" w:rsidR="00DB5309" w:rsidRDefault="00DB5309" w:rsidP="00DB5309">
      <w:pPr>
        <w:pStyle w:val="NormalWeb"/>
        <w:rPr>
          <w:rFonts w:ascii="Book Antiqua" w:hAnsi="Book Antiqua"/>
          <w:color w:val="000000"/>
          <w:sz w:val="20"/>
          <w:szCs w:val="20"/>
        </w:rPr>
      </w:pPr>
      <w:r>
        <w:rPr>
          <w:rFonts w:ascii="Book Antiqua" w:hAnsi="Book Antiqua"/>
          <w:color w:val="000000"/>
          <w:sz w:val="20"/>
          <w:szCs w:val="20"/>
        </w:rPr>
        <w:t>Expenses and revenue from government have increased since the 2022-23 October Budget due to new measures in the 2023-24 Budget (including measures with 2023-24 funding) and indexation.</w:t>
      </w:r>
    </w:p>
    <w:p w14:paraId="06DDA039" w14:textId="7505B504" w:rsidR="00DB5309" w:rsidRDefault="00DB5309" w:rsidP="001C480A">
      <w:pPr>
        <w:pStyle w:val="NormalWeb"/>
        <w:rPr>
          <w:rFonts w:ascii="Book Antiqua" w:hAnsi="Book Antiqua"/>
          <w:color w:val="000000"/>
          <w:sz w:val="20"/>
          <w:szCs w:val="20"/>
        </w:rPr>
      </w:pPr>
      <w:r>
        <w:rPr>
          <w:rFonts w:ascii="Book Antiqua" w:hAnsi="Book Antiqua"/>
          <w:color w:val="000000"/>
          <w:sz w:val="20"/>
          <w:szCs w:val="20"/>
        </w:rPr>
        <w:t>Total departmental expenses for 2023-24 are $488.4 million, mainly comprising of $291.8 million for employee expenses, $155.6 million for suppliers and $36.9 million for depreciation and amortisation.</w:t>
      </w:r>
    </w:p>
    <w:p w14:paraId="7F586E37" w14:textId="77777777" w:rsidR="00DB5309" w:rsidRDefault="00DB5309" w:rsidP="00DB5309">
      <w:pPr>
        <w:pStyle w:val="NormalWeb"/>
        <w:spacing w:before="0" w:beforeAutospacing="0" w:after="0" w:afterAutospacing="0"/>
        <w:rPr>
          <w:rFonts w:ascii="Book Antiqua" w:hAnsi="Book Antiqua"/>
          <w:color w:val="000000"/>
          <w:sz w:val="20"/>
          <w:szCs w:val="20"/>
        </w:rPr>
      </w:pPr>
      <w:r>
        <w:rPr>
          <w:rFonts w:ascii="Book Antiqua" w:hAnsi="Book Antiqua"/>
          <w:color w:val="000000"/>
          <w:sz w:val="20"/>
          <w:szCs w:val="20"/>
        </w:rPr>
        <w:t>The Comprehensive Income Statement (showing net cost of services) for the periods ended 30 June (Table 3.1) reflects the impacts of these changes.</w:t>
      </w:r>
    </w:p>
    <w:p w14:paraId="7E892711" w14:textId="77777777" w:rsidR="00DB5309" w:rsidRDefault="00DB5309" w:rsidP="00DB5309">
      <w:pPr>
        <w:pStyle w:val="NormalWeb"/>
        <w:spacing w:before="0" w:beforeAutospacing="0" w:after="0" w:afterAutospacing="0"/>
        <w:rPr>
          <w:rFonts w:ascii="Book Antiqua" w:hAnsi="Book Antiqua"/>
          <w:color w:val="000000"/>
          <w:sz w:val="20"/>
          <w:szCs w:val="20"/>
        </w:rPr>
      </w:pPr>
    </w:p>
    <w:p w14:paraId="6EACB760" w14:textId="2063F4B9" w:rsidR="00DB5309" w:rsidRDefault="00DB5309" w:rsidP="00DB5309">
      <w:pPr>
        <w:pStyle w:val="NormalWeb"/>
        <w:spacing w:before="0" w:beforeAutospacing="0" w:after="0" w:afterAutospacing="0"/>
        <w:rPr>
          <w:rFonts w:ascii="Book Antiqua" w:hAnsi="Book Antiqua"/>
          <w:color w:val="000000"/>
          <w:sz w:val="20"/>
          <w:szCs w:val="20"/>
        </w:rPr>
      </w:pPr>
      <w:r>
        <w:rPr>
          <w:rFonts w:ascii="Book Antiqua" w:hAnsi="Book Antiqua"/>
          <w:color w:val="000000"/>
          <w:sz w:val="20"/>
          <w:szCs w:val="20"/>
        </w:rPr>
        <w:t>Total departmental assets budgeted for 2023-24 are $385.3 million comprising of $219.9</w:t>
      </w:r>
      <w:r w:rsidR="00B82EC4">
        <w:rPr>
          <w:rFonts w:ascii="Book Antiqua" w:hAnsi="Book Antiqua"/>
          <w:color w:val="000000"/>
          <w:sz w:val="20"/>
          <w:szCs w:val="20"/>
        </w:rPr>
        <w:t> </w:t>
      </w:r>
      <w:r>
        <w:rPr>
          <w:rFonts w:ascii="Book Antiqua" w:hAnsi="Book Antiqua"/>
          <w:color w:val="000000"/>
          <w:sz w:val="20"/>
          <w:szCs w:val="20"/>
        </w:rPr>
        <w:t>million of non-financial assets and $165.3 million financial assets.</w:t>
      </w:r>
    </w:p>
    <w:p w14:paraId="7303D5FB" w14:textId="77777777" w:rsidR="00DB5309" w:rsidRDefault="00DB5309" w:rsidP="00DB5309">
      <w:pPr>
        <w:pStyle w:val="NormalWeb"/>
        <w:spacing w:before="0" w:beforeAutospacing="0" w:after="0" w:afterAutospacing="0"/>
        <w:rPr>
          <w:rFonts w:ascii="Book Antiqua" w:hAnsi="Book Antiqua"/>
          <w:color w:val="000000"/>
          <w:sz w:val="20"/>
          <w:szCs w:val="20"/>
        </w:rPr>
      </w:pPr>
    </w:p>
    <w:p w14:paraId="753504FA" w14:textId="77777777" w:rsidR="00DB5309" w:rsidRDefault="00DB5309" w:rsidP="00DB5309">
      <w:pPr>
        <w:pStyle w:val="NormalWeb"/>
        <w:spacing w:before="0" w:beforeAutospacing="0" w:after="0" w:afterAutospacing="0"/>
        <w:rPr>
          <w:rFonts w:ascii="Book Antiqua" w:hAnsi="Book Antiqua"/>
          <w:color w:val="000000"/>
          <w:sz w:val="20"/>
          <w:szCs w:val="20"/>
        </w:rPr>
      </w:pPr>
      <w:r>
        <w:rPr>
          <w:rFonts w:ascii="Book Antiqua" w:hAnsi="Book Antiqua"/>
          <w:color w:val="000000"/>
          <w:sz w:val="20"/>
          <w:szCs w:val="20"/>
        </w:rPr>
        <w:t>The Budgeted departmental balance sheet for the periods ended 30 June (Table 3.2) shows the estimated end year position for departmental assets and liabilities.</w:t>
      </w:r>
    </w:p>
    <w:p w14:paraId="0E0CE256" w14:textId="77777777" w:rsidR="00DB5309" w:rsidRDefault="00DB5309" w:rsidP="00DB5309">
      <w:pPr>
        <w:spacing w:before="120"/>
        <w:rPr>
          <w:b/>
          <w:bCs/>
        </w:rPr>
      </w:pPr>
      <w:r>
        <w:rPr>
          <w:b/>
          <w:bCs/>
        </w:rPr>
        <w:t>Administered</w:t>
      </w:r>
    </w:p>
    <w:p w14:paraId="1F53A5EE" w14:textId="77777777" w:rsidR="00DB5309" w:rsidRDefault="00DB5309" w:rsidP="00DB5309">
      <w:pPr>
        <w:pStyle w:val="NormalWeb"/>
        <w:rPr>
          <w:rFonts w:ascii="Book Antiqua" w:hAnsi="Book Antiqua"/>
          <w:color w:val="000000"/>
          <w:sz w:val="20"/>
          <w:szCs w:val="20"/>
        </w:rPr>
      </w:pPr>
      <w:r>
        <w:rPr>
          <w:rFonts w:ascii="Book Antiqua" w:hAnsi="Book Antiqua"/>
          <w:color w:val="000000"/>
          <w:sz w:val="20"/>
          <w:szCs w:val="20"/>
        </w:rPr>
        <w:t>Administered Expenses have increased since the 2022-23 October Budget due to new measures in the 2023-24 Budget (including measures with 2023-24 funding) and indexation. Further details on measures can be found in the 2023-24 measures table (Table 1.2).</w:t>
      </w:r>
    </w:p>
    <w:p w14:paraId="67116723" w14:textId="77777777" w:rsidR="00DB5309" w:rsidRDefault="00DB5309" w:rsidP="00DB5309">
      <w:pPr>
        <w:pStyle w:val="NormalWeb"/>
        <w:rPr>
          <w:rFonts w:ascii="Book Antiqua" w:hAnsi="Book Antiqua"/>
          <w:color w:val="000000"/>
          <w:sz w:val="20"/>
          <w:szCs w:val="20"/>
        </w:rPr>
      </w:pPr>
      <w:r>
        <w:rPr>
          <w:rFonts w:ascii="Book Antiqua" w:hAnsi="Book Antiqua"/>
          <w:color w:val="000000"/>
          <w:sz w:val="20"/>
          <w:szCs w:val="20"/>
        </w:rPr>
        <w:t>Total administered expenses budgeted for in 2023-24 are $10.8 billion, mainly represented by $6.3 billion in grants, $2.3 billion in payments to corporate entities and $1.1 billion in subsidies.</w:t>
      </w:r>
    </w:p>
    <w:p w14:paraId="21AE9517" w14:textId="77777777" w:rsidR="00DB5309" w:rsidRDefault="00DB5309" w:rsidP="00DB5309">
      <w:pPr>
        <w:pStyle w:val="NormalWeb"/>
        <w:spacing w:before="0" w:beforeAutospacing="0" w:after="0" w:afterAutospacing="0"/>
        <w:rPr>
          <w:rFonts w:ascii="Book Antiqua" w:hAnsi="Book Antiqua"/>
          <w:color w:val="000000"/>
          <w:sz w:val="20"/>
          <w:szCs w:val="20"/>
        </w:rPr>
      </w:pPr>
      <w:r>
        <w:rPr>
          <w:rFonts w:ascii="Book Antiqua" w:hAnsi="Book Antiqua"/>
          <w:color w:val="000000"/>
          <w:sz w:val="20"/>
          <w:szCs w:val="20"/>
        </w:rPr>
        <w:t>The Schedule of Budgeted Income and Expenses administered on behalf of Government for the periods ended 30 June (Table 3.7) reflects the impact of these changes.</w:t>
      </w:r>
    </w:p>
    <w:p w14:paraId="419A51FF" w14:textId="2C464411" w:rsidR="00DB5309" w:rsidRDefault="00DB5309" w:rsidP="00DB5309">
      <w:pPr>
        <w:pStyle w:val="NormalWeb"/>
        <w:spacing w:before="0" w:beforeAutospacing="0" w:after="0" w:afterAutospacing="0"/>
        <w:rPr>
          <w:rFonts w:ascii="Book Antiqua" w:hAnsi="Book Antiqua"/>
          <w:color w:val="000000"/>
          <w:sz w:val="20"/>
          <w:szCs w:val="20"/>
        </w:rPr>
      </w:pPr>
      <w:r>
        <w:rPr>
          <w:rFonts w:ascii="Book Antiqua" w:hAnsi="Book Antiqua"/>
          <w:color w:val="000000"/>
          <w:sz w:val="20"/>
          <w:szCs w:val="20"/>
        </w:rPr>
        <w:lastRenderedPageBreak/>
        <w:t>Total administered assets budgeted for 2023-24 are $51.0 billion comprising of $50.0</w:t>
      </w:r>
      <w:r w:rsidR="00B82EC4">
        <w:rPr>
          <w:rFonts w:ascii="Book Antiqua" w:hAnsi="Book Antiqua"/>
          <w:color w:val="000000"/>
          <w:sz w:val="20"/>
          <w:szCs w:val="20"/>
        </w:rPr>
        <w:t> </w:t>
      </w:r>
      <w:r>
        <w:rPr>
          <w:rFonts w:ascii="Book Antiqua" w:hAnsi="Book Antiqua"/>
          <w:color w:val="000000"/>
          <w:sz w:val="20"/>
          <w:szCs w:val="20"/>
        </w:rPr>
        <w:t xml:space="preserve">billion </w:t>
      </w:r>
      <w:r w:rsidR="00301F5C">
        <w:rPr>
          <w:rFonts w:ascii="Book Antiqua" w:hAnsi="Book Antiqua"/>
          <w:color w:val="000000"/>
          <w:sz w:val="20"/>
          <w:szCs w:val="20"/>
        </w:rPr>
        <w:t xml:space="preserve">of </w:t>
      </w:r>
      <w:r>
        <w:rPr>
          <w:rFonts w:ascii="Book Antiqua" w:hAnsi="Book Antiqua"/>
          <w:color w:val="000000"/>
          <w:sz w:val="20"/>
          <w:szCs w:val="20"/>
        </w:rPr>
        <w:t>financial assets and $1.0 billion of non-financial assets.</w:t>
      </w:r>
    </w:p>
    <w:p w14:paraId="584877C8" w14:textId="77777777" w:rsidR="00DB5309" w:rsidRDefault="00DB5309" w:rsidP="00DB5309">
      <w:pPr>
        <w:pStyle w:val="NormalWeb"/>
        <w:spacing w:before="0" w:beforeAutospacing="0" w:after="0" w:afterAutospacing="0"/>
        <w:rPr>
          <w:rFonts w:ascii="Book Antiqua" w:hAnsi="Book Antiqua"/>
          <w:color w:val="000000"/>
          <w:sz w:val="20"/>
          <w:szCs w:val="20"/>
        </w:rPr>
      </w:pPr>
    </w:p>
    <w:p w14:paraId="6F280CD2" w14:textId="77777777" w:rsidR="00DB5309" w:rsidRDefault="00DB5309" w:rsidP="00DB5309">
      <w:pPr>
        <w:pStyle w:val="NormalWeb"/>
        <w:spacing w:before="0" w:beforeAutospacing="0" w:after="0" w:afterAutospacing="0"/>
        <w:rPr>
          <w:rFonts w:ascii="Book Antiqua" w:hAnsi="Book Antiqua"/>
          <w:color w:val="000000"/>
          <w:sz w:val="20"/>
          <w:szCs w:val="20"/>
        </w:rPr>
      </w:pPr>
      <w:r>
        <w:rPr>
          <w:rFonts w:ascii="Book Antiqua" w:hAnsi="Book Antiqua"/>
          <w:color w:val="000000"/>
          <w:sz w:val="20"/>
          <w:szCs w:val="20"/>
        </w:rPr>
        <w:t>The Schedule of budgeted assets and liabilities administered on behalf of government for the periods ended 30 June (Table 3.8) shows the estimated end year position for administered assets and liabilities.</w:t>
      </w:r>
    </w:p>
    <w:p w14:paraId="22D97F77" w14:textId="77777777" w:rsidR="00115843" w:rsidRDefault="00115843" w:rsidP="00B82EC4">
      <w:r w:rsidRPr="00E36F77">
        <w:br w:type="page"/>
      </w:r>
    </w:p>
    <w:p w14:paraId="0CFBAA70" w14:textId="77777777" w:rsidR="00115843" w:rsidRPr="00300A68" w:rsidRDefault="00115843" w:rsidP="00115843">
      <w:pPr>
        <w:pStyle w:val="Heading3-ITRDCA"/>
      </w:pPr>
      <w:bookmarkStart w:id="45" w:name="_Toc117242355"/>
      <w:r w:rsidRPr="00300A68">
        <w:rPr>
          <w:rStyle w:val="TableHeadingChar"/>
          <w:b/>
        </w:rPr>
        <w:lastRenderedPageBreak/>
        <w:t>3.2</w:t>
      </w:r>
      <w:r w:rsidRPr="00300A68">
        <w:rPr>
          <w:rStyle w:val="TableHeadingChar"/>
          <w:b/>
        </w:rPr>
        <w:tab/>
        <w:t>Budgeted financial statements tables</w:t>
      </w:r>
      <w:bookmarkEnd w:id="45"/>
    </w:p>
    <w:p w14:paraId="2DC632A0" w14:textId="77777777" w:rsidR="00115843" w:rsidRPr="00957D8A" w:rsidRDefault="00115843" w:rsidP="00115843">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5000" w:type="pct"/>
        <w:tblLook w:val="04A0" w:firstRow="1" w:lastRow="0" w:firstColumn="1" w:lastColumn="0" w:noHBand="0" w:noVBand="1"/>
      </w:tblPr>
      <w:tblGrid>
        <w:gridCol w:w="3178"/>
        <w:gridCol w:w="928"/>
        <w:gridCol w:w="901"/>
        <w:gridCol w:w="901"/>
        <w:gridCol w:w="901"/>
        <w:gridCol w:w="901"/>
      </w:tblGrid>
      <w:tr w:rsidR="001D4879" w:rsidRPr="001D4879" w14:paraId="546AFCDC" w14:textId="77777777" w:rsidTr="007B5C33">
        <w:trPr>
          <w:trHeight w:val="204"/>
        </w:trPr>
        <w:tc>
          <w:tcPr>
            <w:tcW w:w="2061" w:type="pct"/>
            <w:tcBorders>
              <w:top w:val="single" w:sz="4" w:space="0" w:color="auto"/>
              <w:left w:val="nil"/>
              <w:bottom w:val="nil"/>
              <w:right w:val="nil"/>
            </w:tcBorders>
            <w:shd w:val="clear" w:color="auto" w:fill="auto"/>
            <w:noWrap/>
            <w:vAlign w:val="bottom"/>
            <w:hideMark/>
          </w:tcPr>
          <w:p w14:paraId="512A4B99" w14:textId="77777777" w:rsidR="001D4879" w:rsidRPr="001D4879" w:rsidRDefault="001D4879" w:rsidP="001D4879">
            <w:pPr>
              <w:spacing w:after="0" w:line="240" w:lineRule="auto"/>
              <w:rPr>
                <w:rFonts w:ascii="Arial" w:hAnsi="Arial" w:cs="Arial"/>
                <w:b/>
                <w:bCs/>
                <w:sz w:val="16"/>
                <w:szCs w:val="16"/>
              </w:rPr>
            </w:pPr>
            <w:r w:rsidRPr="001D4879">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5EA304EC" w14:textId="77777777" w:rsidR="001D4879" w:rsidRPr="001D4879" w:rsidRDefault="001D4879" w:rsidP="001D4879">
            <w:pPr>
              <w:spacing w:after="0" w:line="240" w:lineRule="auto"/>
              <w:jc w:val="right"/>
              <w:rPr>
                <w:rFonts w:ascii="Arial" w:hAnsi="Arial" w:cs="Arial"/>
                <w:sz w:val="16"/>
                <w:szCs w:val="16"/>
              </w:rPr>
            </w:pPr>
            <w:r w:rsidRPr="001D4879">
              <w:rPr>
                <w:rFonts w:ascii="Arial" w:hAnsi="Arial" w:cs="Arial"/>
                <w:sz w:val="16"/>
                <w:szCs w:val="16"/>
              </w:rPr>
              <w:t>2022-23 Estimated actual</w:t>
            </w:r>
            <w:r w:rsidRPr="001D4879">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000000" w:fill="E6E6E6"/>
            <w:vAlign w:val="bottom"/>
            <w:hideMark/>
          </w:tcPr>
          <w:p w14:paraId="2F00B17E" w14:textId="77777777" w:rsidR="001D4879" w:rsidRPr="001D4879" w:rsidRDefault="001D4879" w:rsidP="001D4879">
            <w:pPr>
              <w:spacing w:after="0" w:line="240" w:lineRule="auto"/>
              <w:jc w:val="right"/>
              <w:rPr>
                <w:rFonts w:ascii="Arial" w:hAnsi="Arial" w:cs="Arial"/>
                <w:sz w:val="16"/>
                <w:szCs w:val="16"/>
              </w:rPr>
            </w:pPr>
            <w:r w:rsidRPr="001D4879">
              <w:rPr>
                <w:rFonts w:ascii="Arial" w:hAnsi="Arial" w:cs="Arial"/>
                <w:sz w:val="16"/>
                <w:szCs w:val="16"/>
              </w:rPr>
              <w:t>2023-24</w:t>
            </w:r>
            <w:r w:rsidRPr="001D4879">
              <w:rPr>
                <w:rFonts w:ascii="Arial" w:hAnsi="Arial" w:cs="Arial"/>
                <w:sz w:val="16"/>
                <w:szCs w:val="16"/>
              </w:rPr>
              <w:br/>
              <w:t>Budget</w:t>
            </w:r>
            <w:r w:rsidRPr="001D4879">
              <w:rPr>
                <w:rFonts w:ascii="Arial" w:hAnsi="Arial" w:cs="Arial"/>
                <w:sz w:val="16"/>
                <w:szCs w:val="16"/>
              </w:rPr>
              <w:br/>
            </w:r>
            <w:r w:rsidRPr="001D4879">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auto"/>
            <w:vAlign w:val="bottom"/>
            <w:hideMark/>
          </w:tcPr>
          <w:p w14:paraId="48A60DDB" w14:textId="77777777" w:rsidR="001D4879" w:rsidRPr="001D4879" w:rsidRDefault="001D4879" w:rsidP="001D4879">
            <w:pPr>
              <w:spacing w:after="0" w:line="240" w:lineRule="auto"/>
              <w:jc w:val="right"/>
              <w:rPr>
                <w:rFonts w:ascii="Arial" w:hAnsi="Arial" w:cs="Arial"/>
                <w:sz w:val="16"/>
                <w:szCs w:val="16"/>
              </w:rPr>
            </w:pPr>
            <w:r w:rsidRPr="001D4879">
              <w:rPr>
                <w:rFonts w:ascii="Arial" w:hAnsi="Arial" w:cs="Arial"/>
                <w:sz w:val="16"/>
                <w:szCs w:val="16"/>
              </w:rPr>
              <w:t>2024-25 Forward estimate</w:t>
            </w:r>
            <w:r w:rsidRPr="001D4879">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auto"/>
            <w:vAlign w:val="bottom"/>
            <w:hideMark/>
          </w:tcPr>
          <w:p w14:paraId="256E77A8" w14:textId="77777777" w:rsidR="001D4879" w:rsidRPr="001D4879" w:rsidRDefault="001D4879" w:rsidP="001D4879">
            <w:pPr>
              <w:spacing w:after="0" w:line="240" w:lineRule="auto"/>
              <w:jc w:val="right"/>
              <w:rPr>
                <w:rFonts w:ascii="Arial" w:hAnsi="Arial" w:cs="Arial"/>
                <w:sz w:val="16"/>
                <w:szCs w:val="16"/>
              </w:rPr>
            </w:pPr>
            <w:r w:rsidRPr="001D4879">
              <w:rPr>
                <w:rFonts w:ascii="Arial" w:hAnsi="Arial" w:cs="Arial"/>
                <w:sz w:val="16"/>
                <w:szCs w:val="16"/>
              </w:rPr>
              <w:t>2025-26 Forward estimate</w:t>
            </w:r>
            <w:r w:rsidRPr="001D4879">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auto"/>
            <w:vAlign w:val="bottom"/>
            <w:hideMark/>
          </w:tcPr>
          <w:p w14:paraId="19F12D7E" w14:textId="77777777" w:rsidR="001D4879" w:rsidRPr="001D4879" w:rsidRDefault="001D4879" w:rsidP="001D4879">
            <w:pPr>
              <w:spacing w:after="0" w:line="240" w:lineRule="auto"/>
              <w:jc w:val="right"/>
              <w:rPr>
                <w:rFonts w:ascii="Arial" w:hAnsi="Arial" w:cs="Arial"/>
                <w:sz w:val="16"/>
                <w:szCs w:val="16"/>
              </w:rPr>
            </w:pPr>
            <w:r w:rsidRPr="001D4879">
              <w:rPr>
                <w:rFonts w:ascii="Arial" w:hAnsi="Arial" w:cs="Arial"/>
                <w:sz w:val="16"/>
                <w:szCs w:val="16"/>
              </w:rPr>
              <w:t>2026-27</w:t>
            </w:r>
            <w:r w:rsidRPr="001D4879">
              <w:rPr>
                <w:rFonts w:ascii="Arial" w:hAnsi="Arial" w:cs="Arial"/>
                <w:sz w:val="16"/>
                <w:szCs w:val="16"/>
              </w:rPr>
              <w:br/>
              <w:t>Forward estimate</w:t>
            </w:r>
            <w:r w:rsidRPr="001D4879">
              <w:rPr>
                <w:rFonts w:ascii="Arial" w:hAnsi="Arial" w:cs="Arial"/>
                <w:sz w:val="16"/>
                <w:szCs w:val="16"/>
              </w:rPr>
              <w:br/>
              <w:t>$'000</w:t>
            </w:r>
          </w:p>
        </w:tc>
      </w:tr>
      <w:tr w:rsidR="001D4879" w:rsidRPr="001D4879" w14:paraId="532C30A9" w14:textId="77777777" w:rsidTr="007B5C33">
        <w:trPr>
          <w:trHeight w:val="204"/>
        </w:trPr>
        <w:tc>
          <w:tcPr>
            <w:tcW w:w="2061" w:type="pct"/>
            <w:tcBorders>
              <w:top w:val="nil"/>
              <w:left w:val="nil"/>
              <w:bottom w:val="nil"/>
              <w:right w:val="nil"/>
            </w:tcBorders>
            <w:shd w:val="clear" w:color="auto" w:fill="auto"/>
            <w:noWrap/>
            <w:vAlign w:val="bottom"/>
            <w:hideMark/>
          </w:tcPr>
          <w:p w14:paraId="277365B5" w14:textId="77777777" w:rsidR="001D4879" w:rsidRPr="001D4879" w:rsidRDefault="001D4879" w:rsidP="001D4879">
            <w:pPr>
              <w:spacing w:after="0" w:line="240" w:lineRule="auto"/>
              <w:rPr>
                <w:rFonts w:ascii="Arial" w:hAnsi="Arial" w:cs="Arial"/>
                <w:b/>
                <w:bCs/>
                <w:sz w:val="16"/>
                <w:szCs w:val="16"/>
              </w:rPr>
            </w:pPr>
            <w:r w:rsidRPr="001D4879">
              <w:rPr>
                <w:rFonts w:ascii="Arial" w:hAnsi="Arial" w:cs="Arial"/>
                <w:b/>
                <w:bCs/>
                <w:sz w:val="16"/>
                <w:szCs w:val="16"/>
              </w:rPr>
              <w:t>EXPENSES</w:t>
            </w:r>
          </w:p>
        </w:tc>
        <w:tc>
          <w:tcPr>
            <w:tcW w:w="602" w:type="pct"/>
            <w:tcBorders>
              <w:top w:val="nil"/>
              <w:left w:val="nil"/>
              <w:bottom w:val="nil"/>
              <w:right w:val="nil"/>
            </w:tcBorders>
            <w:shd w:val="clear" w:color="auto" w:fill="auto"/>
            <w:noWrap/>
            <w:vAlign w:val="bottom"/>
            <w:hideMark/>
          </w:tcPr>
          <w:p w14:paraId="111185CE" w14:textId="77777777" w:rsidR="001D4879" w:rsidRPr="001D4879" w:rsidRDefault="001D4879" w:rsidP="001D4879">
            <w:pPr>
              <w:spacing w:after="0" w:line="240" w:lineRule="auto"/>
              <w:jc w:val="right"/>
              <w:rPr>
                <w:rFonts w:ascii="Arial" w:hAnsi="Arial" w:cs="Arial"/>
                <w:b/>
                <w:bCs/>
                <w:sz w:val="16"/>
                <w:szCs w:val="16"/>
              </w:rPr>
            </w:pPr>
          </w:p>
        </w:tc>
        <w:tc>
          <w:tcPr>
            <w:tcW w:w="584" w:type="pct"/>
            <w:tcBorders>
              <w:top w:val="nil"/>
              <w:left w:val="nil"/>
              <w:bottom w:val="nil"/>
              <w:right w:val="nil"/>
            </w:tcBorders>
            <w:shd w:val="clear" w:color="000000" w:fill="E6E6E6"/>
            <w:noWrap/>
            <w:vAlign w:val="bottom"/>
            <w:hideMark/>
          </w:tcPr>
          <w:p w14:paraId="6846FA63" w14:textId="396AD95E" w:rsidR="001D4879" w:rsidRPr="001D4879" w:rsidRDefault="001D4879" w:rsidP="001D4879">
            <w:pPr>
              <w:spacing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06009DE8" w14:textId="77777777" w:rsidR="001D4879" w:rsidRPr="001D4879" w:rsidRDefault="001D4879" w:rsidP="001D4879">
            <w:pPr>
              <w:spacing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60B67D02" w14:textId="77777777" w:rsidR="001D4879" w:rsidRPr="001D4879" w:rsidRDefault="001D4879" w:rsidP="001D4879">
            <w:pPr>
              <w:spacing w:after="0" w:line="240" w:lineRule="auto"/>
              <w:jc w:val="right"/>
              <w:rPr>
                <w:rFonts w:ascii="Times New Roman" w:hAnsi="Times New Roman"/>
              </w:rPr>
            </w:pPr>
          </w:p>
        </w:tc>
        <w:tc>
          <w:tcPr>
            <w:tcW w:w="584" w:type="pct"/>
            <w:tcBorders>
              <w:top w:val="nil"/>
              <w:left w:val="nil"/>
              <w:bottom w:val="nil"/>
              <w:right w:val="nil"/>
            </w:tcBorders>
            <w:shd w:val="clear" w:color="auto" w:fill="auto"/>
            <w:noWrap/>
            <w:vAlign w:val="bottom"/>
            <w:hideMark/>
          </w:tcPr>
          <w:p w14:paraId="53E6AA9D" w14:textId="77777777" w:rsidR="001D4879" w:rsidRPr="001D4879" w:rsidRDefault="001D4879" w:rsidP="001D4879">
            <w:pPr>
              <w:spacing w:after="0" w:line="240" w:lineRule="auto"/>
              <w:jc w:val="right"/>
              <w:rPr>
                <w:rFonts w:ascii="Times New Roman" w:hAnsi="Times New Roman"/>
              </w:rPr>
            </w:pPr>
          </w:p>
        </w:tc>
      </w:tr>
      <w:tr w:rsidR="001D4879" w:rsidRPr="001D4879" w14:paraId="0E9673A3" w14:textId="77777777" w:rsidTr="007B5C33">
        <w:trPr>
          <w:trHeight w:val="204"/>
        </w:trPr>
        <w:tc>
          <w:tcPr>
            <w:tcW w:w="2061" w:type="pct"/>
            <w:tcBorders>
              <w:top w:val="nil"/>
              <w:left w:val="nil"/>
              <w:bottom w:val="nil"/>
              <w:right w:val="nil"/>
            </w:tcBorders>
            <w:shd w:val="clear" w:color="auto" w:fill="auto"/>
            <w:noWrap/>
            <w:vAlign w:val="bottom"/>
            <w:hideMark/>
          </w:tcPr>
          <w:p w14:paraId="6153A540" w14:textId="77777777" w:rsidR="001D4879" w:rsidRPr="001D4879" w:rsidRDefault="001D4879" w:rsidP="001D4879">
            <w:pPr>
              <w:spacing w:after="0" w:line="240" w:lineRule="auto"/>
              <w:ind w:left="113"/>
              <w:rPr>
                <w:rFonts w:ascii="Arial" w:hAnsi="Arial" w:cs="Arial"/>
                <w:sz w:val="16"/>
                <w:szCs w:val="16"/>
              </w:rPr>
            </w:pPr>
            <w:r w:rsidRPr="001D4879">
              <w:rPr>
                <w:rFonts w:ascii="Arial" w:hAnsi="Arial" w:cs="Arial"/>
                <w:sz w:val="16"/>
                <w:szCs w:val="16"/>
              </w:rPr>
              <w:t>Employee benefits</w:t>
            </w:r>
          </w:p>
        </w:tc>
        <w:tc>
          <w:tcPr>
            <w:tcW w:w="602" w:type="pct"/>
            <w:tcBorders>
              <w:top w:val="nil"/>
              <w:left w:val="nil"/>
              <w:bottom w:val="nil"/>
              <w:right w:val="nil"/>
            </w:tcBorders>
            <w:shd w:val="clear" w:color="auto" w:fill="auto"/>
            <w:noWrap/>
            <w:vAlign w:val="bottom"/>
            <w:hideMark/>
          </w:tcPr>
          <w:p w14:paraId="60F76AA1" w14:textId="5321AC43" w:rsidR="001D4879" w:rsidRPr="001D4879" w:rsidRDefault="001D4879" w:rsidP="001D4879">
            <w:pPr>
              <w:spacing w:after="0" w:line="240" w:lineRule="auto"/>
              <w:jc w:val="right"/>
              <w:rPr>
                <w:rFonts w:ascii="Arial" w:hAnsi="Arial" w:cs="Arial"/>
                <w:sz w:val="16"/>
                <w:szCs w:val="16"/>
              </w:rPr>
            </w:pPr>
            <w:r w:rsidRPr="001D4879">
              <w:rPr>
                <w:rFonts w:ascii="Arial" w:hAnsi="Arial" w:cs="Arial"/>
                <w:sz w:val="16"/>
                <w:szCs w:val="16"/>
              </w:rPr>
              <w:t>264,462</w:t>
            </w:r>
          </w:p>
        </w:tc>
        <w:tc>
          <w:tcPr>
            <w:tcW w:w="584" w:type="pct"/>
            <w:tcBorders>
              <w:top w:val="nil"/>
              <w:left w:val="nil"/>
              <w:bottom w:val="nil"/>
              <w:right w:val="nil"/>
            </w:tcBorders>
            <w:shd w:val="clear" w:color="000000" w:fill="E6E6E6"/>
            <w:noWrap/>
            <w:vAlign w:val="bottom"/>
            <w:hideMark/>
          </w:tcPr>
          <w:p w14:paraId="0EC28F4A" w14:textId="4DDA5A42" w:rsidR="001D4879" w:rsidRPr="007301BF" w:rsidRDefault="001D4879" w:rsidP="001D4879">
            <w:pPr>
              <w:spacing w:after="0" w:line="240" w:lineRule="auto"/>
              <w:jc w:val="right"/>
              <w:rPr>
                <w:rFonts w:ascii="Arial" w:hAnsi="Arial" w:cs="Arial"/>
                <w:bCs/>
                <w:sz w:val="16"/>
                <w:szCs w:val="16"/>
              </w:rPr>
            </w:pPr>
            <w:r w:rsidRPr="007301BF">
              <w:rPr>
                <w:rFonts w:ascii="Arial" w:hAnsi="Arial" w:cs="Arial"/>
                <w:bCs/>
                <w:sz w:val="16"/>
                <w:szCs w:val="16"/>
              </w:rPr>
              <w:t>291,822</w:t>
            </w:r>
          </w:p>
        </w:tc>
        <w:tc>
          <w:tcPr>
            <w:tcW w:w="584" w:type="pct"/>
            <w:tcBorders>
              <w:top w:val="nil"/>
              <w:left w:val="nil"/>
              <w:bottom w:val="nil"/>
              <w:right w:val="nil"/>
            </w:tcBorders>
            <w:shd w:val="clear" w:color="auto" w:fill="auto"/>
            <w:noWrap/>
            <w:vAlign w:val="bottom"/>
            <w:hideMark/>
          </w:tcPr>
          <w:p w14:paraId="58FFB378" w14:textId="4CC58099" w:rsidR="001D4879" w:rsidRPr="001D4879" w:rsidRDefault="001D4879" w:rsidP="001D4879">
            <w:pPr>
              <w:spacing w:after="0" w:line="240" w:lineRule="auto"/>
              <w:jc w:val="right"/>
              <w:rPr>
                <w:rFonts w:ascii="Arial" w:hAnsi="Arial" w:cs="Arial"/>
                <w:sz w:val="16"/>
                <w:szCs w:val="16"/>
              </w:rPr>
            </w:pPr>
            <w:r w:rsidRPr="001D4879">
              <w:rPr>
                <w:rFonts w:ascii="Arial" w:hAnsi="Arial" w:cs="Arial"/>
                <w:sz w:val="16"/>
                <w:szCs w:val="16"/>
              </w:rPr>
              <w:t>241,543</w:t>
            </w:r>
          </w:p>
        </w:tc>
        <w:tc>
          <w:tcPr>
            <w:tcW w:w="584" w:type="pct"/>
            <w:tcBorders>
              <w:top w:val="nil"/>
              <w:left w:val="nil"/>
              <w:bottom w:val="nil"/>
              <w:right w:val="nil"/>
            </w:tcBorders>
            <w:shd w:val="clear" w:color="auto" w:fill="auto"/>
            <w:noWrap/>
            <w:vAlign w:val="bottom"/>
            <w:hideMark/>
          </w:tcPr>
          <w:p w14:paraId="6494D52A" w14:textId="4FE359A1" w:rsidR="001D4879" w:rsidRPr="001D4879" w:rsidRDefault="001D4879" w:rsidP="001D4879">
            <w:pPr>
              <w:spacing w:after="0" w:line="240" w:lineRule="auto"/>
              <w:jc w:val="right"/>
              <w:rPr>
                <w:rFonts w:ascii="Arial" w:hAnsi="Arial" w:cs="Arial"/>
                <w:sz w:val="16"/>
                <w:szCs w:val="16"/>
              </w:rPr>
            </w:pPr>
            <w:r w:rsidRPr="001D4879">
              <w:rPr>
                <w:rFonts w:ascii="Arial" w:hAnsi="Arial" w:cs="Arial"/>
                <w:sz w:val="16"/>
                <w:szCs w:val="16"/>
              </w:rPr>
              <w:t>228,815</w:t>
            </w:r>
          </w:p>
        </w:tc>
        <w:tc>
          <w:tcPr>
            <w:tcW w:w="584" w:type="pct"/>
            <w:tcBorders>
              <w:top w:val="nil"/>
              <w:left w:val="nil"/>
              <w:bottom w:val="nil"/>
              <w:right w:val="nil"/>
            </w:tcBorders>
            <w:shd w:val="clear" w:color="auto" w:fill="auto"/>
            <w:noWrap/>
            <w:vAlign w:val="bottom"/>
            <w:hideMark/>
          </w:tcPr>
          <w:p w14:paraId="3CC28C8B" w14:textId="5FF24C7A" w:rsidR="001D4879" w:rsidRPr="001D4879" w:rsidRDefault="001D4879" w:rsidP="001D4879">
            <w:pPr>
              <w:spacing w:after="0" w:line="240" w:lineRule="auto"/>
              <w:jc w:val="right"/>
              <w:rPr>
                <w:rFonts w:ascii="Arial" w:hAnsi="Arial" w:cs="Arial"/>
                <w:sz w:val="16"/>
                <w:szCs w:val="16"/>
              </w:rPr>
            </w:pPr>
            <w:r w:rsidRPr="001D4879">
              <w:rPr>
                <w:rFonts w:ascii="Arial" w:hAnsi="Arial" w:cs="Arial"/>
                <w:sz w:val="16"/>
                <w:szCs w:val="16"/>
              </w:rPr>
              <w:t>225,256</w:t>
            </w:r>
          </w:p>
        </w:tc>
      </w:tr>
      <w:tr w:rsidR="001D4879" w:rsidRPr="001D4879" w14:paraId="1A6C64C3" w14:textId="77777777" w:rsidTr="007B5C33">
        <w:trPr>
          <w:trHeight w:val="204"/>
        </w:trPr>
        <w:tc>
          <w:tcPr>
            <w:tcW w:w="2061" w:type="pct"/>
            <w:tcBorders>
              <w:top w:val="nil"/>
              <w:left w:val="nil"/>
              <w:bottom w:val="nil"/>
              <w:right w:val="nil"/>
            </w:tcBorders>
            <w:shd w:val="clear" w:color="auto" w:fill="auto"/>
            <w:noWrap/>
            <w:vAlign w:val="bottom"/>
            <w:hideMark/>
          </w:tcPr>
          <w:p w14:paraId="3CDEDE1A" w14:textId="77777777" w:rsidR="001D4879" w:rsidRPr="001D4879" w:rsidRDefault="001D4879" w:rsidP="001D4879">
            <w:pPr>
              <w:spacing w:after="0" w:line="240" w:lineRule="auto"/>
              <w:ind w:left="113"/>
              <w:rPr>
                <w:rFonts w:ascii="Arial" w:hAnsi="Arial" w:cs="Arial"/>
                <w:sz w:val="16"/>
                <w:szCs w:val="16"/>
              </w:rPr>
            </w:pPr>
            <w:r w:rsidRPr="001D4879">
              <w:rPr>
                <w:rFonts w:ascii="Arial" w:hAnsi="Arial" w:cs="Arial"/>
                <w:sz w:val="16"/>
                <w:szCs w:val="16"/>
              </w:rPr>
              <w:t>Suppliers</w:t>
            </w:r>
          </w:p>
        </w:tc>
        <w:tc>
          <w:tcPr>
            <w:tcW w:w="602" w:type="pct"/>
            <w:tcBorders>
              <w:top w:val="nil"/>
              <w:left w:val="nil"/>
              <w:bottom w:val="nil"/>
              <w:right w:val="nil"/>
            </w:tcBorders>
            <w:shd w:val="clear" w:color="auto" w:fill="auto"/>
            <w:noWrap/>
            <w:vAlign w:val="bottom"/>
            <w:hideMark/>
          </w:tcPr>
          <w:p w14:paraId="4CFB5387" w14:textId="6D6CE019" w:rsidR="001D4879" w:rsidRPr="001D4879" w:rsidRDefault="001D4879" w:rsidP="001D4879">
            <w:pPr>
              <w:spacing w:after="0" w:line="240" w:lineRule="auto"/>
              <w:jc w:val="right"/>
              <w:rPr>
                <w:rFonts w:ascii="Arial" w:hAnsi="Arial" w:cs="Arial"/>
                <w:sz w:val="16"/>
                <w:szCs w:val="16"/>
              </w:rPr>
            </w:pPr>
            <w:r w:rsidRPr="001D4879">
              <w:rPr>
                <w:rFonts w:ascii="Arial" w:hAnsi="Arial" w:cs="Arial"/>
                <w:sz w:val="16"/>
                <w:szCs w:val="16"/>
              </w:rPr>
              <w:t>150,748</w:t>
            </w:r>
          </w:p>
        </w:tc>
        <w:tc>
          <w:tcPr>
            <w:tcW w:w="584" w:type="pct"/>
            <w:tcBorders>
              <w:top w:val="nil"/>
              <w:left w:val="nil"/>
              <w:bottom w:val="nil"/>
              <w:right w:val="nil"/>
            </w:tcBorders>
            <w:shd w:val="clear" w:color="000000" w:fill="E6E6E6"/>
            <w:noWrap/>
            <w:vAlign w:val="bottom"/>
            <w:hideMark/>
          </w:tcPr>
          <w:p w14:paraId="60C031D7" w14:textId="04DE21FC" w:rsidR="001D4879" w:rsidRPr="007301BF" w:rsidRDefault="001D4879" w:rsidP="001D4879">
            <w:pPr>
              <w:spacing w:after="0" w:line="240" w:lineRule="auto"/>
              <w:jc w:val="right"/>
              <w:rPr>
                <w:rFonts w:ascii="Arial" w:hAnsi="Arial" w:cs="Arial"/>
                <w:bCs/>
                <w:sz w:val="16"/>
                <w:szCs w:val="16"/>
              </w:rPr>
            </w:pPr>
            <w:r w:rsidRPr="007301BF">
              <w:rPr>
                <w:rFonts w:ascii="Arial" w:hAnsi="Arial" w:cs="Arial"/>
                <w:bCs/>
                <w:sz w:val="16"/>
                <w:szCs w:val="16"/>
              </w:rPr>
              <w:t>155,588</w:t>
            </w:r>
          </w:p>
        </w:tc>
        <w:tc>
          <w:tcPr>
            <w:tcW w:w="584" w:type="pct"/>
            <w:tcBorders>
              <w:top w:val="nil"/>
              <w:left w:val="nil"/>
              <w:bottom w:val="nil"/>
              <w:right w:val="nil"/>
            </w:tcBorders>
            <w:shd w:val="clear" w:color="auto" w:fill="auto"/>
            <w:noWrap/>
            <w:vAlign w:val="bottom"/>
            <w:hideMark/>
          </w:tcPr>
          <w:p w14:paraId="4844F01A" w14:textId="58CA809C" w:rsidR="001D4879" w:rsidRPr="001D4879" w:rsidRDefault="001D4879" w:rsidP="001D4879">
            <w:pPr>
              <w:spacing w:after="0" w:line="240" w:lineRule="auto"/>
              <w:jc w:val="right"/>
              <w:rPr>
                <w:rFonts w:ascii="Arial" w:hAnsi="Arial" w:cs="Arial"/>
                <w:sz w:val="16"/>
                <w:szCs w:val="16"/>
              </w:rPr>
            </w:pPr>
            <w:r w:rsidRPr="001D4879">
              <w:rPr>
                <w:rFonts w:ascii="Arial" w:hAnsi="Arial" w:cs="Arial"/>
                <w:sz w:val="16"/>
                <w:szCs w:val="16"/>
              </w:rPr>
              <w:t>152,580</w:t>
            </w:r>
          </w:p>
        </w:tc>
        <w:tc>
          <w:tcPr>
            <w:tcW w:w="584" w:type="pct"/>
            <w:tcBorders>
              <w:top w:val="nil"/>
              <w:left w:val="nil"/>
              <w:bottom w:val="nil"/>
              <w:right w:val="nil"/>
            </w:tcBorders>
            <w:shd w:val="clear" w:color="auto" w:fill="auto"/>
            <w:noWrap/>
            <w:vAlign w:val="bottom"/>
            <w:hideMark/>
          </w:tcPr>
          <w:p w14:paraId="17BBFDF9" w14:textId="6BB4C61F" w:rsidR="001D4879" w:rsidRPr="001D4879" w:rsidRDefault="001D4879" w:rsidP="001D4879">
            <w:pPr>
              <w:spacing w:after="0" w:line="240" w:lineRule="auto"/>
              <w:jc w:val="right"/>
              <w:rPr>
                <w:rFonts w:ascii="Arial" w:hAnsi="Arial" w:cs="Arial"/>
                <w:sz w:val="16"/>
                <w:szCs w:val="16"/>
              </w:rPr>
            </w:pPr>
            <w:r w:rsidRPr="001D4879">
              <w:rPr>
                <w:rFonts w:ascii="Arial" w:hAnsi="Arial" w:cs="Arial"/>
                <w:sz w:val="16"/>
                <w:szCs w:val="16"/>
              </w:rPr>
              <w:t>140,271</w:t>
            </w:r>
          </w:p>
        </w:tc>
        <w:tc>
          <w:tcPr>
            <w:tcW w:w="584" w:type="pct"/>
            <w:tcBorders>
              <w:top w:val="nil"/>
              <w:left w:val="nil"/>
              <w:bottom w:val="nil"/>
              <w:right w:val="nil"/>
            </w:tcBorders>
            <w:shd w:val="clear" w:color="auto" w:fill="auto"/>
            <w:noWrap/>
            <w:vAlign w:val="bottom"/>
            <w:hideMark/>
          </w:tcPr>
          <w:p w14:paraId="220AFBD8" w14:textId="11219138" w:rsidR="001D4879" w:rsidRPr="001D4879" w:rsidRDefault="001D4879" w:rsidP="001D4879">
            <w:pPr>
              <w:spacing w:after="0" w:line="240" w:lineRule="auto"/>
              <w:jc w:val="right"/>
              <w:rPr>
                <w:rFonts w:ascii="Arial" w:hAnsi="Arial" w:cs="Arial"/>
                <w:sz w:val="16"/>
                <w:szCs w:val="16"/>
              </w:rPr>
            </w:pPr>
            <w:r w:rsidRPr="001D4879">
              <w:rPr>
                <w:rFonts w:ascii="Arial" w:hAnsi="Arial" w:cs="Arial"/>
                <w:sz w:val="16"/>
                <w:szCs w:val="16"/>
              </w:rPr>
              <w:t>115,807</w:t>
            </w:r>
          </w:p>
        </w:tc>
      </w:tr>
      <w:tr w:rsidR="001D4879" w:rsidRPr="001D4879" w14:paraId="3D677A64" w14:textId="77777777" w:rsidTr="007B5C33">
        <w:trPr>
          <w:trHeight w:val="204"/>
        </w:trPr>
        <w:tc>
          <w:tcPr>
            <w:tcW w:w="2061" w:type="pct"/>
            <w:tcBorders>
              <w:top w:val="nil"/>
              <w:left w:val="nil"/>
              <w:bottom w:val="nil"/>
              <w:right w:val="nil"/>
            </w:tcBorders>
            <w:shd w:val="clear" w:color="auto" w:fill="auto"/>
            <w:noWrap/>
            <w:vAlign w:val="bottom"/>
            <w:hideMark/>
          </w:tcPr>
          <w:p w14:paraId="4B6257C5" w14:textId="77777777" w:rsidR="001D4879" w:rsidRPr="001D4879" w:rsidRDefault="001D4879" w:rsidP="001D4879">
            <w:pPr>
              <w:spacing w:after="0" w:line="240" w:lineRule="auto"/>
              <w:ind w:left="113"/>
              <w:rPr>
                <w:rFonts w:ascii="Arial" w:hAnsi="Arial" w:cs="Arial"/>
                <w:sz w:val="16"/>
                <w:szCs w:val="16"/>
              </w:rPr>
            </w:pPr>
            <w:r w:rsidRPr="001D4879">
              <w:rPr>
                <w:rFonts w:ascii="Arial" w:hAnsi="Arial" w:cs="Arial"/>
                <w:sz w:val="16"/>
                <w:szCs w:val="16"/>
              </w:rPr>
              <w:t xml:space="preserve">Grants </w:t>
            </w:r>
          </w:p>
        </w:tc>
        <w:tc>
          <w:tcPr>
            <w:tcW w:w="602" w:type="pct"/>
            <w:tcBorders>
              <w:top w:val="nil"/>
              <w:left w:val="nil"/>
              <w:bottom w:val="nil"/>
              <w:right w:val="nil"/>
            </w:tcBorders>
            <w:shd w:val="clear" w:color="auto" w:fill="auto"/>
            <w:noWrap/>
            <w:vAlign w:val="bottom"/>
            <w:hideMark/>
          </w:tcPr>
          <w:p w14:paraId="16CDEC9F" w14:textId="4FCCD1DB" w:rsidR="001D4879" w:rsidRPr="001D4879" w:rsidRDefault="001D4879" w:rsidP="001D4879">
            <w:pPr>
              <w:spacing w:after="0" w:line="240" w:lineRule="auto"/>
              <w:jc w:val="right"/>
              <w:rPr>
                <w:rFonts w:ascii="Arial" w:hAnsi="Arial" w:cs="Arial"/>
                <w:sz w:val="16"/>
                <w:szCs w:val="16"/>
              </w:rPr>
            </w:pPr>
            <w:r w:rsidRPr="001D4879">
              <w:rPr>
                <w:rFonts w:ascii="Arial" w:hAnsi="Arial" w:cs="Arial"/>
                <w:sz w:val="16"/>
                <w:szCs w:val="16"/>
              </w:rPr>
              <w:t>4,400</w:t>
            </w:r>
          </w:p>
        </w:tc>
        <w:tc>
          <w:tcPr>
            <w:tcW w:w="584" w:type="pct"/>
            <w:tcBorders>
              <w:top w:val="nil"/>
              <w:left w:val="nil"/>
              <w:bottom w:val="nil"/>
              <w:right w:val="nil"/>
            </w:tcBorders>
            <w:shd w:val="clear" w:color="000000" w:fill="E6E6E6"/>
            <w:noWrap/>
            <w:vAlign w:val="bottom"/>
            <w:hideMark/>
          </w:tcPr>
          <w:p w14:paraId="74FB513F" w14:textId="7F9BA774" w:rsidR="001D4879" w:rsidRPr="007301BF" w:rsidRDefault="001D4879" w:rsidP="001D4879">
            <w:pPr>
              <w:spacing w:after="0" w:line="240" w:lineRule="auto"/>
              <w:jc w:val="right"/>
              <w:rPr>
                <w:rFonts w:ascii="Arial" w:hAnsi="Arial" w:cs="Arial"/>
                <w:bCs/>
                <w:sz w:val="16"/>
                <w:szCs w:val="16"/>
              </w:rPr>
            </w:pPr>
            <w:r w:rsidRPr="007301BF">
              <w:rPr>
                <w:rFonts w:ascii="Arial" w:hAnsi="Arial" w:cs="Arial"/>
                <w:bCs/>
                <w:sz w:val="16"/>
                <w:szCs w:val="16"/>
              </w:rPr>
              <w:t>2,200</w:t>
            </w:r>
          </w:p>
        </w:tc>
        <w:tc>
          <w:tcPr>
            <w:tcW w:w="584" w:type="pct"/>
            <w:tcBorders>
              <w:top w:val="nil"/>
              <w:left w:val="nil"/>
              <w:bottom w:val="nil"/>
              <w:right w:val="nil"/>
            </w:tcBorders>
            <w:shd w:val="clear" w:color="auto" w:fill="auto"/>
            <w:noWrap/>
            <w:vAlign w:val="bottom"/>
            <w:hideMark/>
          </w:tcPr>
          <w:p w14:paraId="6868D4A5" w14:textId="117418BC" w:rsidR="001D4879" w:rsidRPr="001D4879" w:rsidRDefault="001D4879" w:rsidP="001D4879">
            <w:pPr>
              <w:spacing w:after="0" w:line="240" w:lineRule="auto"/>
              <w:jc w:val="right"/>
              <w:rPr>
                <w:rFonts w:ascii="Arial" w:hAnsi="Arial" w:cs="Arial"/>
                <w:sz w:val="16"/>
                <w:szCs w:val="16"/>
              </w:rPr>
            </w:pPr>
            <w:r w:rsidRPr="001D4879">
              <w:rPr>
                <w:rFonts w:ascii="Arial" w:hAnsi="Arial" w:cs="Arial"/>
                <w:sz w:val="16"/>
                <w:szCs w:val="16"/>
              </w:rPr>
              <w:t>-</w:t>
            </w:r>
          </w:p>
        </w:tc>
        <w:tc>
          <w:tcPr>
            <w:tcW w:w="584" w:type="pct"/>
            <w:tcBorders>
              <w:top w:val="nil"/>
              <w:left w:val="nil"/>
              <w:bottom w:val="nil"/>
              <w:right w:val="nil"/>
            </w:tcBorders>
            <w:shd w:val="clear" w:color="auto" w:fill="auto"/>
            <w:noWrap/>
            <w:vAlign w:val="bottom"/>
            <w:hideMark/>
          </w:tcPr>
          <w:p w14:paraId="18B2BA66" w14:textId="2DE5A70F" w:rsidR="001D4879" w:rsidRPr="001D4879" w:rsidRDefault="001D4879" w:rsidP="001D4879">
            <w:pPr>
              <w:spacing w:after="0" w:line="240" w:lineRule="auto"/>
              <w:jc w:val="right"/>
              <w:rPr>
                <w:rFonts w:ascii="Arial" w:hAnsi="Arial" w:cs="Arial"/>
                <w:sz w:val="16"/>
                <w:szCs w:val="16"/>
              </w:rPr>
            </w:pPr>
            <w:r w:rsidRPr="001D4879">
              <w:rPr>
                <w:rFonts w:ascii="Arial" w:hAnsi="Arial" w:cs="Arial"/>
                <w:sz w:val="16"/>
                <w:szCs w:val="16"/>
              </w:rPr>
              <w:t>-</w:t>
            </w:r>
          </w:p>
        </w:tc>
        <w:tc>
          <w:tcPr>
            <w:tcW w:w="584" w:type="pct"/>
            <w:tcBorders>
              <w:top w:val="nil"/>
              <w:left w:val="nil"/>
              <w:bottom w:val="nil"/>
              <w:right w:val="nil"/>
            </w:tcBorders>
            <w:shd w:val="clear" w:color="auto" w:fill="auto"/>
            <w:noWrap/>
            <w:vAlign w:val="bottom"/>
            <w:hideMark/>
          </w:tcPr>
          <w:p w14:paraId="1BA5A995" w14:textId="5E46BE38" w:rsidR="001D4879" w:rsidRPr="001D4879" w:rsidRDefault="001D4879" w:rsidP="001D4879">
            <w:pPr>
              <w:spacing w:after="0" w:line="240" w:lineRule="auto"/>
              <w:jc w:val="right"/>
              <w:rPr>
                <w:rFonts w:ascii="Arial" w:hAnsi="Arial" w:cs="Arial"/>
                <w:sz w:val="16"/>
                <w:szCs w:val="16"/>
              </w:rPr>
            </w:pPr>
            <w:r w:rsidRPr="001D4879">
              <w:rPr>
                <w:rFonts w:ascii="Arial" w:hAnsi="Arial" w:cs="Arial"/>
                <w:sz w:val="16"/>
                <w:szCs w:val="16"/>
              </w:rPr>
              <w:t>-</w:t>
            </w:r>
          </w:p>
        </w:tc>
      </w:tr>
      <w:tr w:rsidR="001D4879" w:rsidRPr="001D4879" w14:paraId="4FFA9EDD" w14:textId="77777777" w:rsidTr="007B5C33">
        <w:trPr>
          <w:trHeight w:val="204"/>
        </w:trPr>
        <w:tc>
          <w:tcPr>
            <w:tcW w:w="2061" w:type="pct"/>
            <w:tcBorders>
              <w:top w:val="nil"/>
              <w:left w:val="nil"/>
              <w:bottom w:val="nil"/>
              <w:right w:val="nil"/>
            </w:tcBorders>
            <w:shd w:val="clear" w:color="auto" w:fill="auto"/>
            <w:noWrap/>
            <w:vAlign w:val="bottom"/>
            <w:hideMark/>
          </w:tcPr>
          <w:p w14:paraId="45CF302F" w14:textId="68F9B83C" w:rsidR="001D4879" w:rsidRPr="001D4879" w:rsidRDefault="001D4879" w:rsidP="001D4879">
            <w:pPr>
              <w:spacing w:after="0" w:line="240" w:lineRule="auto"/>
              <w:ind w:left="113"/>
              <w:rPr>
                <w:rFonts w:ascii="Arial" w:hAnsi="Arial" w:cs="Arial"/>
                <w:sz w:val="16"/>
                <w:szCs w:val="16"/>
              </w:rPr>
            </w:pPr>
            <w:r w:rsidRPr="001D4879">
              <w:rPr>
                <w:rFonts w:ascii="Arial" w:hAnsi="Arial" w:cs="Arial"/>
                <w:sz w:val="16"/>
                <w:szCs w:val="16"/>
              </w:rPr>
              <w:t>Depreciation and amortisation</w:t>
            </w:r>
            <w:r w:rsidRPr="001D4879">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38785D75" w14:textId="5AFC4707" w:rsidR="001D4879" w:rsidRPr="001D4879" w:rsidRDefault="001D4879" w:rsidP="001D4879">
            <w:pPr>
              <w:spacing w:after="0" w:line="240" w:lineRule="auto"/>
              <w:jc w:val="right"/>
              <w:rPr>
                <w:rFonts w:ascii="Arial" w:hAnsi="Arial" w:cs="Arial"/>
                <w:sz w:val="16"/>
                <w:szCs w:val="16"/>
              </w:rPr>
            </w:pPr>
            <w:r w:rsidRPr="001D4879">
              <w:rPr>
                <w:rFonts w:ascii="Arial" w:hAnsi="Arial" w:cs="Arial"/>
                <w:sz w:val="16"/>
                <w:szCs w:val="16"/>
              </w:rPr>
              <w:t>36,963</w:t>
            </w:r>
          </w:p>
        </w:tc>
        <w:tc>
          <w:tcPr>
            <w:tcW w:w="584" w:type="pct"/>
            <w:tcBorders>
              <w:top w:val="nil"/>
              <w:left w:val="nil"/>
              <w:bottom w:val="nil"/>
              <w:right w:val="nil"/>
            </w:tcBorders>
            <w:shd w:val="clear" w:color="000000" w:fill="E6E6E6"/>
            <w:noWrap/>
            <w:vAlign w:val="bottom"/>
            <w:hideMark/>
          </w:tcPr>
          <w:p w14:paraId="7CA617EF" w14:textId="1B3DCBD6" w:rsidR="001D4879" w:rsidRPr="007301BF" w:rsidRDefault="001D4879" w:rsidP="001D4879">
            <w:pPr>
              <w:spacing w:after="0" w:line="240" w:lineRule="auto"/>
              <w:jc w:val="right"/>
              <w:rPr>
                <w:rFonts w:ascii="Arial" w:hAnsi="Arial" w:cs="Arial"/>
                <w:bCs/>
                <w:sz w:val="16"/>
                <w:szCs w:val="16"/>
              </w:rPr>
            </w:pPr>
            <w:r w:rsidRPr="007301BF">
              <w:rPr>
                <w:rFonts w:ascii="Arial" w:hAnsi="Arial" w:cs="Arial"/>
                <w:bCs/>
                <w:sz w:val="16"/>
                <w:szCs w:val="16"/>
              </w:rPr>
              <w:t>36,910</w:t>
            </w:r>
          </w:p>
        </w:tc>
        <w:tc>
          <w:tcPr>
            <w:tcW w:w="584" w:type="pct"/>
            <w:tcBorders>
              <w:top w:val="nil"/>
              <w:left w:val="nil"/>
              <w:bottom w:val="nil"/>
              <w:right w:val="nil"/>
            </w:tcBorders>
            <w:shd w:val="clear" w:color="auto" w:fill="auto"/>
            <w:noWrap/>
            <w:vAlign w:val="bottom"/>
            <w:hideMark/>
          </w:tcPr>
          <w:p w14:paraId="0AF12224" w14:textId="2CC1809F" w:rsidR="001D4879" w:rsidRPr="001D4879" w:rsidRDefault="001D4879" w:rsidP="001D4879">
            <w:pPr>
              <w:spacing w:after="0" w:line="240" w:lineRule="auto"/>
              <w:jc w:val="right"/>
              <w:rPr>
                <w:rFonts w:ascii="Arial" w:hAnsi="Arial" w:cs="Arial"/>
                <w:sz w:val="16"/>
                <w:szCs w:val="16"/>
              </w:rPr>
            </w:pPr>
            <w:r w:rsidRPr="001D4879">
              <w:rPr>
                <w:rFonts w:ascii="Arial" w:hAnsi="Arial" w:cs="Arial"/>
                <w:sz w:val="16"/>
                <w:szCs w:val="16"/>
              </w:rPr>
              <w:t>36,910</w:t>
            </w:r>
          </w:p>
        </w:tc>
        <w:tc>
          <w:tcPr>
            <w:tcW w:w="584" w:type="pct"/>
            <w:tcBorders>
              <w:top w:val="nil"/>
              <w:left w:val="nil"/>
              <w:bottom w:val="nil"/>
              <w:right w:val="nil"/>
            </w:tcBorders>
            <w:shd w:val="clear" w:color="auto" w:fill="auto"/>
            <w:noWrap/>
            <w:vAlign w:val="bottom"/>
            <w:hideMark/>
          </w:tcPr>
          <w:p w14:paraId="5FB76B5C" w14:textId="1670303A" w:rsidR="001D4879" w:rsidRPr="001D4879" w:rsidRDefault="001D4879" w:rsidP="001D4879">
            <w:pPr>
              <w:spacing w:after="0" w:line="240" w:lineRule="auto"/>
              <w:jc w:val="right"/>
              <w:rPr>
                <w:rFonts w:ascii="Arial" w:hAnsi="Arial" w:cs="Arial"/>
                <w:sz w:val="16"/>
                <w:szCs w:val="16"/>
              </w:rPr>
            </w:pPr>
            <w:r w:rsidRPr="001D4879">
              <w:rPr>
                <w:rFonts w:ascii="Arial" w:hAnsi="Arial" w:cs="Arial"/>
                <w:sz w:val="16"/>
                <w:szCs w:val="16"/>
              </w:rPr>
              <w:t>36,910</w:t>
            </w:r>
          </w:p>
        </w:tc>
        <w:tc>
          <w:tcPr>
            <w:tcW w:w="584" w:type="pct"/>
            <w:tcBorders>
              <w:top w:val="nil"/>
              <w:left w:val="nil"/>
              <w:bottom w:val="nil"/>
              <w:right w:val="nil"/>
            </w:tcBorders>
            <w:shd w:val="clear" w:color="auto" w:fill="auto"/>
            <w:noWrap/>
            <w:vAlign w:val="bottom"/>
            <w:hideMark/>
          </w:tcPr>
          <w:p w14:paraId="1A9E8FAD" w14:textId="68F6DA17" w:rsidR="001D4879" w:rsidRPr="001D4879" w:rsidRDefault="001D4879" w:rsidP="001D4879">
            <w:pPr>
              <w:spacing w:after="0" w:line="240" w:lineRule="auto"/>
              <w:jc w:val="right"/>
              <w:rPr>
                <w:rFonts w:ascii="Arial" w:hAnsi="Arial" w:cs="Arial"/>
                <w:sz w:val="16"/>
                <w:szCs w:val="16"/>
              </w:rPr>
            </w:pPr>
            <w:r w:rsidRPr="001D4879">
              <w:rPr>
                <w:rFonts w:ascii="Arial" w:hAnsi="Arial" w:cs="Arial"/>
                <w:sz w:val="16"/>
                <w:szCs w:val="16"/>
              </w:rPr>
              <w:t>35,949</w:t>
            </w:r>
          </w:p>
        </w:tc>
      </w:tr>
      <w:tr w:rsidR="001D4879" w:rsidRPr="001D4879" w14:paraId="1D85036D" w14:textId="77777777" w:rsidTr="007B5C33">
        <w:trPr>
          <w:trHeight w:val="204"/>
        </w:trPr>
        <w:tc>
          <w:tcPr>
            <w:tcW w:w="2061" w:type="pct"/>
            <w:tcBorders>
              <w:top w:val="nil"/>
              <w:left w:val="nil"/>
              <w:bottom w:val="nil"/>
              <w:right w:val="nil"/>
            </w:tcBorders>
            <w:shd w:val="clear" w:color="auto" w:fill="auto"/>
            <w:noWrap/>
            <w:vAlign w:val="bottom"/>
            <w:hideMark/>
          </w:tcPr>
          <w:p w14:paraId="5CAD54E8" w14:textId="77777777" w:rsidR="001D4879" w:rsidRPr="001D4879" w:rsidRDefault="001D4879" w:rsidP="001D4879">
            <w:pPr>
              <w:spacing w:after="0" w:line="240" w:lineRule="auto"/>
              <w:ind w:left="113"/>
              <w:rPr>
                <w:rFonts w:ascii="Arial" w:hAnsi="Arial" w:cs="Arial"/>
                <w:sz w:val="16"/>
                <w:szCs w:val="16"/>
              </w:rPr>
            </w:pPr>
            <w:r w:rsidRPr="001D4879">
              <w:rPr>
                <w:rFonts w:ascii="Arial" w:hAnsi="Arial" w:cs="Arial"/>
                <w:sz w:val="16"/>
                <w:szCs w:val="16"/>
              </w:rPr>
              <w:t>Finance costs</w:t>
            </w:r>
          </w:p>
        </w:tc>
        <w:tc>
          <w:tcPr>
            <w:tcW w:w="602" w:type="pct"/>
            <w:tcBorders>
              <w:top w:val="nil"/>
              <w:left w:val="nil"/>
              <w:bottom w:val="nil"/>
              <w:right w:val="nil"/>
            </w:tcBorders>
            <w:shd w:val="clear" w:color="auto" w:fill="auto"/>
            <w:noWrap/>
            <w:vAlign w:val="bottom"/>
            <w:hideMark/>
          </w:tcPr>
          <w:p w14:paraId="009F3335" w14:textId="611986F6" w:rsidR="001D4879" w:rsidRPr="001D4879" w:rsidRDefault="001D4879" w:rsidP="001D4879">
            <w:pPr>
              <w:spacing w:after="0" w:line="240" w:lineRule="auto"/>
              <w:jc w:val="right"/>
              <w:rPr>
                <w:rFonts w:ascii="Arial" w:hAnsi="Arial" w:cs="Arial"/>
                <w:sz w:val="16"/>
                <w:szCs w:val="16"/>
              </w:rPr>
            </w:pPr>
            <w:r w:rsidRPr="001D4879">
              <w:rPr>
                <w:rFonts w:ascii="Arial" w:hAnsi="Arial" w:cs="Arial"/>
                <w:sz w:val="16"/>
                <w:szCs w:val="16"/>
              </w:rPr>
              <w:t>2,008</w:t>
            </w:r>
          </w:p>
        </w:tc>
        <w:tc>
          <w:tcPr>
            <w:tcW w:w="584" w:type="pct"/>
            <w:tcBorders>
              <w:top w:val="nil"/>
              <w:left w:val="nil"/>
              <w:bottom w:val="nil"/>
              <w:right w:val="nil"/>
            </w:tcBorders>
            <w:shd w:val="clear" w:color="000000" w:fill="E6E6E6"/>
            <w:noWrap/>
            <w:vAlign w:val="bottom"/>
            <w:hideMark/>
          </w:tcPr>
          <w:p w14:paraId="767C3372" w14:textId="2B5B66B5" w:rsidR="001D4879" w:rsidRPr="007301BF" w:rsidRDefault="001D4879" w:rsidP="001D4879">
            <w:pPr>
              <w:spacing w:after="0" w:line="240" w:lineRule="auto"/>
              <w:jc w:val="right"/>
              <w:rPr>
                <w:rFonts w:ascii="Arial" w:hAnsi="Arial" w:cs="Arial"/>
                <w:bCs/>
                <w:sz w:val="16"/>
                <w:szCs w:val="16"/>
              </w:rPr>
            </w:pPr>
            <w:r w:rsidRPr="007301BF">
              <w:rPr>
                <w:rFonts w:ascii="Arial" w:hAnsi="Arial" w:cs="Arial"/>
                <w:bCs/>
                <w:sz w:val="16"/>
                <w:szCs w:val="16"/>
              </w:rPr>
              <w:t>1,890</w:t>
            </w:r>
          </w:p>
        </w:tc>
        <w:tc>
          <w:tcPr>
            <w:tcW w:w="584" w:type="pct"/>
            <w:tcBorders>
              <w:top w:val="nil"/>
              <w:left w:val="nil"/>
              <w:bottom w:val="nil"/>
              <w:right w:val="nil"/>
            </w:tcBorders>
            <w:shd w:val="clear" w:color="auto" w:fill="auto"/>
            <w:noWrap/>
            <w:vAlign w:val="bottom"/>
            <w:hideMark/>
          </w:tcPr>
          <w:p w14:paraId="15CE894A" w14:textId="6C7FF156" w:rsidR="001D4879" w:rsidRPr="001D4879" w:rsidRDefault="001D4879" w:rsidP="001D4879">
            <w:pPr>
              <w:spacing w:after="0" w:line="240" w:lineRule="auto"/>
              <w:jc w:val="right"/>
              <w:rPr>
                <w:rFonts w:ascii="Arial" w:hAnsi="Arial" w:cs="Arial"/>
                <w:sz w:val="16"/>
                <w:szCs w:val="16"/>
              </w:rPr>
            </w:pPr>
            <w:r w:rsidRPr="001D4879">
              <w:rPr>
                <w:rFonts w:ascii="Arial" w:hAnsi="Arial" w:cs="Arial"/>
                <w:sz w:val="16"/>
                <w:szCs w:val="16"/>
              </w:rPr>
              <w:t>1,890</w:t>
            </w:r>
          </w:p>
        </w:tc>
        <w:tc>
          <w:tcPr>
            <w:tcW w:w="584" w:type="pct"/>
            <w:tcBorders>
              <w:top w:val="nil"/>
              <w:left w:val="nil"/>
              <w:bottom w:val="nil"/>
              <w:right w:val="nil"/>
            </w:tcBorders>
            <w:shd w:val="clear" w:color="auto" w:fill="auto"/>
            <w:noWrap/>
            <w:vAlign w:val="bottom"/>
            <w:hideMark/>
          </w:tcPr>
          <w:p w14:paraId="2F75980D" w14:textId="035A6A4E" w:rsidR="001D4879" w:rsidRPr="001D4879" w:rsidRDefault="001D4879" w:rsidP="001D4879">
            <w:pPr>
              <w:spacing w:after="0" w:line="240" w:lineRule="auto"/>
              <w:jc w:val="right"/>
              <w:rPr>
                <w:rFonts w:ascii="Arial" w:hAnsi="Arial" w:cs="Arial"/>
                <w:sz w:val="16"/>
                <w:szCs w:val="16"/>
              </w:rPr>
            </w:pPr>
            <w:r w:rsidRPr="001D4879">
              <w:rPr>
                <w:rFonts w:ascii="Arial" w:hAnsi="Arial" w:cs="Arial"/>
                <w:sz w:val="16"/>
                <w:szCs w:val="16"/>
              </w:rPr>
              <w:t>1,890</w:t>
            </w:r>
          </w:p>
        </w:tc>
        <w:tc>
          <w:tcPr>
            <w:tcW w:w="584" w:type="pct"/>
            <w:tcBorders>
              <w:top w:val="nil"/>
              <w:left w:val="nil"/>
              <w:bottom w:val="nil"/>
              <w:right w:val="nil"/>
            </w:tcBorders>
            <w:shd w:val="clear" w:color="auto" w:fill="auto"/>
            <w:noWrap/>
            <w:vAlign w:val="bottom"/>
            <w:hideMark/>
          </w:tcPr>
          <w:p w14:paraId="4D56FF17" w14:textId="3EACE1C4" w:rsidR="001D4879" w:rsidRPr="001D4879" w:rsidRDefault="001D4879" w:rsidP="001D4879">
            <w:pPr>
              <w:spacing w:after="0" w:line="240" w:lineRule="auto"/>
              <w:jc w:val="right"/>
              <w:rPr>
                <w:rFonts w:ascii="Arial" w:hAnsi="Arial" w:cs="Arial"/>
                <w:sz w:val="16"/>
                <w:szCs w:val="16"/>
              </w:rPr>
            </w:pPr>
            <w:r w:rsidRPr="001D4879">
              <w:rPr>
                <w:rFonts w:ascii="Arial" w:hAnsi="Arial" w:cs="Arial"/>
                <w:sz w:val="16"/>
                <w:szCs w:val="16"/>
              </w:rPr>
              <w:t>1,890</w:t>
            </w:r>
          </w:p>
        </w:tc>
      </w:tr>
      <w:tr w:rsidR="001D4879" w:rsidRPr="001D4879" w14:paraId="11309BD3" w14:textId="77777777" w:rsidTr="007B5C33">
        <w:trPr>
          <w:trHeight w:val="204"/>
        </w:trPr>
        <w:tc>
          <w:tcPr>
            <w:tcW w:w="2061" w:type="pct"/>
            <w:tcBorders>
              <w:top w:val="nil"/>
              <w:left w:val="nil"/>
              <w:bottom w:val="nil"/>
              <w:right w:val="nil"/>
            </w:tcBorders>
            <w:shd w:val="clear" w:color="auto" w:fill="auto"/>
            <w:noWrap/>
            <w:vAlign w:val="bottom"/>
            <w:hideMark/>
          </w:tcPr>
          <w:p w14:paraId="12E13FEC" w14:textId="77777777" w:rsidR="001D4879" w:rsidRPr="001D4879" w:rsidRDefault="001D4879" w:rsidP="001D4879">
            <w:pPr>
              <w:spacing w:after="0" w:line="240" w:lineRule="auto"/>
              <w:rPr>
                <w:rFonts w:ascii="Arial" w:hAnsi="Arial" w:cs="Arial"/>
                <w:b/>
                <w:bCs/>
                <w:sz w:val="16"/>
                <w:szCs w:val="16"/>
              </w:rPr>
            </w:pPr>
            <w:r w:rsidRPr="001D4879">
              <w:rPr>
                <w:rFonts w:ascii="Arial" w:hAnsi="Arial" w:cs="Arial"/>
                <w:b/>
                <w:bCs/>
                <w:sz w:val="16"/>
                <w:szCs w:val="16"/>
              </w:rPr>
              <w:t>Total expenses</w:t>
            </w:r>
          </w:p>
        </w:tc>
        <w:tc>
          <w:tcPr>
            <w:tcW w:w="602" w:type="pct"/>
            <w:tcBorders>
              <w:top w:val="single" w:sz="4" w:space="0" w:color="auto"/>
              <w:left w:val="nil"/>
              <w:bottom w:val="single" w:sz="4" w:space="0" w:color="auto"/>
              <w:right w:val="nil"/>
            </w:tcBorders>
            <w:shd w:val="clear" w:color="auto" w:fill="auto"/>
            <w:noWrap/>
            <w:vAlign w:val="bottom"/>
            <w:hideMark/>
          </w:tcPr>
          <w:p w14:paraId="665DF39C" w14:textId="095DF539" w:rsidR="001D4879" w:rsidRPr="001D4879" w:rsidRDefault="001D4879" w:rsidP="001D4879">
            <w:pPr>
              <w:spacing w:after="0" w:line="240" w:lineRule="auto"/>
              <w:jc w:val="right"/>
              <w:rPr>
                <w:rFonts w:ascii="Arial" w:hAnsi="Arial" w:cs="Arial"/>
                <w:b/>
                <w:bCs/>
                <w:sz w:val="16"/>
                <w:szCs w:val="16"/>
              </w:rPr>
            </w:pPr>
            <w:r w:rsidRPr="001D4879">
              <w:rPr>
                <w:rFonts w:ascii="Arial" w:hAnsi="Arial" w:cs="Arial"/>
                <w:b/>
                <w:bCs/>
                <w:sz w:val="16"/>
                <w:szCs w:val="16"/>
              </w:rPr>
              <w:t>458,581</w:t>
            </w:r>
          </w:p>
        </w:tc>
        <w:tc>
          <w:tcPr>
            <w:tcW w:w="584" w:type="pct"/>
            <w:tcBorders>
              <w:top w:val="single" w:sz="4" w:space="0" w:color="auto"/>
              <w:left w:val="nil"/>
              <w:bottom w:val="single" w:sz="4" w:space="0" w:color="auto"/>
              <w:right w:val="nil"/>
            </w:tcBorders>
            <w:shd w:val="clear" w:color="000000" w:fill="E6E6E6"/>
            <w:noWrap/>
            <w:vAlign w:val="bottom"/>
            <w:hideMark/>
          </w:tcPr>
          <w:p w14:paraId="3D578E53" w14:textId="74953716" w:rsidR="001D4879" w:rsidRPr="001D4879" w:rsidRDefault="001D4879" w:rsidP="001D4879">
            <w:pPr>
              <w:spacing w:after="0" w:line="240" w:lineRule="auto"/>
              <w:jc w:val="right"/>
              <w:rPr>
                <w:rFonts w:ascii="Arial" w:hAnsi="Arial" w:cs="Arial"/>
                <w:b/>
                <w:bCs/>
                <w:sz w:val="16"/>
                <w:szCs w:val="16"/>
              </w:rPr>
            </w:pPr>
            <w:r w:rsidRPr="001D4879">
              <w:rPr>
                <w:rFonts w:ascii="Arial" w:hAnsi="Arial" w:cs="Arial"/>
                <w:b/>
                <w:bCs/>
                <w:sz w:val="16"/>
                <w:szCs w:val="16"/>
              </w:rPr>
              <w:t>488,410</w:t>
            </w:r>
          </w:p>
        </w:tc>
        <w:tc>
          <w:tcPr>
            <w:tcW w:w="584" w:type="pct"/>
            <w:tcBorders>
              <w:top w:val="single" w:sz="4" w:space="0" w:color="auto"/>
              <w:left w:val="nil"/>
              <w:bottom w:val="single" w:sz="4" w:space="0" w:color="auto"/>
              <w:right w:val="nil"/>
            </w:tcBorders>
            <w:shd w:val="clear" w:color="auto" w:fill="auto"/>
            <w:noWrap/>
            <w:vAlign w:val="bottom"/>
            <w:hideMark/>
          </w:tcPr>
          <w:p w14:paraId="62FBDA25" w14:textId="1B6F4DB7" w:rsidR="001D4879" w:rsidRPr="001D4879" w:rsidRDefault="001D4879" w:rsidP="001D4879">
            <w:pPr>
              <w:spacing w:after="0" w:line="240" w:lineRule="auto"/>
              <w:jc w:val="right"/>
              <w:rPr>
                <w:rFonts w:ascii="Arial" w:hAnsi="Arial" w:cs="Arial"/>
                <w:b/>
                <w:bCs/>
                <w:sz w:val="16"/>
                <w:szCs w:val="16"/>
              </w:rPr>
            </w:pPr>
            <w:r w:rsidRPr="001D4879">
              <w:rPr>
                <w:rFonts w:ascii="Arial" w:hAnsi="Arial" w:cs="Arial"/>
                <w:b/>
                <w:bCs/>
                <w:sz w:val="16"/>
                <w:szCs w:val="16"/>
              </w:rPr>
              <w:t>432,923</w:t>
            </w:r>
          </w:p>
        </w:tc>
        <w:tc>
          <w:tcPr>
            <w:tcW w:w="584" w:type="pct"/>
            <w:tcBorders>
              <w:top w:val="single" w:sz="4" w:space="0" w:color="auto"/>
              <w:left w:val="nil"/>
              <w:bottom w:val="single" w:sz="4" w:space="0" w:color="auto"/>
              <w:right w:val="nil"/>
            </w:tcBorders>
            <w:shd w:val="clear" w:color="auto" w:fill="auto"/>
            <w:noWrap/>
            <w:vAlign w:val="bottom"/>
            <w:hideMark/>
          </w:tcPr>
          <w:p w14:paraId="72ECAF08" w14:textId="18052FBD" w:rsidR="001D4879" w:rsidRPr="001D4879" w:rsidRDefault="001D4879" w:rsidP="001D4879">
            <w:pPr>
              <w:spacing w:after="0" w:line="240" w:lineRule="auto"/>
              <w:jc w:val="right"/>
              <w:rPr>
                <w:rFonts w:ascii="Arial" w:hAnsi="Arial" w:cs="Arial"/>
                <w:b/>
                <w:bCs/>
                <w:sz w:val="16"/>
                <w:szCs w:val="16"/>
              </w:rPr>
            </w:pPr>
            <w:r w:rsidRPr="001D4879">
              <w:rPr>
                <w:rFonts w:ascii="Arial" w:hAnsi="Arial" w:cs="Arial"/>
                <w:b/>
                <w:bCs/>
                <w:sz w:val="16"/>
                <w:szCs w:val="16"/>
              </w:rPr>
              <w:t>407,886</w:t>
            </w:r>
          </w:p>
        </w:tc>
        <w:tc>
          <w:tcPr>
            <w:tcW w:w="584" w:type="pct"/>
            <w:tcBorders>
              <w:top w:val="single" w:sz="4" w:space="0" w:color="auto"/>
              <w:left w:val="nil"/>
              <w:bottom w:val="single" w:sz="4" w:space="0" w:color="auto"/>
              <w:right w:val="nil"/>
            </w:tcBorders>
            <w:shd w:val="clear" w:color="auto" w:fill="auto"/>
            <w:noWrap/>
            <w:vAlign w:val="bottom"/>
            <w:hideMark/>
          </w:tcPr>
          <w:p w14:paraId="7D03ADD4" w14:textId="1A05195D" w:rsidR="001D4879" w:rsidRPr="001D4879" w:rsidRDefault="001D4879" w:rsidP="001D4879">
            <w:pPr>
              <w:spacing w:after="0" w:line="240" w:lineRule="auto"/>
              <w:jc w:val="right"/>
              <w:rPr>
                <w:rFonts w:ascii="Arial" w:hAnsi="Arial" w:cs="Arial"/>
                <w:b/>
                <w:bCs/>
                <w:sz w:val="16"/>
                <w:szCs w:val="16"/>
              </w:rPr>
            </w:pPr>
            <w:r w:rsidRPr="001D4879">
              <w:rPr>
                <w:rFonts w:ascii="Arial" w:hAnsi="Arial" w:cs="Arial"/>
                <w:b/>
                <w:bCs/>
                <w:sz w:val="16"/>
                <w:szCs w:val="16"/>
              </w:rPr>
              <w:t>378,902</w:t>
            </w:r>
          </w:p>
        </w:tc>
      </w:tr>
      <w:tr w:rsidR="001D4879" w:rsidRPr="001D4879" w14:paraId="70DF929D" w14:textId="77777777" w:rsidTr="007B5C33">
        <w:trPr>
          <w:trHeight w:val="204"/>
        </w:trPr>
        <w:tc>
          <w:tcPr>
            <w:tcW w:w="2061" w:type="pct"/>
            <w:tcBorders>
              <w:top w:val="nil"/>
              <w:left w:val="nil"/>
              <w:bottom w:val="nil"/>
              <w:right w:val="nil"/>
            </w:tcBorders>
            <w:shd w:val="clear" w:color="auto" w:fill="auto"/>
            <w:noWrap/>
            <w:vAlign w:val="bottom"/>
            <w:hideMark/>
          </w:tcPr>
          <w:p w14:paraId="10D6A03B" w14:textId="77777777" w:rsidR="001D4879" w:rsidRPr="001D4879" w:rsidRDefault="001D4879" w:rsidP="001D4879">
            <w:pPr>
              <w:spacing w:after="0" w:line="240" w:lineRule="auto"/>
              <w:rPr>
                <w:rFonts w:ascii="Arial" w:hAnsi="Arial" w:cs="Arial"/>
                <w:b/>
                <w:bCs/>
                <w:sz w:val="16"/>
                <w:szCs w:val="16"/>
              </w:rPr>
            </w:pPr>
            <w:r w:rsidRPr="001D4879">
              <w:rPr>
                <w:rFonts w:ascii="Arial" w:hAnsi="Arial" w:cs="Arial"/>
                <w:b/>
                <w:bCs/>
                <w:sz w:val="16"/>
                <w:szCs w:val="16"/>
              </w:rPr>
              <w:t xml:space="preserve">LESS: </w:t>
            </w:r>
          </w:p>
        </w:tc>
        <w:tc>
          <w:tcPr>
            <w:tcW w:w="602" w:type="pct"/>
            <w:tcBorders>
              <w:top w:val="nil"/>
              <w:left w:val="nil"/>
              <w:bottom w:val="nil"/>
              <w:right w:val="nil"/>
            </w:tcBorders>
            <w:shd w:val="clear" w:color="auto" w:fill="auto"/>
            <w:noWrap/>
            <w:vAlign w:val="bottom"/>
            <w:hideMark/>
          </w:tcPr>
          <w:p w14:paraId="14CDC237" w14:textId="77777777" w:rsidR="001D4879" w:rsidRPr="001D4879" w:rsidRDefault="001D4879" w:rsidP="001D4879">
            <w:pPr>
              <w:spacing w:after="0" w:line="240" w:lineRule="auto"/>
              <w:jc w:val="right"/>
              <w:rPr>
                <w:rFonts w:ascii="Arial" w:hAnsi="Arial" w:cs="Arial"/>
                <w:b/>
                <w:bCs/>
                <w:sz w:val="16"/>
                <w:szCs w:val="16"/>
              </w:rPr>
            </w:pPr>
          </w:p>
        </w:tc>
        <w:tc>
          <w:tcPr>
            <w:tcW w:w="584" w:type="pct"/>
            <w:tcBorders>
              <w:top w:val="nil"/>
              <w:left w:val="nil"/>
              <w:bottom w:val="nil"/>
              <w:right w:val="nil"/>
            </w:tcBorders>
            <w:shd w:val="clear" w:color="000000" w:fill="E6E6E6"/>
            <w:noWrap/>
            <w:vAlign w:val="bottom"/>
            <w:hideMark/>
          </w:tcPr>
          <w:p w14:paraId="34A07619" w14:textId="50AAC4FF" w:rsidR="001D4879" w:rsidRPr="001D4879" w:rsidRDefault="001D4879" w:rsidP="001D4879">
            <w:pPr>
              <w:spacing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0ADF66D1" w14:textId="77777777" w:rsidR="001D4879" w:rsidRPr="001D4879" w:rsidRDefault="001D4879" w:rsidP="001D4879">
            <w:pPr>
              <w:spacing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37780936" w14:textId="77777777" w:rsidR="001D4879" w:rsidRPr="001D4879" w:rsidRDefault="001D4879" w:rsidP="001D4879">
            <w:pPr>
              <w:spacing w:after="0" w:line="240" w:lineRule="auto"/>
              <w:jc w:val="right"/>
              <w:rPr>
                <w:rFonts w:ascii="Times New Roman" w:hAnsi="Times New Roman"/>
              </w:rPr>
            </w:pPr>
          </w:p>
        </w:tc>
        <w:tc>
          <w:tcPr>
            <w:tcW w:w="584" w:type="pct"/>
            <w:tcBorders>
              <w:top w:val="nil"/>
              <w:left w:val="nil"/>
              <w:bottom w:val="nil"/>
              <w:right w:val="nil"/>
            </w:tcBorders>
            <w:shd w:val="clear" w:color="auto" w:fill="auto"/>
            <w:noWrap/>
            <w:vAlign w:val="bottom"/>
            <w:hideMark/>
          </w:tcPr>
          <w:p w14:paraId="130639AE" w14:textId="77777777" w:rsidR="001D4879" w:rsidRPr="001D4879" w:rsidRDefault="001D4879" w:rsidP="001D4879">
            <w:pPr>
              <w:spacing w:after="0" w:line="240" w:lineRule="auto"/>
              <w:jc w:val="right"/>
              <w:rPr>
                <w:rFonts w:ascii="Times New Roman" w:hAnsi="Times New Roman"/>
              </w:rPr>
            </w:pPr>
          </w:p>
        </w:tc>
      </w:tr>
      <w:tr w:rsidR="001D4879" w:rsidRPr="001D4879" w14:paraId="5ACBB575" w14:textId="77777777" w:rsidTr="007B5C33">
        <w:trPr>
          <w:trHeight w:val="204"/>
        </w:trPr>
        <w:tc>
          <w:tcPr>
            <w:tcW w:w="2061" w:type="pct"/>
            <w:tcBorders>
              <w:top w:val="nil"/>
              <w:left w:val="nil"/>
              <w:bottom w:val="nil"/>
              <w:right w:val="nil"/>
            </w:tcBorders>
            <w:shd w:val="clear" w:color="auto" w:fill="auto"/>
            <w:noWrap/>
            <w:vAlign w:val="bottom"/>
            <w:hideMark/>
          </w:tcPr>
          <w:p w14:paraId="4C087909" w14:textId="77777777" w:rsidR="001D4879" w:rsidRPr="001D4879" w:rsidRDefault="001D4879" w:rsidP="001D4879">
            <w:pPr>
              <w:spacing w:after="0" w:line="240" w:lineRule="auto"/>
              <w:rPr>
                <w:rFonts w:ascii="Arial" w:hAnsi="Arial" w:cs="Arial"/>
                <w:b/>
                <w:bCs/>
                <w:sz w:val="16"/>
                <w:szCs w:val="16"/>
              </w:rPr>
            </w:pPr>
            <w:r w:rsidRPr="001D4879">
              <w:rPr>
                <w:rFonts w:ascii="Arial" w:hAnsi="Arial" w:cs="Arial"/>
                <w:b/>
                <w:bCs/>
                <w:sz w:val="16"/>
                <w:szCs w:val="16"/>
              </w:rPr>
              <w:t>OWN-SOURCE INCOME</w:t>
            </w:r>
          </w:p>
        </w:tc>
        <w:tc>
          <w:tcPr>
            <w:tcW w:w="602" w:type="pct"/>
            <w:tcBorders>
              <w:top w:val="nil"/>
              <w:left w:val="nil"/>
              <w:bottom w:val="nil"/>
              <w:right w:val="nil"/>
            </w:tcBorders>
            <w:shd w:val="clear" w:color="auto" w:fill="auto"/>
            <w:noWrap/>
            <w:vAlign w:val="bottom"/>
            <w:hideMark/>
          </w:tcPr>
          <w:p w14:paraId="7C182C9A" w14:textId="77777777" w:rsidR="001D4879" w:rsidRPr="001D4879" w:rsidRDefault="001D4879" w:rsidP="001D4879">
            <w:pPr>
              <w:spacing w:after="0" w:line="240" w:lineRule="auto"/>
              <w:jc w:val="right"/>
              <w:rPr>
                <w:rFonts w:ascii="Arial" w:hAnsi="Arial" w:cs="Arial"/>
                <w:b/>
                <w:bCs/>
                <w:sz w:val="16"/>
                <w:szCs w:val="16"/>
              </w:rPr>
            </w:pPr>
          </w:p>
        </w:tc>
        <w:tc>
          <w:tcPr>
            <w:tcW w:w="584" w:type="pct"/>
            <w:tcBorders>
              <w:top w:val="nil"/>
              <w:left w:val="nil"/>
              <w:bottom w:val="nil"/>
              <w:right w:val="nil"/>
            </w:tcBorders>
            <w:shd w:val="clear" w:color="000000" w:fill="E6E6E6"/>
            <w:noWrap/>
            <w:vAlign w:val="bottom"/>
            <w:hideMark/>
          </w:tcPr>
          <w:p w14:paraId="46740416" w14:textId="42545E07" w:rsidR="001D4879" w:rsidRPr="001D4879" w:rsidRDefault="001D4879" w:rsidP="001D4879">
            <w:pPr>
              <w:spacing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6BCD8872" w14:textId="77777777" w:rsidR="001D4879" w:rsidRPr="001D4879" w:rsidRDefault="001D4879" w:rsidP="001D4879">
            <w:pPr>
              <w:spacing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46F8700E" w14:textId="77777777" w:rsidR="001D4879" w:rsidRPr="001D4879" w:rsidRDefault="001D4879" w:rsidP="001D4879">
            <w:pPr>
              <w:spacing w:after="0" w:line="240" w:lineRule="auto"/>
              <w:jc w:val="right"/>
              <w:rPr>
                <w:rFonts w:ascii="Times New Roman" w:hAnsi="Times New Roman"/>
              </w:rPr>
            </w:pPr>
          </w:p>
        </w:tc>
        <w:tc>
          <w:tcPr>
            <w:tcW w:w="584" w:type="pct"/>
            <w:tcBorders>
              <w:top w:val="nil"/>
              <w:left w:val="nil"/>
              <w:bottom w:val="nil"/>
              <w:right w:val="nil"/>
            </w:tcBorders>
            <w:shd w:val="clear" w:color="auto" w:fill="auto"/>
            <w:noWrap/>
            <w:vAlign w:val="bottom"/>
            <w:hideMark/>
          </w:tcPr>
          <w:p w14:paraId="43EF9FA1" w14:textId="77777777" w:rsidR="001D4879" w:rsidRPr="001D4879" w:rsidRDefault="001D4879" w:rsidP="001D4879">
            <w:pPr>
              <w:spacing w:after="0" w:line="240" w:lineRule="auto"/>
              <w:jc w:val="right"/>
              <w:rPr>
                <w:rFonts w:ascii="Times New Roman" w:hAnsi="Times New Roman"/>
              </w:rPr>
            </w:pPr>
          </w:p>
        </w:tc>
      </w:tr>
      <w:tr w:rsidR="001D4879" w:rsidRPr="001D4879" w14:paraId="00A5B460" w14:textId="77777777" w:rsidTr="007B5C33">
        <w:trPr>
          <w:trHeight w:val="204"/>
        </w:trPr>
        <w:tc>
          <w:tcPr>
            <w:tcW w:w="2061" w:type="pct"/>
            <w:tcBorders>
              <w:top w:val="nil"/>
              <w:left w:val="nil"/>
              <w:bottom w:val="nil"/>
              <w:right w:val="nil"/>
            </w:tcBorders>
            <w:shd w:val="clear" w:color="auto" w:fill="auto"/>
            <w:noWrap/>
            <w:vAlign w:val="bottom"/>
            <w:hideMark/>
          </w:tcPr>
          <w:p w14:paraId="53FD3EC4" w14:textId="77777777" w:rsidR="001D4879" w:rsidRPr="001D4879" w:rsidRDefault="001D4879" w:rsidP="001D4879">
            <w:pPr>
              <w:spacing w:after="0" w:line="240" w:lineRule="auto"/>
              <w:rPr>
                <w:rFonts w:ascii="Arial" w:hAnsi="Arial" w:cs="Arial"/>
                <w:b/>
                <w:bCs/>
                <w:sz w:val="16"/>
                <w:szCs w:val="16"/>
              </w:rPr>
            </w:pPr>
            <w:r w:rsidRPr="001D4879">
              <w:rPr>
                <w:rFonts w:ascii="Arial" w:hAnsi="Arial" w:cs="Arial"/>
                <w:b/>
                <w:bCs/>
                <w:sz w:val="16"/>
                <w:szCs w:val="16"/>
              </w:rPr>
              <w:t>Own-source revenue</w:t>
            </w:r>
          </w:p>
        </w:tc>
        <w:tc>
          <w:tcPr>
            <w:tcW w:w="602" w:type="pct"/>
            <w:tcBorders>
              <w:top w:val="nil"/>
              <w:left w:val="nil"/>
              <w:bottom w:val="nil"/>
              <w:right w:val="nil"/>
            </w:tcBorders>
            <w:shd w:val="clear" w:color="auto" w:fill="auto"/>
            <w:noWrap/>
            <w:vAlign w:val="bottom"/>
            <w:hideMark/>
          </w:tcPr>
          <w:p w14:paraId="355DC94F" w14:textId="77777777" w:rsidR="001D4879" w:rsidRPr="001D4879" w:rsidRDefault="001D4879" w:rsidP="001D4879">
            <w:pPr>
              <w:spacing w:after="0" w:line="240" w:lineRule="auto"/>
              <w:jc w:val="right"/>
              <w:rPr>
                <w:rFonts w:ascii="Arial" w:hAnsi="Arial" w:cs="Arial"/>
                <w:b/>
                <w:bCs/>
                <w:sz w:val="16"/>
                <w:szCs w:val="16"/>
              </w:rPr>
            </w:pPr>
          </w:p>
        </w:tc>
        <w:tc>
          <w:tcPr>
            <w:tcW w:w="584" w:type="pct"/>
            <w:tcBorders>
              <w:top w:val="nil"/>
              <w:left w:val="nil"/>
              <w:bottom w:val="nil"/>
              <w:right w:val="nil"/>
            </w:tcBorders>
            <w:shd w:val="clear" w:color="000000" w:fill="E6E6E6"/>
            <w:noWrap/>
            <w:vAlign w:val="bottom"/>
            <w:hideMark/>
          </w:tcPr>
          <w:p w14:paraId="6A00A8F3" w14:textId="39A801E5" w:rsidR="001D4879" w:rsidRPr="001D4879" w:rsidRDefault="001D4879" w:rsidP="001D4879">
            <w:pPr>
              <w:spacing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365E5688" w14:textId="77777777" w:rsidR="001D4879" w:rsidRPr="001D4879" w:rsidRDefault="001D4879" w:rsidP="001D4879">
            <w:pPr>
              <w:spacing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5C2A7A98" w14:textId="77777777" w:rsidR="001D4879" w:rsidRPr="001D4879" w:rsidRDefault="001D4879" w:rsidP="001D4879">
            <w:pPr>
              <w:spacing w:after="0" w:line="240" w:lineRule="auto"/>
              <w:jc w:val="right"/>
              <w:rPr>
                <w:rFonts w:ascii="Times New Roman" w:hAnsi="Times New Roman"/>
              </w:rPr>
            </w:pPr>
          </w:p>
        </w:tc>
        <w:tc>
          <w:tcPr>
            <w:tcW w:w="584" w:type="pct"/>
            <w:tcBorders>
              <w:top w:val="nil"/>
              <w:left w:val="nil"/>
              <w:bottom w:val="nil"/>
              <w:right w:val="nil"/>
            </w:tcBorders>
            <w:shd w:val="clear" w:color="auto" w:fill="auto"/>
            <w:noWrap/>
            <w:vAlign w:val="bottom"/>
            <w:hideMark/>
          </w:tcPr>
          <w:p w14:paraId="64ADF53B" w14:textId="77777777" w:rsidR="001D4879" w:rsidRPr="001D4879" w:rsidRDefault="001D4879" w:rsidP="001D4879">
            <w:pPr>
              <w:spacing w:after="0" w:line="240" w:lineRule="auto"/>
              <w:jc w:val="right"/>
              <w:rPr>
                <w:rFonts w:ascii="Times New Roman" w:hAnsi="Times New Roman"/>
              </w:rPr>
            </w:pPr>
          </w:p>
        </w:tc>
      </w:tr>
      <w:tr w:rsidR="001D4879" w:rsidRPr="001D4879" w14:paraId="1BA4B731" w14:textId="77777777" w:rsidTr="007B5C33">
        <w:trPr>
          <w:trHeight w:val="204"/>
        </w:trPr>
        <w:tc>
          <w:tcPr>
            <w:tcW w:w="2061" w:type="pct"/>
            <w:tcBorders>
              <w:top w:val="nil"/>
              <w:left w:val="nil"/>
              <w:bottom w:val="nil"/>
              <w:right w:val="nil"/>
            </w:tcBorders>
            <w:shd w:val="clear" w:color="auto" w:fill="auto"/>
            <w:vAlign w:val="bottom"/>
            <w:hideMark/>
          </w:tcPr>
          <w:p w14:paraId="7005757A" w14:textId="77777777" w:rsidR="001D4879" w:rsidRPr="001D4879" w:rsidRDefault="001D4879" w:rsidP="001D4879">
            <w:pPr>
              <w:spacing w:after="0" w:line="240" w:lineRule="auto"/>
              <w:ind w:left="113"/>
              <w:rPr>
                <w:rFonts w:ascii="Arial" w:hAnsi="Arial" w:cs="Arial"/>
                <w:sz w:val="16"/>
                <w:szCs w:val="16"/>
              </w:rPr>
            </w:pPr>
            <w:r w:rsidRPr="001D4879">
              <w:rPr>
                <w:rFonts w:ascii="Arial" w:hAnsi="Arial" w:cs="Arial"/>
                <w:sz w:val="16"/>
                <w:szCs w:val="16"/>
              </w:rPr>
              <w:t>Revenue from contracts with customers</w:t>
            </w:r>
          </w:p>
        </w:tc>
        <w:tc>
          <w:tcPr>
            <w:tcW w:w="602" w:type="pct"/>
            <w:tcBorders>
              <w:top w:val="nil"/>
              <w:left w:val="nil"/>
              <w:bottom w:val="nil"/>
              <w:right w:val="nil"/>
            </w:tcBorders>
            <w:shd w:val="clear" w:color="auto" w:fill="auto"/>
            <w:noWrap/>
            <w:vAlign w:val="bottom"/>
            <w:hideMark/>
          </w:tcPr>
          <w:p w14:paraId="1C78C8C7" w14:textId="7D5D6F60" w:rsidR="001D4879" w:rsidRPr="001D4879" w:rsidRDefault="001D4879" w:rsidP="001D4879">
            <w:pPr>
              <w:spacing w:after="0" w:line="240" w:lineRule="auto"/>
              <w:jc w:val="right"/>
              <w:rPr>
                <w:rFonts w:ascii="Arial" w:hAnsi="Arial" w:cs="Arial"/>
                <w:sz w:val="16"/>
                <w:szCs w:val="16"/>
              </w:rPr>
            </w:pPr>
            <w:r w:rsidRPr="001D4879">
              <w:rPr>
                <w:rFonts w:ascii="Arial" w:hAnsi="Arial" w:cs="Arial"/>
                <w:sz w:val="16"/>
                <w:szCs w:val="16"/>
              </w:rPr>
              <w:t>2,650</w:t>
            </w:r>
          </w:p>
        </w:tc>
        <w:tc>
          <w:tcPr>
            <w:tcW w:w="584" w:type="pct"/>
            <w:tcBorders>
              <w:top w:val="nil"/>
              <w:left w:val="nil"/>
              <w:bottom w:val="nil"/>
              <w:right w:val="nil"/>
            </w:tcBorders>
            <w:shd w:val="clear" w:color="000000" w:fill="E6E6E6"/>
            <w:noWrap/>
            <w:vAlign w:val="bottom"/>
            <w:hideMark/>
          </w:tcPr>
          <w:p w14:paraId="60BB3842" w14:textId="0486B721" w:rsidR="001D4879" w:rsidRPr="002E09F9" w:rsidRDefault="001D4879" w:rsidP="001D4879">
            <w:pPr>
              <w:spacing w:after="0" w:line="240" w:lineRule="auto"/>
              <w:jc w:val="right"/>
              <w:rPr>
                <w:rFonts w:ascii="Arial" w:hAnsi="Arial" w:cs="Arial"/>
                <w:bCs/>
                <w:sz w:val="16"/>
                <w:szCs w:val="16"/>
              </w:rPr>
            </w:pPr>
            <w:r w:rsidRPr="002E09F9">
              <w:rPr>
                <w:rFonts w:ascii="Arial" w:hAnsi="Arial" w:cs="Arial"/>
                <w:bCs/>
                <w:sz w:val="16"/>
                <w:szCs w:val="16"/>
              </w:rPr>
              <w:t>3,161</w:t>
            </w:r>
          </w:p>
        </w:tc>
        <w:tc>
          <w:tcPr>
            <w:tcW w:w="584" w:type="pct"/>
            <w:tcBorders>
              <w:top w:val="nil"/>
              <w:left w:val="nil"/>
              <w:bottom w:val="nil"/>
              <w:right w:val="nil"/>
            </w:tcBorders>
            <w:shd w:val="clear" w:color="auto" w:fill="auto"/>
            <w:noWrap/>
            <w:vAlign w:val="bottom"/>
            <w:hideMark/>
          </w:tcPr>
          <w:p w14:paraId="096A1E23" w14:textId="3F2C2D34" w:rsidR="001D4879" w:rsidRPr="001D4879" w:rsidRDefault="001D4879" w:rsidP="001D4879">
            <w:pPr>
              <w:spacing w:after="0" w:line="240" w:lineRule="auto"/>
              <w:jc w:val="right"/>
              <w:rPr>
                <w:rFonts w:ascii="Arial" w:hAnsi="Arial" w:cs="Arial"/>
                <w:sz w:val="16"/>
                <w:szCs w:val="16"/>
              </w:rPr>
            </w:pPr>
            <w:r w:rsidRPr="001D4879">
              <w:rPr>
                <w:rFonts w:ascii="Arial" w:hAnsi="Arial" w:cs="Arial"/>
                <w:sz w:val="16"/>
                <w:szCs w:val="16"/>
              </w:rPr>
              <w:t>2,650</w:t>
            </w:r>
          </w:p>
        </w:tc>
        <w:tc>
          <w:tcPr>
            <w:tcW w:w="584" w:type="pct"/>
            <w:tcBorders>
              <w:top w:val="nil"/>
              <w:left w:val="nil"/>
              <w:bottom w:val="nil"/>
              <w:right w:val="nil"/>
            </w:tcBorders>
            <w:shd w:val="clear" w:color="auto" w:fill="auto"/>
            <w:noWrap/>
            <w:vAlign w:val="bottom"/>
            <w:hideMark/>
          </w:tcPr>
          <w:p w14:paraId="4712D63E" w14:textId="1CCEF0EB" w:rsidR="001D4879" w:rsidRPr="001D4879" w:rsidRDefault="001D4879" w:rsidP="001D4879">
            <w:pPr>
              <w:spacing w:after="0" w:line="240" w:lineRule="auto"/>
              <w:jc w:val="right"/>
              <w:rPr>
                <w:rFonts w:ascii="Arial" w:hAnsi="Arial" w:cs="Arial"/>
                <w:sz w:val="16"/>
                <w:szCs w:val="16"/>
              </w:rPr>
            </w:pPr>
            <w:r w:rsidRPr="001D4879">
              <w:rPr>
                <w:rFonts w:ascii="Arial" w:hAnsi="Arial" w:cs="Arial"/>
                <w:sz w:val="16"/>
                <w:szCs w:val="16"/>
              </w:rPr>
              <w:t>2,650</w:t>
            </w:r>
          </w:p>
        </w:tc>
        <w:tc>
          <w:tcPr>
            <w:tcW w:w="584" w:type="pct"/>
            <w:tcBorders>
              <w:top w:val="nil"/>
              <w:left w:val="nil"/>
              <w:bottom w:val="nil"/>
              <w:right w:val="nil"/>
            </w:tcBorders>
            <w:shd w:val="clear" w:color="auto" w:fill="auto"/>
            <w:noWrap/>
            <w:vAlign w:val="bottom"/>
            <w:hideMark/>
          </w:tcPr>
          <w:p w14:paraId="38B1E4D6" w14:textId="49FD36B8" w:rsidR="001D4879" w:rsidRPr="001D4879" w:rsidRDefault="001D4879" w:rsidP="001D4879">
            <w:pPr>
              <w:spacing w:after="0" w:line="240" w:lineRule="auto"/>
              <w:jc w:val="right"/>
              <w:rPr>
                <w:rFonts w:ascii="Arial" w:hAnsi="Arial" w:cs="Arial"/>
                <w:sz w:val="16"/>
                <w:szCs w:val="16"/>
              </w:rPr>
            </w:pPr>
            <w:r w:rsidRPr="001D4879">
              <w:rPr>
                <w:rFonts w:ascii="Arial" w:hAnsi="Arial" w:cs="Arial"/>
                <w:sz w:val="16"/>
                <w:szCs w:val="16"/>
              </w:rPr>
              <w:t>2,650</w:t>
            </w:r>
          </w:p>
        </w:tc>
      </w:tr>
      <w:tr w:rsidR="001D4879" w:rsidRPr="001D4879" w14:paraId="4637383E" w14:textId="77777777" w:rsidTr="007B5C33">
        <w:trPr>
          <w:trHeight w:val="204"/>
        </w:trPr>
        <w:tc>
          <w:tcPr>
            <w:tcW w:w="2061" w:type="pct"/>
            <w:tcBorders>
              <w:top w:val="nil"/>
              <w:left w:val="nil"/>
              <w:bottom w:val="nil"/>
              <w:right w:val="nil"/>
            </w:tcBorders>
            <w:shd w:val="clear" w:color="auto" w:fill="auto"/>
            <w:noWrap/>
            <w:vAlign w:val="bottom"/>
            <w:hideMark/>
          </w:tcPr>
          <w:p w14:paraId="1914974A" w14:textId="77777777" w:rsidR="001D4879" w:rsidRPr="001D4879" w:rsidRDefault="001D4879" w:rsidP="001D4879">
            <w:pPr>
              <w:spacing w:after="0" w:line="240" w:lineRule="auto"/>
              <w:ind w:left="113"/>
              <w:rPr>
                <w:rFonts w:ascii="Arial" w:hAnsi="Arial" w:cs="Arial"/>
                <w:sz w:val="16"/>
                <w:szCs w:val="16"/>
              </w:rPr>
            </w:pPr>
            <w:r w:rsidRPr="001D4879">
              <w:rPr>
                <w:rFonts w:ascii="Arial" w:hAnsi="Arial" w:cs="Arial"/>
                <w:sz w:val="16"/>
                <w:szCs w:val="16"/>
              </w:rPr>
              <w:t>Rental income</w:t>
            </w:r>
          </w:p>
        </w:tc>
        <w:tc>
          <w:tcPr>
            <w:tcW w:w="602" w:type="pct"/>
            <w:tcBorders>
              <w:top w:val="nil"/>
              <w:left w:val="nil"/>
              <w:bottom w:val="nil"/>
              <w:right w:val="nil"/>
            </w:tcBorders>
            <w:shd w:val="clear" w:color="auto" w:fill="auto"/>
            <w:noWrap/>
            <w:vAlign w:val="bottom"/>
            <w:hideMark/>
          </w:tcPr>
          <w:p w14:paraId="45FCA61C" w14:textId="12291866" w:rsidR="001D4879" w:rsidRPr="001D4879" w:rsidRDefault="001D4879" w:rsidP="001D4879">
            <w:pPr>
              <w:spacing w:after="0" w:line="240" w:lineRule="auto"/>
              <w:jc w:val="right"/>
              <w:rPr>
                <w:rFonts w:ascii="Arial" w:hAnsi="Arial" w:cs="Arial"/>
                <w:sz w:val="16"/>
                <w:szCs w:val="16"/>
              </w:rPr>
            </w:pPr>
            <w:r w:rsidRPr="001D4879">
              <w:rPr>
                <w:rFonts w:ascii="Arial" w:hAnsi="Arial" w:cs="Arial"/>
                <w:sz w:val="16"/>
                <w:szCs w:val="16"/>
              </w:rPr>
              <w:t>5,634</w:t>
            </w:r>
          </w:p>
        </w:tc>
        <w:tc>
          <w:tcPr>
            <w:tcW w:w="584" w:type="pct"/>
            <w:tcBorders>
              <w:top w:val="nil"/>
              <w:left w:val="nil"/>
              <w:bottom w:val="nil"/>
              <w:right w:val="nil"/>
            </w:tcBorders>
            <w:shd w:val="clear" w:color="000000" w:fill="E6E6E6"/>
            <w:noWrap/>
            <w:vAlign w:val="bottom"/>
            <w:hideMark/>
          </w:tcPr>
          <w:p w14:paraId="087D4ACE" w14:textId="4D99B594" w:rsidR="001D4879" w:rsidRPr="002E09F9" w:rsidRDefault="001D4879" w:rsidP="001D4879">
            <w:pPr>
              <w:spacing w:after="0" w:line="240" w:lineRule="auto"/>
              <w:jc w:val="right"/>
              <w:rPr>
                <w:rFonts w:ascii="Arial" w:hAnsi="Arial" w:cs="Arial"/>
                <w:bCs/>
                <w:sz w:val="16"/>
                <w:szCs w:val="16"/>
              </w:rPr>
            </w:pPr>
            <w:r w:rsidRPr="002E09F9">
              <w:rPr>
                <w:rFonts w:ascii="Arial" w:hAnsi="Arial" w:cs="Arial"/>
                <w:bCs/>
                <w:sz w:val="16"/>
                <w:szCs w:val="16"/>
              </w:rPr>
              <w:t>5,634</w:t>
            </w:r>
          </w:p>
        </w:tc>
        <w:tc>
          <w:tcPr>
            <w:tcW w:w="584" w:type="pct"/>
            <w:tcBorders>
              <w:top w:val="nil"/>
              <w:left w:val="nil"/>
              <w:bottom w:val="nil"/>
              <w:right w:val="nil"/>
            </w:tcBorders>
            <w:shd w:val="clear" w:color="auto" w:fill="auto"/>
            <w:noWrap/>
            <w:vAlign w:val="bottom"/>
            <w:hideMark/>
          </w:tcPr>
          <w:p w14:paraId="49AB7104" w14:textId="1CD7D545" w:rsidR="001D4879" w:rsidRPr="001D4879" w:rsidRDefault="001D4879" w:rsidP="001D4879">
            <w:pPr>
              <w:spacing w:after="0" w:line="240" w:lineRule="auto"/>
              <w:jc w:val="right"/>
              <w:rPr>
                <w:rFonts w:ascii="Arial" w:hAnsi="Arial" w:cs="Arial"/>
                <w:sz w:val="16"/>
                <w:szCs w:val="16"/>
              </w:rPr>
            </w:pPr>
            <w:r w:rsidRPr="001D4879">
              <w:rPr>
                <w:rFonts w:ascii="Arial" w:hAnsi="Arial" w:cs="Arial"/>
                <w:sz w:val="16"/>
                <w:szCs w:val="16"/>
              </w:rPr>
              <w:t>5,634</w:t>
            </w:r>
          </w:p>
        </w:tc>
        <w:tc>
          <w:tcPr>
            <w:tcW w:w="584" w:type="pct"/>
            <w:tcBorders>
              <w:top w:val="nil"/>
              <w:left w:val="nil"/>
              <w:bottom w:val="nil"/>
              <w:right w:val="nil"/>
            </w:tcBorders>
            <w:shd w:val="clear" w:color="auto" w:fill="auto"/>
            <w:noWrap/>
            <w:vAlign w:val="bottom"/>
            <w:hideMark/>
          </w:tcPr>
          <w:p w14:paraId="511B786D" w14:textId="1F1D7E20" w:rsidR="001D4879" w:rsidRPr="001D4879" w:rsidRDefault="001D4879" w:rsidP="001D4879">
            <w:pPr>
              <w:spacing w:after="0" w:line="240" w:lineRule="auto"/>
              <w:jc w:val="right"/>
              <w:rPr>
                <w:rFonts w:ascii="Arial" w:hAnsi="Arial" w:cs="Arial"/>
                <w:sz w:val="16"/>
                <w:szCs w:val="16"/>
              </w:rPr>
            </w:pPr>
            <w:r w:rsidRPr="001D4879">
              <w:rPr>
                <w:rFonts w:ascii="Arial" w:hAnsi="Arial" w:cs="Arial"/>
                <w:sz w:val="16"/>
                <w:szCs w:val="16"/>
              </w:rPr>
              <w:t>5,634</w:t>
            </w:r>
          </w:p>
        </w:tc>
        <w:tc>
          <w:tcPr>
            <w:tcW w:w="584" w:type="pct"/>
            <w:tcBorders>
              <w:top w:val="nil"/>
              <w:left w:val="nil"/>
              <w:bottom w:val="nil"/>
              <w:right w:val="nil"/>
            </w:tcBorders>
            <w:shd w:val="clear" w:color="auto" w:fill="auto"/>
            <w:noWrap/>
            <w:vAlign w:val="bottom"/>
            <w:hideMark/>
          </w:tcPr>
          <w:p w14:paraId="25E7BC80" w14:textId="497C6518" w:rsidR="001D4879" w:rsidRPr="001D4879" w:rsidRDefault="001D4879" w:rsidP="001D4879">
            <w:pPr>
              <w:spacing w:after="0" w:line="240" w:lineRule="auto"/>
              <w:jc w:val="right"/>
              <w:rPr>
                <w:rFonts w:ascii="Arial" w:hAnsi="Arial" w:cs="Arial"/>
                <w:sz w:val="16"/>
                <w:szCs w:val="16"/>
              </w:rPr>
            </w:pPr>
            <w:r w:rsidRPr="001D4879">
              <w:rPr>
                <w:rFonts w:ascii="Arial" w:hAnsi="Arial" w:cs="Arial"/>
                <w:sz w:val="16"/>
                <w:szCs w:val="16"/>
              </w:rPr>
              <w:t>5,634</w:t>
            </w:r>
          </w:p>
        </w:tc>
      </w:tr>
      <w:tr w:rsidR="001D4879" w:rsidRPr="001D4879" w14:paraId="560AA361" w14:textId="77777777" w:rsidTr="007B5C33">
        <w:trPr>
          <w:trHeight w:val="204"/>
        </w:trPr>
        <w:tc>
          <w:tcPr>
            <w:tcW w:w="2061" w:type="pct"/>
            <w:tcBorders>
              <w:top w:val="nil"/>
              <w:left w:val="nil"/>
              <w:bottom w:val="nil"/>
              <w:right w:val="nil"/>
            </w:tcBorders>
            <w:shd w:val="clear" w:color="auto" w:fill="auto"/>
            <w:noWrap/>
            <w:vAlign w:val="bottom"/>
            <w:hideMark/>
          </w:tcPr>
          <w:p w14:paraId="4F756FC6" w14:textId="77777777" w:rsidR="001D4879" w:rsidRPr="001D4879" w:rsidRDefault="001D4879" w:rsidP="001D4879">
            <w:pPr>
              <w:spacing w:after="0" w:line="240" w:lineRule="auto"/>
              <w:ind w:left="113"/>
              <w:rPr>
                <w:rFonts w:ascii="Arial" w:hAnsi="Arial" w:cs="Arial"/>
                <w:sz w:val="16"/>
                <w:szCs w:val="16"/>
              </w:rPr>
            </w:pPr>
            <w:r w:rsidRPr="001D4879">
              <w:rPr>
                <w:rFonts w:ascii="Arial" w:hAnsi="Arial" w:cs="Arial"/>
                <w:sz w:val="16"/>
                <w:szCs w:val="16"/>
              </w:rPr>
              <w:t>Other</w:t>
            </w:r>
          </w:p>
        </w:tc>
        <w:tc>
          <w:tcPr>
            <w:tcW w:w="602" w:type="pct"/>
            <w:tcBorders>
              <w:top w:val="nil"/>
              <w:left w:val="nil"/>
              <w:bottom w:val="nil"/>
              <w:right w:val="nil"/>
            </w:tcBorders>
            <w:shd w:val="clear" w:color="auto" w:fill="auto"/>
            <w:noWrap/>
            <w:vAlign w:val="bottom"/>
            <w:hideMark/>
          </w:tcPr>
          <w:p w14:paraId="674DE32F" w14:textId="443F30E5" w:rsidR="001D4879" w:rsidRPr="001D4879" w:rsidRDefault="001D4879" w:rsidP="001D4879">
            <w:pPr>
              <w:spacing w:after="0" w:line="240" w:lineRule="auto"/>
              <w:jc w:val="right"/>
              <w:rPr>
                <w:rFonts w:ascii="Arial" w:hAnsi="Arial" w:cs="Arial"/>
                <w:sz w:val="16"/>
                <w:szCs w:val="16"/>
              </w:rPr>
            </w:pPr>
            <w:r w:rsidRPr="001D4879">
              <w:rPr>
                <w:rFonts w:ascii="Arial" w:hAnsi="Arial" w:cs="Arial"/>
                <w:sz w:val="16"/>
                <w:szCs w:val="16"/>
              </w:rPr>
              <w:t>5,955</w:t>
            </w:r>
          </w:p>
        </w:tc>
        <w:tc>
          <w:tcPr>
            <w:tcW w:w="584" w:type="pct"/>
            <w:tcBorders>
              <w:top w:val="nil"/>
              <w:left w:val="nil"/>
              <w:bottom w:val="nil"/>
              <w:right w:val="nil"/>
            </w:tcBorders>
            <w:shd w:val="clear" w:color="000000" w:fill="E6E6E6"/>
            <w:noWrap/>
            <w:vAlign w:val="bottom"/>
            <w:hideMark/>
          </w:tcPr>
          <w:p w14:paraId="32115D43" w14:textId="47439F9A" w:rsidR="001D4879" w:rsidRPr="002E09F9" w:rsidRDefault="001D4879" w:rsidP="001D4879">
            <w:pPr>
              <w:spacing w:after="0" w:line="240" w:lineRule="auto"/>
              <w:jc w:val="right"/>
              <w:rPr>
                <w:rFonts w:ascii="Arial" w:hAnsi="Arial" w:cs="Arial"/>
                <w:bCs/>
                <w:sz w:val="16"/>
                <w:szCs w:val="16"/>
              </w:rPr>
            </w:pPr>
            <w:r w:rsidRPr="002E09F9">
              <w:rPr>
                <w:rFonts w:ascii="Arial" w:hAnsi="Arial" w:cs="Arial"/>
                <w:bCs/>
                <w:sz w:val="16"/>
                <w:szCs w:val="16"/>
              </w:rPr>
              <w:t>7,082</w:t>
            </w:r>
          </w:p>
        </w:tc>
        <w:tc>
          <w:tcPr>
            <w:tcW w:w="584" w:type="pct"/>
            <w:tcBorders>
              <w:top w:val="nil"/>
              <w:left w:val="nil"/>
              <w:bottom w:val="nil"/>
              <w:right w:val="nil"/>
            </w:tcBorders>
            <w:shd w:val="clear" w:color="auto" w:fill="auto"/>
            <w:noWrap/>
            <w:vAlign w:val="bottom"/>
            <w:hideMark/>
          </w:tcPr>
          <w:p w14:paraId="5F33AF5A" w14:textId="084EABB1" w:rsidR="001D4879" w:rsidRPr="001D4879" w:rsidRDefault="001D4879" w:rsidP="001D4879">
            <w:pPr>
              <w:spacing w:after="0" w:line="240" w:lineRule="auto"/>
              <w:jc w:val="right"/>
              <w:rPr>
                <w:rFonts w:ascii="Arial" w:hAnsi="Arial" w:cs="Arial"/>
                <w:sz w:val="16"/>
                <w:szCs w:val="16"/>
              </w:rPr>
            </w:pPr>
            <w:r w:rsidRPr="001D4879">
              <w:rPr>
                <w:rFonts w:ascii="Arial" w:hAnsi="Arial" w:cs="Arial"/>
                <w:sz w:val="16"/>
                <w:szCs w:val="16"/>
              </w:rPr>
              <w:t>7,082</w:t>
            </w:r>
          </w:p>
        </w:tc>
        <w:tc>
          <w:tcPr>
            <w:tcW w:w="584" w:type="pct"/>
            <w:tcBorders>
              <w:top w:val="nil"/>
              <w:left w:val="nil"/>
              <w:bottom w:val="nil"/>
              <w:right w:val="nil"/>
            </w:tcBorders>
            <w:shd w:val="clear" w:color="auto" w:fill="auto"/>
            <w:noWrap/>
            <w:vAlign w:val="bottom"/>
            <w:hideMark/>
          </w:tcPr>
          <w:p w14:paraId="5CDAEBA2" w14:textId="4D1D697C" w:rsidR="001D4879" w:rsidRPr="001D4879" w:rsidRDefault="001D4879" w:rsidP="001D4879">
            <w:pPr>
              <w:spacing w:after="0" w:line="240" w:lineRule="auto"/>
              <w:jc w:val="right"/>
              <w:rPr>
                <w:rFonts w:ascii="Arial" w:hAnsi="Arial" w:cs="Arial"/>
                <w:sz w:val="16"/>
                <w:szCs w:val="16"/>
              </w:rPr>
            </w:pPr>
            <w:r w:rsidRPr="001D4879">
              <w:rPr>
                <w:rFonts w:ascii="Arial" w:hAnsi="Arial" w:cs="Arial"/>
                <w:sz w:val="16"/>
                <w:szCs w:val="16"/>
              </w:rPr>
              <w:t>7,082</w:t>
            </w:r>
          </w:p>
        </w:tc>
        <w:tc>
          <w:tcPr>
            <w:tcW w:w="584" w:type="pct"/>
            <w:tcBorders>
              <w:top w:val="nil"/>
              <w:left w:val="nil"/>
              <w:bottom w:val="nil"/>
              <w:right w:val="nil"/>
            </w:tcBorders>
            <w:shd w:val="clear" w:color="auto" w:fill="auto"/>
            <w:noWrap/>
            <w:vAlign w:val="bottom"/>
            <w:hideMark/>
          </w:tcPr>
          <w:p w14:paraId="558E7AD2" w14:textId="7C649F1F" w:rsidR="001D4879" w:rsidRPr="001D4879" w:rsidRDefault="001D4879" w:rsidP="001D4879">
            <w:pPr>
              <w:spacing w:after="0" w:line="240" w:lineRule="auto"/>
              <w:jc w:val="right"/>
              <w:rPr>
                <w:rFonts w:ascii="Arial" w:hAnsi="Arial" w:cs="Arial"/>
                <w:sz w:val="16"/>
                <w:szCs w:val="16"/>
              </w:rPr>
            </w:pPr>
            <w:r w:rsidRPr="001D4879">
              <w:rPr>
                <w:rFonts w:ascii="Arial" w:hAnsi="Arial" w:cs="Arial"/>
                <w:sz w:val="16"/>
                <w:szCs w:val="16"/>
              </w:rPr>
              <w:t>7,082</w:t>
            </w:r>
          </w:p>
        </w:tc>
      </w:tr>
      <w:tr w:rsidR="001D4879" w:rsidRPr="001D4879" w14:paraId="22F9E941" w14:textId="77777777" w:rsidTr="007B5C33">
        <w:trPr>
          <w:trHeight w:val="204"/>
        </w:trPr>
        <w:tc>
          <w:tcPr>
            <w:tcW w:w="2061" w:type="pct"/>
            <w:tcBorders>
              <w:top w:val="nil"/>
              <w:left w:val="nil"/>
              <w:bottom w:val="nil"/>
              <w:right w:val="nil"/>
            </w:tcBorders>
            <w:shd w:val="clear" w:color="auto" w:fill="auto"/>
            <w:noWrap/>
            <w:vAlign w:val="bottom"/>
            <w:hideMark/>
          </w:tcPr>
          <w:p w14:paraId="712A98F3" w14:textId="77777777" w:rsidR="001D4879" w:rsidRPr="001D4879" w:rsidRDefault="001D4879" w:rsidP="001D4879">
            <w:pPr>
              <w:spacing w:after="0" w:line="240" w:lineRule="auto"/>
              <w:rPr>
                <w:rFonts w:ascii="Arial" w:hAnsi="Arial" w:cs="Arial"/>
                <w:b/>
                <w:bCs/>
                <w:sz w:val="16"/>
                <w:szCs w:val="16"/>
              </w:rPr>
            </w:pPr>
            <w:r w:rsidRPr="001D4879">
              <w:rPr>
                <w:rFonts w:ascii="Arial" w:hAnsi="Arial" w:cs="Arial"/>
                <w:b/>
                <w:bCs/>
                <w:sz w:val="16"/>
                <w:szCs w:val="16"/>
              </w:rPr>
              <w:t>Total own-source revenue</w:t>
            </w:r>
          </w:p>
        </w:tc>
        <w:tc>
          <w:tcPr>
            <w:tcW w:w="602" w:type="pct"/>
            <w:tcBorders>
              <w:top w:val="single" w:sz="4" w:space="0" w:color="auto"/>
              <w:left w:val="nil"/>
              <w:bottom w:val="single" w:sz="4" w:space="0" w:color="auto"/>
              <w:right w:val="nil"/>
            </w:tcBorders>
            <w:shd w:val="clear" w:color="auto" w:fill="auto"/>
            <w:noWrap/>
            <w:vAlign w:val="bottom"/>
            <w:hideMark/>
          </w:tcPr>
          <w:p w14:paraId="0A3AA4E2" w14:textId="3B3969BD" w:rsidR="001D4879" w:rsidRPr="001D4879" w:rsidRDefault="001D4879" w:rsidP="001D4879">
            <w:pPr>
              <w:spacing w:after="0" w:line="240" w:lineRule="auto"/>
              <w:jc w:val="right"/>
              <w:rPr>
                <w:rFonts w:ascii="Arial" w:hAnsi="Arial" w:cs="Arial"/>
                <w:b/>
                <w:bCs/>
                <w:sz w:val="16"/>
                <w:szCs w:val="16"/>
              </w:rPr>
            </w:pPr>
            <w:r w:rsidRPr="001D4879">
              <w:rPr>
                <w:rFonts w:ascii="Arial" w:hAnsi="Arial" w:cs="Arial"/>
                <w:b/>
                <w:bCs/>
                <w:sz w:val="16"/>
                <w:szCs w:val="16"/>
              </w:rPr>
              <w:t>14,239</w:t>
            </w:r>
          </w:p>
        </w:tc>
        <w:tc>
          <w:tcPr>
            <w:tcW w:w="584" w:type="pct"/>
            <w:tcBorders>
              <w:top w:val="single" w:sz="4" w:space="0" w:color="auto"/>
              <w:left w:val="nil"/>
              <w:bottom w:val="single" w:sz="4" w:space="0" w:color="auto"/>
              <w:right w:val="nil"/>
            </w:tcBorders>
            <w:shd w:val="clear" w:color="000000" w:fill="E6E6E6"/>
            <w:noWrap/>
            <w:vAlign w:val="bottom"/>
            <w:hideMark/>
          </w:tcPr>
          <w:p w14:paraId="06D4164C" w14:textId="249A4CB5" w:rsidR="001D4879" w:rsidRPr="001D4879" w:rsidRDefault="001D4879" w:rsidP="001D4879">
            <w:pPr>
              <w:spacing w:after="0" w:line="240" w:lineRule="auto"/>
              <w:jc w:val="right"/>
              <w:rPr>
                <w:rFonts w:ascii="Arial" w:hAnsi="Arial" w:cs="Arial"/>
                <w:b/>
                <w:bCs/>
                <w:sz w:val="16"/>
                <w:szCs w:val="16"/>
              </w:rPr>
            </w:pPr>
            <w:r w:rsidRPr="001D4879">
              <w:rPr>
                <w:rFonts w:ascii="Arial" w:hAnsi="Arial" w:cs="Arial"/>
                <w:b/>
                <w:bCs/>
                <w:sz w:val="16"/>
                <w:szCs w:val="16"/>
              </w:rPr>
              <w:t>15,877</w:t>
            </w:r>
          </w:p>
        </w:tc>
        <w:tc>
          <w:tcPr>
            <w:tcW w:w="584" w:type="pct"/>
            <w:tcBorders>
              <w:top w:val="single" w:sz="4" w:space="0" w:color="auto"/>
              <w:left w:val="nil"/>
              <w:bottom w:val="single" w:sz="4" w:space="0" w:color="auto"/>
              <w:right w:val="nil"/>
            </w:tcBorders>
            <w:shd w:val="clear" w:color="auto" w:fill="auto"/>
            <w:noWrap/>
            <w:vAlign w:val="bottom"/>
            <w:hideMark/>
          </w:tcPr>
          <w:p w14:paraId="11680AD3" w14:textId="4E7D7573" w:rsidR="001D4879" w:rsidRPr="001D4879" w:rsidRDefault="001D4879" w:rsidP="001D4879">
            <w:pPr>
              <w:spacing w:after="0" w:line="240" w:lineRule="auto"/>
              <w:jc w:val="right"/>
              <w:rPr>
                <w:rFonts w:ascii="Arial" w:hAnsi="Arial" w:cs="Arial"/>
                <w:b/>
                <w:bCs/>
                <w:sz w:val="16"/>
                <w:szCs w:val="16"/>
              </w:rPr>
            </w:pPr>
            <w:r w:rsidRPr="001D4879">
              <w:rPr>
                <w:rFonts w:ascii="Arial" w:hAnsi="Arial" w:cs="Arial"/>
                <w:b/>
                <w:bCs/>
                <w:sz w:val="16"/>
                <w:szCs w:val="16"/>
              </w:rPr>
              <w:t>15,366</w:t>
            </w:r>
          </w:p>
        </w:tc>
        <w:tc>
          <w:tcPr>
            <w:tcW w:w="584" w:type="pct"/>
            <w:tcBorders>
              <w:top w:val="single" w:sz="4" w:space="0" w:color="auto"/>
              <w:left w:val="nil"/>
              <w:bottom w:val="single" w:sz="4" w:space="0" w:color="auto"/>
              <w:right w:val="nil"/>
            </w:tcBorders>
            <w:shd w:val="clear" w:color="auto" w:fill="auto"/>
            <w:noWrap/>
            <w:vAlign w:val="bottom"/>
            <w:hideMark/>
          </w:tcPr>
          <w:p w14:paraId="5F73F061" w14:textId="3E0F915F" w:rsidR="001D4879" w:rsidRPr="001D4879" w:rsidRDefault="001D4879" w:rsidP="001D4879">
            <w:pPr>
              <w:spacing w:after="0" w:line="240" w:lineRule="auto"/>
              <w:jc w:val="right"/>
              <w:rPr>
                <w:rFonts w:ascii="Arial" w:hAnsi="Arial" w:cs="Arial"/>
                <w:b/>
                <w:bCs/>
                <w:sz w:val="16"/>
                <w:szCs w:val="16"/>
              </w:rPr>
            </w:pPr>
            <w:r w:rsidRPr="001D4879">
              <w:rPr>
                <w:rFonts w:ascii="Arial" w:hAnsi="Arial" w:cs="Arial"/>
                <w:b/>
                <w:bCs/>
                <w:sz w:val="16"/>
                <w:szCs w:val="16"/>
              </w:rPr>
              <w:t>15,366</w:t>
            </w:r>
          </w:p>
        </w:tc>
        <w:tc>
          <w:tcPr>
            <w:tcW w:w="584" w:type="pct"/>
            <w:tcBorders>
              <w:top w:val="single" w:sz="4" w:space="0" w:color="auto"/>
              <w:left w:val="nil"/>
              <w:bottom w:val="single" w:sz="4" w:space="0" w:color="auto"/>
              <w:right w:val="nil"/>
            </w:tcBorders>
            <w:shd w:val="clear" w:color="auto" w:fill="auto"/>
            <w:noWrap/>
            <w:vAlign w:val="bottom"/>
            <w:hideMark/>
          </w:tcPr>
          <w:p w14:paraId="7DD9AE1F" w14:textId="7648C61F" w:rsidR="001D4879" w:rsidRPr="001D4879" w:rsidRDefault="001D4879" w:rsidP="001D4879">
            <w:pPr>
              <w:spacing w:after="0" w:line="240" w:lineRule="auto"/>
              <w:jc w:val="right"/>
              <w:rPr>
                <w:rFonts w:ascii="Arial" w:hAnsi="Arial" w:cs="Arial"/>
                <w:b/>
                <w:bCs/>
                <w:sz w:val="16"/>
                <w:szCs w:val="16"/>
              </w:rPr>
            </w:pPr>
            <w:r w:rsidRPr="001D4879">
              <w:rPr>
                <w:rFonts w:ascii="Arial" w:hAnsi="Arial" w:cs="Arial"/>
                <w:b/>
                <w:bCs/>
                <w:sz w:val="16"/>
                <w:szCs w:val="16"/>
              </w:rPr>
              <w:t>15,366</w:t>
            </w:r>
          </w:p>
        </w:tc>
      </w:tr>
      <w:tr w:rsidR="001D4879" w:rsidRPr="001D4879" w14:paraId="3738B678" w14:textId="77777777" w:rsidTr="007B5C33">
        <w:trPr>
          <w:trHeight w:val="204"/>
        </w:trPr>
        <w:tc>
          <w:tcPr>
            <w:tcW w:w="2061" w:type="pct"/>
            <w:tcBorders>
              <w:top w:val="nil"/>
              <w:left w:val="nil"/>
              <w:bottom w:val="nil"/>
              <w:right w:val="nil"/>
            </w:tcBorders>
            <w:shd w:val="clear" w:color="auto" w:fill="auto"/>
            <w:noWrap/>
            <w:vAlign w:val="bottom"/>
            <w:hideMark/>
          </w:tcPr>
          <w:p w14:paraId="73F7B96F" w14:textId="77777777" w:rsidR="001D4879" w:rsidRPr="001D4879" w:rsidRDefault="001D4879" w:rsidP="001D4879">
            <w:pPr>
              <w:spacing w:after="0" w:line="240" w:lineRule="auto"/>
              <w:rPr>
                <w:rFonts w:ascii="Arial" w:hAnsi="Arial" w:cs="Arial"/>
                <w:b/>
                <w:bCs/>
                <w:sz w:val="16"/>
                <w:szCs w:val="16"/>
              </w:rPr>
            </w:pPr>
            <w:r w:rsidRPr="001D4879">
              <w:rPr>
                <w:rFonts w:ascii="Arial" w:hAnsi="Arial" w:cs="Arial"/>
                <w:b/>
                <w:bCs/>
                <w:sz w:val="16"/>
                <w:szCs w:val="16"/>
              </w:rPr>
              <w:t>Total own-source income</w:t>
            </w:r>
          </w:p>
        </w:tc>
        <w:tc>
          <w:tcPr>
            <w:tcW w:w="602" w:type="pct"/>
            <w:tcBorders>
              <w:top w:val="nil"/>
              <w:left w:val="nil"/>
              <w:bottom w:val="single" w:sz="4" w:space="0" w:color="auto"/>
              <w:right w:val="nil"/>
            </w:tcBorders>
            <w:shd w:val="clear" w:color="auto" w:fill="auto"/>
            <w:noWrap/>
            <w:vAlign w:val="bottom"/>
            <w:hideMark/>
          </w:tcPr>
          <w:p w14:paraId="0191CA0B" w14:textId="3ADB3ADA" w:rsidR="001D4879" w:rsidRPr="001D4879" w:rsidRDefault="001D4879" w:rsidP="001D4879">
            <w:pPr>
              <w:spacing w:after="0" w:line="240" w:lineRule="auto"/>
              <w:jc w:val="right"/>
              <w:rPr>
                <w:rFonts w:ascii="Arial" w:hAnsi="Arial" w:cs="Arial"/>
                <w:b/>
                <w:bCs/>
                <w:sz w:val="16"/>
                <w:szCs w:val="16"/>
              </w:rPr>
            </w:pPr>
            <w:r w:rsidRPr="001D4879">
              <w:rPr>
                <w:rFonts w:ascii="Arial" w:hAnsi="Arial" w:cs="Arial"/>
                <w:b/>
                <w:bCs/>
                <w:sz w:val="16"/>
                <w:szCs w:val="16"/>
              </w:rPr>
              <w:t>14,239</w:t>
            </w:r>
          </w:p>
        </w:tc>
        <w:tc>
          <w:tcPr>
            <w:tcW w:w="584" w:type="pct"/>
            <w:tcBorders>
              <w:top w:val="nil"/>
              <w:left w:val="nil"/>
              <w:bottom w:val="single" w:sz="4" w:space="0" w:color="auto"/>
              <w:right w:val="nil"/>
            </w:tcBorders>
            <w:shd w:val="clear" w:color="000000" w:fill="E6E6E6"/>
            <w:noWrap/>
            <w:vAlign w:val="bottom"/>
            <w:hideMark/>
          </w:tcPr>
          <w:p w14:paraId="5100BF11" w14:textId="076D86B4" w:rsidR="001D4879" w:rsidRPr="001D4879" w:rsidRDefault="001D4879" w:rsidP="001D4879">
            <w:pPr>
              <w:spacing w:after="0" w:line="240" w:lineRule="auto"/>
              <w:jc w:val="right"/>
              <w:rPr>
                <w:rFonts w:ascii="Arial" w:hAnsi="Arial" w:cs="Arial"/>
                <w:b/>
                <w:bCs/>
                <w:sz w:val="16"/>
                <w:szCs w:val="16"/>
              </w:rPr>
            </w:pPr>
            <w:r w:rsidRPr="001D4879">
              <w:rPr>
                <w:rFonts w:ascii="Arial" w:hAnsi="Arial" w:cs="Arial"/>
                <w:b/>
                <w:bCs/>
                <w:sz w:val="16"/>
                <w:szCs w:val="16"/>
              </w:rPr>
              <w:t>15,877</w:t>
            </w:r>
          </w:p>
        </w:tc>
        <w:tc>
          <w:tcPr>
            <w:tcW w:w="584" w:type="pct"/>
            <w:tcBorders>
              <w:top w:val="nil"/>
              <w:left w:val="nil"/>
              <w:bottom w:val="single" w:sz="4" w:space="0" w:color="auto"/>
              <w:right w:val="nil"/>
            </w:tcBorders>
            <w:shd w:val="clear" w:color="auto" w:fill="auto"/>
            <w:noWrap/>
            <w:vAlign w:val="bottom"/>
            <w:hideMark/>
          </w:tcPr>
          <w:p w14:paraId="24AEDC6D" w14:textId="0FD56223" w:rsidR="001D4879" w:rsidRPr="001D4879" w:rsidRDefault="001D4879" w:rsidP="001D4879">
            <w:pPr>
              <w:spacing w:after="0" w:line="240" w:lineRule="auto"/>
              <w:jc w:val="right"/>
              <w:rPr>
                <w:rFonts w:ascii="Arial" w:hAnsi="Arial" w:cs="Arial"/>
                <w:b/>
                <w:bCs/>
                <w:sz w:val="16"/>
                <w:szCs w:val="16"/>
              </w:rPr>
            </w:pPr>
            <w:r w:rsidRPr="001D4879">
              <w:rPr>
                <w:rFonts w:ascii="Arial" w:hAnsi="Arial" w:cs="Arial"/>
                <w:b/>
                <w:bCs/>
                <w:sz w:val="16"/>
                <w:szCs w:val="16"/>
              </w:rPr>
              <w:t>15,366</w:t>
            </w:r>
          </w:p>
        </w:tc>
        <w:tc>
          <w:tcPr>
            <w:tcW w:w="584" w:type="pct"/>
            <w:tcBorders>
              <w:top w:val="nil"/>
              <w:left w:val="nil"/>
              <w:bottom w:val="single" w:sz="4" w:space="0" w:color="auto"/>
              <w:right w:val="nil"/>
            </w:tcBorders>
            <w:shd w:val="clear" w:color="auto" w:fill="auto"/>
            <w:noWrap/>
            <w:vAlign w:val="bottom"/>
            <w:hideMark/>
          </w:tcPr>
          <w:p w14:paraId="634AFA17" w14:textId="08229BC8" w:rsidR="001D4879" w:rsidRPr="001D4879" w:rsidRDefault="001D4879" w:rsidP="001D4879">
            <w:pPr>
              <w:spacing w:after="0" w:line="240" w:lineRule="auto"/>
              <w:jc w:val="right"/>
              <w:rPr>
                <w:rFonts w:ascii="Arial" w:hAnsi="Arial" w:cs="Arial"/>
                <w:b/>
                <w:bCs/>
                <w:sz w:val="16"/>
                <w:szCs w:val="16"/>
              </w:rPr>
            </w:pPr>
            <w:r w:rsidRPr="001D4879">
              <w:rPr>
                <w:rFonts w:ascii="Arial" w:hAnsi="Arial" w:cs="Arial"/>
                <w:b/>
                <w:bCs/>
                <w:sz w:val="16"/>
                <w:szCs w:val="16"/>
              </w:rPr>
              <w:t>15,366</w:t>
            </w:r>
          </w:p>
        </w:tc>
        <w:tc>
          <w:tcPr>
            <w:tcW w:w="584" w:type="pct"/>
            <w:tcBorders>
              <w:top w:val="nil"/>
              <w:left w:val="nil"/>
              <w:bottom w:val="single" w:sz="4" w:space="0" w:color="auto"/>
              <w:right w:val="nil"/>
            </w:tcBorders>
            <w:shd w:val="clear" w:color="auto" w:fill="auto"/>
            <w:noWrap/>
            <w:vAlign w:val="bottom"/>
            <w:hideMark/>
          </w:tcPr>
          <w:p w14:paraId="4E6942E9" w14:textId="32BEEA93" w:rsidR="001D4879" w:rsidRPr="001D4879" w:rsidRDefault="001D4879" w:rsidP="001D4879">
            <w:pPr>
              <w:spacing w:after="0" w:line="240" w:lineRule="auto"/>
              <w:jc w:val="right"/>
              <w:rPr>
                <w:rFonts w:ascii="Arial" w:hAnsi="Arial" w:cs="Arial"/>
                <w:b/>
                <w:bCs/>
                <w:sz w:val="16"/>
                <w:szCs w:val="16"/>
              </w:rPr>
            </w:pPr>
            <w:r w:rsidRPr="001D4879">
              <w:rPr>
                <w:rFonts w:ascii="Arial" w:hAnsi="Arial" w:cs="Arial"/>
                <w:b/>
                <w:bCs/>
                <w:sz w:val="16"/>
                <w:szCs w:val="16"/>
              </w:rPr>
              <w:t>15,366</w:t>
            </w:r>
          </w:p>
        </w:tc>
      </w:tr>
      <w:tr w:rsidR="001D4879" w:rsidRPr="001D4879" w14:paraId="1ED5AAAE" w14:textId="77777777" w:rsidTr="007B5C33">
        <w:trPr>
          <w:trHeight w:val="204"/>
        </w:trPr>
        <w:tc>
          <w:tcPr>
            <w:tcW w:w="2061" w:type="pct"/>
            <w:tcBorders>
              <w:top w:val="nil"/>
              <w:left w:val="nil"/>
              <w:bottom w:val="nil"/>
              <w:right w:val="nil"/>
            </w:tcBorders>
            <w:shd w:val="clear" w:color="auto" w:fill="auto"/>
            <w:vAlign w:val="bottom"/>
            <w:hideMark/>
          </w:tcPr>
          <w:p w14:paraId="15BCDA8F" w14:textId="5796AD96" w:rsidR="001D4879" w:rsidRPr="001D4879" w:rsidRDefault="001D4879" w:rsidP="001D4879">
            <w:pPr>
              <w:spacing w:after="0" w:line="240" w:lineRule="auto"/>
              <w:rPr>
                <w:rFonts w:ascii="Arial" w:hAnsi="Arial" w:cs="Arial"/>
                <w:b/>
                <w:bCs/>
                <w:color w:val="000000"/>
                <w:sz w:val="16"/>
                <w:szCs w:val="16"/>
              </w:rPr>
            </w:pPr>
            <w:r w:rsidRPr="001D4879">
              <w:rPr>
                <w:rFonts w:ascii="Arial" w:hAnsi="Arial" w:cs="Arial"/>
                <w:b/>
                <w:bCs/>
                <w:color w:val="000000"/>
                <w:sz w:val="16"/>
                <w:szCs w:val="16"/>
              </w:rPr>
              <w:t>Net (cost of)/contribution by services</w:t>
            </w:r>
          </w:p>
        </w:tc>
        <w:tc>
          <w:tcPr>
            <w:tcW w:w="602" w:type="pct"/>
            <w:tcBorders>
              <w:top w:val="nil"/>
              <w:left w:val="nil"/>
              <w:bottom w:val="single" w:sz="4" w:space="0" w:color="auto"/>
              <w:right w:val="nil"/>
            </w:tcBorders>
            <w:shd w:val="clear" w:color="auto" w:fill="auto"/>
            <w:noWrap/>
            <w:vAlign w:val="bottom"/>
            <w:hideMark/>
          </w:tcPr>
          <w:p w14:paraId="091965F0" w14:textId="77777777" w:rsidR="001D4879" w:rsidRPr="001D4879" w:rsidRDefault="001D4879" w:rsidP="001D4879">
            <w:pPr>
              <w:spacing w:after="0" w:line="240" w:lineRule="auto"/>
              <w:jc w:val="right"/>
              <w:rPr>
                <w:rFonts w:ascii="Arial" w:hAnsi="Arial" w:cs="Arial"/>
                <w:b/>
                <w:bCs/>
                <w:sz w:val="16"/>
                <w:szCs w:val="16"/>
              </w:rPr>
            </w:pPr>
            <w:r w:rsidRPr="001D4879">
              <w:rPr>
                <w:rFonts w:ascii="Arial" w:hAnsi="Arial" w:cs="Arial"/>
                <w:b/>
                <w:bCs/>
                <w:sz w:val="16"/>
                <w:szCs w:val="16"/>
              </w:rPr>
              <w:t>(444,342)</w:t>
            </w:r>
          </w:p>
        </w:tc>
        <w:tc>
          <w:tcPr>
            <w:tcW w:w="584" w:type="pct"/>
            <w:tcBorders>
              <w:top w:val="nil"/>
              <w:left w:val="nil"/>
              <w:bottom w:val="single" w:sz="4" w:space="0" w:color="auto"/>
              <w:right w:val="nil"/>
            </w:tcBorders>
            <w:shd w:val="clear" w:color="000000" w:fill="E6E6E6"/>
            <w:noWrap/>
            <w:vAlign w:val="bottom"/>
            <w:hideMark/>
          </w:tcPr>
          <w:p w14:paraId="2E684E54" w14:textId="77777777" w:rsidR="001D4879" w:rsidRPr="001D4879" w:rsidRDefault="001D4879" w:rsidP="001D4879">
            <w:pPr>
              <w:spacing w:after="0" w:line="240" w:lineRule="auto"/>
              <w:jc w:val="right"/>
              <w:rPr>
                <w:rFonts w:ascii="Arial" w:hAnsi="Arial" w:cs="Arial"/>
                <w:b/>
                <w:bCs/>
                <w:sz w:val="16"/>
                <w:szCs w:val="16"/>
              </w:rPr>
            </w:pPr>
            <w:r w:rsidRPr="001D4879">
              <w:rPr>
                <w:rFonts w:ascii="Arial" w:hAnsi="Arial" w:cs="Arial"/>
                <w:b/>
                <w:bCs/>
                <w:sz w:val="16"/>
                <w:szCs w:val="16"/>
              </w:rPr>
              <w:t>(472,533)</w:t>
            </w:r>
          </w:p>
        </w:tc>
        <w:tc>
          <w:tcPr>
            <w:tcW w:w="584" w:type="pct"/>
            <w:tcBorders>
              <w:top w:val="nil"/>
              <w:left w:val="nil"/>
              <w:bottom w:val="single" w:sz="4" w:space="0" w:color="auto"/>
              <w:right w:val="nil"/>
            </w:tcBorders>
            <w:shd w:val="clear" w:color="auto" w:fill="auto"/>
            <w:noWrap/>
            <w:vAlign w:val="bottom"/>
            <w:hideMark/>
          </w:tcPr>
          <w:p w14:paraId="7291B172" w14:textId="77777777" w:rsidR="001D4879" w:rsidRPr="001D4879" w:rsidRDefault="001D4879" w:rsidP="001D4879">
            <w:pPr>
              <w:spacing w:after="0" w:line="240" w:lineRule="auto"/>
              <w:jc w:val="right"/>
              <w:rPr>
                <w:rFonts w:ascii="Arial" w:hAnsi="Arial" w:cs="Arial"/>
                <w:b/>
                <w:bCs/>
                <w:sz w:val="16"/>
                <w:szCs w:val="16"/>
              </w:rPr>
            </w:pPr>
            <w:r w:rsidRPr="001D4879">
              <w:rPr>
                <w:rFonts w:ascii="Arial" w:hAnsi="Arial" w:cs="Arial"/>
                <w:b/>
                <w:bCs/>
                <w:sz w:val="16"/>
                <w:szCs w:val="16"/>
              </w:rPr>
              <w:t>(417,557)</w:t>
            </w:r>
          </w:p>
        </w:tc>
        <w:tc>
          <w:tcPr>
            <w:tcW w:w="584" w:type="pct"/>
            <w:tcBorders>
              <w:top w:val="nil"/>
              <w:left w:val="nil"/>
              <w:bottom w:val="single" w:sz="4" w:space="0" w:color="auto"/>
              <w:right w:val="nil"/>
            </w:tcBorders>
            <w:shd w:val="clear" w:color="auto" w:fill="auto"/>
            <w:noWrap/>
            <w:vAlign w:val="bottom"/>
            <w:hideMark/>
          </w:tcPr>
          <w:p w14:paraId="5A5166D0" w14:textId="77777777" w:rsidR="001D4879" w:rsidRPr="001D4879" w:rsidRDefault="001D4879" w:rsidP="001D4879">
            <w:pPr>
              <w:spacing w:after="0" w:line="240" w:lineRule="auto"/>
              <w:jc w:val="right"/>
              <w:rPr>
                <w:rFonts w:ascii="Arial" w:hAnsi="Arial" w:cs="Arial"/>
                <w:b/>
                <w:bCs/>
                <w:sz w:val="16"/>
                <w:szCs w:val="16"/>
              </w:rPr>
            </w:pPr>
            <w:r w:rsidRPr="001D4879">
              <w:rPr>
                <w:rFonts w:ascii="Arial" w:hAnsi="Arial" w:cs="Arial"/>
                <w:b/>
                <w:bCs/>
                <w:sz w:val="16"/>
                <w:szCs w:val="16"/>
              </w:rPr>
              <w:t>(392,520)</w:t>
            </w:r>
          </w:p>
        </w:tc>
        <w:tc>
          <w:tcPr>
            <w:tcW w:w="584" w:type="pct"/>
            <w:tcBorders>
              <w:top w:val="nil"/>
              <w:left w:val="nil"/>
              <w:bottom w:val="single" w:sz="4" w:space="0" w:color="auto"/>
              <w:right w:val="nil"/>
            </w:tcBorders>
            <w:shd w:val="clear" w:color="auto" w:fill="auto"/>
            <w:noWrap/>
            <w:vAlign w:val="bottom"/>
            <w:hideMark/>
          </w:tcPr>
          <w:p w14:paraId="7FE211E6" w14:textId="77777777" w:rsidR="001D4879" w:rsidRPr="001D4879" w:rsidRDefault="001D4879" w:rsidP="001D4879">
            <w:pPr>
              <w:spacing w:after="0" w:line="240" w:lineRule="auto"/>
              <w:jc w:val="right"/>
              <w:rPr>
                <w:rFonts w:ascii="Arial" w:hAnsi="Arial" w:cs="Arial"/>
                <w:b/>
                <w:bCs/>
                <w:sz w:val="16"/>
                <w:szCs w:val="16"/>
              </w:rPr>
            </w:pPr>
            <w:r w:rsidRPr="001D4879">
              <w:rPr>
                <w:rFonts w:ascii="Arial" w:hAnsi="Arial" w:cs="Arial"/>
                <w:b/>
                <w:bCs/>
                <w:sz w:val="16"/>
                <w:szCs w:val="16"/>
              </w:rPr>
              <w:t>(363,536)</w:t>
            </w:r>
          </w:p>
        </w:tc>
      </w:tr>
      <w:tr w:rsidR="001D4879" w:rsidRPr="001D4879" w14:paraId="62514C7F" w14:textId="77777777" w:rsidTr="007B5C33">
        <w:trPr>
          <w:trHeight w:val="204"/>
        </w:trPr>
        <w:tc>
          <w:tcPr>
            <w:tcW w:w="2061" w:type="pct"/>
            <w:tcBorders>
              <w:top w:val="nil"/>
              <w:left w:val="nil"/>
              <w:bottom w:val="nil"/>
              <w:right w:val="nil"/>
            </w:tcBorders>
            <w:shd w:val="clear" w:color="auto" w:fill="auto"/>
            <w:noWrap/>
            <w:vAlign w:val="bottom"/>
            <w:hideMark/>
          </w:tcPr>
          <w:p w14:paraId="06018E16" w14:textId="77777777" w:rsidR="001D4879" w:rsidRPr="001D4879" w:rsidRDefault="001D4879" w:rsidP="001D4879">
            <w:pPr>
              <w:spacing w:after="0" w:line="240" w:lineRule="auto"/>
              <w:ind w:left="113"/>
              <w:rPr>
                <w:rFonts w:ascii="Arial" w:hAnsi="Arial" w:cs="Arial"/>
                <w:sz w:val="16"/>
                <w:szCs w:val="16"/>
              </w:rPr>
            </w:pPr>
            <w:r w:rsidRPr="001D4879">
              <w:rPr>
                <w:rFonts w:ascii="Arial" w:hAnsi="Arial" w:cs="Arial"/>
                <w:sz w:val="16"/>
                <w:szCs w:val="16"/>
              </w:rPr>
              <w:t>Revenue from Government</w:t>
            </w:r>
          </w:p>
        </w:tc>
        <w:tc>
          <w:tcPr>
            <w:tcW w:w="602" w:type="pct"/>
            <w:tcBorders>
              <w:top w:val="nil"/>
              <w:left w:val="nil"/>
              <w:bottom w:val="single" w:sz="4" w:space="0" w:color="auto"/>
              <w:right w:val="nil"/>
            </w:tcBorders>
            <w:shd w:val="clear" w:color="auto" w:fill="auto"/>
            <w:noWrap/>
            <w:vAlign w:val="bottom"/>
            <w:hideMark/>
          </w:tcPr>
          <w:p w14:paraId="04B4904D" w14:textId="6139D59A" w:rsidR="001D4879" w:rsidRPr="001D4879" w:rsidRDefault="001D4879" w:rsidP="001D4879">
            <w:pPr>
              <w:spacing w:after="0" w:line="240" w:lineRule="auto"/>
              <w:jc w:val="right"/>
              <w:rPr>
                <w:rFonts w:ascii="Arial" w:hAnsi="Arial" w:cs="Arial"/>
                <w:sz w:val="16"/>
                <w:szCs w:val="16"/>
              </w:rPr>
            </w:pPr>
            <w:r w:rsidRPr="001D4879">
              <w:rPr>
                <w:rFonts w:ascii="Arial" w:hAnsi="Arial" w:cs="Arial"/>
                <w:sz w:val="16"/>
                <w:szCs w:val="16"/>
              </w:rPr>
              <w:t>427,311</w:t>
            </w:r>
          </w:p>
        </w:tc>
        <w:tc>
          <w:tcPr>
            <w:tcW w:w="584" w:type="pct"/>
            <w:tcBorders>
              <w:top w:val="nil"/>
              <w:left w:val="nil"/>
              <w:bottom w:val="single" w:sz="4" w:space="0" w:color="auto"/>
              <w:right w:val="nil"/>
            </w:tcBorders>
            <w:shd w:val="clear" w:color="000000" w:fill="E6E6E6"/>
            <w:noWrap/>
            <w:vAlign w:val="bottom"/>
            <w:hideMark/>
          </w:tcPr>
          <w:p w14:paraId="1E109731" w14:textId="02C46ABD" w:rsidR="001D4879" w:rsidRPr="001D4879" w:rsidRDefault="001D4879" w:rsidP="001D4879">
            <w:pPr>
              <w:spacing w:after="0" w:line="240" w:lineRule="auto"/>
              <w:jc w:val="right"/>
              <w:rPr>
                <w:rFonts w:ascii="Arial" w:hAnsi="Arial" w:cs="Arial"/>
                <w:sz w:val="16"/>
                <w:szCs w:val="16"/>
              </w:rPr>
            </w:pPr>
            <w:r w:rsidRPr="001D4879">
              <w:rPr>
                <w:rFonts w:ascii="Arial" w:hAnsi="Arial" w:cs="Arial"/>
                <w:sz w:val="16"/>
                <w:szCs w:val="16"/>
              </w:rPr>
              <w:t>455,618</w:t>
            </w:r>
          </w:p>
        </w:tc>
        <w:tc>
          <w:tcPr>
            <w:tcW w:w="584" w:type="pct"/>
            <w:tcBorders>
              <w:top w:val="nil"/>
              <w:left w:val="nil"/>
              <w:bottom w:val="single" w:sz="4" w:space="0" w:color="auto"/>
              <w:right w:val="nil"/>
            </w:tcBorders>
            <w:shd w:val="clear" w:color="auto" w:fill="auto"/>
            <w:noWrap/>
            <w:vAlign w:val="bottom"/>
            <w:hideMark/>
          </w:tcPr>
          <w:p w14:paraId="7D84F5A2" w14:textId="443F7674" w:rsidR="001D4879" w:rsidRPr="001D4879" w:rsidRDefault="001D4879" w:rsidP="001D4879">
            <w:pPr>
              <w:spacing w:after="0" w:line="240" w:lineRule="auto"/>
              <w:jc w:val="right"/>
              <w:rPr>
                <w:rFonts w:ascii="Arial" w:hAnsi="Arial" w:cs="Arial"/>
                <w:sz w:val="16"/>
                <w:szCs w:val="16"/>
              </w:rPr>
            </w:pPr>
            <w:r w:rsidRPr="001D4879">
              <w:rPr>
                <w:rFonts w:ascii="Arial" w:hAnsi="Arial" w:cs="Arial"/>
                <w:sz w:val="16"/>
                <w:szCs w:val="16"/>
              </w:rPr>
              <w:t>400,642</w:t>
            </w:r>
          </w:p>
        </w:tc>
        <w:tc>
          <w:tcPr>
            <w:tcW w:w="584" w:type="pct"/>
            <w:tcBorders>
              <w:top w:val="nil"/>
              <w:left w:val="nil"/>
              <w:bottom w:val="single" w:sz="4" w:space="0" w:color="auto"/>
              <w:right w:val="nil"/>
            </w:tcBorders>
            <w:shd w:val="clear" w:color="auto" w:fill="auto"/>
            <w:noWrap/>
            <w:vAlign w:val="bottom"/>
            <w:hideMark/>
          </w:tcPr>
          <w:p w14:paraId="70D048F3" w14:textId="51B016E9" w:rsidR="001D4879" w:rsidRPr="001D4879" w:rsidRDefault="001D4879" w:rsidP="001D4879">
            <w:pPr>
              <w:spacing w:after="0" w:line="240" w:lineRule="auto"/>
              <w:jc w:val="right"/>
              <w:rPr>
                <w:rFonts w:ascii="Arial" w:hAnsi="Arial" w:cs="Arial"/>
                <w:sz w:val="16"/>
                <w:szCs w:val="16"/>
              </w:rPr>
            </w:pPr>
            <w:r w:rsidRPr="001D4879">
              <w:rPr>
                <w:rFonts w:ascii="Arial" w:hAnsi="Arial" w:cs="Arial"/>
                <w:sz w:val="16"/>
                <w:szCs w:val="16"/>
              </w:rPr>
              <w:t>375,605</w:t>
            </w:r>
          </w:p>
        </w:tc>
        <w:tc>
          <w:tcPr>
            <w:tcW w:w="584" w:type="pct"/>
            <w:tcBorders>
              <w:top w:val="nil"/>
              <w:left w:val="nil"/>
              <w:bottom w:val="single" w:sz="4" w:space="0" w:color="auto"/>
              <w:right w:val="nil"/>
            </w:tcBorders>
            <w:shd w:val="clear" w:color="auto" w:fill="auto"/>
            <w:noWrap/>
            <w:vAlign w:val="bottom"/>
            <w:hideMark/>
          </w:tcPr>
          <w:p w14:paraId="018B9149" w14:textId="6B6BC029" w:rsidR="001D4879" w:rsidRPr="001D4879" w:rsidRDefault="001D4879" w:rsidP="001D4879">
            <w:pPr>
              <w:spacing w:after="0" w:line="240" w:lineRule="auto"/>
              <w:jc w:val="right"/>
              <w:rPr>
                <w:rFonts w:ascii="Arial" w:hAnsi="Arial" w:cs="Arial"/>
                <w:sz w:val="16"/>
                <w:szCs w:val="16"/>
              </w:rPr>
            </w:pPr>
            <w:r w:rsidRPr="001D4879">
              <w:rPr>
                <w:rFonts w:ascii="Arial" w:hAnsi="Arial" w:cs="Arial"/>
                <w:sz w:val="16"/>
                <w:szCs w:val="16"/>
              </w:rPr>
              <w:t>347,582</w:t>
            </w:r>
          </w:p>
        </w:tc>
      </w:tr>
      <w:tr w:rsidR="001D4879" w:rsidRPr="001D4879" w14:paraId="068ED87F" w14:textId="77777777" w:rsidTr="007B5C33">
        <w:trPr>
          <w:trHeight w:val="204"/>
        </w:trPr>
        <w:tc>
          <w:tcPr>
            <w:tcW w:w="2061" w:type="pct"/>
            <w:tcBorders>
              <w:top w:val="nil"/>
              <w:left w:val="nil"/>
              <w:bottom w:val="nil"/>
              <w:right w:val="nil"/>
            </w:tcBorders>
            <w:shd w:val="clear" w:color="auto" w:fill="auto"/>
            <w:vAlign w:val="bottom"/>
            <w:hideMark/>
          </w:tcPr>
          <w:p w14:paraId="63F0A011" w14:textId="4DF5E51B" w:rsidR="001D4879" w:rsidRPr="001D4879" w:rsidRDefault="001D4879" w:rsidP="001D4879">
            <w:pPr>
              <w:spacing w:after="0" w:line="240" w:lineRule="auto"/>
              <w:rPr>
                <w:rFonts w:ascii="Arial" w:hAnsi="Arial" w:cs="Arial"/>
                <w:b/>
                <w:bCs/>
                <w:sz w:val="16"/>
                <w:szCs w:val="16"/>
              </w:rPr>
            </w:pPr>
            <w:r w:rsidRPr="001D4879">
              <w:rPr>
                <w:rFonts w:ascii="Arial" w:hAnsi="Arial" w:cs="Arial"/>
                <w:b/>
                <w:bCs/>
                <w:sz w:val="16"/>
                <w:szCs w:val="16"/>
              </w:rPr>
              <w:t>Surplus/(deficit) attributable to the Australian Government</w:t>
            </w:r>
          </w:p>
        </w:tc>
        <w:tc>
          <w:tcPr>
            <w:tcW w:w="602" w:type="pct"/>
            <w:tcBorders>
              <w:top w:val="nil"/>
              <w:left w:val="nil"/>
              <w:bottom w:val="single" w:sz="4" w:space="0" w:color="auto"/>
              <w:right w:val="nil"/>
            </w:tcBorders>
            <w:shd w:val="clear" w:color="auto" w:fill="auto"/>
            <w:noWrap/>
            <w:vAlign w:val="bottom"/>
            <w:hideMark/>
          </w:tcPr>
          <w:p w14:paraId="2139A21D" w14:textId="77777777" w:rsidR="001D4879" w:rsidRPr="001D4879" w:rsidRDefault="001D4879" w:rsidP="001D4879">
            <w:pPr>
              <w:spacing w:after="0" w:line="240" w:lineRule="auto"/>
              <w:jc w:val="right"/>
              <w:rPr>
                <w:rFonts w:ascii="Arial" w:hAnsi="Arial" w:cs="Arial"/>
                <w:b/>
                <w:bCs/>
                <w:sz w:val="16"/>
                <w:szCs w:val="16"/>
              </w:rPr>
            </w:pPr>
            <w:r w:rsidRPr="001D4879">
              <w:rPr>
                <w:rFonts w:ascii="Arial" w:hAnsi="Arial" w:cs="Arial"/>
                <w:b/>
                <w:bCs/>
                <w:sz w:val="16"/>
                <w:szCs w:val="16"/>
              </w:rPr>
              <w:t>(17,031)</w:t>
            </w:r>
          </w:p>
        </w:tc>
        <w:tc>
          <w:tcPr>
            <w:tcW w:w="584" w:type="pct"/>
            <w:tcBorders>
              <w:top w:val="nil"/>
              <w:left w:val="nil"/>
              <w:bottom w:val="single" w:sz="4" w:space="0" w:color="auto"/>
              <w:right w:val="nil"/>
            </w:tcBorders>
            <w:shd w:val="clear" w:color="000000" w:fill="E6E6E6"/>
            <w:noWrap/>
            <w:vAlign w:val="bottom"/>
            <w:hideMark/>
          </w:tcPr>
          <w:p w14:paraId="3B0D08A1" w14:textId="77777777" w:rsidR="001D4879" w:rsidRPr="001D4879" w:rsidRDefault="001D4879" w:rsidP="001D4879">
            <w:pPr>
              <w:spacing w:after="0" w:line="240" w:lineRule="auto"/>
              <w:jc w:val="right"/>
              <w:rPr>
                <w:rFonts w:ascii="Arial" w:hAnsi="Arial" w:cs="Arial"/>
                <w:b/>
                <w:bCs/>
                <w:sz w:val="16"/>
                <w:szCs w:val="16"/>
              </w:rPr>
            </w:pPr>
            <w:r w:rsidRPr="001D4879">
              <w:rPr>
                <w:rFonts w:ascii="Arial" w:hAnsi="Arial" w:cs="Arial"/>
                <w:b/>
                <w:bCs/>
                <w:sz w:val="16"/>
                <w:szCs w:val="16"/>
              </w:rPr>
              <w:t>(16,915)</w:t>
            </w:r>
          </w:p>
        </w:tc>
        <w:tc>
          <w:tcPr>
            <w:tcW w:w="584" w:type="pct"/>
            <w:tcBorders>
              <w:top w:val="nil"/>
              <w:left w:val="nil"/>
              <w:bottom w:val="single" w:sz="4" w:space="0" w:color="auto"/>
              <w:right w:val="nil"/>
            </w:tcBorders>
            <w:shd w:val="clear" w:color="auto" w:fill="auto"/>
            <w:noWrap/>
            <w:vAlign w:val="bottom"/>
            <w:hideMark/>
          </w:tcPr>
          <w:p w14:paraId="7E10D702" w14:textId="77777777" w:rsidR="001D4879" w:rsidRPr="001D4879" w:rsidRDefault="001D4879" w:rsidP="001D4879">
            <w:pPr>
              <w:spacing w:after="0" w:line="240" w:lineRule="auto"/>
              <w:jc w:val="right"/>
              <w:rPr>
                <w:rFonts w:ascii="Arial" w:hAnsi="Arial" w:cs="Arial"/>
                <w:b/>
                <w:bCs/>
                <w:sz w:val="16"/>
                <w:szCs w:val="16"/>
              </w:rPr>
            </w:pPr>
            <w:r w:rsidRPr="001D4879">
              <w:rPr>
                <w:rFonts w:ascii="Arial" w:hAnsi="Arial" w:cs="Arial"/>
                <w:b/>
                <w:bCs/>
                <w:sz w:val="16"/>
                <w:szCs w:val="16"/>
              </w:rPr>
              <w:t>(16,915)</w:t>
            </w:r>
          </w:p>
        </w:tc>
        <w:tc>
          <w:tcPr>
            <w:tcW w:w="584" w:type="pct"/>
            <w:tcBorders>
              <w:top w:val="nil"/>
              <w:left w:val="nil"/>
              <w:bottom w:val="single" w:sz="4" w:space="0" w:color="auto"/>
              <w:right w:val="nil"/>
            </w:tcBorders>
            <w:shd w:val="clear" w:color="auto" w:fill="auto"/>
            <w:noWrap/>
            <w:vAlign w:val="bottom"/>
            <w:hideMark/>
          </w:tcPr>
          <w:p w14:paraId="671575B7" w14:textId="77777777" w:rsidR="001D4879" w:rsidRPr="001D4879" w:rsidRDefault="001D4879" w:rsidP="001D4879">
            <w:pPr>
              <w:spacing w:after="0" w:line="240" w:lineRule="auto"/>
              <w:jc w:val="right"/>
              <w:rPr>
                <w:rFonts w:ascii="Arial" w:hAnsi="Arial" w:cs="Arial"/>
                <w:b/>
                <w:bCs/>
                <w:sz w:val="16"/>
                <w:szCs w:val="16"/>
              </w:rPr>
            </w:pPr>
            <w:r w:rsidRPr="001D4879">
              <w:rPr>
                <w:rFonts w:ascii="Arial" w:hAnsi="Arial" w:cs="Arial"/>
                <w:b/>
                <w:bCs/>
                <w:sz w:val="16"/>
                <w:szCs w:val="16"/>
              </w:rPr>
              <w:t>(16,915)</w:t>
            </w:r>
          </w:p>
        </w:tc>
        <w:tc>
          <w:tcPr>
            <w:tcW w:w="584" w:type="pct"/>
            <w:tcBorders>
              <w:top w:val="nil"/>
              <w:left w:val="nil"/>
              <w:bottom w:val="single" w:sz="4" w:space="0" w:color="auto"/>
              <w:right w:val="nil"/>
            </w:tcBorders>
            <w:shd w:val="clear" w:color="auto" w:fill="auto"/>
            <w:noWrap/>
            <w:vAlign w:val="bottom"/>
            <w:hideMark/>
          </w:tcPr>
          <w:p w14:paraId="3D51CF6A" w14:textId="77777777" w:rsidR="001D4879" w:rsidRPr="001D4879" w:rsidRDefault="001D4879" w:rsidP="001D4879">
            <w:pPr>
              <w:spacing w:after="0" w:line="240" w:lineRule="auto"/>
              <w:jc w:val="right"/>
              <w:rPr>
                <w:rFonts w:ascii="Arial" w:hAnsi="Arial" w:cs="Arial"/>
                <w:b/>
                <w:bCs/>
                <w:sz w:val="16"/>
                <w:szCs w:val="16"/>
              </w:rPr>
            </w:pPr>
            <w:r w:rsidRPr="001D4879">
              <w:rPr>
                <w:rFonts w:ascii="Arial" w:hAnsi="Arial" w:cs="Arial"/>
                <w:b/>
                <w:bCs/>
                <w:sz w:val="16"/>
                <w:szCs w:val="16"/>
              </w:rPr>
              <w:t>(15,954)</w:t>
            </w:r>
          </w:p>
        </w:tc>
      </w:tr>
      <w:tr w:rsidR="001D4879" w:rsidRPr="001D4879" w14:paraId="02A59171" w14:textId="77777777" w:rsidTr="007B5C33">
        <w:trPr>
          <w:trHeight w:val="204"/>
        </w:trPr>
        <w:tc>
          <w:tcPr>
            <w:tcW w:w="2061" w:type="pct"/>
            <w:tcBorders>
              <w:top w:val="nil"/>
              <w:left w:val="nil"/>
              <w:bottom w:val="single" w:sz="4" w:space="0" w:color="auto"/>
              <w:right w:val="nil"/>
            </w:tcBorders>
            <w:shd w:val="clear" w:color="auto" w:fill="auto"/>
            <w:vAlign w:val="bottom"/>
            <w:hideMark/>
          </w:tcPr>
          <w:p w14:paraId="31144273" w14:textId="4F40A273" w:rsidR="001D4879" w:rsidRPr="001D4879" w:rsidRDefault="001D4879" w:rsidP="001D4879">
            <w:pPr>
              <w:spacing w:after="0" w:line="240" w:lineRule="auto"/>
              <w:rPr>
                <w:rFonts w:ascii="Arial" w:hAnsi="Arial" w:cs="Arial"/>
                <w:b/>
                <w:bCs/>
                <w:sz w:val="16"/>
                <w:szCs w:val="16"/>
              </w:rPr>
            </w:pPr>
            <w:r w:rsidRPr="001D4879">
              <w:rPr>
                <w:rFonts w:ascii="Arial" w:hAnsi="Arial" w:cs="Arial"/>
                <w:b/>
                <w:bCs/>
                <w:sz w:val="16"/>
                <w:szCs w:val="16"/>
              </w:rPr>
              <w:t>Total comprehensive income/(loss) attributable to the Australian Government</w:t>
            </w:r>
          </w:p>
        </w:tc>
        <w:tc>
          <w:tcPr>
            <w:tcW w:w="602" w:type="pct"/>
            <w:tcBorders>
              <w:top w:val="nil"/>
              <w:left w:val="nil"/>
              <w:bottom w:val="single" w:sz="4" w:space="0" w:color="auto"/>
              <w:right w:val="nil"/>
            </w:tcBorders>
            <w:shd w:val="clear" w:color="auto" w:fill="auto"/>
            <w:noWrap/>
            <w:vAlign w:val="bottom"/>
            <w:hideMark/>
          </w:tcPr>
          <w:p w14:paraId="71460619" w14:textId="77777777" w:rsidR="001D4879" w:rsidRPr="001D4879" w:rsidRDefault="001D4879" w:rsidP="001D4879">
            <w:pPr>
              <w:spacing w:after="0" w:line="240" w:lineRule="auto"/>
              <w:jc w:val="right"/>
              <w:rPr>
                <w:rFonts w:ascii="Arial" w:hAnsi="Arial" w:cs="Arial"/>
                <w:b/>
                <w:bCs/>
                <w:sz w:val="16"/>
                <w:szCs w:val="16"/>
              </w:rPr>
            </w:pPr>
            <w:r w:rsidRPr="001D4879">
              <w:rPr>
                <w:rFonts w:ascii="Arial" w:hAnsi="Arial" w:cs="Arial"/>
                <w:b/>
                <w:bCs/>
                <w:sz w:val="16"/>
                <w:szCs w:val="16"/>
              </w:rPr>
              <w:t>(17,031)</w:t>
            </w:r>
          </w:p>
        </w:tc>
        <w:tc>
          <w:tcPr>
            <w:tcW w:w="584" w:type="pct"/>
            <w:tcBorders>
              <w:top w:val="nil"/>
              <w:left w:val="nil"/>
              <w:bottom w:val="single" w:sz="4" w:space="0" w:color="auto"/>
              <w:right w:val="nil"/>
            </w:tcBorders>
            <w:shd w:val="clear" w:color="000000" w:fill="E6E6E6"/>
            <w:noWrap/>
            <w:vAlign w:val="bottom"/>
            <w:hideMark/>
          </w:tcPr>
          <w:p w14:paraId="2664E27F" w14:textId="77777777" w:rsidR="001D4879" w:rsidRPr="001D4879" w:rsidRDefault="001D4879" w:rsidP="001D4879">
            <w:pPr>
              <w:spacing w:after="0" w:line="240" w:lineRule="auto"/>
              <w:jc w:val="right"/>
              <w:rPr>
                <w:rFonts w:ascii="Arial" w:hAnsi="Arial" w:cs="Arial"/>
                <w:b/>
                <w:bCs/>
                <w:sz w:val="16"/>
                <w:szCs w:val="16"/>
              </w:rPr>
            </w:pPr>
            <w:r w:rsidRPr="001D4879">
              <w:rPr>
                <w:rFonts w:ascii="Arial" w:hAnsi="Arial" w:cs="Arial"/>
                <w:b/>
                <w:bCs/>
                <w:sz w:val="16"/>
                <w:szCs w:val="16"/>
              </w:rPr>
              <w:t>(16,915)</w:t>
            </w:r>
          </w:p>
        </w:tc>
        <w:tc>
          <w:tcPr>
            <w:tcW w:w="584" w:type="pct"/>
            <w:tcBorders>
              <w:top w:val="nil"/>
              <w:left w:val="nil"/>
              <w:bottom w:val="single" w:sz="4" w:space="0" w:color="auto"/>
              <w:right w:val="nil"/>
            </w:tcBorders>
            <w:shd w:val="clear" w:color="auto" w:fill="auto"/>
            <w:noWrap/>
            <w:vAlign w:val="bottom"/>
            <w:hideMark/>
          </w:tcPr>
          <w:p w14:paraId="0751EDE5" w14:textId="77777777" w:rsidR="001D4879" w:rsidRPr="001D4879" w:rsidRDefault="001D4879" w:rsidP="001D4879">
            <w:pPr>
              <w:spacing w:after="0" w:line="240" w:lineRule="auto"/>
              <w:jc w:val="right"/>
              <w:rPr>
                <w:rFonts w:ascii="Arial" w:hAnsi="Arial" w:cs="Arial"/>
                <w:b/>
                <w:bCs/>
                <w:sz w:val="16"/>
                <w:szCs w:val="16"/>
              </w:rPr>
            </w:pPr>
            <w:r w:rsidRPr="001D4879">
              <w:rPr>
                <w:rFonts w:ascii="Arial" w:hAnsi="Arial" w:cs="Arial"/>
                <w:b/>
                <w:bCs/>
                <w:sz w:val="16"/>
                <w:szCs w:val="16"/>
              </w:rPr>
              <w:t>(16,915)</w:t>
            </w:r>
          </w:p>
        </w:tc>
        <w:tc>
          <w:tcPr>
            <w:tcW w:w="584" w:type="pct"/>
            <w:tcBorders>
              <w:top w:val="nil"/>
              <w:left w:val="nil"/>
              <w:bottom w:val="single" w:sz="4" w:space="0" w:color="auto"/>
              <w:right w:val="nil"/>
            </w:tcBorders>
            <w:shd w:val="clear" w:color="auto" w:fill="auto"/>
            <w:noWrap/>
            <w:vAlign w:val="bottom"/>
            <w:hideMark/>
          </w:tcPr>
          <w:p w14:paraId="6D200FCE" w14:textId="77777777" w:rsidR="001D4879" w:rsidRPr="001D4879" w:rsidRDefault="001D4879" w:rsidP="001D4879">
            <w:pPr>
              <w:spacing w:after="0" w:line="240" w:lineRule="auto"/>
              <w:jc w:val="right"/>
              <w:rPr>
                <w:rFonts w:ascii="Arial" w:hAnsi="Arial" w:cs="Arial"/>
                <w:b/>
                <w:bCs/>
                <w:sz w:val="16"/>
                <w:szCs w:val="16"/>
              </w:rPr>
            </w:pPr>
            <w:r w:rsidRPr="001D4879">
              <w:rPr>
                <w:rFonts w:ascii="Arial" w:hAnsi="Arial" w:cs="Arial"/>
                <w:b/>
                <w:bCs/>
                <w:sz w:val="16"/>
                <w:szCs w:val="16"/>
              </w:rPr>
              <w:t>(16,915)</w:t>
            </w:r>
          </w:p>
        </w:tc>
        <w:tc>
          <w:tcPr>
            <w:tcW w:w="584" w:type="pct"/>
            <w:tcBorders>
              <w:top w:val="nil"/>
              <w:left w:val="nil"/>
              <w:bottom w:val="single" w:sz="4" w:space="0" w:color="auto"/>
              <w:right w:val="nil"/>
            </w:tcBorders>
            <w:shd w:val="clear" w:color="auto" w:fill="auto"/>
            <w:noWrap/>
            <w:vAlign w:val="bottom"/>
            <w:hideMark/>
          </w:tcPr>
          <w:p w14:paraId="020B32B9" w14:textId="77777777" w:rsidR="001D4879" w:rsidRPr="001D4879" w:rsidRDefault="001D4879" w:rsidP="001D4879">
            <w:pPr>
              <w:spacing w:after="0" w:line="240" w:lineRule="auto"/>
              <w:jc w:val="right"/>
              <w:rPr>
                <w:rFonts w:ascii="Arial" w:hAnsi="Arial" w:cs="Arial"/>
                <w:b/>
                <w:bCs/>
                <w:sz w:val="16"/>
                <w:szCs w:val="16"/>
              </w:rPr>
            </w:pPr>
            <w:r w:rsidRPr="001D4879">
              <w:rPr>
                <w:rFonts w:ascii="Arial" w:hAnsi="Arial" w:cs="Arial"/>
                <w:b/>
                <w:bCs/>
                <w:sz w:val="16"/>
                <w:szCs w:val="16"/>
              </w:rPr>
              <w:t>(15,954)</w:t>
            </w:r>
          </w:p>
        </w:tc>
      </w:tr>
    </w:tbl>
    <w:p w14:paraId="400E9A88" w14:textId="0AF0CBFF" w:rsidR="00115843" w:rsidRDefault="00B64189" w:rsidP="00115843">
      <w:pPr>
        <w:pStyle w:val="TableHeadingNoTable"/>
        <w:spacing w:after="0"/>
        <w:rPr>
          <w:rFonts w:cs="Arial"/>
          <w:sz w:val="16"/>
          <w:szCs w:val="16"/>
          <w:lang w:val="en-US"/>
        </w:rPr>
      </w:pPr>
      <w:r w:rsidRPr="00B64189">
        <w:rPr>
          <w:rFonts w:cs="Arial"/>
          <w:sz w:val="16"/>
          <w:szCs w:val="16"/>
          <w:lang w:val="en-US"/>
        </w:rPr>
        <w:t>Note: Impact of net cash appropriation arrangements</w:t>
      </w:r>
    </w:p>
    <w:tbl>
      <w:tblPr>
        <w:tblW w:w="5000" w:type="pct"/>
        <w:tblLook w:val="04A0" w:firstRow="1" w:lastRow="0" w:firstColumn="1" w:lastColumn="0" w:noHBand="0" w:noVBand="1"/>
      </w:tblPr>
      <w:tblGrid>
        <w:gridCol w:w="3176"/>
        <w:gridCol w:w="906"/>
        <w:gridCol w:w="907"/>
        <w:gridCol w:w="907"/>
        <w:gridCol w:w="907"/>
        <w:gridCol w:w="907"/>
      </w:tblGrid>
      <w:tr w:rsidR="001D4879" w:rsidRPr="001D4879" w14:paraId="683B1001" w14:textId="77777777" w:rsidTr="001D4879">
        <w:trPr>
          <w:trHeight w:val="204"/>
        </w:trPr>
        <w:tc>
          <w:tcPr>
            <w:tcW w:w="2060" w:type="pct"/>
            <w:tcBorders>
              <w:top w:val="single" w:sz="4" w:space="0" w:color="auto"/>
              <w:left w:val="nil"/>
              <w:bottom w:val="nil"/>
              <w:right w:val="nil"/>
            </w:tcBorders>
            <w:shd w:val="clear" w:color="auto" w:fill="auto"/>
            <w:vAlign w:val="bottom"/>
            <w:hideMark/>
          </w:tcPr>
          <w:p w14:paraId="4868C70F" w14:textId="05B92EE2" w:rsidR="001D4879" w:rsidRPr="001D4879" w:rsidRDefault="001D4879" w:rsidP="001D4879">
            <w:pPr>
              <w:spacing w:after="0" w:line="240" w:lineRule="auto"/>
              <w:rPr>
                <w:rFonts w:ascii="Arial" w:hAnsi="Arial" w:cs="Arial"/>
                <w:b/>
                <w:bCs/>
                <w:color w:val="000000"/>
                <w:sz w:val="16"/>
                <w:szCs w:val="16"/>
              </w:rPr>
            </w:pPr>
            <w:r w:rsidRPr="001D4879">
              <w:rPr>
                <w:rFonts w:ascii="Arial" w:hAnsi="Arial" w:cs="Arial"/>
                <w:b/>
                <w:bCs/>
                <w:color w:val="000000"/>
                <w:sz w:val="16"/>
                <w:szCs w:val="16"/>
              </w:rPr>
              <w:t>Total comprehensive income/(loss) - as per statement of Comprehensive Income</w:t>
            </w:r>
          </w:p>
        </w:tc>
        <w:tc>
          <w:tcPr>
            <w:tcW w:w="588" w:type="pct"/>
            <w:tcBorders>
              <w:top w:val="single" w:sz="4" w:space="0" w:color="auto"/>
              <w:left w:val="nil"/>
              <w:bottom w:val="nil"/>
              <w:right w:val="nil"/>
            </w:tcBorders>
            <w:shd w:val="clear" w:color="auto" w:fill="auto"/>
            <w:noWrap/>
            <w:vAlign w:val="bottom"/>
            <w:hideMark/>
          </w:tcPr>
          <w:p w14:paraId="76A96350" w14:textId="77777777" w:rsidR="001D4879" w:rsidRPr="001D4879" w:rsidRDefault="001D4879" w:rsidP="001D4879">
            <w:pPr>
              <w:spacing w:after="0" w:line="240" w:lineRule="auto"/>
              <w:jc w:val="right"/>
              <w:rPr>
                <w:rFonts w:ascii="Arial" w:hAnsi="Arial" w:cs="Arial"/>
                <w:b/>
                <w:bCs/>
                <w:color w:val="000000"/>
                <w:sz w:val="16"/>
                <w:szCs w:val="16"/>
              </w:rPr>
            </w:pPr>
            <w:r w:rsidRPr="001D4879">
              <w:rPr>
                <w:rFonts w:ascii="Arial" w:hAnsi="Arial" w:cs="Arial"/>
                <w:b/>
                <w:bCs/>
                <w:color w:val="000000"/>
                <w:sz w:val="16"/>
                <w:szCs w:val="16"/>
              </w:rPr>
              <w:t>(17,031)</w:t>
            </w:r>
          </w:p>
        </w:tc>
        <w:tc>
          <w:tcPr>
            <w:tcW w:w="588" w:type="pct"/>
            <w:tcBorders>
              <w:top w:val="single" w:sz="4" w:space="0" w:color="auto"/>
              <w:left w:val="nil"/>
              <w:bottom w:val="nil"/>
              <w:right w:val="nil"/>
            </w:tcBorders>
            <w:shd w:val="clear" w:color="000000" w:fill="E6E6E6"/>
            <w:noWrap/>
            <w:vAlign w:val="bottom"/>
            <w:hideMark/>
          </w:tcPr>
          <w:p w14:paraId="5B53DE3C" w14:textId="77777777" w:rsidR="001D4879" w:rsidRPr="001D4879" w:rsidRDefault="001D4879" w:rsidP="001D4879">
            <w:pPr>
              <w:spacing w:after="0" w:line="240" w:lineRule="auto"/>
              <w:jc w:val="right"/>
              <w:rPr>
                <w:rFonts w:ascii="Arial" w:hAnsi="Arial" w:cs="Arial"/>
                <w:b/>
                <w:bCs/>
                <w:color w:val="000000"/>
                <w:sz w:val="16"/>
                <w:szCs w:val="16"/>
              </w:rPr>
            </w:pPr>
            <w:r w:rsidRPr="001D4879">
              <w:rPr>
                <w:rFonts w:ascii="Arial" w:hAnsi="Arial" w:cs="Arial"/>
                <w:b/>
                <w:bCs/>
                <w:color w:val="000000"/>
                <w:sz w:val="16"/>
                <w:szCs w:val="16"/>
              </w:rPr>
              <w:t>(16,915)</w:t>
            </w:r>
          </w:p>
        </w:tc>
        <w:tc>
          <w:tcPr>
            <w:tcW w:w="588" w:type="pct"/>
            <w:tcBorders>
              <w:top w:val="single" w:sz="4" w:space="0" w:color="auto"/>
              <w:left w:val="nil"/>
              <w:bottom w:val="nil"/>
              <w:right w:val="nil"/>
            </w:tcBorders>
            <w:shd w:val="clear" w:color="auto" w:fill="auto"/>
            <w:noWrap/>
            <w:vAlign w:val="bottom"/>
            <w:hideMark/>
          </w:tcPr>
          <w:p w14:paraId="3B818C79" w14:textId="77777777" w:rsidR="001D4879" w:rsidRPr="001D4879" w:rsidRDefault="001D4879" w:rsidP="001D4879">
            <w:pPr>
              <w:spacing w:after="0" w:line="240" w:lineRule="auto"/>
              <w:jc w:val="right"/>
              <w:rPr>
                <w:rFonts w:ascii="Arial" w:hAnsi="Arial" w:cs="Arial"/>
                <w:b/>
                <w:bCs/>
                <w:color w:val="000000"/>
                <w:sz w:val="16"/>
                <w:szCs w:val="16"/>
              </w:rPr>
            </w:pPr>
            <w:r w:rsidRPr="001D4879">
              <w:rPr>
                <w:rFonts w:ascii="Arial" w:hAnsi="Arial" w:cs="Arial"/>
                <w:b/>
                <w:bCs/>
                <w:color w:val="000000"/>
                <w:sz w:val="16"/>
                <w:szCs w:val="16"/>
              </w:rPr>
              <w:t>(16,915)</w:t>
            </w:r>
          </w:p>
        </w:tc>
        <w:tc>
          <w:tcPr>
            <w:tcW w:w="588" w:type="pct"/>
            <w:tcBorders>
              <w:top w:val="single" w:sz="4" w:space="0" w:color="auto"/>
              <w:left w:val="nil"/>
              <w:bottom w:val="nil"/>
              <w:right w:val="nil"/>
            </w:tcBorders>
            <w:shd w:val="clear" w:color="auto" w:fill="auto"/>
            <w:noWrap/>
            <w:vAlign w:val="bottom"/>
            <w:hideMark/>
          </w:tcPr>
          <w:p w14:paraId="73F6CE47" w14:textId="77777777" w:rsidR="001D4879" w:rsidRPr="001D4879" w:rsidRDefault="001D4879" w:rsidP="001D4879">
            <w:pPr>
              <w:spacing w:after="0" w:line="240" w:lineRule="auto"/>
              <w:jc w:val="right"/>
              <w:rPr>
                <w:rFonts w:ascii="Arial" w:hAnsi="Arial" w:cs="Arial"/>
                <w:b/>
                <w:bCs/>
                <w:color w:val="000000"/>
                <w:sz w:val="16"/>
                <w:szCs w:val="16"/>
              </w:rPr>
            </w:pPr>
            <w:r w:rsidRPr="001D4879">
              <w:rPr>
                <w:rFonts w:ascii="Arial" w:hAnsi="Arial" w:cs="Arial"/>
                <w:b/>
                <w:bCs/>
                <w:color w:val="000000"/>
                <w:sz w:val="16"/>
                <w:szCs w:val="16"/>
              </w:rPr>
              <w:t>(16,915)</w:t>
            </w:r>
          </w:p>
        </w:tc>
        <w:tc>
          <w:tcPr>
            <w:tcW w:w="588" w:type="pct"/>
            <w:tcBorders>
              <w:top w:val="single" w:sz="4" w:space="0" w:color="auto"/>
              <w:left w:val="nil"/>
              <w:bottom w:val="nil"/>
              <w:right w:val="nil"/>
            </w:tcBorders>
            <w:shd w:val="clear" w:color="auto" w:fill="auto"/>
            <w:noWrap/>
            <w:vAlign w:val="bottom"/>
            <w:hideMark/>
          </w:tcPr>
          <w:p w14:paraId="5E546F34" w14:textId="77777777" w:rsidR="001D4879" w:rsidRPr="001D4879" w:rsidRDefault="001D4879" w:rsidP="001D4879">
            <w:pPr>
              <w:spacing w:after="0" w:line="240" w:lineRule="auto"/>
              <w:jc w:val="right"/>
              <w:rPr>
                <w:rFonts w:ascii="Arial" w:hAnsi="Arial" w:cs="Arial"/>
                <w:b/>
                <w:bCs/>
                <w:color w:val="000000"/>
                <w:sz w:val="16"/>
                <w:szCs w:val="16"/>
              </w:rPr>
            </w:pPr>
            <w:r w:rsidRPr="001D4879">
              <w:rPr>
                <w:rFonts w:ascii="Arial" w:hAnsi="Arial" w:cs="Arial"/>
                <w:b/>
                <w:bCs/>
                <w:color w:val="000000"/>
                <w:sz w:val="16"/>
                <w:szCs w:val="16"/>
              </w:rPr>
              <w:t>(15,954)</w:t>
            </w:r>
          </w:p>
        </w:tc>
      </w:tr>
      <w:tr w:rsidR="001D4879" w:rsidRPr="001D4879" w14:paraId="69900FD4" w14:textId="77777777" w:rsidTr="001D4879">
        <w:trPr>
          <w:trHeight w:val="204"/>
        </w:trPr>
        <w:tc>
          <w:tcPr>
            <w:tcW w:w="2060" w:type="pct"/>
            <w:tcBorders>
              <w:top w:val="nil"/>
              <w:left w:val="nil"/>
              <w:bottom w:val="nil"/>
              <w:right w:val="nil"/>
            </w:tcBorders>
            <w:shd w:val="clear" w:color="auto" w:fill="auto"/>
            <w:vAlign w:val="bottom"/>
            <w:hideMark/>
          </w:tcPr>
          <w:p w14:paraId="3CE1E8B4" w14:textId="6A5B921F" w:rsidR="001D4879" w:rsidRPr="001D4879" w:rsidRDefault="001D4879" w:rsidP="001D4879">
            <w:pPr>
              <w:spacing w:after="0" w:line="240" w:lineRule="auto"/>
              <w:ind w:left="113"/>
              <w:rPr>
                <w:rFonts w:ascii="Arial" w:hAnsi="Arial" w:cs="Arial"/>
                <w:color w:val="000000"/>
                <w:sz w:val="16"/>
                <w:szCs w:val="16"/>
              </w:rPr>
            </w:pPr>
            <w:r w:rsidRPr="001D4879">
              <w:rPr>
                <w:rFonts w:ascii="Arial" w:hAnsi="Arial" w:cs="Arial"/>
                <w:color w:val="000000"/>
                <w:sz w:val="16"/>
                <w:szCs w:val="16"/>
              </w:rPr>
              <w:t>plus: depreciation/amortisation of assets funded through appropriations (departmental capital budget funding and/or equity injections)</w:t>
            </w:r>
            <w:r w:rsidRPr="001D4879">
              <w:rPr>
                <w:rFonts w:ascii="Arial" w:hAnsi="Arial" w:cs="Arial"/>
                <w:color w:val="000000"/>
                <w:sz w:val="16"/>
                <w:szCs w:val="16"/>
                <w:vertAlign w:val="superscript"/>
              </w:rPr>
              <w:t>(a)</w:t>
            </w:r>
          </w:p>
        </w:tc>
        <w:tc>
          <w:tcPr>
            <w:tcW w:w="588" w:type="pct"/>
            <w:tcBorders>
              <w:top w:val="nil"/>
              <w:left w:val="nil"/>
              <w:bottom w:val="nil"/>
              <w:right w:val="nil"/>
            </w:tcBorders>
            <w:shd w:val="clear" w:color="auto" w:fill="auto"/>
            <w:noWrap/>
            <w:vAlign w:val="bottom"/>
            <w:hideMark/>
          </w:tcPr>
          <w:p w14:paraId="41A92246" w14:textId="01A37345" w:rsidR="001D4879" w:rsidRPr="001D4879" w:rsidRDefault="001D4879" w:rsidP="001D4879">
            <w:pPr>
              <w:spacing w:after="0" w:line="240" w:lineRule="auto"/>
              <w:jc w:val="right"/>
              <w:rPr>
                <w:rFonts w:ascii="Arial" w:hAnsi="Arial" w:cs="Arial"/>
                <w:sz w:val="16"/>
                <w:szCs w:val="16"/>
              </w:rPr>
            </w:pPr>
            <w:r w:rsidRPr="001D4879">
              <w:rPr>
                <w:rFonts w:ascii="Arial" w:hAnsi="Arial" w:cs="Arial"/>
                <w:sz w:val="16"/>
                <w:szCs w:val="16"/>
              </w:rPr>
              <w:t>16,795</w:t>
            </w:r>
          </w:p>
        </w:tc>
        <w:tc>
          <w:tcPr>
            <w:tcW w:w="588" w:type="pct"/>
            <w:tcBorders>
              <w:top w:val="nil"/>
              <w:left w:val="nil"/>
              <w:bottom w:val="nil"/>
              <w:right w:val="nil"/>
            </w:tcBorders>
            <w:shd w:val="clear" w:color="000000" w:fill="E6E6E6"/>
            <w:noWrap/>
            <w:vAlign w:val="bottom"/>
            <w:hideMark/>
          </w:tcPr>
          <w:p w14:paraId="1094ABF4" w14:textId="7689DBA8" w:rsidR="001D4879" w:rsidRPr="002E09F9" w:rsidRDefault="001D4879" w:rsidP="001D4879">
            <w:pPr>
              <w:spacing w:after="0" w:line="240" w:lineRule="auto"/>
              <w:jc w:val="right"/>
              <w:rPr>
                <w:rFonts w:ascii="Arial" w:hAnsi="Arial" w:cs="Arial"/>
                <w:bCs/>
                <w:sz w:val="16"/>
                <w:szCs w:val="16"/>
              </w:rPr>
            </w:pPr>
            <w:r w:rsidRPr="002E09F9">
              <w:rPr>
                <w:rFonts w:ascii="Arial" w:hAnsi="Arial" w:cs="Arial"/>
                <w:bCs/>
                <w:sz w:val="16"/>
                <w:szCs w:val="16"/>
              </w:rPr>
              <w:t>16,678</w:t>
            </w:r>
          </w:p>
        </w:tc>
        <w:tc>
          <w:tcPr>
            <w:tcW w:w="588" w:type="pct"/>
            <w:tcBorders>
              <w:top w:val="nil"/>
              <w:left w:val="nil"/>
              <w:bottom w:val="nil"/>
              <w:right w:val="nil"/>
            </w:tcBorders>
            <w:shd w:val="clear" w:color="auto" w:fill="auto"/>
            <w:noWrap/>
            <w:vAlign w:val="bottom"/>
            <w:hideMark/>
          </w:tcPr>
          <w:p w14:paraId="32955EEC" w14:textId="21BCA1B6" w:rsidR="001D4879" w:rsidRPr="001D4879" w:rsidRDefault="001D4879" w:rsidP="001D4879">
            <w:pPr>
              <w:spacing w:after="0" w:line="240" w:lineRule="auto"/>
              <w:jc w:val="right"/>
              <w:rPr>
                <w:rFonts w:ascii="Arial" w:hAnsi="Arial" w:cs="Arial"/>
                <w:sz w:val="16"/>
                <w:szCs w:val="16"/>
              </w:rPr>
            </w:pPr>
            <w:r w:rsidRPr="001D4879">
              <w:rPr>
                <w:rFonts w:ascii="Arial" w:hAnsi="Arial" w:cs="Arial"/>
                <w:sz w:val="16"/>
                <w:szCs w:val="16"/>
              </w:rPr>
              <w:t>16,678</w:t>
            </w:r>
          </w:p>
        </w:tc>
        <w:tc>
          <w:tcPr>
            <w:tcW w:w="588" w:type="pct"/>
            <w:tcBorders>
              <w:top w:val="nil"/>
              <w:left w:val="nil"/>
              <w:bottom w:val="nil"/>
              <w:right w:val="nil"/>
            </w:tcBorders>
            <w:shd w:val="clear" w:color="auto" w:fill="auto"/>
            <w:noWrap/>
            <w:vAlign w:val="bottom"/>
            <w:hideMark/>
          </w:tcPr>
          <w:p w14:paraId="27674ED0" w14:textId="5C9494DD" w:rsidR="001D4879" w:rsidRPr="001D4879" w:rsidRDefault="001D4879" w:rsidP="001D4879">
            <w:pPr>
              <w:spacing w:after="0" w:line="240" w:lineRule="auto"/>
              <w:jc w:val="right"/>
              <w:rPr>
                <w:rFonts w:ascii="Arial" w:hAnsi="Arial" w:cs="Arial"/>
                <w:sz w:val="16"/>
                <w:szCs w:val="16"/>
              </w:rPr>
            </w:pPr>
            <w:r w:rsidRPr="001D4879">
              <w:rPr>
                <w:rFonts w:ascii="Arial" w:hAnsi="Arial" w:cs="Arial"/>
                <w:sz w:val="16"/>
                <w:szCs w:val="16"/>
              </w:rPr>
              <w:t>16,678</w:t>
            </w:r>
          </w:p>
        </w:tc>
        <w:tc>
          <w:tcPr>
            <w:tcW w:w="588" w:type="pct"/>
            <w:tcBorders>
              <w:top w:val="nil"/>
              <w:left w:val="nil"/>
              <w:bottom w:val="nil"/>
              <w:right w:val="nil"/>
            </w:tcBorders>
            <w:shd w:val="clear" w:color="auto" w:fill="auto"/>
            <w:noWrap/>
            <w:vAlign w:val="bottom"/>
            <w:hideMark/>
          </w:tcPr>
          <w:p w14:paraId="41475B8D" w14:textId="4B1FC2A5" w:rsidR="001D4879" w:rsidRPr="001D4879" w:rsidRDefault="001D4879" w:rsidP="001D4879">
            <w:pPr>
              <w:spacing w:after="0" w:line="240" w:lineRule="auto"/>
              <w:jc w:val="right"/>
              <w:rPr>
                <w:rFonts w:ascii="Arial" w:hAnsi="Arial" w:cs="Arial"/>
                <w:sz w:val="16"/>
                <w:szCs w:val="16"/>
              </w:rPr>
            </w:pPr>
            <w:r w:rsidRPr="001D4879">
              <w:rPr>
                <w:rFonts w:ascii="Arial" w:hAnsi="Arial" w:cs="Arial"/>
                <w:sz w:val="16"/>
                <w:szCs w:val="16"/>
              </w:rPr>
              <w:t>16,256</w:t>
            </w:r>
          </w:p>
        </w:tc>
      </w:tr>
      <w:tr w:rsidR="001D4879" w:rsidRPr="001D4879" w14:paraId="2192F3CD" w14:textId="77777777" w:rsidTr="001D4879">
        <w:trPr>
          <w:trHeight w:val="204"/>
        </w:trPr>
        <w:tc>
          <w:tcPr>
            <w:tcW w:w="2060" w:type="pct"/>
            <w:tcBorders>
              <w:top w:val="nil"/>
              <w:left w:val="nil"/>
              <w:bottom w:val="nil"/>
              <w:right w:val="nil"/>
            </w:tcBorders>
            <w:shd w:val="clear" w:color="auto" w:fill="auto"/>
            <w:vAlign w:val="bottom"/>
            <w:hideMark/>
          </w:tcPr>
          <w:p w14:paraId="56BC2F86" w14:textId="15DC2276" w:rsidR="001D4879" w:rsidRPr="001D4879" w:rsidRDefault="001D4879" w:rsidP="001D4879">
            <w:pPr>
              <w:spacing w:after="0" w:line="240" w:lineRule="auto"/>
              <w:ind w:left="113"/>
              <w:rPr>
                <w:rFonts w:ascii="Arial" w:hAnsi="Arial" w:cs="Arial"/>
                <w:color w:val="000000"/>
                <w:sz w:val="16"/>
                <w:szCs w:val="16"/>
              </w:rPr>
            </w:pPr>
            <w:r w:rsidRPr="001D4879">
              <w:rPr>
                <w:rFonts w:ascii="Arial" w:hAnsi="Arial" w:cs="Arial"/>
                <w:color w:val="000000"/>
                <w:sz w:val="16"/>
                <w:szCs w:val="16"/>
              </w:rPr>
              <w:t>plus: depreciation/amortisation expenses for ROU assets</w:t>
            </w:r>
            <w:r w:rsidRPr="001D4879">
              <w:rPr>
                <w:rFonts w:ascii="Arial" w:hAnsi="Arial" w:cs="Arial"/>
                <w:color w:val="000000"/>
                <w:sz w:val="16"/>
                <w:szCs w:val="16"/>
                <w:vertAlign w:val="superscript"/>
              </w:rPr>
              <w:t>(b)</w:t>
            </w:r>
          </w:p>
        </w:tc>
        <w:tc>
          <w:tcPr>
            <w:tcW w:w="588" w:type="pct"/>
            <w:tcBorders>
              <w:top w:val="nil"/>
              <w:left w:val="nil"/>
              <w:bottom w:val="nil"/>
              <w:right w:val="nil"/>
            </w:tcBorders>
            <w:shd w:val="clear" w:color="auto" w:fill="auto"/>
            <w:noWrap/>
            <w:vAlign w:val="bottom"/>
            <w:hideMark/>
          </w:tcPr>
          <w:p w14:paraId="0C781D05" w14:textId="1C7AFE0C" w:rsidR="001D4879" w:rsidRPr="001D4879" w:rsidRDefault="001D4879" w:rsidP="001D4879">
            <w:pPr>
              <w:spacing w:after="0" w:line="240" w:lineRule="auto"/>
              <w:jc w:val="right"/>
              <w:rPr>
                <w:rFonts w:ascii="Arial" w:hAnsi="Arial" w:cs="Arial"/>
                <w:sz w:val="16"/>
                <w:szCs w:val="16"/>
              </w:rPr>
            </w:pPr>
            <w:r w:rsidRPr="001D4879">
              <w:rPr>
                <w:rFonts w:ascii="Arial" w:hAnsi="Arial" w:cs="Arial"/>
                <w:sz w:val="16"/>
                <w:szCs w:val="16"/>
              </w:rPr>
              <w:t>20,168</w:t>
            </w:r>
          </w:p>
        </w:tc>
        <w:tc>
          <w:tcPr>
            <w:tcW w:w="588" w:type="pct"/>
            <w:tcBorders>
              <w:top w:val="nil"/>
              <w:left w:val="nil"/>
              <w:bottom w:val="nil"/>
              <w:right w:val="nil"/>
            </w:tcBorders>
            <w:shd w:val="clear" w:color="000000" w:fill="E6E6E6"/>
            <w:noWrap/>
            <w:vAlign w:val="bottom"/>
            <w:hideMark/>
          </w:tcPr>
          <w:p w14:paraId="76FE0D86" w14:textId="3570DE7D" w:rsidR="001D4879" w:rsidRPr="002E09F9" w:rsidRDefault="001D4879" w:rsidP="001D4879">
            <w:pPr>
              <w:spacing w:after="0" w:line="240" w:lineRule="auto"/>
              <w:jc w:val="right"/>
              <w:rPr>
                <w:rFonts w:ascii="Arial" w:hAnsi="Arial" w:cs="Arial"/>
                <w:bCs/>
                <w:sz w:val="16"/>
                <w:szCs w:val="16"/>
              </w:rPr>
            </w:pPr>
            <w:r w:rsidRPr="002E09F9">
              <w:rPr>
                <w:rFonts w:ascii="Arial" w:hAnsi="Arial" w:cs="Arial"/>
                <w:bCs/>
                <w:sz w:val="16"/>
                <w:szCs w:val="16"/>
              </w:rPr>
              <w:t>20,232</w:t>
            </w:r>
          </w:p>
        </w:tc>
        <w:tc>
          <w:tcPr>
            <w:tcW w:w="588" w:type="pct"/>
            <w:tcBorders>
              <w:top w:val="nil"/>
              <w:left w:val="nil"/>
              <w:bottom w:val="nil"/>
              <w:right w:val="nil"/>
            </w:tcBorders>
            <w:shd w:val="clear" w:color="auto" w:fill="auto"/>
            <w:noWrap/>
            <w:vAlign w:val="bottom"/>
            <w:hideMark/>
          </w:tcPr>
          <w:p w14:paraId="0B59BD2D" w14:textId="461429DE" w:rsidR="001D4879" w:rsidRPr="001D4879" w:rsidRDefault="001D4879" w:rsidP="001D4879">
            <w:pPr>
              <w:spacing w:after="0" w:line="240" w:lineRule="auto"/>
              <w:jc w:val="right"/>
              <w:rPr>
                <w:rFonts w:ascii="Arial" w:hAnsi="Arial" w:cs="Arial"/>
                <w:sz w:val="16"/>
                <w:szCs w:val="16"/>
              </w:rPr>
            </w:pPr>
            <w:r w:rsidRPr="001D4879">
              <w:rPr>
                <w:rFonts w:ascii="Arial" w:hAnsi="Arial" w:cs="Arial"/>
                <w:sz w:val="16"/>
                <w:szCs w:val="16"/>
              </w:rPr>
              <w:t>20,232</w:t>
            </w:r>
          </w:p>
        </w:tc>
        <w:tc>
          <w:tcPr>
            <w:tcW w:w="588" w:type="pct"/>
            <w:tcBorders>
              <w:top w:val="nil"/>
              <w:left w:val="nil"/>
              <w:bottom w:val="nil"/>
              <w:right w:val="nil"/>
            </w:tcBorders>
            <w:shd w:val="clear" w:color="auto" w:fill="auto"/>
            <w:noWrap/>
            <w:vAlign w:val="bottom"/>
            <w:hideMark/>
          </w:tcPr>
          <w:p w14:paraId="0CBB259E" w14:textId="0E96F5EE" w:rsidR="001D4879" w:rsidRPr="001D4879" w:rsidRDefault="001D4879" w:rsidP="001D4879">
            <w:pPr>
              <w:spacing w:after="0" w:line="240" w:lineRule="auto"/>
              <w:jc w:val="right"/>
              <w:rPr>
                <w:rFonts w:ascii="Arial" w:hAnsi="Arial" w:cs="Arial"/>
                <w:sz w:val="16"/>
                <w:szCs w:val="16"/>
              </w:rPr>
            </w:pPr>
            <w:r w:rsidRPr="001D4879">
              <w:rPr>
                <w:rFonts w:ascii="Arial" w:hAnsi="Arial" w:cs="Arial"/>
                <w:sz w:val="16"/>
                <w:szCs w:val="16"/>
              </w:rPr>
              <w:t>20,232</w:t>
            </w:r>
          </w:p>
        </w:tc>
        <w:tc>
          <w:tcPr>
            <w:tcW w:w="588" w:type="pct"/>
            <w:tcBorders>
              <w:top w:val="nil"/>
              <w:left w:val="nil"/>
              <w:bottom w:val="nil"/>
              <w:right w:val="nil"/>
            </w:tcBorders>
            <w:shd w:val="clear" w:color="auto" w:fill="auto"/>
            <w:noWrap/>
            <w:vAlign w:val="bottom"/>
            <w:hideMark/>
          </w:tcPr>
          <w:p w14:paraId="029ECFB5" w14:textId="50655B7D" w:rsidR="001D4879" w:rsidRPr="001D4879" w:rsidRDefault="001D4879" w:rsidP="001D4879">
            <w:pPr>
              <w:spacing w:after="0" w:line="240" w:lineRule="auto"/>
              <w:jc w:val="right"/>
              <w:rPr>
                <w:rFonts w:ascii="Arial" w:hAnsi="Arial" w:cs="Arial"/>
                <w:sz w:val="16"/>
                <w:szCs w:val="16"/>
              </w:rPr>
            </w:pPr>
            <w:r w:rsidRPr="001D4879">
              <w:rPr>
                <w:rFonts w:ascii="Arial" w:hAnsi="Arial" w:cs="Arial"/>
                <w:sz w:val="16"/>
                <w:szCs w:val="16"/>
              </w:rPr>
              <w:t>19,693</w:t>
            </w:r>
          </w:p>
        </w:tc>
      </w:tr>
      <w:tr w:rsidR="001D4879" w:rsidRPr="001D4879" w14:paraId="3C00D650" w14:textId="77777777" w:rsidTr="001D4879">
        <w:trPr>
          <w:trHeight w:val="204"/>
        </w:trPr>
        <w:tc>
          <w:tcPr>
            <w:tcW w:w="2060" w:type="pct"/>
            <w:tcBorders>
              <w:top w:val="nil"/>
              <w:left w:val="nil"/>
              <w:bottom w:val="nil"/>
              <w:right w:val="nil"/>
            </w:tcBorders>
            <w:shd w:val="clear" w:color="auto" w:fill="auto"/>
            <w:vAlign w:val="bottom"/>
            <w:hideMark/>
          </w:tcPr>
          <w:p w14:paraId="1D9FB6ED" w14:textId="7BB3D1CA" w:rsidR="001D4879" w:rsidRPr="001D4879" w:rsidRDefault="001D4879" w:rsidP="001D4879">
            <w:pPr>
              <w:spacing w:after="0" w:line="240" w:lineRule="auto"/>
              <w:ind w:left="113"/>
              <w:rPr>
                <w:rFonts w:ascii="Arial" w:hAnsi="Arial" w:cs="Arial"/>
                <w:color w:val="000000"/>
                <w:sz w:val="16"/>
                <w:szCs w:val="16"/>
              </w:rPr>
            </w:pPr>
            <w:r w:rsidRPr="001D4879">
              <w:rPr>
                <w:rFonts w:ascii="Arial" w:hAnsi="Arial" w:cs="Arial"/>
                <w:color w:val="000000"/>
                <w:sz w:val="16"/>
                <w:szCs w:val="16"/>
              </w:rPr>
              <w:t>less: lease principal repayments</w:t>
            </w:r>
            <w:r w:rsidRPr="001D4879">
              <w:rPr>
                <w:rFonts w:ascii="Arial" w:hAnsi="Arial" w:cs="Arial"/>
                <w:color w:val="000000"/>
                <w:sz w:val="16"/>
                <w:szCs w:val="16"/>
                <w:vertAlign w:val="superscript"/>
              </w:rPr>
              <w:t>(b)</w:t>
            </w:r>
          </w:p>
        </w:tc>
        <w:tc>
          <w:tcPr>
            <w:tcW w:w="588" w:type="pct"/>
            <w:tcBorders>
              <w:top w:val="nil"/>
              <w:left w:val="nil"/>
              <w:bottom w:val="nil"/>
              <w:right w:val="nil"/>
            </w:tcBorders>
            <w:shd w:val="clear" w:color="auto" w:fill="auto"/>
            <w:noWrap/>
            <w:vAlign w:val="bottom"/>
            <w:hideMark/>
          </w:tcPr>
          <w:p w14:paraId="1339561A" w14:textId="3FE3546B" w:rsidR="001D4879" w:rsidRPr="001D4879" w:rsidRDefault="002E09F9" w:rsidP="001D4879">
            <w:pPr>
              <w:spacing w:after="0" w:line="240" w:lineRule="auto"/>
              <w:jc w:val="right"/>
              <w:rPr>
                <w:rFonts w:ascii="Arial" w:hAnsi="Arial" w:cs="Arial"/>
                <w:sz w:val="16"/>
                <w:szCs w:val="16"/>
              </w:rPr>
            </w:pPr>
            <w:r>
              <w:rPr>
                <w:rFonts w:ascii="Arial" w:hAnsi="Arial" w:cs="Arial"/>
                <w:sz w:val="16"/>
                <w:szCs w:val="16"/>
              </w:rPr>
              <w:t>(</w:t>
            </w:r>
            <w:r w:rsidR="001D4879" w:rsidRPr="001D4879">
              <w:rPr>
                <w:rFonts w:ascii="Arial" w:hAnsi="Arial" w:cs="Arial"/>
                <w:sz w:val="16"/>
                <w:szCs w:val="16"/>
              </w:rPr>
              <w:t>19,932</w:t>
            </w:r>
            <w:r>
              <w:rPr>
                <w:rFonts w:ascii="Arial" w:hAnsi="Arial" w:cs="Arial"/>
                <w:sz w:val="16"/>
                <w:szCs w:val="16"/>
              </w:rPr>
              <w:t>)</w:t>
            </w:r>
          </w:p>
        </w:tc>
        <w:tc>
          <w:tcPr>
            <w:tcW w:w="588" w:type="pct"/>
            <w:tcBorders>
              <w:top w:val="nil"/>
              <w:left w:val="nil"/>
              <w:bottom w:val="nil"/>
              <w:right w:val="nil"/>
            </w:tcBorders>
            <w:shd w:val="clear" w:color="000000" w:fill="E6E6E6"/>
            <w:noWrap/>
            <w:vAlign w:val="bottom"/>
            <w:hideMark/>
          </w:tcPr>
          <w:p w14:paraId="19A8D92C" w14:textId="6314A90A" w:rsidR="001D4879" w:rsidRPr="002E09F9" w:rsidRDefault="002E09F9" w:rsidP="001D4879">
            <w:pPr>
              <w:spacing w:after="0" w:line="240" w:lineRule="auto"/>
              <w:jc w:val="right"/>
              <w:rPr>
                <w:rFonts w:ascii="Arial" w:hAnsi="Arial" w:cs="Arial"/>
                <w:bCs/>
                <w:sz w:val="16"/>
                <w:szCs w:val="16"/>
              </w:rPr>
            </w:pPr>
            <w:r>
              <w:rPr>
                <w:rFonts w:ascii="Arial" w:hAnsi="Arial" w:cs="Arial"/>
                <w:bCs/>
                <w:sz w:val="16"/>
                <w:szCs w:val="16"/>
              </w:rPr>
              <w:t>(</w:t>
            </w:r>
            <w:r w:rsidR="001D4879" w:rsidRPr="002E09F9">
              <w:rPr>
                <w:rFonts w:ascii="Arial" w:hAnsi="Arial" w:cs="Arial"/>
                <w:bCs/>
                <w:sz w:val="16"/>
                <w:szCs w:val="16"/>
              </w:rPr>
              <w:t>19,995</w:t>
            </w:r>
            <w:r>
              <w:rPr>
                <w:rFonts w:ascii="Arial" w:hAnsi="Arial" w:cs="Arial"/>
                <w:bCs/>
                <w:sz w:val="16"/>
                <w:szCs w:val="16"/>
              </w:rPr>
              <w:t>)</w:t>
            </w:r>
          </w:p>
        </w:tc>
        <w:tc>
          <w:tcPr>
            <w:tcW w:w="588" w:type="pct"/>
            <w:tcBorders>
              <w:top w:val="nil"/>
              <w:left w:val="nil"/>
              <w:bottom w:val="nil"/>
              <w:right w:val="nil"/>
            </w:tcBorders>
            <w:shd w:val="clear" w:color="auto" w:fill="auto"/>
            <w:noWrap/>
            <w:vAlign w:val="bottom"/>
            <w:hideMark/>
          </w:tcPr>
          <w:p w14:paraId="7DA02986" w14:textId="08C2D2AE" w:rsidR="001D4879" w:rsidRPr="001D4879" w:rsidRDefault="002E09F9" w:rsidP="001D4879">
            <w:pPr>
              <w:spacing w:after="0" w:line="240" w:lineRule="auto"/>
              <w:jc w:val="right"/>
              <w:rPr>
                <w:rFonts w:ascii="Arial" w:hAnsi="Arial" w:cs="Arial"/>
                <w:sz w:val="16"/>
                <w:szCs w:val="16"/>
              </w:rPr>
            </w:pPr>
            <w:r>
              <w:rPr>
                <w:rFonts w:ascii="Arial" w:hAnsi="Arial" w:cs="Arial"/>
                <w:sz w:val="16"/>
                <w:szCs w:val="16"/>
              </w:rPr>
              <w:t>(</w:t>
            </w:r>
            <w:r w:rsidR="001D4879" w:rsidRPr="001D4879">
              <w:rPr>
                <w:rFonts w:ascii="Arial" w:hAnsi="Arial" w:cs="Arial"/>
                <w:sz w:val="16"/>
                <w:szCs w:val="16"/>
              </w:rPr>
              <w:t>19,995</w:t>
            </w:r>
            <w:r>
              <w:rPr>
                <w:rFonts w:ascii="Arial" w:hAnsi="Arial" w:cs="Arial"/>
                <w:sz w:val="16"/>
                <w:szCs w:val="16"/>
              </w:rPr>
              <w:t>)</w:t>
            </w:r>
          </w:p>
        </w:tc>
        <w:tc>
          <w:tcPr>
            <w:tcW w:w="588" w:type="pct"/>
            <w:tcBorders>
              <w:top w:val="nil"/>
              <w:left w:val="nil"/>
              <w:bottom w:val="nil"/>
              <w:right w:val="nil"/>
            </w:tcBorders>
            <w:shd w:val="clear" w:color="auto" w:fill="auto"/>
            <w:noWrap/>
            <w:vAlign w:val="bottom"/>
            <w:hideMark/>
          </w:tcPr>
          <w:p w14:paraId="0465F0E5" w14:textId="34AE0134" w:rsidR="001D4879" w:rsidRPr="001D4879" w:rsidRDefault="002E09F9" w:rsidP="001D4879">
            <w:pPr>
              <w:spacing w:after="0" w:line="240" w:lineRule="auto"/>
              <w:jc w:val="right"/>
              <w:rPr>
                <w:rFonts w:ascii="Arial" w:hAnsi="Arial" w:cs="Arial"/>
                <w:sz w:val="16"/>
                <w:szCs w:val="16"/>
              </w:rPr>
            </w:pPr>
            <w:r>
              <w:rPr>
                <w:rFonts w:ascii="Arial" w:hAnsi="Arial" w:cs="Arial"/>
                <w:sz w:val="16"/>
                <w:szCs w:val="16"/>
              </w:rPr>
              <w:t>(</w:t>
            </w:r>
            <w:r w:rsidR="001D4879" w:rsidRPr="001D4879">
              <w:rPr>
                <w:rFonts w:ascii="Arial" w:hAnsi="Arial" w:cs="Arial"/>
                <w:sz w:val="16"/>
                <w:szCs w:val="16"/>
              </w:rPr>
              <w:t>19,995</w:t>
            </w:r>
            <w:r>
              <w:rPr>
                <w:rFonts w:ascii="Arial" w:hAnsi="Arial" w:cs="Arial"/>
                <w:sz w:val="16"/>
                <w:szCs w:val="16"/>
              </w:rPr>
              <w:t>)</w:t>
            </w:r>
          </w:p>
        </w:tc>
        <w:tc>
          <w:tcPr>
            <w:tcW w:w="588" w:type="pct"/>
            <w:tcBorders>
              <w:top w:val="nil"/>
              <w:left w:val="nil"/>
              <w:bottom w:val="nil"/>
              <w:right w:val="nil"/>
            </w:tcBorders>
            <w:shd w:val="clear" w:color="auto" w:fill="auto"/>
            <w:noWrap/>
            <w:vAlign w:val="bottom"/>
            <w:hideMark/>
          </w:tcPr>
          <w:p w14:paraId="55D7345E" w14:textId="5B670D99" w:rsidR="001D4879" w:rsidRPr="001D4879" w:rsidRDefault="002E09F9" w:rsidP="001D4879">
            <w:pPr>
              <w:spacing w:after="0" w:line="240" w:lineRule="auto"/>
              <w:jc w:val="right"/>
              <w:rPr>
                <w:rFonts w:ascii="Arial" w:hAnsi="Arial" w:cs="Arial"/>
                <w:sz w:val="16"/>
                <w:szCs w:val="16"/>
              </w:rPr>
            </w:pPr>
            <w:r>
              <w:rPr>
                <w:rFonts w:ascii="Arial" w:hAnsi="Arial" w:cs="Arial"/>
                <w:sz w:val="16"/>
                <w:szCs w:val="16"/>
              </w:rPr>
              <w:t>(</w:t>
            </w:r>
            <w:r w:rsidR="001D4879" w:rsidRPr="001D4879">
              <w:rPr>
                <w:rFonts w:ascii="Arial" w:hAnsi="Arial" w:cs="Arial"/>
                <w:sz w:val="16"/>
                <w:szCs w:val="16"/>
              </w:rPr>
              <w:t>19,995</w:t>
            </w:r>
            <w:r>
              <w:rPr>
                <w:rFonts w:ascii="Arial" w:hAnsi="Arial" w:cs="Arial"/>
                <w:sz w:val="16"/>
                <w:szCs w:val="16"/>
              </w:rPr>
              <w:t>)</w:t>
            </w:r>
          </w:p>
        </w:tc>
      </w:tr>
      <w:tr w:rsidR="001D4879" w:rsidRPr="001D4879" w14:paraId="21D574A6" w14:textId="77777777" w:rsidTr="001D4879">
        <w:trPr>
          <w:trHeight w:val="204"/>
        </w:trPr>
        <w:tc>
          <w:tcPr>
            <w:tcW w:w="2060" w:type="pct"/>
            <w:tcBorders>
              <w:top w:val="nil"/>
              <w:left w:val="nil"/>
              <w:bottom w:val="single" w:sz="4" w:space="0" w:color="auto"/>
              <w:right w:val="nil"/>
            </w:tcBorders>
            <w:shd w:val="clear" w:color="auto" w:fill="auto"/>
            <w:vAlign w:val="bottom"/>
            <w:hideMark/>
          </w:tcPr>
          <w:p w14:paraId="072A7E94" w14:textId="77777777" w:rsidR="001D4879" w:rsidRPr="001D4879" w:rsidRDefault="001D4879" w:rsidP="001D4879">
            <w:pPr>
              <w:spacing w:after="0" w:line="240" w:lineRule="auto"/>
              <w:rPr>
                <w:rFonts w:ascii="Arial" w:hAnsi="Arial" w:cs="Arial"/>
                <w:b/>
                <w:bCs/>
                <w:color w:val="000000"/>
                <w:sz w:val="16"/>
                <w:szCs w:val="16"/>
              </w:rPr>
            </w:pPr>
            <w:r w:rsidRPr="001D4879">
              <w:rPr>
                <w:rFonts w:ascii="Arial" w:hAnsi="Arial" w:cs="Arial"/>
                <w:b/>
                <w:bCs/>
                <w:color w:val="000000"/>
                <w:sz w:val="16"/>
                <w:szCs w:val="16"/>
              </w:rPr>
              <w:t>Net Cash Operating Surplus/ (Deficit)</w:t>
            </w:r>
          </w:p>
        </w:tc>
        <w:tc>
          <w:tcPr>
            <w:tcW w:w="588" w:type="pct"/>
            <w:tcBorders>
              <w:top w:val="single" w:sz="4" w:space="0" w:color="auto"/>
              <w:left w:val="nil"/>
              <w:bottom w:val="single" w:sz="4" w:space="0" w:color="auto"/>
              <w:right w:val="nil"/>
            </w:tcBorders>
            <w:shd w:val="clear" w:color="auto" w:fill="auto"/>
            <w:vAlign w:val="bottom"/>
            <w:hideMark/>
          </w:tcPr>
          <w:p w14:paraId="04469A22" w14:textId="598AEBB9" w:rsidR="001D4879" w:rsidRPr="001D4879" w:rsidRDefault="001D4879" w:rsidP="001D4879">
            <w:pPr>
              <w:spacing w:after="0" w:line="240" w:lineRule="auto"/>
              <w:jc w:val="right"/>
              <w:rPr>
                <w:rFonts w:ascii="Arial" w:hAnsi="Arial" w:cs="Arial"/>
                <w:b/>
                <w:bCs/>
                <w:sz w:val="16"/>
                <w:szCs w:val="16"/>
              </w:rPr>
            </w:pPr>
            <w:r w:rsidRPr="001D4879">
              <w:rPr>
                <w:rFonts w:ascii="Arial" w:hAnsi="Arial" w:cs="Arial"/>
                <w:b/>
                <w:bCs/>
                <w:sz w:val="16"/>
                <w:szCs w:val="16"/>
              </w:rPr>
              <w:t>-</w:t>
            </w:r>
          </w:p>
        </w:tc>
        <w:tc>
          <w:tcPr>
            <w:tcW w:w="588" w:type="pct"/>
            <w:tcBorders>
              <w:top w:val="single" w:sz="4" w:space="0" w:color="auto"/>
              <w:left w:val="nil"/>
              <w:bottom w:val="single" w:sz="4" w:space="0" w:color="auto"/>
              <w:right w:val="nil"/>
            </w:tcBorders>
            <w:shd w:val="clear" w:color="000000" w:fill="E6E6E6"/>
            <w:vAlign w:val="bottom"/>
            <w:hideMark/>
          </w:tcPr>
          <w:p w14:paraId="2393BDD4" w14:textId="4181FA8D" w:rsidR="001D4879" w:rsidRPr="001D4879" w:rsidRDefault="001D4879" w:rsidP="001D4879">
            <w:pPr>
              <w:spacing w:after="0" w:line="240" w:lineRule="auto"/>
              <w:jc w:val="right"/>
              <w:rPr>
                <w:rFonts w:ascii="Arial" w:hAnsi="Arial" w:cs="Arial"/>
                <w:b/>
                <w:bCs/>
                <w:sz w:val="16"/>
                <w:szCs w:val="16"/>
              </w:rPr>
            </w:pPr>
            <w:r w:rsidRPr="001D4879">
              <w:rPr>
                <w:rFonts w:ascii="Arial" w:hAnsi="Arial" w:cs="Arial"/>
                <w:b/>
                <w:bCs/>
                <w:sz w:val="16"/>
                <w:szCs w:val="16"/>
              </w:rPr>
              <w:t>-</w:t>
            </w:r>
          </w:p>
        </w:tc>
        <w:tc>
          <w:tcPr>
            <w:tcW w:w="588" w:type="pct"/>
            <w:tcBorders>
              <w:top w:val="single" w:sz="4" w:space="0" w:color="auto"/>
              <w:left w:val="nil"/>
              <w:bottom w:val="single" w:sz="4" w:space="0" w:color="auto"/>
              <w:right w:val="nil"/>
            </w:tcBorders>
            <w:shd w:val="clear" w:color="auto" w:fill="auto"/>
            <w:vAlign w:val="bottom"/>
            <w:hideMark/>
          </w:tcPr>
          <w:p w14:paraId="75E63FAF" w14:textId="3275C964" w:rsidR="001D4879" w:rsidRPr="001D4879" w:rsidRDefault="001D4879" w:rsidP="001D4879">
            <w:pPr>
              <w:spacing w:after="0" w:line="240" w:lineRule="auto"/>
              <w:jc w:val="right"/>
              <w:rPr>
                <w:rFonts w:ascii="Arial" w:hAnsi="Arial" w:cs="Arial"/>
                <w:b/>
                <w:bCs/>
                <w:sz w:val="16"/>
                <w:szCs w:val="16"/>
              </w:rPr>
            </w:pPr>
            <w:r w:rsidRPr="001D4879">
              <w:rPr>
                <w:rFonts w:ascii="Arial" w:hAnsi="Arial" w:cs="Arial"/>
                <w:b/>
                <w:bCs/>
                <w:sz w:val="16"/>
                <w:szCs w:val="16"/>
              </w:rPr>
              <w:t>-</w:t>
            </w:r>
          </w:p>
        </w:tc>
        <w:tc>
          <w:tcPr>
            <w:tcW w:w="588" w:type="pct"/>
            <w:tcBorders>
              <w:top w:val="single" w:sz="4" w:space="0" w:color="auto"/>
              <w:left w:val="nil"/>
              <w:bottom w:val="single" w:sz="4" w:space="0" w:color="auto"/>
              <w:right w:val="nil"/>
            </w:tcBorders>
            <w:shd w:val="clear" w:color="auto" w:fill="auto"/>
            <w:vAlign w:val="bottom"/>
            <w:hideMark/>
          </w:tcPr>
          <w:p w14:paraId="1D261C54" w14:textId="6BBBD6D2" w:rsidR="001D4879" w:rsidRPr="001D4879" w:rsidRDefault="001D4879" w:rsidP="001D4879">
            <w:pPr>
              <w:spacing w:after="0" w:line="240" w:lineRule="auto"/>
              <w:jc w:val="right"/>
              <w:rPr>
                <w:rFonts w:ascii="Arial" w:hAnsi="Arial" w:cs="Arial"/>
                <w:b/>
                <w:bCs/>
                <w:sz w:val="16"/>
                <w:szCs w:val="16"/>
              </w:rPr>
            </w:pPr>
            <w:r w:rsidRPr="001D4879">
              <w:rPr>
                <w:rFonts w:ascii="Arial" w:hAnsi="Arial" w:cs="Arial"/>
                <w:b/>
                <w:bCs/>
                <w:sz w:val="16"/>
                <w:szCs w:val="16"/>
              </w:rPr>
              <w:t>-</w:t>
            </w:r>
          </w:p>
        </w:tc>
        <w:tc>
          <w:tcPr>
            <w:tcW w:w="588" w:type="pct"/>
            <w:tcBorders>
              <w:top w:val="single" w:sz="4" w:space="0" w:color="auto"/>
              <w:left w:val="nil"/>
              <w:bottom w:val="single" w:sz="4" w:space="0" w:color="auto"/>
              <w:right w:val="nil"/>
            </w:tcBorders>
            <w:shd w:val="clear" w:color="auto" w:fill="auto"/>
            <w:vAlign w:val="bottom"/>
            <w:hideMark/>
          </w:tcPr>
          <w:p w14:paraId="5A1990D0" w14:textId="202D19CC" w:rsidR="001D4879" w:rsidRPr="001D4879" w:rsidRDefault="001D4879" w:rsidP="001D4879">
            <w:pPr>
              <w:spacing w:after="0" w:line="240" w:lineRule="auto"/>
              <w:jc w:val="right"/>
              <w:rPr>
                <w:rFonts w:ascii="Arial" w:hAnsi="Arial" w:cs="Arial"/>
                <w:b/>
                <w:bCs/>
                <w:sz w:val="16"/>
                <w:szCs w:val="16"/>
              </w:rPr>
            </w:pPr>
            <w:r w:rsidRPr="001D4879">
              <w:rPr>
                <w:rFonts w:ascii="Arial" w:hAnsi="Arial" w:cs="Arial"/>
                <w:b/>
                <w:bCs/>
                <w:sz w:val="16"/>
                <w:szCs w:val="16"/>
              </w:rPr>
              <w:t>-</w:t>
            </w:r>
          </w:p>
        </w:tc>
      </w:tr>
    </w:tbl>
    <w:p w14:paraId="072DED63" w14:textId="09161B93" w:rsidR="00115843" w:rsidRDefault="00115843" w:rsidP="00115843">
      <w:pPr>
        <w:spacing w:before="60" w:after="0" w:line="240" w:lineRule="auto"/>
        <w:rPr>
          <w:rFonts w:ascii="Arial" w:hAnsi="Arial" w:cs="Arial"/>
          <w:sz w:val="16"/>
          <w:szCs w:val="16"/>
        </w:rPr>
      </w:pPr>
      <w:r w:rsidRPr="002A338C">
        <w:rPr>
          <w:rFonts w:ascii="Arial" w:hAnsi="Arial" w:cs="Arial"/>
          <w:sz w:val="16"/>
          <w:szCs w:val="16"/>
        </w:rPr>
        <w:t>Prepared on Australian Accounting Standards basis.</w:t>
      </w:r>
    </w:p>
    <w:p w14:paraId="302C890E" w14:textId="2CCEAD7E" w:rsidR="00EB7700" w:rsidRPr="002A338C" w:rsidRDefault="00EB7700" w:rsidP="00EB7700">
      <w:pPr>
        <w:spacing w:after="0" w:line="240" w:lineRule="auto"/>
        <w:rPr>
          <w:rFonts w:ascii="Arial" w:hAnsi="Arial" w:cs="Arial"/>
          <w:sz w:val="16"/>
          <w:szCs w:val="16"/>
        </w:rPr>
      </w:pPr>
      <w:r w:rsidRPr="00EE6EE6">
        <w:rPr>
          <w:rFonts w:ascii="Arial" w:hAnsi="Arial" w:cs="Arial"/>
          <w:sz w:val="16"/>
          <w:szCs w:val="16"/>
        </w:rPr>
        <w:t>Table has been prepared inclusive of 2022-23 Additional Estimates figures.</w:t>
      </w:r>
    </w:p>
    <w:p w14:paraId="07F89329" w14:textId="76F77D4B" w:rsidR="00115843" w:rsidRPr="002A338C" w:rsidRDefault="00115843" w:rsidP="00977C28">
      <w:pPr>
        <w:pStyle w:val="ListParagraph"/>
        <w:numPr>
          <w:ilvl w:val="4"/>
          <w:numId w:val="174"/>
        </w:numPr>
        <w:spacing w:after="0" w:line="240" w:lineRule="auto"/>
        <w:ind w:left="426" w:hanging="426"/>
        <w:rPr>
          <w:rFonts w:ascii="Arial" w:hAnsi="Arial" w:cs="Arial"/>
          <w:sz w:val="16"/>
          <w:szCs w:val="16"/>
        </w:rPr>
      </w:pPr>
      <w:r w:rsidRPr="002A338C">
        <w:rPr>
          <w:rFonts w:ascii="Arial" w:hAnsi="Arial" w:cs="Arial"/>
          <w:sz w:val="16"/>
          <w:szCs w:val="16"/>
        </w:rPr>
        <w:t xml:space="preserve">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3.5 Departmental </w:t>
      </w:r>
      <w:r w:rsidR="00EB7595">
        <w:rPr>
          <w:rFonts w:ascii="Arial" w:hAnsi="Arial" w:cs="Arial"/>
          <w:sz w:val="16"/>
          <w:szCs w:val="16"/>
        </w:rPr>
        <w:t>C</w:t>
      </w:r>
      <w:r w:rsidRPr="002A338C">
        <w:rPr>
          <w:rFonts w:ascii="Arial" w:hAnsi="Arial" w:cs="Arial"/>
          <w:sz w:val="16"/>
          <w:szCs w:val="16"/>
        </w:rPr>
        <w:t xml:space="preserve">apital </w:t>
      </w:r>
      <w:r w:rsidR="00EB7595">
        <w:rPr>
          <w:rFonts w:ascii="Arial" w:hAnsi="Arial" w:cs="Arial"/>
          <w:sz w:val="16"/>
          <w:szCs w:val="16"/>
        </w:rPr>
        <w:t>B</w:t>
      </w:r>
      <w:r w:rsidRPr="002A338C">
        <w:rPr>
          <w:rFonts w:ascii="Arial" w:hAnsi="Arial" w:cs="Arial"/>
          <w:sz w:val="16"/>
          <w:szCs w:val="16"/>
        </w:rPr>
        <w:t xml:space="preserve">udget </w:t>
      </w:r>
      <w:r w:rsidR="00EB7595">
        <w:rPr>
          <w:rFonts w:ascii="Arial" w:hAnsi="Arial" w:cs="Arial"/>
          <w:sz w:val="16"/>
          <w:szCs w:val="16"/>
        </w:rPr>
        <w:t>S</w:t>
      </w:r>
      <w:r w:rsidRPr="002A338C">
        <w:rPr>
          <w:rFonts w:ascii="Arial" w:hAnsi="Arial" w:cs="Arial"/>
          <w:sz w:val="16"/>
          <w:szCs w:val="16"/>
        </w:rPr>
        <w:t>tatement.</w:t>
      </w:r>
    </w:p>
    <w:p w14:paraId="6632351A" w14:textId="0083B1D5" w:rsidR="00115843" w:rsidRPr="00276F69" w:rsidRDefault="00115843" w:rsidP="00977C28">
      <w:pPr>
        <w:pStyle w:val="ListParagraph"/>
        <w:numPr>
          <w:ilvl w:val="4"/>
          <w:numId w:val="174"/>
        </w:numPr>
        <w:spacing w:after="0" w:line="240" w:lineRule="auto"/>
        <w:ind w:left="426" w:hanging="426"/>
        <w:rPr>
          <w:rFonts w:ascii="Arial" w:hAnsi="Arial" w:cs="Arial"/>
          <w:sz w:val="16"/>
        </w:rPr>
      </w:pPr>
      <w:r w:rsidRPr="002A338C">
        <w:rPr>
          <w:rFonts w:ascii="Arial" w:hAnsi="Arial" w:cs="Arial"/>
          <w:sz w:val="16"/>
          <w:szCs w:val="16"/>
        </w:rPr>
        <w:t>Applies to lease arrangements under AASB 16 Leases</w:t>
      </w:r>
      <w:r w:rsidR="00F9739C">
        <w:rPr>
          <w:rFonts w:ascii="Arial" w:hAnsi="Arial" w:cs="Arial"/>
          <w:sz w:val="16"/>
          <w:szCs w:val="16"/>
        </w:rPr>
        <w:t>.</w:t>
      </w:r>
      <w:r>
        <w:br w:type="page"/>
      </w:r>
    </w:p>
    <w:p w14:paraId="2F2C22E7" w14:textId="77777777" w:rsidR="00115843" w:rsidRDefault="00115843" w:rsidP="00115843">
      <w:pPr>
        <w:pStyle w:val="TableHeading"/>
      </w:pPr>
      <w:r w:rsidRPr="00E4582E">
        <w:lastRenderedPageBreak/>
        <w:t>Table</w:t>
      </w:r>
      <w:r>
        <w:t xml:space="preserve"> 3.</w:t>
      </w:r>
      <w:r w:rsidRPr="00E4582E">
        <w:t>2: Budg</w:t>
      </w:r>
      <w:r>
        <w:t xml:space="preserve">eted departmental balance sheet </w:t>
      </w:r>
      <w:r w:rsidRPr="00E4582E">
        <w:t>(as at 30 June)</w:t>
      </w:r>
    </w:p>
    <w:tbl>
      <w:tblPr>
        <w:tblW w:w="5000" w:type="pct"/>
        <w:tblLook w:val="04A0" w:firstRow="1" w:lastRow="0" w:firstColumn="1" w:lastColumn="0" w:noHBand="0" w:noVBand="1"/>
      </w:tblPr>
      <w:tblGrid>
        <w:gridCol w:w="3238"/>
        <w:gridCol w:w="933"/>
        <w:gridCol w:w="885"/>
        <w:gridCol w:w="885"/>
        <w:gridCol w:w="885"/>
        <w:gridCol w:w="884"/>
      </w:tblGrid>
      <w:tr w:rsidR="002F1937" w:rsidRPr="002F1937" w14:paraId="0816D0D6" w14:textId="77777777" w:rsidTr="00A1733C">
        <w:trPr>
          <w:trHeight w:val="204"/>
        </w:trPr>
        <w:tc>
          <w:tcPr>
            <w:tcW w:w="2100" w:type="pct"/>
            <w:tcBorders>
              <w:top w:val="single" w:sz="4" w:space="0" w:color="auto"/>
              <w:left w:val="nil"/>
              <w:bottom w:val="nil"/>
              <w:right w:val="nil"/>
            </w:tcBorders>
            <w:shd w:val="clear" w:color="auto" w:fill="auto"/>
            <w:noWrap/>
            <w:vAlign w:val="bottom"/>
            <w:hideMark/>
          </w:tcPr>
          <w:p w14:paraId="501A5FE0" w14:textId="77777777" w:rsidR="002F1937" w:rsidRPr="002F1937" w:rsidRDefault="002F1937" w:rsidP="002F1937">
            <w:pPr>
              <w:spacing w:after="0" w:line="240" w:lineRule="auto"/>
              <w:rPr>
                <w:rFonts w:ascii="Arial" w:hAnsi="Arial" w:cs="Arial"/>
                <w:b/>
                <w:bCs/>
                <w:sz w:val="16"/>
                <w:szCs w:val="16"/>
              </w:rPr>
            </w:pPr>
            <w:r w:rsidRPr="002F1937">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1EDCE3E0" w14:textId="77777777" w:rsidR="002F1937" w:rsidRPr="002F1937" w:rsidRDefault="002F1937" w:rsidP="002F1937">
            <w:pPr>
              <w:spacing w:after="0" w:line="240" w:lineRule="auto"/>
              <w:jc w:val="right"/>
              <w:rPr>
                <w:rFonts w:ascii="Arial" w:hAnsi="Arial" w:cs="Arial"/>
                <w:sz w:val="16"/>
                <w:szCs w:val="16"/>
              </w:rPr>
            </w:pPr>
            <w:r w:rsidRPr="002F1937">
              <w:rPr>
                <w:rFonts w:ascii="Arial" w:hAnsi="Arial" w:cs="Arial"/>
                <w:sz w:val="16"/>
                <w:szCs w:val="16"/>
              </w:rPr>
              <w:t>2022-23 Estimated actual</w:t>
            </w:r>
            <w:r w:rsidRPr="002F1937">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000000" w:fill="E6E6E6"/>
            <w:vAlign w:val="bottom"/>
            <w:hideMark/>
          </w:tcPr>
          <w:p w14:paraId="1B1ED780" w14:textId="77777777" w:rsidR="002F1937" w:rsidRPr="002F1937" w:rsidRDefault="002F1937" w:rsidP="002F1937">
            <w:pPr>
              <w:spacing w:after="0" w:line="240" w:lineRule="auto"/>
              <w:jc w:val="right"/>
              <w:rPr>
                <w:rFonts w:ascii="Arial" w:hAnsi="Arial" w:cs="Arial"/>
                <w:sz w:val="16"/>
                <w:szCs w:val="16"/>
              </w:rPr>
            </w:pPr>
            <w:r w:rsidRPr="002F1937">
              <w:rPr>
                <w:rFonts w:ascii="Arial" w:hAnsi="Arial" w:cs="Arial"/>
                <w:sz w:val="16"/>
                <w:szCs w:val="16"/>
              </w:rPr>
              <w:t>2023-24</w:t>
            </w:r>
            <w:r w:rsidRPr="002F1937">
              <w:rPr>
                <w:rFonts w:ascii="Arial" w:hAnsi="Arial" w:cs="Arial"/>
                <w:sz w:val="16"/>
                <w:szCs w:val="16"/>
              </w:rPr>
              <w:br/>
              <w:t>Budget</w:t>
            </w:r>
            <w:r w:rsidRPr="002F1937">
              <w:rPr>
                <w:rFonts w:ascii="Arial" w:hAnsi="Arial" w:cs="Arial"/>
                <w:sz w:val="16"/>
                <w:szCs w:val="16"/>
              </w:rPr>
              <w:br/>
            </w:r>
            <w:r w:rsidRPr="002F1937">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093E1C26" w14:textId="77777777" w:rsidR="002F1937" w:rsidRPr="002F1937" w:rsidRDefault="002F1937" w:rsidP="002F1937">
            <w:pPr>
              <w:spacing w:after="0" w:line="240" w:lineRule="auto"/>
              <w:jc w:val="right"/>
              <w:rPr>
                <w:rFonts w:ascii="Arial" w:hAnsi="Arial" w:cs="Arial"/>
                <w:sz w:val="16"/>
                <w:szCs w:val="16"/>
              </w:rPr>
            </w:pPr>
            <w:r w:rsidRPr="002F1937">
              <w:rPr>
                <w:rFonts w:ascii="Arial" w:hAnsi="Arial" w:cs="Arial"/>
                <w:sz w:val="16"/>
                <w:szCs w:val="16"/>
              </w:rPr>
              <w:t>2024-25 Forward estimate</w:t>
            </w:r>
            <w:r w:rsidRPr="002F1937">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2ECA9EB2" w14:textId="77777777" w:rsidR="002F1937" w:rsidRPr="002F1937" w:rsidRDefault="002F1937" w:rsidP="002F1937">
            <w:pPr>
              <w:spacing w:after="0" w:line="240" w:lineRule="auto"/>
              <w:jc w:val="right"/>
              <w:rPr>
                <w:rFonts w:ascii="Arial" w:hAnsi="Arial" w:cs="Arial"/>
                <w:sz w:val="16"/>
                <w:szCs w:val="16"/>
              </w:rPr>
            </w:pPr>
            <w:r w:rsidRPr="002F1937">
              <w:rPr>
                <w:rFonts w:ascii="Arial" w:hAnsi="Arial" w:cs="Arial"/>
                <w:sz w:val="16"/>
                <w:szCs w:val="16"/>
              </w:rPr>
              <w:t>2025-26 Forward estimate</w:t>
            </w:r>
            <w:r w:rsidRPr="002F1937">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2E36D1AE" w14:textId="77777777" w:rsidR="002F1937" w:rsidRPr="002F1937" w:rsidRDefault="002F1937" w:rsidP="002F1937">
            <w:pPr>
              <w:spacing w:after="0" w:line="240" w:lineRule="auto"/>
              <w:jc w:val="right"/>
              <w:rPr>
                <w:rFonts w:ascii="Arial" w:hAnsi="Arial" w:cs="Arial"/>
                <w:sz w:val="16"/>
                <w:szCs w:val="16"/>
              </w:rPr>
            </w:pPr>
            <w:r w:rsidRPr="002F1937">
              <w:rPr>
                <w:rFonts w:ascii="Arial" w:hAnsi="Arial" w:cs="Arial"/>
                <w:sz w:val="16"/>
                <w:szCs w:val="16"/>
              </w:rPr>
              <w:t>2026-27</w:t>
            </w:r>
            <w:r w:rsidRPr="002F1937">
              <w:rPr>
                <w:rFonts w:ascii="Arial" w:hAnsi="Arial" w:cs="Arial"/>
                <w:sz w:val="16"/>
                <w:szCs w:val="16"/>
              </w:rPr>
              <w:br/>
              <w:t>Forward estimate</w:t>
            </w:r>
            <w:r w:rsidRPr="002F1937">
              <w:rPr>
                <w:rFonts w:ascii="Arial" w:hAnsi="Arial" w:cs="Arial"/>
                <w:sz w:val="16"/>
                <w:szCs w:val="16"/>
              </w:rPr>
              <w:br/>
              <w:t>$'000</w:t>
            </w:r>
          </w:p>
        </w:tc>
      </w:tr>
      <w:tr w:rsidR="002F1937" w:rsidRPr="002F1937" w14:paraId="2953ACAC" w14:textId="77777777" w:rsidTr="00A1733C">
        <w:trPr>
          <w:trHeight w:val="204"/>
        </w:trPr>
        <w:tc>
          <w:tcPr>
            <w:tcW w:w="2100" w:type="pct"/>
            <w:tcBorders>
              <w:top w:val="nil"/>
              <w:left w:val="nil"/>
              <w:bottom w:val="nil"/>
              <w:right w:val="nil"/>
            </w:tcBorders>
            <w:shd w:val="clear" w:color="auto" w:fill="auto"/>
            <w:noWrap/>
            <w:vAlign w:val="bottom"/>
            <w:hideMark/>
          </w:tcPr>
          <w:p w14:paraId="6E56664D" w14:textId="77777777" w:rsidR="002F1937" w:rsidRPr="002F1937" w:rsidRDefault="002F1937" w:rsidP="002F1937">
            <w:pPr>
              <w:spacing w:after="0" w:line="240" w:lineRule="auto"/>
              <w:rPr>
                <w:rFonts w:ascii="Arial" w:hAnsi="Arial" w:cs="Arial"/>
                <w:b/>
                <w:bCs/>
                <w:color w:val="000000"/>
                <w:sz w:val="16"/>
                <w:szCs w:val="16"/>
              </w:rPr>
            </w:pPr>
            <w:r w:rsidRPr="002F1937">
              <w:rPr>
                <w:rFonts w:ascii="Arial" w:hAnsi="Arial" w:cs="Arial"/>
                <w:b/>
                <w:bCs/>
                <w:color w:val="000000"/>
                <w:sz w:val="16"/>
                <w:szCs w:val="16"/>
              </w:rPr>
              <w:t>ASSETS</w:t>
            </w:r>
          </w:p>
        </w:tc>
        <w:tc>
          <w:tcPr>
            <w:tcW w:w="605" w:type="pct"/>
            <w:tcBorders>
              <w:top w:val="nil"/>
              <w:left w:val="nil"/>
              <w:bottom w:val="nil"/>
              <w:right w:val="nil"/>
            </w:tcBorders>
            <w:shd w:val="clear" w:color="auto" w:fill="auto"/>
            <w:noWrap/>
            <w:vAlign w:val="bottom"/>
            <w:hideMark/>
          </w:tcPr>
          <w:p w14:paraId="039F7989" w14:textId="77777777" w:rsidR="002F1937" w:rsidRPr="002F1937" w:rsidRDefault="002F1937" w:rsidP="002F1937">
            <w:pPr>
              <w:spacing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18061D11" w14:textId="04943EF8" w:rsidR="002F1937" w:rsidRPr="002F1937" w:rsidRDefault="002F1937" w:rsidP="002F1937">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3D95D3AB" w14:textId="77777777" w:rsidR="002F1937" w:rsidRPr="002F1937" w:rsidRDefault="002F1937" w:rsidP="002F1937">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37E60D54" w14:textId="77777777" w:rsidR="002F1937" w:rsidRPr="002F1937" w:rsidRDefault="002F1937" w:rsidP="002F1937">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0F9A30ED" w14:textId="77777777" w:rsidR="002F1937" w:rsidRPr="002F1937" w:rsidRDefault="002F1937" w:rsidP="002F1937">
            <w:pPr>
              <w:spacing w:after="0" w:line="240" w:lineRule="auto"/>
              <w:jc w:val="right"/>
              <w:rPr>
                <w:rFonts w:ascii="Times New Roman" w:hAnsi="Times New Roman"/>
              </w:rPr>
            </w:pPr>
          </w:p>
        </w:tc>
      </w:tr>
      <w:tr w:rsidR="002F1937" w:rsidRPr="002F1937" w14:paraId="532D383D" w14:textId="77777777" w:rsidTr="00A1733C">
        <w:trPr>
          <w:trHeight w:val="204"/>
        </w:trPr>
        <w:tc>
          <w:tcPr>
            <w:tcW w:w="2100" w:type="pct"/>
            <w:tcBorders>
              <w:top w:val="nil"/>
              <w:left w:val="nil"/>
              <w:bottom w:val="nil"/>
              <w:right w:val="nil"/>
            </w:tcBorders>
            <w:shd w:val="clear" w:color="auto" w:fill="auto"/>
            <w:noWrap/>
            <w:vAlign w:val="bottom"/>
            <w:hideMark/>
          </w:tcPr>
          <w:p w14:paraId="0A13FB49" w14:textId="77777777" w:rsidR="002F1937" w:rsidRPr="002F1937" w:rsidRDefault="002F1937" w:rsidP="002F1937">
            <w:pPr>
              <w:spacing w:after="0" w:line="240" w:lineRule="auto"/>
              <w:rPr>
                <w:rFonts w:ascii="Arial" w:hAnsi="Arial" w:cs="Arial"/>
                <w:b/>
                <w:bCs/>
                <w:color w:val="000000"/>
                <w:sz w:val="16"/>
                <w:szCs w:val="16"/>
              </w:rPr>
            </w:pPr>
            <w:r w:rsidRPr="002F1937">
              <w:rPr>
                <w:rFonts w:ascii="Arial" w:hAnsi="Arial" w:cs="Arial"/>
                <w:b/>
                <w:bCs/>
                <w:color w:val="000000"/>
                <w:sz w:val="16"/>
                <w:szCs w:val="16"/>
              </w:rPr>
              <w:t>Financial assets</w:t>
            </w:r>
          </w:p>
        </w:tc>
        <w:tc>
          <w:tcPr>
            <w:tcW w:w="605" w:type="pct"/>
            <w:tcBorders>
              <w:top w:val="nil"/>
              <w:left w:val="nil"/>
              <w:bottom w:val="nil"/>
              <w:right w:val="nil"/>
            </w:tcBorders>
            <w:shd w:val="clear" w:color="auto" w:fill="auto"/>
            <w:noWrap/>
            <w:vAlign w:val="bottom"/>
            <w:hideMark/>
          </w:tcPr>
          <w:p w14:paraId="3B9BC6DC" w14:textId="77777777" w:rsidR="002F1937" w:rsidRPr="002F1937" w:rsidRDefault="002F1937" w:rsidP="002F1937">
            <w:pPr>
              <w:spacing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6228A742" w14:textId="46405BB4" w:rsidR="002F1937" w:rsidRPr="002F1937" w:rsidRDefault="002F1937" w:rsidP="002F1937">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4CA577CD" w14:textId="77777777" w:rsidR="002F1937" w:rsidRPr="002F1937" w:rsidRDefault="002F1937" w:rsidP="002F1937">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02F1D1BD" w14:textId="77777777" w:rsidR="002F1937" w:rsidRPr="002F1937" w:rsidRDefault="002F1937" w:rsidP="002F1937">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1207E01B" w14:textId="77777777" w:rsidR="002F1937" w:rsidRPr="002F1937" w:rsidRDefault="002F1937" w:rsidP="002F1937">
            <w:pPr>
              <w:spacing w:after="0" w:line="240" w:lineRule="auto"/>
              <w:jc w:val="right"/>
              <w:rPr>
                <w:rFonts w:ascii="Times New Roman" w:hAnsi="Times New Roman"/>
              </w:rPr>
            </w:pPr>
          </w:p>
        </w:tc>
      </w:tr>
      <w:tr w:rsidR="00A1733C" w:rsidRPr="002F1937" w14:paraId="1A580E40" w14:textId="77777777" w:rsidTr="00A1733C">
        <w:trPr>
          <w:trHeight w:val="204"/>
        </w:trPr>
        <w:tc>
          <w:tcPr>
            <w:tcW w:w="2100" w:type="pct"/>
            <w:tcBorders>
              <w:top w:val="nil"/>
              <w:left w:val="nil"/>
              <w:bottom w:val="nil"/>
              <w:right w:val="nil"/>
            </w:tcBorders>
            <w:shd w:val="clear" w:color="auto" w:fill="auto"/>
            <w:noWrap/>
            <w:vAlign w:val="bottom"/>
            <w:hideMark/>
          </w:tcPr>
          <w:p w14:paraId="08D35122" w14:textId="77777777" w:rsidR="00A1733C" w:rsidRPr="002F1937" w:rsidRDefault="00A1733C" w:rsidP="00A1733C">
            <w:pPr>
              <w:spacing w:after="0" w:line="240" w:lineRule="auto"/>
              <w:ind w:left="113"/>
              <w:rPr>
                <w:rFonts w:ascii="Arial" w:hAnsi="Arial" w:cs="Arial"/>
                <w:color w:val="000000"/>
                <w:sz w:val="16"/>
                <w:szCs w:val="16"/>
              </w:rPr>
            </w:pPr>
            <w:r w:rsidRPr="002F1937">
              <w:rPr>
                <w:rFonts w:ascii="Arial" w:hAnsi="Arial" w:cs="Arial"/>
                <w:color w:val="000000"/>
                <w:sz w:val="16"/>
                <w:szCs w:val="16"/>
              </w:rPr>
              <w:t xml:space="preserve">Cash </w:t>
            </w:r>
            <w:r w:rsidRPr="002F1937">
              <w:rPr>
                <w:rFonts w:ascii="Arial" w:hAnsi="Arial" w:cs="Arial"/>
                <w:sz w:val="16"/>
                <w:szCs w:val="16"/>
              </w:rPr>
              <w:t>and cash equivalents</w:t>
            </w:r>
          </w:p>
        </w:tc>
        <w:tc>
          <w:tcPr>
            <w:tcW w:w="605" w:type="pct"/>
            <w:tcBorders>
              <w:top w:val="nil"/>
              <w:left w:val="nil"/>
              <w:bottom w:val="nil"/>
              <w:right w:val="nil"/>
            </w:tcBorders>
            <w:shd w:val="clear" w:color="auto" w:fill="auto"/>
            <w:noWrap/>
            <w:vAlign w:val="bottom"/>
            <w:hideMark/>
          </w:tcPr>
          <w:p w14:paraId="2DDC3814" w14:textId="335FAC0E"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18,384</w:t>
            </w:r>
          </w:p>
        </w:tc>
        <w:tc>
          <w:tcPr>
            <w:tcW w:w="574" w:type="pct"/>
            <w:tcBorders>
              <w:top w:val="nil"/>
              <w:left w:val="nil"/>
              <w:bottom w:val="nil"/>
              <w:right w:val="nil"/>
            </w:tcBorders>
            <w:shd w:val="clear" w:color="000000" w:fill="E6E6E6"/>
            <w:noWrap/>
            <w:vAlign w:val="bottom"/>
            <w:hideMark/>
          </w:tcPr>
          <w:p w14:paraId="74602FFA" w14:textId="7142E72F"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18,384</w:t>
            </w:r>
          </w:p>
        </w:tc>
        <w:tc>
          <w:tcPr>
            <w:tcW w:w="574" w:type="pct"/>
            <w:tcBorders>
              <w:top w:val="nil"/>
              <w:left w:val="nil"/>
              <w:bottom w:val="nil"/>
              <w:right w:val="nil"/>
            </w:tcBorders>
            <w:shd w:val="clear" w:color="auto" w:fill="auto"/>
            <w:noWrap/>
            <w:vAlign w:val="bottom"/>
            <w:hideMark/>
          </w:tcPr>
          <w:p w14:paraId="291D8C6C" w14:textId="14BAE310"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18,384</w:t>
            </w:r>
          </w:p>
        </w:tc>
        <w:tc>
          <w:tcPr>
            <w:tcW w:w="574" w:type="pct"/>
            <w:tcBorders>
              <w:top w:val="nil"/>
              <w:left w:val="nil"/>
              <w:bottom w:val="nil"/>
              <w:right w:val="nil"/>
            </w:tcBorders>
            <w:shd w:val="clear" w:color="auto" w:fill="auto"/>
            <w:noWrap/>
            <w:vAlign w:val="bottom"/>
            <w:hideMark/>
          </w:tcPr>
          <w:p w14:paraId="6DA0D5C9" w14:textId="4AF6548C"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18,384</w:t>
            </w:r>
          </w:p>
        </w:tc>
        <w:tc>
          <w:tcPr>
            <w:tcW w:w="573" w:type="pct"/>
            <w:tcBorders>
              <w:top w:val="nil"/>
              <w:left w:val="nil"/>
              <w:bottom w:val="nil"/>
              <w:right w:val="nil"/>
            </w:tcBorders>
            <w:shd w:val="clear" w:color="auto" w:fill="auto"/>
            <w:noWrap/>
            <w:vAlign w:val="bottom"/>
            <w:hideMark/>
          </w:tcPr>
          <w:p w14:paraId="4E3675F5" w14:textId="5D5E9354"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18,384</w:t>
            </w:r>
          </w:p>
        </w:tc>
      </w:tr>
      <w:tr w:rsidR="00A1733C" w:rsidRPr="002F1937" w14:paraId="21BADFD1" w14:textId="77777777" w:rsidTr="00A1733C">
        <w:trPr>
          <w:trHeight w:val="204"/>
        </w:trPr>
        <w:tc>
          <w:tcPr>
            <w:tcW w:w="2100" w:type="pct"/>
            <w:tcBorders>
              <w:top w:val="nil"/>
              <w:left w:val="nil"/>
              <w:bottom w:val="nil"/>
              <w:right w:val="nil"/>
            </w:tcBorders>
            <w:shd w:val="clear" w:color="auto" w:fill="auto"/>
            <w:noWrap/>
            <w:vAlign w:val="bottom"/>
            <w:hideMark/>
          </w:tcPr>
          <w:p w14:paraId="3F276359" w14:textId="77777777" w:rsidR="00A1733C" w:rsidRPr="002F1937" w:rsidRDefault="00A1733C" w:rsidP="00A1733C">
            <w:pPr>
              <w:spacing w:after="0" w:line="240" w:lineRule="auto"/>
              <w:ind w:left="113"/>
              <w:rPr>
                <w:rFonts w:ascii="Arial" w:hAnsi="Arial" w:cs="Arial"/>
                <w:sz w:val="16"/>
                <w:szCs w:val="16"/>
              </w:rPr>
            </w:pPr>
            <w:r w:rsidRPr="002F1937">
              <w:rPr>
                <w:rFonts w:ascii="Arial" w:hAnsi="Arial" w:cs="Arial"/>
                <w:sz w:val="16"/>
                <w:szCs w:val="16"/>
              </w:rPr>
              <w:t>Trade and other receivables</w:t>
            </w:r>
          </w:p>
        </w:tc>
        <w:tc>
          <w:tcPr>
            <w:tcW w:w="605" w:type="pct"/>
            <w:tcBorders>
              <w:top w:val="nil"/>
              <w:left w:val="nil"/>
              <w:bottom w:val="nil"/>
              <w:right w:val="nil"/>
            </w:tcBorders>
            <w:shd w:val="clear" w:color="auto" w:fill="auto"/>
            <w:noWrap/>
            <w:vAlign w:val="bottom"/>
            <w:hideMark/>
          </w:tcPr>
          <w:p w14:paraId="651B2CB7" w14:textId="0D46FB9E"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142,056</w:t>
            </w:r>
          </w:p>
        </w:tc>
        <w:tc>
          <w:tcPr>
            <w:tcW w:w="574" w:type="pct"/>
            <w:tcBorders>
              <w:top w:val="nil"/>
              <w:left w:val="nil"/>
              <w:bottom w:val="nil"/>
              <w:right w:val="nil"/>
            </w:tcBorders>
            <w:shd w:val="clear" w:color="000000" w:fill="E6E6E6"/>
            <w:noWrap/>
            <w:vAlign w:val="bottom"/>
            <w:hideMark/>
          </w:tcPr>
          <w:p w14:paraId="5E8F4B16" w14:textId="74F1CA17"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143,509</w:t>
            </w:r>
          </w:p>
        </w:tc>
        <w:tc>
          <w:tcPr>
            <w:tcW w:w="574" w:type="pct"/>
            <w:tcBorders>
              <w:top w:val="nil"/>
              <w:left w:val="nil"/>
              <w:bottom w:val="nil"/>
              <w:right w:val="nil"/>
            </w:tcBorders>
            <w:shd w:val="clear" w:color="auto" w:fill="auto"/>
            <w:noWrap/>
            <w:vAlign w:val="bottom"/>
            <w:hideMark/>
          </w:tcPr>
          <w:p w14:paraId="3A406655" w14:textId="68F05B7D"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143,704</w:t>
            </w:r>
          </w:p>
        </w:tc>
        <w:tc>
          <w:tcPr>
            <w:tcW w:w="574" w:type="pct"/>
            <w:tcBorders>
              <w:top w:val="nil"/>
              <w:left w:val="nil"/>
              <w:bottom w:val="nil"/>
              <w:right w:val="nil"/>
            </w:tcBorders>
            <w:shd w:val="clear" w:color="auto" w:fill="auto"/>
            <w:noWrap/>
            <w:vAlign w:val="bottom"/>
            <w:hideMark/>
          </w:tcPr>
          <w:p w14:paraId="53A28E77" w14:textId="67F7BED8"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143,899</w:t>
            </w:r>
          </w:p>
        </w:tc>
        <w:tc>
          <w:tcPr>
            <w:tcW w:w="573" w:type="pct"/>
            <w:tcBorders>
              <w:top w:val="nil"/>
              <w:left w:val="nil"/>
              <w:bottom w:val="nil"/>
              <w:right w:val="nil"/>
            </w:tcBorders>
            <w:shd w:val="clear" w:color="auto" w:fill="auto"/>
            <w:noWrap/>
            <w:vAlign w:val="bottom"/>
            <w:hideMark/>
          </w:tcPr>
          <w:p w14:paraId="1E403EEE" w14:textId="7E12D22D"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136,438</w:t>
            </w:r>
          </w:p>
        </w:tc>
      </w:tr>
      <w:tr w:rsidR="00A1733C" w:rsidRPr="002F1937" w14:paraId="123DC953" w14:textId="77777777" w:rsidTr="00A1733C">
        <w:trPr>
          <w:trHeight w:val="204"/>
        </w:trPr>
        <w:tc>
          <w:tcPr>
            <w:tcW w:w="2100" w:type="pct"/>
            <w:tcBorders>
              <w:top w:val="nil"/>
              <w:left w:val="nil"/>
              <w:bottom w:val="nil"/>
              <w:right w:val="nil"/>
            </w:tcBorders>
            <w:shd w:val="clear" w:color="auto" w:fill="auto"/>
            <w:noWrap/>
            <w:vAlign w:val="bottom"/>
            <w:hideMark/>
          </w:tcPr>
          <w:p w14:paraId="192926FA" w14:textId="77777777" w:rsidR="00A1733C" w:rsidRPr="002F1937" w:rsidRDefault="00A1733C" w:rsidP="00A1733C">
            <w:pPr>
              <w:spacing w:after="0" w:line="240" w:lineRule="auto"/>
              <w:ind w:left="113"/>
              <w:rPr>
                <w:rFonts w:ascii="Arial" w:hAnsi="Arial" w:cs="Arial"/>
                <w:color w:val="000000"/>
                <w:sz w:val="16"/>
                <w:szCs w:val="16"/>
              </w:rPr>
            </w:pPr>
            <w:r w:rsidRPr="002F1937">
              <w:rPr>
                <w:rFonts w:ascii="Arial" w:hAnsi="Arial" w:cs="Arial"/>
                <w:color w:val="000000"/>
                <w:sz w:val="16"/>
                <w:szCs w:val="16"/>
              </w:rPr>
              <w:t>Other financial assets</w:t>
            </w:r>
          </w:p>
        </w:tc>
        <w:tc>
          <w:tcPr>
            <w:tcW w:w="605" w:type="pct"/>
            <w:tcBorders>
              <w:top w:val="nil"/>
              <w:left w:val="nil"/>
              <w:bottom w:val="nil"/>
              <w:right w:val="nil"/>
            </w:tcBorders>
            <w:shd w:val="clear" w:color="auto" w:fill="auto"/>
            <w:noWrap/>
            <w:vAlign w:val="bottom"/>
            <w:hideMark/>
          </w:tcPr>
          <w:p w14:paraId="5AC8F453" w14:textId="6CDA776B"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3,431</w:t>
            </w:r>
          </w:p>
        </w:tc>
        <w:tc>
          <w:tcPr>
            <w:tcW w:w="574" w:type="pct"/>
            <w:tcBorders>
              <w:top w:val="nil"/>
              <w:left w:val="nil"/>
              <w:bottom w:val="nil"/>
              <w:right w:val="nil"/>
            </w:tcBorders>
            <w:shd w:val="clear" w:color="000000" w:fill="E6E6E6"/>
            <w:noWrap/>
            <w:vAlign w:val="bottom"/>
            <w:hideMark/>
          </w:tcPr>
          <w:p w14:paraId="6A51F422" w14:textId="4D320BC9"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3,431</w:t>
            </w:r>
          </w:p>
        </w:tc>
        <w:tc>
          <w:tcPr>
            <w:tcW w:w="574" w:type="pct"/>
            <w:tcBorders>
              <w:top w:val="nil"/>
              <w:left w:val="nil"/>
              <w:bottom w:val="nil"/>
              <w:right w:val="nil"/>
            </w:tcBorders>
            <w:shd w:val="clear" w:color="auto" w:fill="auto"/>
            <w:noWrap/>
            <w:vAlign w:val="bottom"/>
            <w:hideMark/>
          </w:tcPr>
          <w:p w14:paraId="650FB057" w14:textId="1F2B9747"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3,431</w:t>
            </w:r>
          </w:p>
        </w:tc>
        <w:tc>
          <w:tcPr>
            <w:tcW w:w="574" w:type="pct"/>
            <w:tcBorders>
              <w:top w:val="nil"/>
              <w:left w:val="nil"/>
              <w:bottom w:val="nil"/>
              <w:right w:val="nil"/>
            </w:tcBorders>
            <w:shd w:val="clear" w:color="auto" w:fill="auto"/>
            <w:noWrap/>
            <w:vAlign w:val="bottom"/>
            <w:hideMark/>
          </w:tcPr>
          <w:p w14:paraId="25ECDA57" w14:textId="39C037C8"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3,431</w:t>
            </w:r>
          </w:p>
        </w:tc>
        <w:tc>
          <w:tcPr>
            <w:tcW w:w="573" w:type="pct"/>
            <w:tcBorders>
              <w:top w:val="nil"/>
              <w:left w:val="nil"/>
              <w:bottom w:val="nil"/>
              <w:right w:val="nil"/>
            </w:tcBorders>
            <w:shd w:val="clear" w:color="auto" w:fill="auto"/>
            <w:noWrap/>
            <w:vAlign w:val="bottom"/>
            <w:hideMark/>
          </w:tcPr>
          <w:p w14:paraId="0A810231" w14:textId="1F65E70B"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3,431</w:t>
            </w:r>
          </w:p>
        </w:tc>
      </w:tr>
      <w:tr w:rsidR="00A1733C" w:rsidRPr="002F1937" w14:paraId="40B0BF14" w14:textId="77777777" w:rsidTr="00A1733C">
        <w:trPr>
          <w:trHeight w:val="204"/>
        </w:trPr>
        <w:tc>
          <w:tcPr>
            <w:tcW w:w="2100" w:type="pct"/>
            <w:tcBorders>
              <w:top w:val="nil"/>
              <w:left w:val="nil"/>
              <w:bottom w:val="nil"/>
              <w:right w:val="nil"/>
            </w:tcBorders>
            <w:shd w:val="clear" w:color="auto" w:fill="auto"/>
            <w:noWrap/>
            <w:vAlign w:val="bottom"/>
            <w:hideMark/>
          </w:tcPr>
          <w:p w14:paraId="67613F7B" w14:textId="77777777" w:rsidR="00A1733C" w:rsidRPr="002F1937" w:rsidRDefault="00A1733C" w:rsidP="00A1733C">
            <w:pPr>
              <w:spacing w:after="0" w:line="240" w:lineRule="auto"/>
              <w:rPr>
                <w:rFonts w:ascii="Arial" w:hAnsi="Arial" w:cs="Arial"/>
                <w:b/>
                <w:bCs/>
                <w:i/>
                <w:iCs/>
                <w:color w:val="000000"/>
                <w:sz w:val="16"/>
                <w:szCs w:val="16"/>
              </w:rPr>
            </w:pPr>
            <w:r w:rsidRPr="002F1937">
              <w:rPr>
                <w:rFonts w:ascii="Arial" w:hAnsi="Arial" w:cs="Arial"/>
                <w:b/>
                <w:bCs/>
                <w:i/>
                <w:iCs/>
                <w:color w:val="000000"/>
                <w:sz w:val="16"/>
                <w:szCs w:val="16"/>
              </w:rPr>
              <w:t>Total financial assets</w:t>
            </w:r>
          </w:p>
        </w:tc>
        <w:tc>
          <w:tcPr>
            <w:tcW w:w="605" w:type="pct"/>
            <w:tcBorders>
              <w:top w:val="single" w:sz="4" w:space="0" w:color="000000"/>
              <w:left w:val="nil"/>
              <w:bottom w:val="single" w:sz="4" w:space="0" w:color="000000"/>
              <w:right w:val="nil"/>
            </w:tcBorders>
            <w:shd w:val="clear" w:color="auto" w:fill="auto"/>
            <w:noWrap/>
            <w:vAlign w:val="bottom"/>
            <w:hideMark/>
          </w:tcPr>
          <w:p w14:paraId="18CD32B8" w14:textId="02C5B90F" w:rsidR="00A1733C" w:rsidRPr="002F1937" w:rsidRDefault="00A1733C" w:rsidP="00A1733C">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163,871</w:t>
            </w:r>
          </w:p>
        </w:tc>
        <w:tc>
          <w:tcPr>
            <w:tcW w:w="574" w:type="pct"/>
            <w:tcBorders>
              <w:top w:val="single" w:sz="4" w:space="0" w:color="000000"/>
              <w:left w:val="nil"/>
              <w:bottom w:val="single" w:sz="4" w:space="0" w:color="000000"/>
              <w:right w:val="nil"/>
            </w:tcBorders>
            <w:shd w:val="clear" w:color="000000" w:fill="E6E6E6"/>
            <w:noWrap/>
            <w:vAlign w:val="bottom"/>
            <w:hideMark/>
          </w:tcPr>
          <w:p w14:paraId="131F78F0" w14:textId="34189A09" w:rsidR="00A1733C" w:rsidRPr="002F1937" w:rsidRDefault="00A1733C" w:rsidP="00A1733C">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165,324</w:t>
            </w:r>
          </w:p>
        </w:tc>
        <w:tc>
          <w:tcPr>
            <w:tcW w:w="574" w:type="pct"/>
            <w:tcBorders>
              <w:top w:val="single" w:sz="4" w:space="0" w:color="000000"/>
              <w:left w:val="nil"/>
              <w:bottom w:val="single" w:sz="4" w:space="0" w:color="000000"/>
              <w:right w:val="nil"/>
            </w:tcBorders>
            <w:shd w:val="clear" w:color="auto" w:fill="auto"/>
            <w:noWrap/>
            <w:vAlign w:val="bottom"/>
            <w:hideMark/>
          </w:tcPr>
          <w:p w14:paraId="396F5C97" w14:textId="489D49CB" w:rsidR="00A1733C" w:rsidRPr="002F1937" w:rsidRDefault="00A1733C" w:rsidP="00A1733C">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165,519</w:t>
            </w:r>
          </w:p>
        </w:tc>
        <w:tc>
          <w:tcPr>
            <w:tcW w:w="574" w:type="pct"/>
            <w:tcBorders>
              <w:top w:val="single" w:sz="4" w:space="0" w:color="000000"/>
              <w:left w:val="nil"/>
              <w:bottom w:val="single" w:sz="4" w:space="0" w:color="000000"/>
              <w:right w:val="nil"/>
            </w:tcBorders>
            <w:shd w:val="clear" w:color="auto" w:fill="auto"/>
            <w:noWrap/>
            <w:vAlign w:val="bottom"/>
            <w:hideMark/>
          </w:tcPr>
          <w:p w14:paraId="003FD8B0" w14:textId="01226CD5" w:rsidR="00A1733C" w:rsidRPr="002F1937" w:rsidRDefault="00A1733C" w:rsidP="00A1733C">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165,714</w:t>
            </w:r>
          </w:p>
        </w:tc>
        <w:tc>
          <w:tcPr>
            <w:tcW w:w="573" w:type="pct"/>
            <w:tcBorders>
              <w:top w:val="single" w:sz="4" w:space="0" w:color="000000"/>
              <w:left w:val="nil"/>
              <w:bottom w:val="single" w:sz="4" w:space="0" w:color="000000"/>
              <w:right w:val="nil"/>
            </w:tcBorders>
            <w:shd w:val="clear" w:color="auto" w:fill="auto"/>
            <w:noWrap/>
            <w:vAlign w:val="bottom"/>
            <w:hideMark/>
          </w:tcPr>
          <w:p w14:paraId="2C688485" w14:textId="7E4A2B18" w:rsidR="00A1733C" w:rsidRPr="002F1937" w:rsidRDefault="00A1733C" w:rsidP="00A1733C">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158,253</w:t>
            </w:r>
          </w:p>
        </w:tc>
      </w:tr>
      <w:tr w:rsidR="00A1733C" w:rsidRPr="002F1937" w14:paraId="6D736A57" w14:textId="77777777" w:rsidTr="00A1733C">
        <w:trPr>
          <w:trHeight w:val="204"/>
        </w:trPr>
        <w:tc>
          <w:tcPr>
            <w:tcW w:w="2100" w:type="pct"/>
            <w:tcBorders>
              <w:top w:val="nil"/>
              <w:left w:val="nil"/>
              <w:bottom w:val="nil"/>
              <w:right w:val="nil"/>
            </w:tcBorders>
            <w:shd w:val="clear" w:color="auto" w:fill="auto"/>
            <w:noWrap/>
            <w:vAlign w:val="bottom"/>
            <w:hideMark/>
          </w:tcPr>
          <w:p w14:paraId="579F458B" w14:textId="77777777" w:rsidR="00A1733C" w:rsidRPr="002F1937" w:rsidRDefault="00A1733C" w:rsidP="00A1733C">
            <w:pPr>
              <w:spacing w:after="0" w:line="240" w:lineRule="auto"/>
              <w:rPr>
                <w:rFonts w:ascii="Arial" w:hAnsi="Arial" w:cs="Arial"/>
                <w:b/>
                <w:bCs/>
                <w:color w:val="000000"/>
                <w:sz w:val="16"/>
                <w:szCs w:val="16"/>
              </w:rPr>
            </w:pPr>
            <w:r w:rsidRPr="002F1937">
              <w:rPr>
                <w:rFonts w:ascii="Arial" w:hAnsi="Arial" w:cs="Arial"/>
                <w:b/>
                <w:bCs/>
                <w:color w:val="000000"/>
                <w:sz w:val="16"/>
                <w:szCs w:val="16"/>
              </w:rPr>
              <w:t>Non-financial assets</w:t>
            </w:r>
          </w:p>
        </w:tc>
        <w:tc>
          <w:tcPr>
            <w:tcW w:w="605" w:type="pct"/>
            <w:tcBorders>
              <w:top w:val="nil"/>
              <w:left w:val="nil"/>
              <w:bottom w:val="nil"/>
              <w:right w:val="nil"/>
            </w:tcBorders>
            <w:shd w:val="clear" w:color="auto" w:fill="auto"/>
            <w:noWrap/>
            <w:vAlign w:val="bottom"/>
            <w:hideMark/>
          </w:tcPr>
          <w:p w14:paraId="143BD930" w14:textId="77777777" w:rsidR="00A1733C" w:rsidRPr="002F1937" w:rsidRDefault="00A1733C" w:rsidP="00A1733C">
            <w:pPr>
              <w:spacing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5707CB4C" w14:textId="7E642290" w:rsidR="00A1733C" w:rsidRPr="002F1937" w:rsidRDefault="00A1733C" w:rsidP="00A1733C">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610EF9AD" w14:textId="77777777" w:rsidR="00A1733C" w:rsidRPr="002F1937" w:rsidRDefault="00A1733C" w:rsidP="00A1733C">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168D3E3D" w14:textId="77777777" w:rsidR="00A1733C" w:rsidRPr="002F1937" w:rsidRDefault="00A1733C" w:rsidP="00A1733C">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43995C36" w14:textId="77777777" w:rsidR="00A1733C" w:rsidRPr="002F1937" w:rsidRDefault="00A1733C" w:rsidP="00A1733C">
            <w:pPr>
              <w:spacing w:after="0" w:line="240" w:lineRule="auto"/>
              <w:jc w:val="right"/>
              <w:rPr>
                <w:rFonts w:ascii="Times New Roman" w:hAnsi="Times New Roman"/>
              </w:rPr>
            </w:pPr>
          </w:p>
        </w:tc>
      </w:tr>
      <w:tr w:rsidR="00A1733C" w:rsidRPr="002F1937" w14:paraId="6BB37EF5" w14:textId="77777777" w:rsidTr="00A1733C">
        <w:trPr>
          <w:trHeight w:val="204"/>
        </w:trPr>
        <w:tc>
          <w:tcPr>
            <w:tcW w:w="2100" w:type="pct"/>
            <w:tcBorders>
              <w:top w:val="nil"/>
              <w:left w:val="nil"/>
              <w:bottom w:val="nil"/>
              <w:right w:val="nil"/>
            </w:tcBorders>
            <w:shd w:val="clear" w:color="auto" w:fill="auto"/>
            <w:noWrap/>
            <w:vAlign w:val="bottom"/>
            <w:hideMark/>
          </w:tcPr>
          <w:p w14:paraId="7FC38CEE" w14:textId="77777777" w:rsidR="00A1733C" w:rsidRPr="002F1937" w:rsidRDefault="00A1733C" w:rsidP="00A1733C">
            <w:pPr>
              <w:spacing w:after="0" w:line="240" w:lineRule="auto"/>
              <w:ind w:firstLineChars="100" w:firstLine="160"/>
              <w:rPr>
                <w:rFonts w:ascii="Arial" w:hAnsi="Arial" w:cs="Arial"/>
                <w:color w:val="000000"/>
                <w:sz w:val="16"/>
                <w:szCs w:val="16"/>
              </w:rPr>
            </w:pPr>
            <w:r w:rsidRPr="002F1937">
              <w:rPr>
                <w:rFonts w:ascii="Arial" w:hAnsi="Arial" w:cs="Arial"/>
                <w:color w:val="000000"/>
                <w:sz w:val="16"/>
                <w:szCs w:val="16"/>
              </w:rPr>
              <w:t>Land and buildings</w:t>
            </w:r>
          </w:p>
        </w:tc>
        <w:tc>
          <w:tcPr>
            <w:tcW w:w="605" w:type="pct"/>
            <w:tcBorders>
              <w:top w:val="nil"/>
              <w:left w:val="nil"/>
              <w:bottom w:val="nil"/>
              <w:right w:val="nil"/>
            </w:tcBorders>
            <w:shd w:val="clear" w:color="auto" w:fill="auto"/>
            <w:noWrap/>
            <w:vAlign w:val="bottom"/>
            <w:hideMark/>
          </w:tcPr>
          <w:p w14:paraId="0C027416" w14:textId="6470D9B5"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91,123</w:t>
            </w:r>
          </w:p>
        </w:tc>
        <w:tc>
          <w:tcPr>
            <w:tcW w:w="574" w:type="pct"/>
            <w:tcBorders>
              <w:top w:val="nil"/>
              <w:left w:val="nil"/>
              <w:bottom w:val="nil"/>
              <w:right w:val="nil"/>
            </w:tcBorders>
            <w:shd w:val="clear" w:color="000000" w:fill="E6E6E6"/>
            <w:noWrap/>
            <w:vAlign w:val="bottom"/>
            <w:hideMark/>
          </w:tcPr>
          <w:p w14:paraId="552C1994" w14:textId="7E73AC19"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68,941</w:t>
            </w:r>
          </w:p>
        </w:tc>
        <w:tc>
          <w:tcPr>
            <w:tcW w:w="574" w:type="pct"/>
            <w:tcBorders>
              <w:top w:val="nil"/>
              <w:left w:val="nil"/>
              <w:bottom w:val="nil"/>
              <w:right w:val="nil"/>
            </w:tcBorders>
            <w:shd w:val="clear" w:color="auto" w:fill="auto"/>
            <w:noWrap/>
            <w:vAlign w:val="bottom"/>
            <w:hideMark/>
          </w:tcPr>
          <w:p w14:paraId="17DE1557" w14:textId="6FDC4B43"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46,853</w:t>
            </w:r>
          </w:p>
        </w:tc>
        <w:tc>
          <w:tcPr>
            <w:tcW w:w="574" w:type="pct"/>
            <w:tcBorders>
              <w:top w:val="nil"/>
              <w:left w:val="nil"/>
              <w:bottom w:val="nil"/>
              <w:right w:val="nil"/>
            </w:tcBorders>
            <w:shd w:val="clear" w:color="auto" w:fill="auto"/>
            <w:noWrap/>
            <w:vAlign w:val="bottom"/>
            <w:hideMark/>
          </w:tcPr>
          <w:p w14:paraId="3DE56487" w14:textId="464FF97D"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22,946</w:t>
            </w:r>
          </w:p>
        </w:tc>
        <w:tc>
          <w:tcPr>
            <w:tcW w:w="573" w:type="pct"/>
            <w:tcBorders>
              <w:top w:val="nil"/>
              <w:left w:val="nil"/>
              <w:bottom w:val="nil"/>
              <w:right w:val="nil"/>
            </w:tcBorders>
            <w:shd w:val="clear" w:color="auto" w:fill="auto"/>
            <w:noWrap/>
            <w:vAlign w:val="bottom"/>
            <w:hideMark/>
          </w:tcPr>
          <w:p w14:paraId="244E522E" w14:textId="2A981E95"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22,946</w:t>
            </w:r>
          </w:p>
        </w:tc>
      </w:tr>
      <w:tr w:rsidR="00A1733C" w:rsidRPr="002F1937" w14:paraId="01DC940A" w14:textId="77777777" w:rsidTr="00A1733C">
        <w:trPr>
          <w:trHeight w:val="204"/>
        </w:trPr>
        <w:tc>
          <w:tcPr>
            <w:tcW w:w="2100" w:type="pct"/>
            <w:tcBorders>
              <w:top w:val="nil"/>
              <w:left w:val="nil"/>
              <w:bottom w:val="nil"/>
              <w:right w:val="nil"/>
            </w:tcBorders>
            <w:shd w:val="clear" w:color="auto" w:fill="auto"/>
            <w:noWrap/>
            <w:vAlign w:val="bottom"/>
            <w:hideMark/>
          </w:tcPr>
          <w:p w14:paraId="601A6B72" w14:textId="77777777" w:rsidR="00A1733C" w:rsidRPr="002F1937" w:rsidRDefault="00A1733C" w:rsidP="00A1733C">
            <w:pPr>
              <w:spacing w:after="0" w:line="240" w:lineRule="auto"/>
              <w:ind w:firstLineChars="100" w:firstLine="160"/>
              <w:rPr>
                <w:rFonts w:ascii="Arial" w:hAnsi="Arial" w:cs="Arial"/>
                <w:color w:val="000000"/>
                <w:sz w:val="16"/>
                <w:szCs w:val="16"/>
              </w:rPr>
            </w:pPr>
            <w:r w:rsidRPr="002F1937">
              <w:rPr>
                <w:rFonts w:ascii="Arial" w:hAnsi="Arial" w:cs="Arial"/>
                <w:color w:val="000000"/>
                <w:sz w:val="16"/>
                <w:szCs w:val="16"/>
              </w:rPr>
              <w:t>Property, plant and equipment</w:t>
            </w:r>
          </w:p>
        </w:tc>
        <w:tc>
          <w:tcPr>
            <w:tcW w:w="605" w:type="pct"/>
            <w:tcBorders>
              <w:top w:val="nil"/>
              <w:left w:val="nil"/>
              <w:bottom w:val="nil"/>
              <w:right w:val="nil"/>
            </w:tcBorders>
            <w:shd w:val="clear" w:color="auto" w:fill="auto"/>
            <w:noWrap/>
            <w:vAlign w:val="bottom"/>
            <w:hideMark/>
          </w:tcPr>
          <w:p w14:paraId="7098EAB9" w14:textId="4D4ED007"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16,620</w:t>
            </w:r>
          </w:p>
        </w:tc>
        <w:tc>
          <w:tcPr>
            <w:tcW w:w="574" w:type="pct"/>
            <w:tcBorders>
              <w:top w:val="nil"/>
              <w:left w:val="nil"/>
              <w:bottom w:val="nil"/>
              <w:right w:val="nil"/>
            </w:tcBorders>
            <w:shd w:val="clear" w:color="000000" w:fill="E6E6E6"/>
            <w:noWrap/>
            <w:vAlign w:val="bottom"/>
            <w:hideMark/>
          </w:tcPr>
          <w:p w14:paraId="3571B424" w14:textId="151BB87B"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15,376</w:t>
            </w:r>
          </w:p>
        </w:tc>
        <w:tc>
          <w:tcPr>
            <w:tcW w:w="574" w:type="pct"/>
            <w:tcBorders>
              <w:top w:val="nil"/>
              <w:left w:val="nil"/>
              <w:bottom w:val="nil"/>
              <w:right w:val="nil"/>
            </w:tcBorders>
            <w:shd w:val="clear" w:color="auto" w:fill="auto"/>
            <w:noWrap/>
            <w:vAlign w:val="bottom"/>
            <w:hideMark/>
          </w:tcPr>
          <w:p w14:paraId="6618A982" w14:textId="64AB1858"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12,128</w:t>
            </w:r>
          </w:p>
        </w:tc>
        <w:tc>
          <w:tcPr>
            <w:tcW w:w="574" w:type="pct"/>
            <w:tcBorders>
              <w:top w:val="nil"/>
              <w:left w:val="nil"/>
              <w:bottom w:val="nil"/>
              <w:right w:val="nil"/>
            </w:tcBorders>
            <w:shd w:val="clear" w:color="auto" w:fill="auto"/>
            <w:noWrap/>
            <w:vAlign w:val="bottom"/>
            <w:hideMark/>
          </w:tcPr>
          <w:p w14:paraId="5B2BD7A9" w14:textId="148EEDAB"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11,659</w:t>
            </w:r>
          </w:p>
        </w:tc>
        <w:tc>
          <w:tcPr>
            <w:tcW w:w="573" w:type="pct"/>
            <w:tcBorders>
              <w:top w:val="nil"/>
              <w:left w:val="nil"/>
              <w:bottom w:val="nil"/>
              <w:right w:val="nil"/>
            </w:tcBorders>
            <w:shd w:val="clear" w:color="auto" w:fill="auto"/>
            <w:noWrap/>
            <w:vAlign w:val="bottom"/>
            <w:hideMark/>
          </w:tcPr>
          <w:p w14:paraId="3BFD5CC4" w14:textId="239BC661"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11,254</w:t>
            </w:r>
          </w:p>
        </w:tc>
      </w:tr>
      <w:tr w:rsidR="00A1733C" w:rsidRPr="002F1937" w14:paraId="7263540C" w14:textId="77777777" w:rsidTr="00A1733C">
        <w:trPr>
          <w:trHeight w:val="204"/>
        </w:trPr>
        <w:tc>
          <w:tcPr>
            <w:tcW w:w="2100" w:type="pct"/>
            <w:tcBorders>
              <w:top w:val="nil"/>
              <w:left w:val="nil"/>
              <w:bottom w:val="nil"/>
              <w:right w:val="nil"/>
            </w:tcBorders>
            <w:shd w:val="clear" w:color="auto" w:fill="auto"/>
            <w:noWrap/>
            <w:vAlign w:val="bottom"/>
            <w:hideMark/>
          </w:tcPr>
          <w:p w14:paraId="0627E607" w14:textId="77777777" w:rsidR="00A1733C" w:rsidRPr="002F1937" w:rsidRDefault="00A1733C" w:rsidP="00A1733C">
            <w:pPr>
              <w:spacing w:after="0" w:line="240" w:lineRule="auto"/>
              <w:ind w:firstLineChars="100" w:firstLine="160"/>
              <w:rPr>
                <w:rFonts w:ascii="Arial" w:hAnsi="Arial" w:cs="Arial"/>
                <w:color w:val="000000"/>
                <w:sz w:val="16"/>
                <w:szCs w:val="16"/>
              </w:rPr>
            </w:pPr>
            <w:r w:rsidRPr="002F1937">
              <w:rPr>
                <w:rFonts w:ascii="Arial" w:hAnsi="Arial" w:cs="Arial"/>
                <w:color w:val="000000"/>
                <w:sz w:val="16"/>
                <w:szCs w:val="16"/>
              </w:rPr>
              <w:t>Intangibles</w:t>
            </w:r>
          </w:p>
        </w:tc>
        <w:tc>
          <w:tcPr>
            <w:tcW w:w="605" w:type="pct"/>
            <w:tcBorders>
              <w:top w:val="nil"/>
              <w:left w:val="nil"/>
              <w:bottom w:val="nil"/>
              <w:right w:val="nil"/>
            </w:tcBorders>
            <w:shd w:val="clear" w:color="auto" w:fill="auto"/>
            <w:noWrap/>
            <w:vAlign w:val="bottom"/>
            <w:hideMark/>
          </w:tcPr>
          <w:p w14:paraId="43B05C55" w14:textId="30BEF127"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76,254</w:t>
            </w:r>
          </w:p>
        </w:tc>
        <w:tc>
          <w:tcPr>
            <w:tcW w:w="574" w:type="pct"/>
            <w:tcBorders>
              <w:top w:val="nil"/>
              <w:left w:val="nil"/>
              <w:bottom w:val="nil"/>
              <w:right w:val="nil"/>
            </w:tcBorders>
            <w:shd w:val="clear" w:color="000000" w:fill="E6E6E6"/>
            <w:noWrap/>
            <w:vAlign w:val="bottom"/>
            <w:hideMark/>
          </w:tcPr>
          <w:p w14:paraId="5FD305C7" w14:textId="416460B2"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86,062</w:t>
            </w:r>
          </w:p>
        </w:tc>
        <w:tc>
          <w:tcPr>
            <w:tcW w:w="574" w:type="pct"/>
            <w:tcBorders>
              <w:top w:val="nil"/>
              <w:left w:val="nil"/>
              <w:bottom w:val="nil"/>
              <w:right w:val="nil"/>
            </w:tcBorders>
            <w:shd w:val="clear" w:color="auto" w:fill="auto"/>
            <w:noWrap/>
            <w:vAlign w:val="bottom"/>
            <w:hideMark/>
          </w:tcPr>
          <w:p w14:paraId="3D919D34" w14:textId="68F83591"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87,014</w:t>
            </w:r>
          </w:p>
        </w:tc>
        <w:tc>
          <w:tcPr>
            <w:tcW w:w="574" w:type="pct"/>
            <w:tcBorders>
              <w:top w:val="nil"/>
              <w:left w:val="nil"/>
              <w:bottom w:val="nil"/>
              <w:right w:val="nil"/>
            </w:tcBorders>
            <w:shd w:val="clear" w:color="auto" w:fill="auto"/>
            <w:noWrap/>
            <w:vAlign w:val="bottom"/>
            <w:hideMark/>
          </w:tcPr>
          <w:p w14:paraId="16489BAD" w14:textId="528A827F"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86,213</w:t>
            </w:r>
          </w:p>
        </w:tc>
        <w:tc>
          <w:tcPr>
            <w:tcW w:w="573" w:type="pct"/>
            <w:tcBorders>
              <w:top w:val="nil"/>
              <w:left w:val="nil"/>
              <w:bottom w:val="nil"/>
              <w:right w:val="nil"/>
            </w:tcBorders>
            <w:shd w:val="clear" w:color="auto" w:fill="auto"/>
            <w:noWrap/>
            <w:vAlign w:val="bottom"/>
            <w:hideMark/>
          </w:tcPr>
          <w:p w14:paraId="7A88EFC5" w14:textId="42037F2E"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85,480</w:t>
            </w:r>
          </w:p>
        </w:tc>
      </w:tr>
      <w:tr w:rsidR="00A1733C" w:rsidRPr="002F1937" w14:paraId="2A1E95B9" w14:textId="77777777" w:rsidTr="00A1733C">
        <w:trPr>
          <w:trHeight w:val="204"/>
        </w:trPr>
        <w:tc>
          <w:tcPr>
            <w:tcW w:w="2100" w:type="pct"/>
            <w:tcBorders>
              <w:top w:val="nil"/>
              <w:left w:val="nil"/>
              <w:bottom w:val="nil"/>
              <w:right w:val="nil"/>
            </w:tcBorders>
            <w:shd w:val="clear" w:color="auto" w:fill="auto"/>
            <w:noWrap/>
            <w:vAlign w:val="bottom"/>
            <w:hideMark/>
          </w:tcPr>
          <w:p w14:paraId="679C3762" w14:textId="77777777" w:rsidR="00A1733C" w:rsidRPr="002F1937" w:rsidRDefault="00A1733C" w:rsidP="00A1733C">
            <w:pPr>
              <w:spacing w:after="0" w:line="240" w:lineRule="auto"/>
              <w:ind w:firstLineChars="100" w:firstLine="160"/>
              <w:outlineLvl w:val="0"/>
              <w:rPr>
                <w:rFonts w:ascii="Arial" w:hAnsi="Arial" w:cs="Arial"/>
                <w:color w:val="000000"/>
                <w:sz w:val="16"/>
                <w:szCs w:val="16"/>
              </w:rPr>
            </w:pPr>
            <w:r w:rsidRPr="002F1937">
              <w:rPr>
                <w:rFonts w:ascii="Arial" w:hAnsi="Arial" w:cs="Arial"/>
                <w:color w:val="000000"/>
                <w:sz w:val="16"/>
                <w:szCs w:val="16"/>
              </w:rPr>
              <w:t>Heritage and cultural assets</w:t>
            </w:r>
          </w:p>
        </w:tc>
        <w:tc>
          <w:tcPr>
            <w:tcW w:w="605" w:type="pct"/>
            <w:tcBorders>
              <w:top w:val="nil"/>
              <w:left w:val="nil"/>
              <w:bottom w:val="nil"/>
              <w:right w:val="nil"/>
            </w:tcBorders>
            <w:shd w:val="clear" w:color="auto" w:fill="auto"/>
            <w:noWrap/>
            <w:vAlign w:val="bottom"/>
            <w:hideMark/>
          </w:tcPr>
          <w:p w14:paraId="6F05A183" w14:textId="08D2FD9B" w:rsidR="00A1733C" w:rsidRPr="002F1937" w:rsidRDefault="00A1733C" w:rsidP="00A1733C">
            <w:pPr>
              <w:spacing w:after="0" w:line="240" w:lineRule="auto"/>
              <w:ind w:firstLineChars="100" w:firstLine="160"/>
              <w:jc w:val="right"/>
              <w:outlineLvl w:val="0"/>
              <w:rPr>
                <w:rFonts w:ascii="Arial" w:hAnsi="Arial" w:cs="Arial"/>
                <w:color w:val="000000"/>
                <w:sz w:val="16"/>
                <w:szCs w:val="16"/>
              </w:rPr>
            </w:pPr>
            <w:r>
              <w:rPr>
                <w:rFonts w:ascii="Arial" w:hAnsi="Arial" w:cs="Arial"/>
                <w:color w:val="000000"/>
                <w:sz w:val="16"/>
                <w:szCs w:val="16"/>
              </w:rPr>
              <w:t>42,374</w:t>
            </w:r>
          </w:p>
        </w:tc>
        <w:tc>
          <w:tcPr>
            <w:tcW w:w="574" w:type="pct"/>
            <w:tcBorders>
              <w:top w:val="nil"/>
              <w:left w:val="nil"/>
              <w:bottom w:val="nil"/>
              <w:right w:val="nil"/>
            </w:tcBorders>
            <w:shd w:val="clear" w:color="000000" w:fill="E6E6E6"/>
            <w:noWrap/>
            <w:vAlign w:val="bottom"/>
            <w:hideMark/>
          </w:tcPr>
          <w:p w14:paraId="4612028B" w14:textId="43FF95DC" w:rsidR="00A1733C" w:rsidRPr="002F1937" w:rsidRDefault="00A1733C" w:rsidP="00A1733C">
            <w:pPr>
              <w:spacing w:after="0" w:line="240" w:lineRule="auto"/>
              <w:jc w:val="right"/>
              <w:outlineLvl w:val="0"/>
              <w:rPr>
                <w:rFonts w:ascii="Arial" w:hAnsi="Arial" w:cs="Arial"/>
                <w:color w:val="000000"/>
                <w:sz w:val="16"/>
                <w:szCs w:val="16"/>
              </w:rPr>
            </w:pPr>
            <w:r>
              <w:rPr>
                <w:rFonts w:ascii="Arial" w:hAnsi="Arial" w:cs="Arial"/>
                <w:color w:val="000000"/>
                <w:sz w:val="16"/>
                <w:szCs w:val="16"/>
              </w:rPr>
              <w:t>42,232</w:t>
            </w:r>
          </w:p>
        </w:tc>
        <w:tc>
          <w:tcPr>
            <w:tcW w:w="574" w:type="pct"/>
            <w:tcBorders>
              <w:top w:val="nil"/>
              <w:left w:val="nil"/>
              <w:bottom w:val="nil"/>
              <w:right w:val="nil"/>
            </w:tcBorders>
            <w:shd w:val="clear" w:color="auto" w:fill="auto"/>
            <w:noWrap/>
            <w:vAlign w:val="bottom"/>
            <w:hideMark/>
          </w:tcPr>
          <w:p w14:paraId="3BF87453" w14:textId="09989C76" w:rsidR="00A1733C" w:rsidRPr="002F1937" w:rsidRDefault="00A1733C" w:rsidP="00A1733C">
            <w:pPr>
              <w:spacing w:after="0" w:line="240" w:lineRule="auto"/>
              <w:jc w:val="right"/>
              <w:outlineLvl w:val="0"/>
              <w:rPr>
                <w:rFonts w:ascii="Arial" w:hAnsi="Arial" w:cs="Arial"/>
                <w:color w:val="000000"/>
                <w:sz w:val="16"/>
                <w:szCs w:val="16"/>
              </w:rPr>
            </w:pPr>
            <w:r>
              <w:rPr>
                <w:rFonts w:ascii="Arial" w:hAnsi="Arial" w:cs="Arial"/>
                <w:color w:val="000000"/>
                <w:sz w:val="16"/>
                <w:szCs w:val="16"/>
              </w:rPr>
              <w:t>42,090</w:t>
            </w:r>
          </w:p>
        </w:tc>
        <w:tc>
          <w:tcPr>
            <w:tcW w:w="574" w:type="pct"/>
            <w:tcBorders>
              <w:top w:val="nil"/>
              <w:left w:val="nil"/>
              <w:bottom w:val="nil"/>
              <w:right w:val="nil"/>
            </w:tcBorders>
            <w:shd w:val="clear" w:color="auto" w:fill="auto"/>
            <w:noWrap/>
            <w:vAlign w:val="bottom"/>
            <w:hideMark/>
          </w:tcPr>
          <w:p w14:paraId="45936839" w14:textId="0FB99720" w:rsidR="00A1733C" w:rsidRPr="002F1937" w:rsidRDefault="00A1733C" w:rsidP="00A1733C">
            <w:pPr>
              <w:spacing w:after="0" w:line="240" w:lineRule="auto"/>
              <w:jc w:val="right"/>
              <w:outlineLvl w:val="0"/>
              <w:rPr>
                <w:rFonts w:ascii="Times New Roman" w:hAnsi="Times New Roman"/>
              </w:rPr>
            </w:pPr>
            <w:r>
              <w:rPr>
                <w:rFonts w:ascii="Arial" w:hAnsi="Arial" w:cs="Arial"/>
                <w:color w:val="000000"/>
                <w:sz w:val="16"/>
                <w:szCs w:val="16"/>
              </w:rPr>
              <w:t>41,948</w:t>
            </w:r>
          </w:p>
        </w:tc>
        <w:tc>
          <w:tcPr>
            <w:tcW w:w="573" w:type="pct"/>
            <w:tcBorders>
              <w:top w:val="nil"/>
              <w:left w:val="nil"/>
              <w:bottom w:val="nil"/>
              <w:right w:val="nil"/>
            </w:tcBorders>
            <w:shd w:val="clear" w:color="auto" w:fill="auto"/>
            <w:noWrap/>
            <w:vAlign w:val="bottom"/>
            <w:hideMark/>
          </w:tcPr>
          <w:p w14:paraId="431224E7" w14:textId="12AE8422" w:rsidR="00A1733C" w:rsidRPr="002F1937" w:rsidRDefault="00A1733C" w:rsidP="00A1733C">
            <w:pPr>
              <w:spacing w:after="0" w:line="240" w:lineRule="auto"/>
              <w:jc w:val="right"/>
              <w:outlineLvl w:val="0"/>
              <w:rPr>
                <w:rFonts w:ascii="Times New Roman" w:hAnsi="Times New Roman"/>
              </w:rPr>
            </w:pPr>
            <w:r>
              <w:rPr>
                <w:rFonts w:ascii="Arial" w:hAnsi="Arial" w:cs="Arial"/>
                <w:color w:val="000000"/>
                <w:sz w:val="16"/>
                <w:szCs w:val="16"/>
              </w:rPr>
              <w:t>41,806</w:t>
            </w:r>
          </w:p>
        </w:tc>
      </w:tr>
      <w:tr w:rsidR="00A1733C" w:rsidRPr="002F1937" w14:paraId="3AF907D5" w14:textId="77777777" w:rsidTr="00A1733C">
        <w:trPr>
          <w:trHeight w:val="204"/>
        </w:trPr>
        <w:tc>
          <w:tcPr>
            <w:tcW w:w="2100" w:type="pct"/>
            <w:tcBorders>
              <w:top w:val="nil"/>
              <w:left w:val="nil"/>
              <w:bottom w:val="nil"/>
              <w:right w:val="nil"/>
            </w:tcBorders>
            <w:shd w:val="clear" w:color="auto" w:fill="auto"/>
            <w:noWrap/>
            <w:vAlign w:val="bottom"/>
            <w:hideMark/>
          </w:tcPr>
          <w:p w14:paraId="7262B1F2" w14:textId="77777777" w:rsidR="00A1733C" w:rsidRPr="002F1937" w:rsidRDefault="00A1733C" w:rsidP="00A1733C">
            <w:pPr>
              <w:spacing w:after="0" w:line="240" w:lineRule="auto"/>
              <w:ind w:firstLineChars="100" w:firstLine="160"/>
              <w:rPr>
                <w:rFonts w:ascii="Arial" w:hAnsi="Arial" w:cs="Arial"/>
                <w:color w:val="000000"/>
                <w:sz w:val="16"/>
                <w:szCs w:val="16"/>
              </w:rPr>
            </w:pPr>
            <w:r w:rsidRPr="002F1937">
              <w:rPr>
                <w:rFonts w:ascii="Arial" w:hAnsi="Arial" w:cs="Arial"/>
                <w:color w:val="000000"/>
                <w:sz w:val="16"/>
                <w:szCs w:val="16"/>
              </w:rPr>
              <w:t>Other non-financial assets</w:t>
            </w:r>
          </w:p>
        </w:tc>
        <w:tc>
          <w:tcPr>
            <w:tcW w:w="605" w:type="pct"/>
            <w:tcBorders>
              <w:top w:val="nil"/>
              <w:left w:val="nil"/>
              <w:bottom w:val="nil"/>
              <w:right w:val="nil"/>
            </w:tcBorders>
            <w:shd w:val="clear" w:color="auto" w:fill="auto"/>
            <w:noWrap/>
            <w:vAlign w:val="bottom"/>
            <w:hideMark/>
          </w:tcPr>
          <w:p w14:paraId="4F5185A7" w14:textId="14C5E81A"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7,335</w:t>
            </w:r>
          </w:p>
        </w:tc>
        <w:tc>
          <w:tcPr>
            <w:tcW w:w="574" w:type="pct"/>
            <w:tcBorders>
              <w:top w:val="nil"/>
              <w:left w:val="nil"/>
              <w:bottom w:val="nil"/>
              <w:right w:val="nil"/>
            </w:tcBorders>
            <w:shd w:val="clear" w:color="000000" w:fill="E6E6E6"/>
            <w:noWrap/>
            <w:vAlign w:val="bottom"/>
            <w:hideMark/>
          </w:tcPr>
          <w:p w14:paraId="05813183" w14:textId="6CA03651"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7,317</w:t>
            </w:r>
          </w:p>
        </w:tc>
        <w:tc>
          <w:tcPr>
            <w:tcW w:w="574" w:type="pct"/>
            <w:tcBorders>
              <w:top w:val="nil"/>
              <w:left w:val="nil"/>
              <w:bottom w:val="nil"/>
              <w:right w:val="nil"/>
            </w:tcBorders>
            <w:shd w:val="clear" w:color="auto" w:fill="auto"/>
            <w:noWrap/>
            <w:vAlign w:val="bottom"/>
            <w:hideMark/>
          </w:tcPr>
          <w:p w14:paraId="485519E6" w14:textId="053BC7A0"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7,335</w:t>
            </w:r>
          </w:p>
        </w:tc>
        <w:tc>
          <w:tcPr>
            <w:tcW w:w="574" w:type="pct"/>
            <w:tcBorders>
              <w:top w:val="nil"/>
              <w:left w:val="nil"/>
              <w:bottom w:val="nil"/>
              <w:right w:val="nil"/>
            </w:tcBorders>
            <w:shd w:val="clear" w:color="auto" w:fill="auto"/>
            <w:noWrap/>
            <w:vAlign w:val="bottom"/>
            <w:hideMark/>
          </w:tcPr>
          <w:p w14:paraId="03CF65F3" w14:textId="20079D3B"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7,335</w:t>
            </w:r>
          </w:p>
        </w:tc>
        <w:tc>
          <w:tcPr>
            <w:tcW w:w="573" w:type="pct"/>
            <w:tcBorders>
              <w:top w:val="nil"/>
              <w:left w:val="nil"/>
              <w:bottom w:val="nil"/>
              <w:right w:val="nil"/>
            </w:tcBorders>
            <w:shd w:val="clear" w:color="auto" w:fill="auto"/>
            <w:noWrap/>
            <w:vAlign w:val="bottom"/>
            <w:hideMark/>
          </w:tcPr>
          <w:p w14:paraId="4686C324" w14:textId="10365738"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7,335</w:t>
            </w:r>
          </w:p>
        </w:tc>
      </w:tr>
      <w:tr w:rsidR="00A1733C" w:rsidRPr="002F1937" w14:paraId="110CA8B7" w14:textId="77777777" w:rsidTr="00A1733C">
        <w:trPr>
          <w:trHeight w:val="204"/>
        </w:trPr>
        <w:tc>
          <w:tcPr>
            <w:tcW w:w="2100" w:type="pct"/>
            <w:tcBorders>
              <w:top w:val="nil"/>
              <w:left w:val="nil"/>
              <w:bottom w:val="nil"/>
              <w:right w:val="nil"/>
            </w:tcBorders>
            <w:shd w:val="clear" w:color="auto" w:fill="auto"/>
            <w:noWrap/>
            <w:vAlign w:val="bottom"/>
            <w:hideMark/>
          </w:tcPr>
          <w:p w14:paraId="7EAE425A" w14:textId="77777777" w:rsidR="00A1733C" w:rsidRPr="002F1937" w:rsidRDefault="00A1733C" w:rsidP="00A1733C">
            <w:pPr>
              <w:spacing w:after="0" w:line="240" w:lineRule="auto"/>
              <w:rPr>
                <w:rFonts w:ascii="Arial" w:hAnsi="Arial" w:cs="Arial"/>
                <w:b/>
                <w:bCs/>
                <w:i/>
                <w:iCs/>
                <w:color w:val="000000"/>
                <w:sz w:val="16"/>
                <w:szCs w:val="16"/>
              </w:rPr>
            </w:pPr>
            <w:r w:rsidRPr="002F1937">
              <w:rPr>
                <w:rFonts w:ascii="Arial" w:hAnsi="Arial" w:cs="Arial"/>
                <w:b/>
                <w:bCs/>
                <w:i/>
                <w:iCs/>
                <w:color w:val="000000"/>
                <w:sz w:val="16"/>
                <w:szCs w:val="16"/>
              </w:rPr>
              <w:t>Total non-financial assets</w:t>
            </w:r>
          </w:p>
        </w:tc>
        <w:tc>
          <w:tcPr>
            <w:tcW w:w="605" w:type="pct"/>
            <w:tcBorders>
              <w:top w:val="single" w:sz="4" w:space="0" w:color="000000"/>
              <w:left w:val="nil"/>
              <w:bottom w:val="single" w:sz="4" w:space="0" w:color="000000"/>
              <w:right w:val="nil"/>
            </w:tcBorders>
            <w:shd w:val="clear" w:color="auto" w:fill="auto"/>
            <w:noWrap/>
            <w:vAlign w:val="bottom"/>
            <w:hideMark/>
          </w:tcPr>
          <w:p w14:paraId="7E347DF0" w14:textId="49F53080" w:rsidR="00A1733C" w:rsidRPr="002F1937" w:rsidRDefault="00A1733C" w:rsidP="00A1733C">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233,706</w:t>
            </w:r>
          </w:p>
        </w:tc>
        <w:tc>
          <w:tcPr>
            <w:tcW w:w="574" w:type="pct"/>
            <w:tcBorders>
              <w:top w:val="single" w:sz="4" w:space="0" w:color="000000"/>
              <w:left w:val="nil"/>
              <w:bottom w:val="single" w:sz="4" w:space="0" w:color="000000"/>
              <w:right w:val="nil"/>
            </w:tcBorders>
            <w:shd w:val="clear" w:color="000000" w:fill="E6E6E6"/>
            <w:noWrap/>
            <w:vAlign w:val="bottom"/>
            <w:hideMark/>
          </w:tcPr>
          <w:p w14:paraId="3ED05B25" w14:textId="7461A5AA" w:rsidR="00A1733C" w:rsidRPr="002F1937" w:rsidRDefault="00A1733C" w:rsidP="00A1733C">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219,928</w:t>
            </w:r>
          </w:p>
        </w:tc>
        <w:tc>
          <w:tcPr>
            <w:tcW w:w="574" w:type="pct"/>
            <w:tcBorders>
              <w:top w:val="single" w:sz="4" w:space="0" w:color="000000"/>
              <w:left w:val="nil"/>
              <w:bottom w:val="single" w:sz="4" w:space="0" w:color="000000"/>
              <w:right w:val="nil"/>
            </w:tcBorders>
            <w:shd w:val="clear" w:color="auto" w:fill="auto"/>
            <w:noWrap/>
            <w:vAlign w:val="bottom"/>
            <w:hideMark/>
          </w:tcPr>
          <w:p w14:paraId="5A457720" w14:textId="15A3180F" w:rsidR="00A1733C" w:rsidRPr="002F1937" w:rsidRDefault="00A1733C" w:rsidP="00A1733C">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195,420</w:t>
            </w:r>
          </w:p>
        </w:tc>
        <w:tc>
          <w:tcPr>
            <w:tcW w:w="574" w:type="pct"/>
            <w:tcBorders>
              <w:top w:val="single" w:sz="4" w:space="0" w:color="000000"/>
              <w:left w:val="nil"/>
              <w:bottom w:val="single" w:sz="4" w:space="0" w:color="000000"/>
              <w:right w:val="nil"/>
            </w:tcBorders>
            <w:shd w:val="clear" w:color="auto" w:fill="auto"/>
            <w:noWrap/>
            <w:vAlign w:val="bottom"/>
            <w:hideMark/>
          </w:tcPr>
          <w:p w14:paraId="35F7FAEA" w14:textId="42FDCB48" w:rsidR="00A1733C" w:rsidRPr="002F1937" w:rsidRDefault="00A1733C" w:rsidP="00A1733C">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170,101</w:t>
            </w:r>
          </w:p>
        </w:tc>
        <w:tc>
          <w:tcPr>
            <w:tcW w:w="573" w:type="pct"/>
            <w:tcBorders>
              <w:top w:val="single" w:sz="4" w:space="0" w:color="000000"/>
              <w:left w:val="nil"/>
              <w:bottom w:val="single" w:sz="4" w:space="0" w:color="000000"/>
              <w:right w:val="nil"/>
            </w:tcBorders>
            <w:shd w:val="clear" w:color="auto" w:fill="auto"/>
            <w:noWrap/>
            <w:vAlign w:val="bottom"/>
            <w:hideMark/>
          </w:tcPr>
          <w:p w14:paraId="0561B941" w14:textId="756E704F" w:rsidR="00A1733C" w:rsidRPr="002F1937" w:rsidRDefault="00A1733C" w:rsidP="00A1733C">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168,821</w:t>
            </w:r>
          </w:p>
        </w:tc>
      </w:tr>
      <w:tr w:rsidR="00A1733C" w:rsidRPr="002F1937" w14:paraId="7B3B4943" w14:textId="77777777" w:rsidTr="00A1733C">
        <w:trPr>
          <w:trHeight w:val="204"/>
        </w:trPr>
        <w:tc>
          <w:tcPr>
            <w:tcW w:w="2100" w:type="pct"/>
            <w:tcBorders>
              <w:top w:val="nil"/>
              <w:left w:val="nil"/>
              <w:bottom w:val="nil"/>
              <w:right w:val="nil"/>
            </w:tcBorders>
            <w:shd w:val="clear" w:color="auto" w:fill="auto"/>
            <w:noWrap/>
            <w:vAlign w:val="bottom"/>
            <w:hideMark/>
          </w:tcPr>
          <w:p w14:paraId="2DB12D81" w14:textId="77777777" w:rsidR="00A1733C" w:rsidRPr="002F1937" w:rsidRDefault="00A1733C" w:rsidP="00A1733C">
            <w:pPr>
              <w:spacing w:after="0" w:line="240" w:lineRule="auto"/>
              <w:rPr>
                <w:rFonts w:ascii="Arial" w:hAnsi="Arial" w:cs="Arial"/>
                <w:b/>
                <w:bCs/>
                <w:color w:val="000000"/>
                <w:sz w:val="16"/>
                <w:szCs w:val="16"/>
              </w:rPr>
            </w:pPr>
            <w:r w:rsidRPr="002F1937">
              <w:rPr>
                <w:rFonts w:ascii="Arial" w:hAnsi="Arial" w:cs="Arial"/>
                <w:b/>
                <w:bCs/>
                <w:color w:val="000000"/>
                <w:sz w:val="16"/>
                <w:szCs w:val="16"/>
              </w:rPr>
              <w:t>Total assets</w:t>
            </w:r>
          </w:p>
        </w:tc>
        <w:tc>
          <w:tcPr>
            <w:tcW w:w="605" w:type="pct"/>
            <w:tcBorders>
              <w:top w:val="nil"/>
              <w:left w:val="nil"/>
              <w:bottom w:val="single" w:sz="4" w:space="0" w:color="000000"/>
              <w:right w:val="nil"/>
            </w:tcBorders>
            <w:shd w:val="clear" w:color="auto" w:fill="auto"/>
            <w:noWrap/>
            <w:vAlign w:val="bottom"/>
            <w:hideMark/>
          </w:tcPr>
          <w:p w14:paraId="012B6A1C" w14:textId="711A8F8F" w:rsidR="00A1733C" w:rsidRPr="002F1937" w:rsidRDefault="00A1733C" w:rsidP="00A1733C">
            <w:pPr>
              <w:spacing w:after="0" w:line="240" w:lineRule="auto"/>
              <w:jc w:val="right"/>
              <w:rPr>
                <w:rFonts w:ascii="Arial" w:hAnsi="Arial" w:cs="Arial"/>
                <w:b/>
                <w:bCs/>
                <w:color w:val="000000"/>
                <w:sz w:val="16"/>
                <w:szCs w:val="16"/>
              </w:rPr>
            </w:pPr>
            <w:r>
              <w:rPr>
                <w:rFonts w:ascii="Arial" w:hAnsi="Arial" w:cs="Arial"/>
                <w:b/>
                <w:bCs/>
                <w:color w:val="000000"/>
                <w:sz w:val="16"/>
                <w:szCs w:val="16"/>
              </w:rPr>
              <w:t>397,577</w:t>
            </w:r>
          </w:p>
        </w:tc>
        <w:tc>
          <w:tcPr>
            <w:tcW w:w="574" w:type="pct"/>
            <w:tcBorders>
              <w:top w:val="nil"/>
              <w:left w:val="nil"/>
              <w:bottom w:val="single" w:sz="4" w:space="0" w:color="000000"/>
              <w:right w:val="nil"/>
            </w:tcBorders>
            <w:shd w:val="clear" w:color="000000" w:fill="E6E6E6"/>
            <w:noWrap/>
            <w:vAlign w:val="bottom"/>
            <w:hideMark/>
          </w:tcPr>
          <w:p w14:paraId="79926925" w14:textId="6B50067F" w:rsidR="00A1733C" w:rsidRPr="002F1937" w:rsidRDefault="00A1733C" w:rsidP="00A1733C">
            <w:pPr>
              <w:spacing w:after="0" w:line="240" w:lineRule="auto"/>
              <w:jc w:val="right"/>
              <w:rPr>
                <w:rFonts w:ascii="Arial" w:hAnsi="Arial" w:cs="Arial"/>
                <w:b/>
                <w:bCs/>
                <w:color w:val="000000"/>
                <w:sz w:val="16"/>
                <w:szCs w:val="16"/>
              </w:rPr>
            </w:pPr>
            <w:r>
              <w:rPr>
                <w:rFonts w:ascii="Arial" w:hAnsi="Arial" w:cs="Arial"/>
                <w:b/>
                <w:bCs/>
                <w:color w:val="000000"/>
                <w:sz w:val="16"/>
                <w:szCs w:val="16"/>
              </w:rPr>
              <w:t>385,252</w:t>
            </w:r>
          </w:p>
        </w:tc>
        <w:tc>
          <w:tcPr>
            <w:tcW w:w="574" w:type="pct"/>
            <w:tcBorders>
              <w:top w:val="nil"/>
              <w:left w:val="nil"/>
              <w:bottom w:val="single" w:sz="4" w:space="0" w:color="000000"/>
              <w:right w:val="nil"/>
            </w:tcBorders>
            <w:shd w:val="clear" w:color="auto" w:fill="auto"/>
            <w:noWrap/>
            <w:vAlign w:val="bottom"/>
            <w:hideMark/>
          </w:tcPr>
          <w:p w14:paraId="00D89A65" w14:textId="73AF9D66" w:rsidR="00A1733C" w:rsidRPr="002F1937" w:rsidRDefault="00A1733C" w:rsidP="00A1733C">
            <w:pPr>
              <w:spacing w:after="0" w:line="240" w:lineRule="auto"/>
              <w:jc w:val="right"/>
              <w:rPr>
                <w:rFonts w:ascii="Arial" w:hAnsi="Arial" w:cs="Arial"/>
                <w:b/>
                <w:bCs/>
                <w:color w:val="000000"/>
                <w:sz w:val="16"/>
                <w:szCs w:val="16"/>
              </w:rPr>
            </w:pPr>
            <w:r>
              <w:rPr>
                <w:rFonts w:ascii="Arial" w:hAnsi="Arial" w:cs="Arial"/>
                <w:b/>
                <w:bCs/>
                <w:color w:val="000000"/>
                <w:sz w:val="16"/>
                <w:szCs w:val="16"/>
              </w:rPr>
              <w:t>360,939</w:t>
            </w:r>
          </w:p>
        </w:tc>
        <w:tc>
          <w:tcPr>
            <w:tcW w:w="574" w:type="pct"/>
            <w:tcBorders>
              <w:top w:val="nil"/>
              <w:left w:val="nil"/>
              <w:bottom w:val="single" w:sz="4" w:space="0" w:color="000000"/>
              <w:right w:val="nil"/>
            </w:tcBorders>
            <w:shd w:val="clear" w:color="auto" w:fill="auto"/>
            <w:noWrap/>
            <w:vAlign w:val="bottom"/>
            <w:hideMark/>
          </w:tcPr>
          <w:p w14:paraId="10A7CD91" w14:textId="41D41446" w:rsidR="00A1733C" w:rsidRPr="002F1937" w:rsidRDefault="00A1733C" w:rsidP="00A1733C">
            <w:pPr>
              <w:spacing w:after="0" w:line="240" w:lineRule="auto"/>
              <w:jc w:val="right"/>
              <w:rPr>
                <w:rFonts w:ascii="Arial" w:hAnsi="Arial" w:cs="Arial"/>
                <w:b/>
                <w:bCs/>
                <w:color w:val="000000"/>
                <w:sz w:val="16"/>
                <w:szCs w:val="16"/>
              </w:rPr>
            </w:pPr>
            <w:r>
              <w:rPr>
                <w:rFonts w:ascii="Arial" w:hAnsi="Arial" w:cs="Arial"/>
                <w:b/>
                <w:bCs/>
                <w:color w:val="000000"/>
                <w:sz w:val="16"/>
                <w:szCs w:val="16"/>
              </w:rPr>
              <w:t>335,815</w:t>
            </w:r>
          </w:p>
        </w:tc>
        <w:tc>
          <w:tcPr>
            <w:tcW w:w="573" w:type="pct"/>
            <w:tcBorders>
              <w:top w:val="nil"/>
              <w:left w:val="nil"/>
              <w:bottom w:val="single" w:sz="4" w:space="0" w:color="000000"/>
              <w:right w:val="nil"/>
            </w:tcBorders>
            <w:shd w:val="clear" w:color="auto" w:fill="auto"/>
            <w:noWrap/>
            <w:vAlign w:val="bottom"/>
            <w:hideMark/>
          </w:tcPr>
          <w:p w14:paraId="1085E1FC" w14:textId="53FE9297" w:rsidR="00A1733C" w:rsidRPr="002F1937" w:rsidRDefault="00A1733C" w:rsidP="00A1733C">
            <w:pPr>
              <w:spacing w:after="0" w:line="240" w:lineRule="auto"/>
              <w:jc w:val="right"/>
              <w:rPr>
                <w:rFonts w:ascii="Arial" w:hAnsi="Arial" w:cs="Arial"/>
                <w:b/>
                <w:bCs/>
                <w:color w:val="000000"/>
                <w:sz w:val="16"/>
                <w:szCs w:val="16"/>
              </w:rPr>
            </w:pPr>
            <w:r>
              <w:rPr>
                <w:rFonts w:ascii="Arial" w:hAnsi="Arial" w:cs="Arial"/>
                <w:b/>
                <w:bCs/>
                <w:color w:val="000000"/>
                <w:sz w:val="16"/>
                <w:szCs w:val="16"/>
              </w:rPr>
              <w:t>327,074</w:t>
            </w:r>
          </w:p>
        </w:tc>
      </w:tr>
      <w:tr w:rsidR="00A1733C" w:rsidRPr="002F1937" w14:paraId="37E86D0D" w14:textId="77777777" w:rsidTr="00A1733C">
        <w:trPr>
          <w:trHeight w:val="204"/>
        </w:trPr>
        <w:tc>
          <w:tcPr>
            <w:tcW w:w="2100" w:type="pct"/>
            <w:tcBorders>
              <w:top w:val="nil"/>
              <w:left w:val="nil"/>
              <w:bottom w:val="nil"/>
              <w:right w:val="nil"/>
            </w:tcBorders>
            <w:shd w:val="clear" w:color="auto" w:fill="auto"/>
            <w:noWrap/>
            <w:vAlign w:val="bottom"/>
            <w:hideMark/>
          </w:tcPr>
          <w:p w14:paraId="2C768730" w14:textId="77777777" w:rsidR="00A1733C" w:rsidRPr="002F1937" w:rsidRDefault="00A1733C" w:rsidP="00A1733C">
            <w:pPr>
              <w:spacing w:after="0" w:line="240" w:lineRule="auto"/>
              <w:rPr>
                <w:rFonts w:ascii="Arial" w:hAnsi="Arial" w:cs="Arial"/>
                <w:b/>
                <w:bCs/>
                <w:color w:val="000000"/>
                <w:sz w:val="16"/>
                <w:szCs w:val="16"/>
              </w:rPr>
            </w:pPr>
            <w:r w:rsidRPr="002F1937">
              <w:rPr>
                <w:rFonts w:ascii="Arial" w:hAnsi="Arial" w:cs="Arial"/>
                <w:b/>
                <w:bCs/>
                <w:color w:val="000000"/>
                <w:sz w:val="16"/>
                <w:szCs w:val="16"/>
              </w:rPr>
              <w:t>LIABILITIES</w:t>
            </w:r>
          </w:p>
        </w:tc>
        <w:tc>
          <w:tcPr>
            <w:tcW w:w="605" w:type="pct"/>
            <w:tcBorders>
              <w:top w:val="nil"/>
              <w:left w:val="nil"/>
              <w:bottom w:val="nil"/>
              <w:right w:val="nil"/>
            </w:tcBorders>
            <w:shd w:val="clear" w:color="auto" w:fill="auto"/>
            <w:noWrap/>
            <w:vAlign w:val="bottom"/>
            <w:hideMark/>
          </w:tcPr>
          <w:p w14:paraId="5A2D17A0" w14:textId="77777777" w:rsidR="00A1733C" w:rsidRPr="002F1937" w:rsidRDefault="00A1733C" w:rsidP="00A1733C">
            <w:pPr>
              <w:spacing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0EF03124" w14:textId="684A9613" w:rsidR="00A1733C" w:rsidRPr="002F1937" w:rsidRDefault="00A1733C" w:rsidP="00A1733C">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2F99E7A7" w14:textId="77777777" w:rsidR="00A1733C" w:rsidRPr="002F1937" w:rsidRDefault="00A1733C" w:rsidP="00A1733C">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3E58C6A3" w14:textId="77777777" w:rsidR="00A1733C" w:rsidRPr="002F1937" w:rsidRDefault="00A1733C" w:rsidP="00A1733C">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6EC9344D" w14:textId="77777777" w:rsidR="00A1733C" w:rsidRPr="002F1937" w:rsidRDefault="00A1733C" w:rsidP="00A1733C">
            <w:pPr>
              <w:spacing w:after="0" w:line="240" w:lineRule="auto"/>
              <w:jc w:val="right"/>
              <w:rPr>
                <w:rFonts w:ascii="Times New Roman" w:hAnsi="Times New Roman"/>
              </w:rPr>
            </w:pPr>
          </w:p>
        </w:tc>
      </w:tr>
      <w:tr w:rsidR="00A1733C" w:rsidRPr="002F1937" w14:paraId="12E24875" w14:textId="77777777" w:rsidTr="00A1733C">
        <w:trPr>
          <w:trHeight w:val="204"/>
        </w:trPr>
        <w:tc>
          <w:tcPr>
            <w:tcW w:w="2100" w:type="pct"/>
            <w:tcBorders>
              <w:top w:val="nil"/>
              <w:left w:val="nil"/>
              <w:bottom w:val="nil"/>
              <w:right w:val="nil"/>
            </w:tcBorders>
            <w:shd w:val="clear" w:color="auto" w:fill="auto"/>
            <w:noWrap/>
            <w:vAlign w:val="bottom"/>
            <w:hideMark/>
          </w:tcPr>
          <w:p w14:paraId="6AAC67F5" w14:textId="77777777" w:rsidR="00A1733C" w:rsidRPr="002F1937" w:rsidRDefault="00A1733C" w:rsidP="00A1733C">
            <w:pPr>
              <w:spacing w:after="0" w:line="240" w:lineRule="auto"/>
              <w:rPr>
                <w:rFonts w:ascii="Arial" w:hAnsi="Arial" w:cs="Arial"/>
                <w:b/>
                <w:bCs/>
                <w:color w:val="000000"/>
                <w:sz w:val="16"/>
                <w:szCs w:val="16"/>
              </w:rPr>
            </w:pPr>
            <w:r w:rsidRPr="002F1937">
              <w:rPr>
                <w:rFonts w:ascii="Arial" w:hAnsi="Arial" w:cs="Arial"/>
                <w:b/>
                <w:bCs/>
                <w:color w:val="000000"/>
                <w:sz w:val="16"/>
                <w:szCs w:val="16"/>
              </w:rPr>
              <w:t>Payables</w:t>
            </w:r>
          </w:p>
        </w:tc>
        <w:tc>
          <w:tcPr>
            <w:tcW w:w="605" w:type="pct"/>
            <w:tcBorders>
              <w:top w:val="nil"/>
              <w:left w:val="nil"/>
              <w:bottom w:val="nil"/>
              <w:right w:val="nil"/>
            </w:tcBorders>
            <w:shd w:val="clear" w:color="auto" w:fill="auto"/>
            <w:noWrap/>
            <w:vAlign w:val="bottom"/>
            <w:hideMark/>
          </w:tcPr>
          <w:p w14:paraId="731D12D8" w14:textId="77777777" w:rsidR="00A1733C" w:rsidRPr="002F1937" w:rsidRDefault="00A1733C" w:rsidP="00A1733C">
            <w:pPr>
              <w:spacing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3D68D770" w14:textId="106C5456" w:rsidR="00A1733C" w:rsidRPr="002F1937" w:rsidRDefault="00A1733C" w:rsidP="00A1733C">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7A1DBDF9" w14:textId="77777777" w:rsidR="00A1733C" w:rsidRPr="002F1937" w:rsidRDefault="00A1733C" w:rsidP="00A1733C">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620DF4F0" w14:textId="77777777" w:rsidR="00A1733C" w:rsidRPr="002F1937" w:rsidRDefault="00A1733C" w:rsidP="00A1733C">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4C7A8237" w14:textId="77777777" w:rsidR="00A1733C" w:rsidRPr="002F1937" w:rsidRDefault="00A1733C" w:rsidP="00A1733C">
            <w:pPr>
              <w:spacing w:after="0" w:line="240" w:lineRule="auto"/>
              <w:jc w:val="right"/>
              <w:rPr>
                <w:rFonts w:ascii="Times New Roman" w:hAnsi="Times New Roman"/>
              </w:rPr>
            </w:pPr>
          </w:p>
        </w:tc>
      </w:tr>
      <w:tr w:rsidR="00A1733C" w:rsidRPr="002F1937" w14:paraId="2219423F" w14:textId="77777777" w:rsidTr="00A1733C">
        <w:trPr>
          <w:trHeight w:val="204"/>
        </w:trPr>
        <w:tc>
          <w:tcPr>
            <w:tcW w:w="2100" w:type="pct"/>
            <w:tcBorders>
              <w:top w:val="nil"/>
              <w:left w:val="nil"/>
              <w:bottom w:val="nil"/>
              <w:right w:val="nil"/>
            </w:tcBorders>
            <w:shd w:val="clear" w:color="auto" w:fill="auto"/>
            <w:noWrap/>
            <w:vAlign w:val="bottom"/>
            <w:hideMark/>
          </w:tcPr>
          <w:p w14:paraId="0E026721" w14:textId="77777777" w:rsidR="00A1733C" w:rsidRPr="002F1937" w:rsidRDefault="00A1733C" w:rsidP="00A1733C">
            <w:pPr>
              <w:spacing w:after="0" w:line="240" w:lineRule="auto"/>
              <w:ind w:firstLineChars="100" w:firstLine="160"/>
              <w:rPr>
                <w:rFonts w:ascii="Arial" w:hAnsi="Arial" w:cs="Arial"/>
                <w:color w:val="000000"/>
                <w:sz w:val="16"/>
                <w:szCs w:val="16"/>
              </w:rPr>
            </w:pPr>
            <w:r w:rsidRPr="002F1937">
              <w:rPr>
                <w:rFonts w:ascii="Arial" w:hAnsi="Arial" w:cs="Arial"/>
                <w:color w:val="000000"/>
                <w:sz w:val="16"/>
                <w:szCs w:val="16"/>
              </w:rPr>
              <w:t>Suppliers</w:t>
            </w:r>
          </w:p>
        </w:tc>
        <w:tc>
          <w:tcPr>
            <w:tcW w:w="605" w:type="pct"/>
            <w:tcBorders>
              <w:top w:val="nil"/>
              <w:left w:val="nil"/>
              <w:bottom w:val="nil"/>
              <w:right w:val="nil"/>
            </w:tcBorders>
            <w:shd w:val="clear" w:color="auto" w:fill="auto"/>
            <w:noWrap/>
            <w:vAlign w:val="bottom"/>
            <w:hideMark/>
          </w:tcPr>
          <w:p w14:paraId="0D3B206D" w14:textId="12946059"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28,166</w:t>
            </w:r>
          </w:p>
        </w:tc>
        <w:tc>
          <w:tcPr>
            <w:tcW w:w="574" w:type="pct"/>
            <w:tcBorders>
              <w:top w:val="nil"/>
              <w:left w:val="nil"/>
              <w:bottom w:val="nil"/>
              <w:right w:val="nil"/>
            </w:tcBorders>
            <w:shd w:val="clear" w:color="000000" w:fill="E6E6E6"/>
            <w:noWrap/>
            <w:vAlign w:val="bottom"/>
            <w:hideMark/>
          </w:tcPr>
          <w:p w14:paraId="3057BB5B" w14:textId="12CF3671"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28,166</w:t>
            </w:r>
          </w:p>
        </w:tc>
        <w:tc>
          <w:tcPr>
            <w:tcW w:w="574" w:type="pct"/>
            <w:tcBorders>
              <w:top w:val="nil"/>
              <w:left w:val="nil"/>
              <w:bottom w:val="nil"/>
              <w:right w:val="nil"/>
            </w:tcBorders>
            <w:shd w:val="clear" w:color="auto" w:fill="auto"/>
            <w:noWrap/>
            <w:vAlign w:val="bottom"/>
            <w:hideMark/>
          </w:tcPr>
          <w:p w14:paraId="30BB7005" w14:textId="673DAD28"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28,166</w:t>
            </w:r>
          </w:p>
        </w:tc>
        <w:tc>
          <w:tcPr>
            <w:tcW w:w="574" w:type="pct"/>
            <w:tcBorders>
              <w:top w:val="nil"/>
              <w:left w:val="nil"/>
              <w:bottom w:val="nil"/>
              <w:right w:val="nil"/>
            </w:tcBorders>
            <w:shd w:val="clear" w:color="auto" w:fill="auto"/>
            <w:noWrap/>
            <w:vAlign w:val="bottom"/>
            <w:hideMark/>
          </w:tcPr>
          <w:p w14:paraId="21C5411E" w14:textId="6CA167B6"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28,166</w:t>
            </w:r>
          </w:p>
        </w:tc>
        <w:tc>
          <w:tcPr>
            <w:tcW w:w="573" w:type="pct"/>
            <w:tcBorders>
              <w:top w:val="nil"/>
              <w:left w:val="nil"/>
              <w:bottom w:val="nil"/>
              <w:right w:val="nil"/>
            </w:tcBorders>
            <w:shd w:val="clear" w:color="auto" w:fill="auto"/>
            <w:noWrap/>
            <w:vAlign w:val="bottom"/>
            <w:hideMark/>
          </w:tcPr>
          <w:p w14:paraId="275FD273" w14:textId="3B7C9B3B"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28,166</w:t>
            </w:r>
          </w:p>
        </w:tc>
      </w:tr>
      <w:tr w:rsidR="00A1733C" w:rsidRPr="002F1937" w14:paraId="15CC6767" w14:textId="77777777" w:rsidTr="00A1733C">
        <w:trPr>
          <w:trHeight w:val="204"/>
        </w:trPr>
        <w:tc>
          <w:tcPr>
            <w:tcW w:w="2100" w:type="pct"/>
            <w:tcBorders>
              <w:top w:val="nil"/>
              <w:left w:val="nil"/>
              <w:bottom w:val="nil"/>
              <w:right w:val="nil"/>
            </w:tcBorders>
            <w:shd w:val="clear" w:color="auto" w:fill="auto"/>
            <w:noWrap/>
            <w:vAlign w:val="bottom"/>
            <w:hideMark/>
          </w:tcPr>
          <w:p w14:paraId="3E0F34C4" w14:textId="77777777" w:rsidR="00A1733C" w:rsidRPr="002F1937" w:rsidRDefault="00A1733C" w:rsidP="00A1733C">
            <w:pPr>
              <w:spacing w:after="0" w:line="240" w:lineRule="auto"/>
              <w:ind w:firstLineChars="100" w:firstLine="160"/>
              <w:rPr>
                <w:rFonts w:ascii="Arial" w:hAnsi="Arial" w:cs="Arial"/>
                <w:color w:val="000000"/>
                <w:sz w:val="16"/>
                <w:szCs w:val="16"/>
              </w:rPr>
            </w:pPr>
            <w:r w:rsidRPr="002F1937">
              <w:rPr>
                <w:rFonts w:ascii="Arial" w:hAnsi="Arial" w:cs="Arial"/>
                <w:color w:val="000000"/>
                <w:sz w:val="16"/>
                <w:szCs w:val="16"/>
              </w:rPr>
              <w:t>Other payables</w:t>
            </w:r>
          </w:p>
        </w:tc>
        <w:tc>
          <w:tcPr>
            <w:tcW w:w="605" w:type="pct"/>
            <w:tcBorders>
              <w:top w:val="nil"/>
              <w:left w:val="nil"/>
              <w:bottom w:val="nil"/>
              <w:right w:val="nil"/>
            </w:tcBorders>
            <w:shd w:val="clear" w:color="auto" w:fill="auto"/>
            <w:noWrap/>
            <w:vAlign w:val="bottom"/>
            <w:hideMark/>
          </w:tcPr>
          <w:p w14:paraId="686820C9" w14:textId="041E5C9D"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11,711</w:t>
            </w:r>
          </w:p>
        </w:tc>
        <w:tc>
          <w:tcPr>
            <w:tcW w:w="574" w:type="pct"/>
            <w:tcBorders>
              <w:top w:val="nil"/>
              <w:left w:val="nil"/>
              <w:bottom w:val="nil"/>
              <w:right w:val="nil"/>
            </w:tcBorders>
            <w:shd w:val="clear" w:color="000000" w:fill="E6E6E6"/>
            <w:noWrap/>
            <w:vAlign w:val="bottom"/>
            <w:hideMark/>
          </w:tcPr>
          <w:p w14:paraId="7DBEBA33" w14:textId="1F82B9F7"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11,764</w:t>
            </w:r>
          </w:p>
        </w:tc>
        <w:tc>
          <w:tcPr>
            <w:tcW w:w="574" w:type="pct"/>
            <w:tcBorders>
              <w:top w:val="nil"/>
              <w:left w:val="nil"/>
              <w:bottom w:val="nil"/>
              <w:right w:val="nil"/>
            </w:tcBorders>
            <w:shd w:val="clear" w:color="auto" w:fill="auto"/>
            <w:noWrap/>
            <w:vAlign w:val="bottom"/>
            <w:hideMark/>
          </w:tcPr>
          <w:p w14:paraId="18FA280C" w14:textId="276EFD6F"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11,764</w:t>
            </w:r>
          </w:p>
        </w:tc>
        <w:tc>
          <w:tcPr>
            <w:tcW w:w="574" w:type="pct"/>
            <w:tcBorders>
              <w:top w:val="nil"/>
              <w:left w:val="nil"/>
              <w:bottom w:val="nil"/>
              <w:right w:val="nil"/>
            </w:tcBorders>
            <w:shd w:val="clear" w:color="auto" w:fill="auto"/>
            <w:noWrap/>
            <w:vAlign w:val="bottom"/>
            <w:hideMark/>
          </w:tcPr>
          <w:p w14:paraId="4FDF0F07" w14:textId="7A564505"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11,764</w:t>
            </w:r>
          </w:p>
        </w:tc>
        <w:tc>
          <w:tcPr>
            <w:tcW w:w="573" w:type="pct"/>
            <w:tcBorders>
              <w:top w:val="nil"/>
              <w:left w:val="nil"/>
              <w:bottom w:val="nil"/>
              <w:right w:val="nil"/>
            </w:tcBorders>
            <w:shd w:val="clear" w:color="auto" w:fill="auto"/>
            <w:noWrap/>
            <w:vAlign w:val="bottom"/>
            <w:hideMark/>
          </w:tcPr>
          <w:p w14:paraId="3B506200" w14:textId="31C98F1E"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11,764</w:t>
            </w:r>
          </w:p>
        </w:tc>
      </w:tr>
      <w:tr w:rsidR="00A1733C" w:rsidRPr="002F1937" w14:paraId="69CAE5CE" w14:textId="77777777" w:rsidTr="00A1733C">
        <w:trPr>
          <w:trHeight w:val="204"/>
        </w:trPr>
        <w:tc>
          <w:tcPr>
            <w:tcW w:w="2100" w:type="pct"/>
            <w:tcBorders>
              <w:top w:val="nil"/>
              <w:left w:val="nil"/>
              <w:bottom w:val="nil"/>
              <w:right w:val="nil"/>
            </w:tcBorders>
            <w:shd w:val="clear" w:color="auto" w:fill="auto"/>
            <w:noWrap/>
            <w:vAlign w:val="bottom"/>
            <w:hideMark/>
          </w:tcPr>
          <w:p w14:paraId="5DA7A63E" w14:textId="77777777" w:rsidR="00A1733C" w:rsidRPr="002F1937" w:rsidRDefault="00A1733C" w:rsidP="00A1733C">
            <w:pPr>
              <w:spacing w:after="0" w:line="240" w:lineRule="auto"/>
              <w:rPr>
                <w:rFonts w:ascii="Arial" w:hAnsi="Arial" w:cs="Arial"/>
                <w:b/>
                <w:bCs/>
                <w:i/>
                <w:iCs/>
                <w:color w:val="000000"/>
                <w:sz w:val="16"/>
                <w:szCs w:val="16"/>
              </w:rPr>
            </w:pPr>
            <w:r w:rsidRPr="002F1937">
              <w:rPr>
                <w:rFonts w:ascii="Arial" w:hAnsi="Arial" w:cs="Arial"/>
                <w:b/>
                <w:bCs/>
                <w:i/>
                <w:iCs/>
                <w:color w:val="000000"/>
                <w:sz w:val="16"/>
                <w:szCs w:val="16"/>
              </w:rPr>
              <w:t>Total payables</w:t>
            </w:r>
          </w:p>
        </w:tc>
        <w:tc>
          <w:tcPr>
            <w:tcW w:w="605" w:type="pct"/>
            <w:tcBorders>
              <w:top w:val="single" w:sz="4" w:space="0" w:color="000000"/>
              <w:left w:val="nil"/>
              <w:bottom w:val="single" w:sz="4" w:space="0" w:color="000000"/>
              <w:right w:val="nil"/>
            </w:tcBorders>
            <w:shd w:val="clear" w:color="auto" w:fill="auto"/>
            <w:noWrap/>
            <w:vAlign w:val="bottom"/>
            <w:hideMark/>
          </w:tcPr>
          <w:p w14:paraId="03A191D6" w14:textId="4834B42B" w:rsidR="00A1733C" w:rsidRPr="002F1937" w:rsidRDefault="00A1733C" w:rsidP="00A1733C">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39,877</w:t>
            </w:r>
          </w:p>
        </w:tc>
        <w:tc>
          <w:tcPr>
            <w:tcW w:w="574" w:type="pct"/>
            <w:tcBorders>
              <w:top w:val="single" w:sz="4" w:space="0" w:color="000000"/>
              <w:left w:val="nil"/>
              <w:bottom w:val="single" w:sz="4" w:space="0" w:color="000000"/>
              <w:right w:val="nil"/>
            </w:tcBorders>
            <w:shd w:val="clear" w:color="000000" w:fill="E6E6E6"/>
            <w:noWrap/>
            <w:vAlign w:val="bottom"/>
            <w:hideMark/>
          </w:tcPr>
          <w:p w14:paraId="68647523" w14:textId="1D4824BC" w:rsidR="00A1733C" w:rsidRPr="002F1937" w:rsidRDefault="00A1733C" w:rsidP="00A1733C">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39,930</w:t>
            </w:r>
          </w:p>
        </w:tc>
        <w:tc>
          <w:tcPr>
            <w:tcW w:w="574" w:type="pct"/>
            <w:tcBorders>
              <w:top w:val="single" w:sz="4" w:space="0" w:color="000000"/>
              <w:left w:val="nil"/>
              <w:bottom w:val="single" w:sz="4" w:space="0" w:color="000000"/>
              <w:right w:val="nil"/>
            </w:tcBorders>
            <w:shd w:val="clear" w:color="auto" w:fill="auto"/>
            <w:noWrap/>
            <w:vAlign w:val="bottom"/>
            <w:hideMark/>
          </w:tcPr>
          <w:p w14:paraId="70EEBAF8" w14:textId="3B26E7C4" w:rsidR="00A1733C" w:rsidRPr="002F1937" w:rsidRDefault="00A1733C" w:rsidP="00A1733C">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39,930</w:t>
            </w:r>
          </w:p>
        </w:tc>
        <w:tc>
          <w:tcPr>
            <w:tcW w:w="574" w:type="pct"/>
            <w:tcBorders>
              <w:top w:val="single" w:sz="4" w:space="0" w:color="000000"/>
              <w:left w:val="nil"/>
              <w:bottom w:val="single" w:sz="4" w:space="0" w:color="000000"/>
              <w:right w:val="nil"/>
            </w:tcBorders>
            <w:shd w:val="clear" w:color="auto" w:fill="auto"/>
            <w:noWrap/>
            <w:vAlign w:val="bottom"/>
            <w:hideMark/>
          </w:tcPr>
          <w:p w14:paraId="1187B495" w14:textId="575455DD" w:rsidR="00A1733C" w:rsidRPr="002F1937" w:rsidRDefault="00A1733C" w:rsidP="00A1733C">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39,930</w:t>
            </w:r>
          </w:p>
        </w:tc>
        <w:tc>
          <w:tcPr>
            <w:tcW w:w="573" w:type="pct"/>
            <w:tcBorders>
              <w:top w:val="single" w:sz="4" w:space="0" w:color="000000"/>
              <w:left w:val="nil"/>
              <w:bottom w:val="single" w:sz="4" w:space="0" w:color="000000"/>
              <w:right w:val="nil"/>
            </w:tcBorders>
            <w:shd w:val="clear" w:color="auto" w:fill="auto"/>
            <w:noWrap/>
            <w:vAlign w:val="bottom"/>
            <w:hideMark/>
          </w:tcPr>
          <w:p w14:paraId="1E276E9B" w14:textId="3BF9C814" w:rsidR="00A1733C" w:rsidRPr="002F1937" w:rsidRDefault="00A1733C" w:rsidP="00A1733C">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39,930</w:t>
            </w:r>
          </w:p>
        </w:tc>
      </w:tr>
      <w:tr w:rsidR="00A1733C" w:rsidRPr="002F1937" w14:paraId="0093F49A" w14:textId="77777777" w:rsidTr="00A1733C">
        <w:trPr>
          <w:trHeight w:val="204"/>
        </w:trPr>
        <w:tc>
          <w:tcPr>
            <w:tcW w:w="2100" w:type="pct"/>
            <w:tcBorders>
              <w:top w:val="nil"/>
              <w:left w:val="nil"/>
              <w:bottom w:val="nil"/>
              <w:right w:val="nil"/>
            </w:tcBorders>
            <w:shd w:val="clear" w:color="auto" w:fill="auto"/>
            <w:noWrap/>
            <w:vAlign w:val="bottom"/>
            <w:hideMark/>
          </w:tcPr>
          <w:p w14:paraId="27DF0434" w14:textId="77777777" w:rsidR="00A1733C" w:rsidRPr="002F1937" w:rsidRDefault="00A1733C" w:rsidP="00A1733C">
            <w:pPr>
              <w:spacing w:after="0" w:line="240" w:lineRule="auto"/>
              <w:rPr>
                <w:rFonts w:ascii="Arial" w:hAnsi="Arial" w:cs="Arial"/>
                <w:b/>
                <w:bCs/>
                <w:color w:val="000000"/>
                <w:sz w:val="16"/>
                <w:szCs w:val="16"/>
              </w:rPr>
            </w:pPr>
            <w:r w:rsidRPr="002F1937">
              <w:rPr>
                <w:rFonts w:ascii="Arial" w:hAnsi="Arial" w:cs="Arial"/>
                <w:b/>
                <w:bCs/>
                <w:color w:val="000000"/>
                <w:sz w:val="16"/>
                <w:szCs w:val="16"/>
              </w:rPr>
              <w:t>Interest bearing liabilities</w:t>
            </w:r>
          </w:p>
        </w:tc>
        <w:tc>
          <w:tcPr>
            <w:tcW w:w="605" w:type="pct"/>
            <w:tcBorders>
              <w:top w:val="nil"/>
              <w:left w:val="nil"/>
              <w:bottom w:val="nil"/>
              <w:right w:val="nil"/>
            </w:tcBorders>
            <w:shd w:val="clear" w:color="auto" w:fill="auto"/>
            <w:noWrap/>
            <w:vAlign w:val="bottom"/>
            <w:hideMark/>
          </w:tcPr>
          <w:p w14:paraId="31B0F5BD" w14:textId="77777777" w:rsidR="00A1733C" w:rsidRPr="002F1937" w:rsidRDefault="00A1733C" w:rsidP="00A1733C">
            <w:pPr>
              <w:spacing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6CD02C00" w14:textId="787D7710" w:rsidR="00A1733C" w:rsidRPr="002F1937" w:rsidRDefault="00A1733C" w:rsidP="00A1733C">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0934DBC3" w14:textId="77777777" w:rsidR="00A1733C" w:rsidRPr="002F1937" w:rsidRDefault="00A1733C" w:rsidP="00A1733C">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4BDF80B6" w14:textId="77777777" w:rsidR="00A1733C" w:rsidRPr="002F1937" w:rsidRDefault="00A1733C" w:rsidP="00A1733C">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58599AC9" w14:textId="77777777" w:rsidR="00A1733C" w:rsidRPr="002F1937" w:rsidRDefault="00A1733C" w:rsidP="00A1733C">
            <w:pPr>
              <w:spacing w:after="0" w:line="240" w:lineRule="auto"/>
              <w:jc w:val="right"/>
              <w:rPr>
                <w:rFonts w:ascii="Times New Roman" w:hAnsi="Times New Roman"/>
              </w:rPr>
            </w:pPr>
          </w:p>
        </w:tc>
      </w:tr>
      <w:tr w:rsidR="00A1733C" w:rsidRPr="002F1937" w14:paraId="262FB0B2" w14:textId="77777777" w:rsidTr="00A1733C">
        <w:trPr>
          <w:trHeight w:val="204"/>
        </w:trPr>
        <w:tc>
          <w:tcPr>
            <w:tcW w:w="2100" w:type="pct"/>
            <w:tcBorders>
              <w:top w:val="nil"/>
              <w:left w:val="nil"/>
              <w:bottom w:val="nil"/>
              <w:right w:val="nil"/>
            </w:tcBorders>
            <w:shd w:val="clear" w:color="auto" w:fill="auto"/>
            <w:noWrap/>
            <w:vAlign w:val="bottom"/>
            <w:hideMark/>
          </w:tcPr>
          <w:p w14:paraId="471B7AC8" w14:textId="77777777" w:rsidR="00A1733C" w:rsidRPr="002F1937" w:rsidRDefault="00A1733C" w:rsidP="00A1733C">
            <w:pPr>
              <w:spacing w:after="0" w:line="240" w:lineRule="auto"/>
              <w:ind w:firstLineChars="100" w:firstLine="160"/>
              <w:rPr>
                <w:rFonts w:ascii="Arial" w:hAnsi="Arial" w:cs="Arial"/>
                <w:color w:val="000000"/>
                <w:sz w:val="16"/>
                <w:szCs w:val="16"/>
              </w:rPr>
            </w:pPr>
            <w:r w:rsidRPr="002F1937">
              <w:rPr>
                <w:rFonts w:ascii="Arial" w:hAnsi="Arial" w:cs="Arial"/>
                <w:color w:val="000000"/>
                <w:sz w:val="16"/>
                <w:szCs w:val="16"/>
              </w:rPr>
              <w:t>Leases</w:t>
            </w:r>
          </w:p>
        </w:tc>
        <w:tc>
          <w:tcPr>
            <w:tcW w:w="605" w:type="pct"/>
            <w:tcBorders>
              <w:top w:val="nil"/>
              <w:left w:val="nil"/>
              <w:bottom w:val="nil"/>
              <w:right w:val="nil"/>
            </w:tcBorders>
            <w:shd w:val="clear" w:color="auto" w:fill="auto"/>
            <w:noWrap/>
            <w:vAlign w:val="bottom"/>
            <w:hideMark/>
          </w:tcPr>
          <w:p w14:paraId="04422566" w14:textId="55FC5369"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79,457</w:t>
            </w:r>
          </w:p>
        </w:tc>
        <w:tc>
          <w:tcPr>
            <w:tcW w:w="574" w:type="pct"/>
            <w:tcBorders>
              <w:top w:val="nil"/>
              <w:left w:val="nil"/>
              <w:bottom w:val="nil"/>
              <w:right w:val="nil"/>
            </w:tcBorders>
            <w:shd w:val="clear" w:color="000000" w:fill="E6E6E6"/>
            <w:noWrap/>
            <w:vAlign w:val="bottom"/>
            <w:hideMark/>
          </w:tcPr>
          <w:p w14:paraId="78A177B8" w14:textId="6C282071"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60,712</w:t>
            </w:r>
          </w:p>
        </w:tc>
        <w:tc>
          <w:tcPr>
            <w:tcW w:w="574" w:type="pct"/>
            <w:tcBorders>
              <w:top w:val="nil"/>
              <w:left w:val="nil"/>
              <w:bottom w:val="nil"/>
              <w:right w:val="nil"/>
            </w:tcBorders>
            <w:shd w:val="clear" w:color="auto" w:fill="auto"/>
            <w:noWrap/>
            <w:vAlign w:val="bottom"/>
            <w:hideMark/>
          </w:tcPr>
          <w:p w14:paraId="657ABA7D" w14:textId="4DCBADD0"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40,717</w:t>
            </w:r>
          </w:p>
        </w:tc>
        <w:tc>
          <w:tcPr>
            <w:tcW w:w="574" w:type="pct"/>
            <w:tcBorders>
              <w:top w:val="nil"/>
              <w:left w:val="nil"/>
              <w:bottom w:val="nil"/>
              <w:right w:val="nil"/>
            </w:tcBorders>
            <w:shd w:val="clear" w:color="auto" w:fill="auto"/>
            <w:noWrap/>
            <w:vAlign w:val="bottom"/>
            <w:hideMark/>
          </w:tcPr>
          <w:p w14:paraId="305135F0" w14:textId="0AFFF5A2"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20,722</w:t>
            </w:r>
          </w:p>
        </w:tc>
        <w:tc>
          <w:tcPr>
            <w:tcW w:w="573" w:type="pct"/>
            <w:tcBorders>
              <w:top w:val="nil"/>
              <w:left w:val="nil"/>
              <w:bottom w:val="nil"/>
              <w:right w:val="nil"/>
            </w:tcBorders>
            <w:shd w:val="clear" w:color="auto" w:fill="auto"/>
            <w:noWrap/>
            <w:vAlign w:val="bottom"/>
            <w:hideMark/>
          </w:tcPr>
          <w:p w14:paraId="368EFA93" w14:textId="5D4856FC"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20,722</w:t>
            </w:r>
          </w:p>
        </w:tc>
      </w:tr>
      <w:tr w:rsidR="00A1733C" w:rsidRPr="002F1937" w14:paraId="49150C1B" w14:textId="77777777" w:rsidTr="00A1733C">
        <w:trPr>
          <w:trHeight w:val="204"/>
        </w:trPr>
        <w:tc>
          <w:tcPr>
            <w:tcW w:w="2100" w:type="pct"/>
            <w:tcBorders>
              <w:top w:val="nil"/>
              <w:left w:val="nil"/>
              <w:bottom w:val="nil"/>
              <w:right w:val="nil"/>
            </w:tcBorders>
            <w:shd w:val="clear" w:color="auto" w:fill="auto"/>
            <w:noWrap/>
            <w:vAlign w:val="bottom"/>
            <w:hideMark/>
          </w:tcPr>
          <w:p w14:paraId="0E9A6798" w14:textId="77777777" w:rsidR="00A1733C" w:rsidRPr="002F1937" w:rsidRDefault="00A1733C" w:rsidP="00A1733C">
            <w:pPr>
              <w:spacing w:after="0" w:line="240" w:lineRule="auto"/>
              <w:rPr>
                <w:rFonts w:ascii="Arial" w:hAnsi="Arial" w:cs="Arial"/>
                <w:b/>
                <w:bCs/>
                <w:i/>
                <w:iCs/>
                <w:color w:val="000000"/>
                <w:sz w:val="16"/>
                <w:szCs w:val="16"/>
              </w:rPr>
            </w:pPr>
            <w:r w:rsidRPr="002F1937">
              <w:rPr>
                <w:rFonts w:ascii="Arial" w:hAnsi="Arial" w:cs="Arial"/>
                <w:b/>
                <w:bCs/>
                <w:i/>
                <w:iCs/>
                <w:color w:val="000000"/>
                <w:sz w:val="16"/>
                <w:szCs w:val="16"/>
              </w:rPr>
              <w:t>Total interest bearing liabilities</w:t>
            </w:r>
          </w:p>
        </w:tc>
        <w:tc>
          <w:tcPr>
            <w:tcW w:w="605" w:type="pct"/>
            <w:tcBorders>
              <w:top w:val="single" w:sz="4" w:space="0" w:color="000000"/>
              <w:left w:val="nil"/>
              <w:bottom w:val="single" w:sz="4" w:space="0" w:color="000000"/>
              <w:right w:val="nil"/>
            </w:tcBorders>
            <w:shd w:val="clear" w:color="auto" w:fill="auto"/>
            <w:noWrap/>
            <w:vAlign w:val="bottom"/>
            <w:hideMark/>
          </w:tcPr>
          <w:p w14:paraId="5484FE45" w14:textId="47F46A31" w:rsidR="00A1733C" w:rsidRPr="002F1937" w:rsidRDefault="00A1733C" w:rsidP="00A1733C">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79,457</w:t>
            </w:r>
          </w:p>
        </w:tc>
        <w:tc>
          <w:tcPr>
            <w:tcW w:w="574" w:type="pct"/>
            <w:tcBorders>
              <w:top w:val="single" w:sz="4" w:space="0" w:color="000000"/>
              <w:left w:val="nil"/>
              <w:bottom w:val="single" w:sz="4" w:space="0" w:color="000000"/>
              <w:right w:val="nil"/>
            </w:tcBorders>
            <w:shd w:val="clear" w:color="000000" w:fill="E6E6E6"/>
            <w:noWrap/>
            <w:vAlign w:val="bottom"/>
            <w:hideMark/>
          </w:tcPr>
          <w:p w14:paraId="0D1B84EC" w14:textId="1D1DB933" w:rsidR="00A1733C" w:rsidRPr="002F1937" w:rsidRDefault="00A1733C" w:rsidP="00A1733C">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60,712</w:t>
            </w:r>
          </w:p>
        </w:tc>
        <w:tc>
          <w:tcPr>
            <w:tcW w:w="574" w:type="pct"/>
            <w:tcBorders>
              <w:top w:val="single" w:sz="4" w:space="0" w:color="000000"/>
              <w:left w:val="nil"/>
              <w:bottom w:val="single" w:sz="4" w:space="0" w:color="000000"/>
              <w:right w:val="nil"/>
            </w:tcBorders>
            <w:shd w:val="clear" w:color="auto" w:fill="auto"/>
            <w:noWrap/>
            <w:vAlign w:val="bottom"/>
            <w:hideMark/>
          </w:tcPr>
          <w:p w14:paraId="73C6FBC4" w14:textId="6D7E3500" w:rsidR="00A1733C" w:rsidRPr="002F1937" w:rsidRDefault="00A1733C" w:rsidP="00A1733C">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40,717</w:t>
            </w:r>
          </w:p>
        </w:tc>
        <w:tc>
          <w:tcPr>
            <w:tcW w:w="574" w:type="pct"/>
            <w:tcBorders>
              <w:top w:val="single" w:sz="4" w:space="0" w:color="000000"/>
              <w:left w:val="nil"/>
              <w:bottom w:val="single" w:sz="4" w:space="0" w:color="000000"/>
              <w:right w:val="nil"/>
            </w:tcBorders>
            <w:shd w:val="clear" w:color="auto" w:fill="auto"/>
            <w:noWrap/>
            <w:vAlign w:val="bottom"/>
            <w:hideMark/>
          </w:tcPr>
          <w:p w14:paraId="33B58A96" w14:textId="3B50E631" w:rsidR="00A1733C" w:rsidRPr="002F1937" w:rsidRDefault="00A1733C" w:rsidP="00A1733C">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20,722</w:t>
            </w:r>
          </w:p>
        </w:tc>
        <w:tc>
          <w:tcPr>
            <w:tcW w:w="573" w:type="pct"/>
            <w:tcBorders>
              <w:top w:val="single" w:sz="4" w:space="0" w:color="000000"/>
              <w:left w:val="nil"/>
              <w:bottom w:val="single" w:sz="4" w:space="0" w:color="000000"/>
              <w:right w:val="nil"/>
            </w:tcBorders>
            <w:shd w:val="clear" w:color="auto" w:fill="auto"/>
            <w:noWrap/>
            <w:vAlign w:val="bottom"/>
            <w:hideMark/>
          </w:tcPr>
          <w:p w14:paraId="5692640C" w14:textId="1BB0B081" w:rsidR="00A1733C" w:rsidRPr="002F1937" w:rsidRDefault="00A1733C" w:rsidP="00A1733C">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20,722</w:t>
            </w:r>
          </w:p>
        </w:tc>
      </w:tr>
      <w:tr w:rsidR="00A1733C" w:rsidRPr="002F1937" w14:paraId="2A00E136" w14:textId="77777777" w:rsidTr="00A1733C">
        <w:trPr>
          <w:trHeight w:val="204"/>
        </w:trPr>
        <w:tc>
          <w:tcPr>
            <w:tcW w:w="2100" w:type="pct"/>
            <w:tcBorders>
              <w:top w:val="nil"/>
              <w:left w:val="nil"/>
              <w:bottom w:val="nil"/>
              <w:right w:val="nil"/>
            </w:tcBorders>
            <w:shd w:val="clear" w:color="auto" w:fill="auto"/>
            <w:noWrap/>
            <w:vAlign w:val="bottom"/>
            <w:hideMark/>
          </w:tcPr>
          <w:p w14:paraId="477E494A" w14:textId="77777777" w:rsidR="00A1733C" w:rsidRPr="002F1937" w:rsidRDefault="00A1733C" w:rsidP="00A1733C">
            <w:pPr>
              <w:spacing w:after="0" w:line="240" w:lineRule="auto"/>
              <w:rPr>
                <w:rFonts w:ascii="Arial" w:hAnsi="Arial" w:cs="Arial"/>
                <w:b/>
                <w:bCs/>
                <w:color w:val="000000"/>
                <w:sz w:val="16"/>
                <w:szCs w:val="16"/>
              </w:rPr>
            </w:pPr>
            <w:r w:rsidRPr="002F1937">
              <w:rPr>
                <w:rFonts w:ascii="Arial" w:hAnsi="Arial" w:cs="Arial"/>
                <w:b/>
                <w:bCs/>
                <w:color w:val="000000"/>
                <w:sz w:val="16"/>
                <w:szCs w:val="16"/>
              </w:rPr>
              <w:t>Provisions</w:t>
            </w:r>
          </w:p>
        </w:tc>
        <w:tc>
          <w:tcPr>
            <w:tcW w:w="605" w:type="pct"/>
            <w:tcBorders>
              <w:top w:val="nil"/>
              <w:left w:val="nil"/>
              <w:bottom w:val="nil"/>
              <w:right w:val="nil"/>
            </w:tcBorders>
            <w:shd w:val="clear" w:color="auto" w:fill="auto"/>
            <w:noWrap/>
            <w:vAlign w:val="bottom"/>
            <w:hideMark/>
          </w:tcPr>
          <w:p w14:paraId="52CE81C9" w14:textId="77777777" w:rsidR="00A1733C" w:rsidRPr="002F1937" w:rsidRDefault="00A1733C" w:rsidP="00A1733C">
            <w:pPr>
              <w:spacing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5755D70E" w14:textId="6470182F" w:rsidR="00A1733C" w:rsidRPr="002F1937" w:rsidRDefault="00A1733C" w:rsidP="00A1733C">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13282887" w14:textId="77777777" w:rsidR="00A1733C" w:rsidRPr="002F1937" w:rsidRDefault="00A1733C" w:rsidP="00A1733C">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06A780DD" w14:textId="77777777" w:rsidR="00A1733C" w:rsidRPr="002F1937" w:rsidRDefault="00A1733C" w:rsidP="00A1733C">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63074C24" w14:textId="77777777" w:rsidR="00A1733C" w:rsidRPr="002F1937" w:rsidRDefault="00A1733C" w:rsidP="00A1733C">
            <w:pPr>
              <w:spacing w:after="0" w:line="240" w:lineRule="auto"/>
              <w:jc w:val="right"/>
              <w:rPr>
                <w:rFonts w:ascii="Times New Roman" w:hAnsi="Times New Roman"/>
              </w:rPr>
            </w:pPr>
          </w:p>
        </w:tc>
      </w:tr>
      <w:tr w:rsidR="00A1733C" w:rsidRPr="002F1937" w14:paraId="4FD63C98" w14:textId="77777777" w:rsidTr="00A1733C">
        <w:trPr>
          <w:trHeight w:val="204"/>
        </w:trPr>
        <w:tc>
          <w:tcPr>
            <w:tcW w:w="2100" w:type="pct"/>
            <w:tcBorders>
              <w:top w:val="nil"/>
              <w:left w:val="nil"/>
              <w:bottom w:val="nil"/>
              <w:right w:val="nil"/>
            </w:tcBorders>
            <w:shd w:val="clear" w:color="auto" w:fill="auto"/>
            <w:noWrap/>
            <w:vAlign w:val="bottom"/>
            <w:hideMark/>
          </w:tcPr>
          <w:p w14:paraId="7ECCB02D" w14:textId="77777777" w:rsidR="00A1733C" w:rsidRPr="002F1937" w:rsidRDefault="00A1733C" w:rsidP="00A1733C">
            <w:pPr>
              <w:spacing w:after="0" w:line="240" w:lineRule="auto"/>
              <w:ind w:firstLineChars="100" w:firstLine="160"/>
              <w:rPr>
                <w:rFonts w:ascii="Arial" w:hAnsi="Arial" w:cs="Arial"/>
                <w:color w:val="000000"/>
                <w:sz w:val="16"/>
                <w:szCs w:val="16"/>
              </w:rPr>
            </w:pPr>
            <w:r w:rsidRPr="002F1937">
              <w:rPr>
                <w:rFonts w:ascii="Arial" w:hAnsi="Arial" w:cs="Arial"/>
                <w:color w:val="000000"/>
                <w:sz w:val="16"/>
                <w:szCs w:val="16"/>
              </w:rPr>
              <w:t>Employee provisions</w:t>
            </w:r>
          </w:p>
        </w:tc>
        <w:tc>
          <w:tcPr>
            <w:tcW w:w="605" w:type="pct"/>
            <w:tcBorders>
              <w:top w:val="nil"/>
              <w:left w:val="nil"/>
              <w:bottom w:val="nil"/>
              <w:right w:val="nil"/>
            </w:tcBorders>
            <w:shd w:val="clear" w:color="auto" w:fill="auto"/>
            <w:noWrap/>
            <w:vAlign w:val="bottom"/>
            <w:hideMark/>
          </w:tcPr>
          <w:p w14:paraId="0D8FAD34" w14:textId="4805677F"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72,256</w:t>
            </w:r>
          </w:p>
        </w:tc>
        <w:tc>
          <w:tcPr>
            <w:tcW w:w="574" w:type="pct"/>
            <w:tcBorders>
              <w:top w:val="nil"/>
              <w:left w:val="nil"/>
              <w:bottom w:val="nil"/>
              <w:right w:val="nil"/>
            </w:tcBorders>
            <w:shd w:val="clear" w:color="000000" w:fill="E6E6E6"/>
            <w:noWrap/>
            <w:vAlign w:val="bottom"/>
            <w:hideMark/>
          </w:tcPr>
          <w:p w14:paraId="5BF46B4C" w14:textId="12C68C62"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73,461</w:t>
            </w:r>
          </w:p>
        </w:tc>
        <w:tc>
          <w:tcPr>
            <w:tcW w:w="574" w:type="pct"/>
            <w:tcBorders>
              <w:top w:val="nil"/>
              <w:left w:val="nil"/>
              <w:bottom w:val="nil"/>
              <w:right w:val="nil"/>
            </w:tcBorders>
            <w:shd w:val="clear" w:color="auto" w:fill="auto"/>
            <w:noWrap/>
            <w:vAlign w:val="bottom"/>
            <w:hideMark/>
          </w:tcPr>
          <w:p w14:paraId="4AC5206B" w14:textId="4F10F01D"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73,461</w:t>
            </w:r>
          </w:p>
        </w:tc>
        <w:tc>
          <w:tcPr>
            <w:tcW w:w="574" w:type="pct"/>
            <w:tcBorders>
              <w:top w:val="nil"/>
              <w:left w:val="nil"/>
              <w:bottom w:val="nil"/>
              <w:right w:val="nil"/>
            </w:tcBorders>
            <w:shd w:val="clear" w:color="auto" w:fill="auto"/>
            <w:noWrap/>
            <w:vAlign w:val="bottom"/>
            <w:hideMark/>
          </w:tcPr>
          <w:p w14:paraId="07799299" w14:textId="2498DF29"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73,461</w:t>
            </w:r>
          </w:p>
        </w:tc>
        <w:tc>
          <w:tcPr>
            <w:tcW w:w="573" w:type="pct"/>
            <w:tcBorders>
              <w:top w:val="nil"/>
              <w:left w:val="nil"/>
              <w:bottom w:val="nil"/>
              <w:right w:val="nil"/>
            </w:tcBorders>
            <w:shd w:val="clear" w:color="auto" w:fill="auto"/>
            <w:noWrap/>
            <w:vAlign w:val="bottom"/>
            <w:hideMark/>
          </w:tcPr>
          <w:p w14:paraId="5DF9B65F" w14:textId="37DB6F9B"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73,461</w:t>
            </w:r>
          </w:p>
        </w:tc>
      </w:tr>
      <w:tr w:rsidR="00A1733C" w:rsidRPr="002F1937" w14:paraId="58668C54" w14:textId="77777777" w:rsidTr="00A1733C">
        <w:trPr>
          <w:trHeight w:val="204"/>
        </w:trPr>
        <w:tc>
          <w:tcPr>
            <w:tcW w:w="2100" w:type="pct"/>
            <w:tcBorders>
              <w:top w:val="nil"/>
              <w:left w:val="nil"/>
              <w:bottom w:val="nil"/>
              <w:right w:val="nil"/>
            </w:tcBorders>
            <w:shd w:val="clear" w:color="auto" w:fill="auto"/>
            <w:noWrap/>
            <w:vAlign w:val="bottom"/>
            <w:hideMark/>
          </w:tcPr>
          <w:p w14:paraId="68DF6424" w14:textId="77777777" w:rsidR="00A1733C" w:rsidRPr="002F1937" w:rsidRDefault="00A1733C" w:rsidP="00A1733C">
            <w:pPr>
              <w:spacing w:after="0" w:line="240" w:lineRule="auto"/>
              <w:ind w:firstLineChars="100" w:firstLine="160"/>
              <w:rPr>
                <w:rFonts w:ascii="Arial" w:hAnsi="Arial" w:cs="Arial"/>
                <w:color w:val="000000"/>
                <w:sz w:val="16"/>
                <w:szCs w:val="16"/>
              </w:rPr>
            </w:pPr>
            <w:r w:rsidRPr="002F1937">
              <w:rPr>
                <w:rFonts w:ascii="Arial" w:hAnsi="Arial" w:cs="Arial"/>
                <w:color w:val="000000"/>
                <w:sz w:val="16"/>
                <w:szCs w:val="16"/>
              </w:rPr>
              <w:t>Other provisions</w:t>
            </w:r>
          </w:p>
        </w:tc>
        <w:tc>
          <w:tcPr>
            <w:tcW w:w="605" w:type="pct"/>
            <w:tcBorders>
              <w:top w:val="nil"/>
              <w:left w:val="nil"/>
              <w:bottom w:val="nil"/>
              <w:right w:val="nil"/>
            </w:tcBorders>
            <w:shd w:val="clear" w:color="auto" w:fill="auto"/>
            <w:noWrap/>
            <w:vAlign w:val="bottom"/>
            <w:hideMark/>
          </w:tcPr>
          <w:p w14:paraId="5D119982" w14:textId="7DB6A1BE"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631</w:t>
            </w:r>
          </w:p>
        </w:tc>
        <w:tc>
          <w:tcPr>
            <w:tcW w:w="574" w:type="pct"/>
            <w:tcBorders>
              <w:top w:val="nil"/>
              <w:left w:val="nil"/>
              <w:bottom w:val="nil"/>
              <w:right w:val="nil"/>
            </w:tcBorders>
            <w:shd w:val="clear" w:color="000000" w:fill="E6E6E6"/>
            <w:noWrap/>
            <w:vAlign w:val="bottom"/>
            <w:hideMark/>
          </w:tcPr>
          <w:p w14:paraId="073B07AB" w14:textId="49582113"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631</w:t>
            </w:r>
          </w:p>
        </w:tc>
        <w:tc>
          <w:tcPr>
            <w:tcW w:w="574" w:type="pct"/>
            <w:tcBorders>
              <w:top w:val="nil"/>
              <w:left w:val="nil"/>
              <w:bottom w:val="nil"/>
              <w:right w:val="nil"/>
            </w:tcBorders>
            <w:shd w:val="clear" w:color="auto" w:fill="auto"/>
            <w:noWrap/>
            <w:vAlign w:val="bottom"/>
            <w:hideMark/>
          </w:tcPr>
          <w:p w14:paraId="7EA1CCC3" w14:textId="0C0E2439"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631</w:t>
            </w:r>
          </w:p>
        </w:tc>
        <w:tc>
          <w:tcPr>
            <w:tcW w:w="574" w:type="pct"/>
            <w:tcBorders>
              <w:top w:val="nil"/>
              <w:left w:val="nil"/>
              <w:bottom w:val="nil"/>
              <w:right w:val="nil"/>
            </w:tcBorders>
            <w:shd w:val="clear" w:color="auto" w:fill="auto"/>
            <w:noWrap/>
            <w:vAlign w:val="bottom"/>
            <w:hideMark/>
          </w:tcPr>
          <w:p w14:paraId="20394409" w14:textId="5BADD241"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631</w:t>
            </w:r>
          </w:p>
        </w:tc>
        <w:tc>
          <w:tcPr>
            <w:tcW w:w="573" w:type="pct"/>
            <w:tcBorders>
              <w:top w:val="nil"/>
              <w:left w:val="nil"/>
              <w:bottom w:val="nil"/>
              <w:right w:val="nil"/>
            </w:tcBorders>
            <w:shd w:val="clear" w:color="auto" w:fill="auto"/>
            <w:noWrap/>
            <w:vAlign w:val="bottom"/>
            <w:hideMark/>
          </w:tcPr>
          <w:p w14:paraId="4FF3D606" w14:textId="4D68AC79"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631</w:t>
            </w:r>
          </w:p>
        </w:tc>
      </w:tr>
      <w:tr w:rsidR="00A1733C" w:rsidRPr="002F1937" w14:paraId="0B6E1322" w14:textId="77777777" w:rsidTr="00A1733C">
        <w:trPr>
          <w:trHeight w:val="204"/>
        </w:trPr>
        <w:tc>
          <w:tcPr>
            <w:tcW w:w="2100" w:type="pct"/>
            <w:tcBorders>
              <w:top w:val="nil"/>
              <w:left w:val="nil"/>
              <w:bottom w:val="nil"/>
              <w:right w:val="nil"/>
            </w:tcBorders>
            <w:shd w:val="clear" w:color="auto" w:fill="auto"/>
            <w:noWrap/>
            <w:vAlign w:val="bottom"/>
            <w:hideMark/>
          </w:tcPr>
          <w:p w14:paraId="71225EC9" w14:textId="77777777" w:rsidR="00A1733C" w:rsidRPr="002F1937" w:rsidRDefault="00A1733C" w:rsidP="00A1733C">
            <w:pPr>
              <w:spacing w:after="0" w:line="240" w:lineRule="auto"/>
              <w:rPr>
                <w:rFonts w:ascii="Arial" w:hAnsi="Arial" w:cs="Arial"/>
                <w:b/>
                <w:bCs/>
                <w:i/>
                <w:iCs/>
                <w:color w:val="000000"/>
                <w:sz w:val="16"/>
                <w:szCs w:val="16"/>
              </w:rPr>
            </w:pPr>
            <w:r w:rsidRPr="002F1937">
              <w:rPr>
                <w:rFonts w:ascii="Arial" w:hAnsi="Arial" w:cs="Arial"/>
                <w:b/>
                <w:bCs/>
                <w:i/>
                <w:iCs/>
                <w:color w:val="000000"/>
                <w:sz w:val="16"/>
                <w:szCs w:val="16"/>
              </w:rPr>
              <w:t>Total provisions</w:t>
            </w:r>
          </w:p>
        </w:tc>
        <w:tc>
          <w:tcPr>
            <w:tcW w:w="605" w:type="pct"/>
            <w:tcBorders>
              <w:top w:val="single" w:sz="4" w:space="0" w:color="000000"/>
              <w:left w:val="nil"/>
              <w:bottom w:val="single" w:sz="4" w:space="0" w:color="000000"/>
              <w:right w:val="nil"/>
            </w:tcBorders>
            <w:shd w:val="clear" w:color="auto" w:fill="auto"/>
            <w:noWrap/>
            <w:vAlign w:val="bottom"/>
            <w:hideMark/>
          </w:tcPr>
          <w:p w14:paraId="4E9B30EA" w14:textId="11756448" w:rsidR="00A1733C" w:rsidRPr="002F1937" w:rsidRDefault="00A1733C" w:rsidP="00A1733C">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72,887</w:t>
            </w:r>
          </w:p>
        </w:tc>
        <w:tc>
          <w:tcPr>
            <w:tcW w:w="574" w:type="pct"/>
            <w:tcBorders>
              <w:top w:val="single" w:sz="4" w:space="0" w:color="000000"/>
              <w:left w:val="nil"/>
              <w:bottom w:val="single" w:sz="4" w:space="0" w:color="000000"/>
              <w:right w:val="nil"/>
            </w:tcBorders>
            <w:shd w:val="clear" w:color="000000" w:fill="E6E6E6"/>
            <w:noWrap/>
            <w:vAlign w:val="bottom"/>
            <w:hideMark/>
          </w:tcPr>
          <w:p w14:paraId="32B0706D" w14:textId="31D89A6F" w:rsidR="00A1733C" w:rsidRPr="002F1937" w:rsidRDefault="00A1733C" w:rsidP="00A1733C">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74,092</w:t>
            </w:r>
          </w:p>
        </w:tc>
        <w:tc>
          <w:tcPr>
            <w:tcW w:w="574" w:type="pct"/>
            <w:tcBorders>
              <w:top w:val="single" w:sz="4" w:space="0" w:color="000000"/>
              <w:left w:val="nil"/>
              <w:bottom w:val="single" w:sz="4" w:space="0" w:color="000000"/>
              <w:right w:val="nil"/>
            </w:tcBorders>
            <w:shd w:val="clear" w:color="auto" w:fill="auto"/>
            <w:noWrap/>
            <w:vAlign w:val="bottom"/>
            <w:hideMark/>
          </w:tcPr>
          <w:p w14:paraId="35D5E342" w14:textId="39AE9098" w:rsidR="00A1733C" w:rsidRPr="002F1937" w:rsidRDefault="00A1733C" w:rsidP="00A1733C">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74,092</w:t>
            </w:r>
          </w:p>
        </w:tc>
        <w:tc>
          <w:tcPr>
            <w:tcW w:w="574" w:type="pct"/>
            <w:tcBorders>
              <w:top w:val="single" w:sz="4" w:space="0" w:color="000000"/>
              <w:left w:val="nil"/>
              <w:bottom w:val="single" w:sz="4" w:space="0" w:color="000000"/>
              <w:right w:val="nil"/>
            </w:tcBorders>
            <w:shd w:val="clear" w:color="auto" w:fill="auto"/>
            <w:noWrap/>
            <w:vAlign w:val="bottom"/>
            <w:hideMark/>
          </w:tcPr>
          <w:p w14:paraId="697C36C3" w14:textId="3CA2223D" w:rsidR="00A1733C" w:rsidRPr="002F1937" w:rsidRDefault="00A1733C" w:rsidP="00A1733C">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74,092</w:t>
            </w:r>
          </w:p>
        </w:tc>
        <w:tc>
          <w:tcPr>
            <w:tcW w:w="573" w:type="pct"/>
            <w:tcBorders>
              <w:top w:val="single" w:sz="4" w:space="0" w:color="000000"/>
              <w:left w:val="nil"/>
              <w:bottom w:val="single" w:sz="4" w:space="0" w:color="000000"/>
              <w:right w:val="nil"/>
            </w:tcBorders>
            <w:shd w:val="clear" w:color="auto" w:fill="auto"/>
            <w:noWrap/>
            <w:vAlign w:val="bottom"/>
            <w:hideMark/>
          </w:tcPr>
          <w:p w14:paraId="5D4DC43C" w14:textId="0CE1CAF2" w:rsidR="00A1733C" w:rsidRPr="002F1937" w:rsidRDefault="00A1733C" w:rsidP="00A1733C">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74,092</w:t>
            </w:r>
          </w:p>
        </w:tc>
      </w:tr>
      <w:tr w:rsidR="00A1733C" w:rsidRPr="002F1937" w14:paraId="7E2DFB15" w14:textId="77777777" w:rsidTr="00A1733C">
        <w:trPr>
          <w:trHeight w:val="204"/>
        </w:trPr>
        <w:tc>
          <w:tcPr>
            <w:tcW w:w="2100" w:type="pct"/>
            <w:tcBorders>
              <w:top w:val="nil"/>
              <w:left w:val="nil"/>
              <w:bottom w:val="nil"/>
              <w:right w:val="nil"/>
            </w:tcBorders>
            <w:shd w:val="clear" w:color="auto" w:fill="auto"/>
            <w:noWrap/>
            <w:vAlign w:val="bottom"/>
            <w:hideMark/>
          </w:tcPr>
          <w:p w14:paraId="18E0B0F5" w14:textId="77777777" w:rsidR="00A1733C" w:rsidRPr="002F1937" w:rsidRDefault="00A1733C" w:rsidP="00A1733C">
            <w:pPr>
              <w:spacing w:after="0" w:line="240" w:lineRule="auto"/>
              <w:rPr>
                <w:rFonts w:ascii="Arial" w:hAnsi="Arial" w:cs="Arial"/>
                <w:b/>
                <w:bCs/>
                <w:color w:val="000000"/>
                <w:sz w:val="16"/>
                <w:szCs w:val="16"/>
              </w:rPr>
            </w:pPr>
            <w:r w:rsidRPr="002F1937">
              <w:rPr>
                <w:rFonts w:ascii="Arial" w:hAnsi="Arial" w:cs="Arial"/>
                <w:b/>
                <w:bCs/>
                <w:color w:val="000000"/>
                <w:sz w:val="16"/>
                <w:szCs w:val="16"/>
              </w:rPr>
              <w:t>Total liabilities</w:t>
            </w:r>
          </w:p>
        </w:tc>
        <w:tc>
          <w:tcPr>
            <w:tcW w:w="605" w:type="pct"/>
            <w:tcBorders>
              <w:top w:val="single" w:sz="4" w:space="0" w:color="auto"/>
              <w:left w:val="nil"/>
              <w:bottom w:val="single" w:sz="4" w:space="0" w:color="auto"/>
              <w:right w:val="nil"/>
            </w:tcBorders>
            <w:shd w:val="clear" w:color="auto" w:fill="auto"/>
            <w:noWrap/>
            <w:vAlign w:val="bottom"/>
            <w:hideMark/>
          </w:tcPr>
          <w:p w14:paraId="7EF163EB" w14:textId="02B1B48C" w:rsidR="00A1733C" w:rsidRPr="002F1937" w:rsidRDefault="00A1733C" w:rsidP="00A1733C">
            <w:pPr>
              <w:spacing w:after="0" w:line="240" w:lineRule="auto"/>
              <w:jc w:val="right"/>
              <w:rPr>
                <w:rFonts w:ascii="Arial" w:hAnsi="Arial" w:cs="Arial"/>
                <w:b/>
                <w:bCs/>
                <w:color w:val="000000"/>
                <w:sz w:val="16"/>
                <w:szCs w:val="16"/>
              </w:rPr>
            </w:pPr>
            <w:r>
              <w:rPr>
                <w:rFonts w:ascii="Arial" w:hAnsi="Arial" w:cs="Arial"/>
                <w:b/>
                <w:bCs/>
                <w:color w:val="000000"/>
                <w:sz w:val="16"/>
                <w:szCs w:val="16"/>
              </w:rPr>
              <w:t>192,221</w:t>
            </w:r>
          </w:p>
        </w:tc>
        <w:tc>
          <w:tcPr>
            <w:tcW w:w="574" w:type="pct"/>
            <w:tcBorders>
              <w:top w:val="single" w:sz="4" w:space="0" w:color="auto"/>
              <w:left w:val="nil"/>
              <w:bottom w:val="single" w:sz="4" w:space="0" w:color="auto"/>
              <w:right w:val="nil"/>
            </w:tcBorders>
            <w:shd w:val="clear" w:color="000000" w:fill="E6E6E6"/>
            <w:noWrap/>
            <w:vAlign w:val="bottom"/>
            <w:hideMark/>
          </w:tcPr>
          <w:p w14:paraId="0D932210" w14:textId="1CB4E6C9" w:rsidR="00A1733C" w:rsidRPr="002F1937" w:rsidRDefault="00A1733C" w:rsidP="00A1733C">
            <w:pPr>
              <w:spacing w:after="0" w:line="240" w:lineRule="auto"/>
              <w:jc w:val="right"/>
              <w:rPr>
                <w:rFonts w:ascii="Arial" w:hAnsi="Arial" w:cs="Arial"/>
                <w:b/>
                <w:bCs/>
                <w:color w:val="000000"/>
                <w:sz w:val="16"/>
                <w:szCs w:val="16"/>
              </w:rPr>
            </w:pPr>
            <w:r>
              <w:rPr>
                <w:rFonts w:ascii="Arial" w:hAnsi="Arial" w:cs="Arial"/>
                <w:b/>
                <w:bCs/>
                <w:color w:val="000000"/>
                <w:sz w:val="16"/>
                <w:szCs w:val="16"/>
              </w:rPr>
              <w:t>174,734</w:t>
            </w:r>
          </w:p>
        </w:tc>
        <w:tc>
          <w:tcPr>
            <w:tcW w:w="574" w:type="pct"/>
            <w:tcBorders>
              <w:top w:val="single" w:sz="4" w:space="0" w:color="auto"/>
              <w:left w:val="nil"/>
              <w:bottom w:val="single" w:sz="4" w:space="0" w:color="auto"/>
              <w:right w:val="nil"/>
            </w:tcBorders>
            <w:shd w:val="clear" w:color="auto" w:fill="auto"/>
            <w:noWrap/>
            <w:vAlign w:val="bottom"/>
            <w:hideMark/>
          </w:tcPr>
          <w:p w14:paraId="608E84AC" w14:textId="1C0BC2BB" w:rsidR="00A1733C" w:rsidRPr="002F1937" w:rsidRDefault="00A1733C" w:rsidP="00A1733C">
            <w:pPr>
              <w:spacing w:after="0" w:line="240" w:lineRule="auto"/>
              <w:jc w:val="right"/>
              <w:rPr>
                <w:rFonts w:ascii="Arial" w:hAnsi="Arial" w:cs="Arial"/>
                <w:b/>
                <w:bCs/>
                <w:color w:val="000000"/>
                <w:sz w:val="16"/>
                <w:szCs w:val="16"/>
              </w:rPr>
            </w:pPr>
            <w:r>
              <w:rPr>
                <w:rFonts w:ascii="Arial" w:hAnsi="Arial" w:cs="Arial"/>
                <w:b/>
                <w:bCs/>
                <w:color w:val="000000"/>
                <w:sz w:val="16"/>
                <w:szCs w:val="16"/>
              </w:rPr>
              <w:t>154,739</w:t>
            </w:r>
          </w:p>
        </w:tc>
        <w:tc>
          <w:tcPr>
            <w:tcW w:w="574" w:type="pct"/>
            <w:tcBorders>
              <w:top w:val="single" w:sz="4" w:space="0" w:color="auto"/>
              <w:left w:val="nil"/>
              <w:bottom w:val="single" w:sz="4" w:space="0" w:color="auto"/>
              <w:right w:val="nil"/>
            </w:tcBorders>
            <w:shd w:val="clear" w:color="auto" w:fill="auto"/>
            <w:noWrap/>
            <w:vAlign w:val="bottom"/>
            <w:hideMark/>
          </w:tcPr>
          <w:p w14:paraId="5684918D" w14:textId="5CE29DD5" w:rsidR="00A1733C" w:rsidRPr="002F1937" w:rsidRDefault="00A1733C" w:rsidP="00A1733C">
            <w:pPr>
              <w:spacing w:after="0" w:line="240" w:lineRule="auto"/>
              <w:jc w:val="right"/>
              <w:rPr>
                <w:rFonts w:ascii="Arial" w:hAnsi="Arial" w:cs="Arial"/>
                <w:b/>
                <w:bCs/>
                <w:color w:val="000000"/>
                <w:sz w:val="16"/>
                <w:szCs w:val="16"/>
              </w:rPr>
            </w:pPr>
            <w:r>
              <w:rPr>
                <w:rFonts w:ascii="Arial" w:hAnsi="Arial" w:cs="Arial"/>
                <w:b/>
                <w:bCs/>
                <w:color w:val="000000"/>
                <w:sz w:val="16"/>
                <w:szCs w:val="16"/>
              </w:rPr>
              <w:t>134,744</w:t>
            </w:r>
          </w:p>
        </w:tc>
        <w:tc>
          <w:tcPr>
            <w:tcW w:w="573" w:type="pct"/>
            <w:tcBorders>
              <w:top w:val="single" w:sz="4" w:space="0" w:color="auto"/>
              <w:left w:val="nil"/>
              <w:bottom w:val="single" w:sz="4" w:space="0" w:color="auto"/>
              <w:right w:val="nil"/>
            </w:tcBorders>
            <w:shd w:val="clear" w:color="auto" w:fill="auto"/>
            <w:noWrap/>
            <w:vAlign w:val="bottom"/>
            <w:hideMark/>
          </w:tcPr>
          <w:p w14:paraId="36D0AA9C" w14:textId="3AA28BF3" w:rsidR="00A1733C" w:rsidRPr="002F1937" w:rsidRDefault="00A1733C" w:rsidP="00A1733C">
            <w:pPr>
              <w:spacing w:after="0" w:line="240" w:lineRule="auto"/>
              <w:jc w:val="right"/>
              <w:rPr>
                <w:rFonts w:ascii="Arial" w:hAnsi="Arial" w:cs="Arial"/>
                <w:b/>
                <w:bCs/>
                <w:color w:val="000000"/>
                <w:sz w:val="16"/>
                <w:szCs w:val="16"/>
              </w:rPr>
            </w:pPr>
            <w:r>
              <w:rPr>
                <w:rFonts w:ascii="Arial" w:hAnsi="Arial" w:cs="Arial"/>
                <w:b/>
                <w:bCs/>
                <w:color w:val="000000"/>
                <w:sz w:val="16"/>
                <w:szCs w:val="16"/>
              </w:rPr>
              <w:t>134,744</w:t>
            </w:r>
          </w:p>
        </w:tc>
      </w:tr>
      <w:tr w:rsidR="00A1733C" w:rsidRPr="002F1937" w14:paraId="575EBE98" w14:textId="77777777" w:rsidTr="00A1733C">
        <w:trPr>
          <w:trHeight w:val="204"/>
        </w:trPr>
        <w:tc>
          <w:tcPr>
            <w:tcW w:w="2100" w:type="pct"/>
            <w:tcBorders>
              <w:top w:val="nil"/>
              <w:left w:val="nil"/>
              <w:bottom w:val="nil"/>
              <w:right w:val="nil"/>
            </w:tcBorders>
            <w:shd w:val="clear" w:color="auto" w:fill="auto"/>
            <w:noWrap/>
            <w:vAlign w:val="bottom"/>
            <w:hideMark/>
          </w:tcPr>
          <w:p w14:paraId="450661B8" w14:textId="77777777" w:rsidR="00A1733C" w:rsidRPr="002F1937" w:rsidRDefault="00A1733C" w:rsidP="00A1733C">
            <w:pPr>
              <w:spacing w:after="0" w:line="240" w:lineRule="auto"/>
              <w:rPr>
                <w:rFonts w:ascii="Arial" w:hAnsi="Arial" w:cs="Arial"/>
                <w:b/>
                <w:bCs/>
                <w:sz w:val="16"/>
                <w:szCs w:val="16"/>
              </w:rPr>
            </w:pPr>
            <w:r w:rsidRPr="002F1937">
              <w:rPr>
                <w:rFonts w:ascii="Arial" w:hAnsi="Arial" w:cs="Arial"/>
                <w:b/>
                <w:bCs/>
                <w:sz w:val="16"/>
                <w:szCs w:val="16"/>
              </w:rPr>
              <w:t>Net assets</w:t>
            </w:r>
          </w:p>
        </w:tc>
        <w:tc>
          <w:tcPr>
            <w:tcW w:w="605" w:type="pct"/>
            <w:tcBorders>
              <w:top w:val="nil"/>
              <w:left w:val="nil"/>
              <w:bottom w:val="single" w:sz="4" w:space="0" w:color="auto"/>
              <w:right w:val="nil"/>
            </w:tcBorders>
            <w:shd w:val="clear" w:color="auto" w:fill="auto"/>
            <w:noWrap/>
            <w:vAlign w:val="bottom"/>
            <w:hideMark/>
          </w:tcPr>
          <w:p w14:paraId="20DFAAE2" w14:textId="378C7916" w:rsidR="00A1733C" w:rsidRPr="002F1937" w:rsidRDefault="00A1733C" w:rsidP="00A1733C">
            <w:pPr>
              <w:spacing w:after="0" w:line="240" w:lineRule="auto"/>
              <w:jc w:val="right"/>
              <w:rPr>
                <w:rFonts w:ascii="Arial" w:hAnsi="Arial" w:cs="Arial"/>
                <w:b/>
                <w:bCs/>
                <w:color w:val="000000"/>
                <w:sz w:val="16"/>
                <w:szCs w:val="16"/>
              </w:rPr>
            </w:pPr>
            <w:r>
              <w:rPr>
                <w:rFonts w:ascii="Arial" w:hAnsi="Arial" w:cs="Arial"/>
                <w:b/>
                <w:bCs/>
                <w:color w:val="000000"/>
                <w:sz w:val="16"/>
                <w:szCs w:val="16"/>
              </w:rPr>
              <w:t>205,356</w:t>
            </w:r>
          </w:p>
        </w:tc>
        <w:tc>
          <w:tcPr>
            <w:tcW w:w="574" w:type="pct"/>
            <w:tcBorders>
              <w:top w:val="nil"/>
              <w:left w:val="nil"/>
              <w:bottom w:val="single" w:sz="4" w:space="0" w:color="auto"/>
              <w:right w:val="nil"/>
            </w:tcBorders>
            <w:shd w:val="clear" w:color="000000" w:fill="E6E6E6"/>
            <w:noWrap/>
            <w:vAlign w:val="bottom"/>
            <w:hideMark/>
          </w:tcPr>
          <w:p w14:paraId="3FAB6E2D" w14:textId="78A417F4" w:rsidR="00A1733C" w:rsidRPr="002F1937" w:rsidRDefault="00A1733C" w:rsidP="00A1733C">
            <w:pPr>
              <w:spacing w:after="0" w:line="240" w:lineRule="auto"/>
              <w:jc w:val="right"/>
              <w:rPr>
                <w:rFonts w:ascii="Arial" w:hAnsi="Arial" w:cs="Arial"/>
                <w:b/>
                <w:bCs/>
                <w:color w:val="000000"/>
                <w:sz w:val="16"/>
                <w:szCs w:val="16"/>
              </w:rPr>
            </w:pPr>
            <w:r>
              <w:rPr>
                <w:rFonts w:ascii="Arial" w:hAnsi="Arial" w:cs="Arial"/>
                <w:b/>
                <w:bCs/>
                <w:color w:val="000000"/>
                <w:sz w:val="16"/>
                <w:szCs w:val="16"/>
              </w:rPr>
              <w:t>210,518</w:t>
            </w:r>
          </w:p>
        </w:tc>
        <w:tc>
          <w:tcPr>
            <w:tcW w:w="574" w:type="pct"/>
            <w:tcBorders>
              <w:top w:val="nil"/>
              <w:left w:val="nil"/>
              <w:bottom w:val="single" w:sz="4" w:space="0" w:color="auto"/>
              <w:right w:val="nil"/>
            </w:tcBorders>
            <w:shd w:val="clear" w:color="auto" w:fill="auto"/>
            <w:noWrap/>
            <w:vAlign w:val="bottom"/>
            <w:hideMark/>
          </w:tcPr>
          <w:p w14:paraId="2EAE9887" w14:textId="73038241" w:rsidR="00A1733C" w:rsidRPr="002F1937" w:rsidRDefault="00A1733C" w:rsidP="00A1733C">
            <w:pPr>
              <w:spacing w:after="0" w:line="240" w:lineRule="auto"/>
              <w:jc w:val="right"/>
              <w:rPr>
                <w:rFonts w:ascii="Arial" w:hAnsi="Arial" w:cs="Arial"/>
                <w:b/>
                <w:bCs/>
                <w:color w:val="000000"/>
                <w:sz w:val="16"/>
                <w:szCs w:val="16"/>
              </w:rPr>
            </w:pPr>
            <w:r>
              <w:rPr>
                <w:rFonts w:ascii="Arial" w:hAnsi="Arial" w:cs="Arial"/>
                <w:b/>
                <w:bCs/>
                <w:color w:val="000000"/>
                <w:sz w:val="16"/>
                <w:szCs w:val="16"/>
              </w:rPr>
              <w:t>206,200</w:t>
            </w:r>
          </w:p>
        </w:tc>
        <w:tc>
          <w:tcPr>
            <w:tcW w:w="574" w:type="pct"/>
            <w:tcBorders>
              <w:top w:val="nil"/>
              <w:left w:val="nil"/>
              <w:bottom w:val="single" w:sz="4" w:space="0" w:color="auto"/>
              <w:right w:val="nil"/>
            </w:tcBorders>
            <w:shd w:val="clear" w:color="auto" w:fill="auto"/>
            <w:noWrap/>
            <w:vAlign w:val="bottom"/>
            <w:hideMark/>
          </w:tcPr>
          <w:p w14:paraId="7B1E4742" w14:textId="6286E1F6" w:rsidR="00A1733C" w:rsidRPr="002F1937" w:rsidRDefault="00A1733C" w:rsidP="00A1733C">
            <w:pPr>
              <w:spacing w:after="0" w:line="240" w:lineRule="auto"/>
              <w:jc w:val="right"/>
              <w:rPr>
                <w:rFonts w:ascii="Arial" w:hAnsi="Arial" w:cs="Arial"/>
                <w:b/>
                <w:bCs/>
                <w:color w:val="000000"/>
                <w:sz w:val="16"/>
                <w:szCs w:val="16"/>
              </w:rPr>
            </w:pPr>
            <w:r>
              <w:rPr>
                <w:rFonts w:ascii="Arial" w:hAnsi="Arial" w:cs="Arial"/>
                <w:b/>
                <w:bCs/>
                <w:color w:val="000000"/>
                <w:sz w:val="16"/>
                <w:szCs w:val="16"/>
              </w:rPr>
              <w:t>201,071</w:t>
            </w:r>
          </w:p>
        </w:tc>
        <w:tc>
          <w:tcPr>
            <w:tcW w:w="573" w:type="pct"/>
            <w:tcBorders>
              <w:top w:val="nil"/>
              <w:left w:val="nil"/>
              <w:bottom w:val="single" w:sz="4" w:space="0" w:color="auto"/>
              <w:right w:val="nil"/>
            </w:tcBorders>
            <w:shd w:val="clear" w:color="auto" w:fill="auto"/>
            <w:noWrap/>
            <w:vAlign w:val="bottom"/>
            <w:hideMark/>
          </w:tcPr>
          <w:p w14:paraId="53A0B579" w14:textId="5A26D4BA" w:rsidR="00A1733C" w:rsidRPr="002F1937" w:rsidRDefault="00A1733C" w:rsidP="00A1733C">
            <w:pPr>
              <w:spacing w:after="0" w:line="240" w:lineRule="auto"/>
              <w:jc w:val="right"/>
              <w:rPr>
                <w:rFonts w:ascii="Arial" w:hAnsi="Arial" w:cs="Arial"/>
                <w:b/>
                <w:bCs/>
                <w:color w:val="000000"/>
                <w:sz w:val="16"/>
                <w:szCs w:val="16"/>
              </w:rPr>
            </w:pPr>
            <w:r>
              <w:rPr>
                <w:rFonts w:ascii="Arial" w:hAnsi="Arial" w:cs="Arial"/>
                <w:b/>
                <w:bCs/>
                <w:color w:val="000000"/>
                <w:sz w:val="16"/>
                <w:szCs w:val="16"/>
              </w:rPr>
              <w:t>192,330</w:t>
            </w:r>
          </w:p>
        </w:tc>
      </w:tr>
      <w:tr w:rsidR="00A1733C" w:rsidRPr="002F1937" w14:paraId="5C70D44B" w14:textId="77777777" w:rsidTr="00A1733C">
        <w:trPr>
          <w:trHeight w:val="204"/>
        </w:trPr>
        <w:tc>
          <w:tcPr>
            <w:tcW w:w="2100" w:type="pct"/>
            <w:tcBorders>
              <w:top w:val="nil"/>
              <w:left w:val="nil"/>
              <w:bottom w:val="nil"/>
              <w:right w:val="nil"/>
            </w:tcBorders>
            <w:shd w:val="clear" w:color="auto" w:fill="auto"/>
            <w:noWrap/>
            <w:vAlign w:val="bottom"/>
            <w:hideMark/>
          </w:tcPr>
          <w:p w14:paraId="68C2ACAD" w14:textId="3F03E8AB" w:rsidR="00A1733C" w:rsidRPr="002F1937" w:rsidRDefault="00A1733C" w:rsidP="00A1733C">
            <w:pPr>
              <w:spacing w:after="0" w:line="240" w:lineRule="auto"/>
              <w:rPr>
                <w:rFonts w:ascii="Arial" w:hAnsi="Arial" w:cs="Arial"/>
                <w:b/>
                <w:bCs/>
                <w:color w:val="000000"/>
                <w:sz w:val="16"/>
                <w:szCs w:val="16"/>
              </w:rPr>
            </w:pPr>
            <w:r w:rsidRPr="002F1937">
              <w:rPr>
                <w:rFonts w:ascii="Arial" w:hAnsi="Arial" w:cs="Arial"/>
                <w:b/>
                <w:bCs/>
                <w:color w:val="000000"/>
                <w:sz w:val="16"/>
                <w:szCs w:val="16"/>
              </w:rPr>
              <w:t>EQUITY</w:t>
            </w:r>
          </w:p>
        </w:tc>
        <w:tc>
          <w:tcPr>
            <w:tcW w:w="605" w:type="pct"/>
            <w:tcBorders>
              <w:top w:val="nil"/>
              <w:left w:val="nil"/>
              <w:bottom w:val="nil"/>
              <w:right w:val="nil"/>
            </w:tcBorders>
            <w:shd w:val="clear" w:color="auto" w:fill="auto"/>
            <w:noWrap/>
            <w:vAlign w:val="bottom"/>
            <w:hideMark/>
          </w:tcPr>
          <w:p w14:paraId="0F67526D" w14:textId="77777777" w:rsidR="00A1733C" w:rsidRPr="002F1937" w:rsidRDefault="00A1733C" w:rsidP="00A1733C">
            <w:pPr>
              <w:spacing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09D1D074" w14:textId="1EBBC774" w:rsidR="00A1733C" w:rsidRPr="002F1937" w:rsidRDefault="00A1733C" w:rsidP="00A1733C">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5136B61A" w14:textId="77777777" w:rsidR="00A1733C" w:rsidRPr="002F1937" w:rsidRDefault="00A1733C" w:rsidP="00A1733C">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3AF4D39F" w14:textId="77777777" w:rsidR="00A1733C" w:rsidRPr="002F1937" w:rsidRDefault="00A1733C" w:rsidP="00A1733C">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5D673BDF" w14:textId="77777777" w:rsidR="00A1733C" w:rsidRPr="002F1937" w:rsidRDefault="00A1733C" w:rsidP="00A1733C">
            <w:pPr>
              <w:spacing w:after="0" w:line="240" w:lineRule="auto"/>
              <w:jc w:val="right"/>
              <w:rPr>
                <w:rFonts w:ascii="Times New Roman" w:hAnsi="Times New Roman"/>
              </w:rPr>
            </w:pPr>
          </w:p>
        </w:tc>
      </w:tr>
      <w:tr w:rsidR="00A1733C" w:rsidRPr="002F1937" w14:paraId="10773E9B" w14:textId="77777777" w:rsidTr="00A1733C">
        <w:trPr>
          <w:trHeight w:val="204"/>
        </w:trPr>
        <w:tc>
          <w:tcPr>
            <w:tcW w:w="2100" w:type="pct"/>
            <w:tcBorders>
              <w:top w:val="nil"/>
              <w:left w:val="nil"/>
              <w:bottom w:val="nil"/>
              <w:right w:val="nil"/>
            </w:tcBorders>
            <w:shd w:val="clear" w:color="auto" w:fill="auto"/>
            <w:noWrap/>
            <w:vAlign w:val="bottom"/>
            <w:hideMark/>
          </w:tcPr>
          <w:p w14:paraId="6F8D2BDE" w14:textId="77777777" w:rsidR="00A1733C" w:rsidRPr="002F1937" w:rsidRDefault="00A1733C" w:rsidP="00A1733C">
            <w:pPr>
              <w:spacing w:after="0" w:line="240" w:lineRule="auto"/>
              <w:rPr>
                <w:rFonts w:ascii="Arial" w:hAnsi="Arial" w:cs="Arial"/>
                <w:b/>
                <w:bCs/>
                <w:color w:val="000000"/>
                <w:sz w:val="16"/>
                <w:szCs w:val="16"/>
              </w:rPr>
            </w:pPr>
            <w:r w:rsidRPr="002F1937">
              <w:rPr>
                <w:rFonts w:ascii="Arial" w:hAnsi="Arial" w:cs="Arial"/>
                <w:b/>
                <w:bCs/>
                <w:color w:val="000000"/>
                <w:sz w:val="16"/>
                <w:szCs w:val="16"/>
              </w:rPr>
              <w:t>Parent entity interest</w:t>
            </w:r>
          </w:p>
        </w:tc>
        <w:tc>
          <w:tcPr>
            <w:tcW w:w="605" w:type="pct"/>
            <w:tcBorders>
              <w:top w:val="nil"/>
              <w:left w:val="nil"/>
              <w:bottom w:val="nil"/>
              <w:right w:val="nil"/>
            </w:tcBorders>
            <w:shd w:val="clear" w:color="auto" w:fill="auto"/>
            <w:noWrap/>
            <w:vAlign w:val="bottom"/>
            <w:hideMark/>
          </w:tcPr>
          <w:p w14:paraId="15D8CFB3" w14:textId="77777777" w:rsidR="00A1733C" w:rsidRPr="002F1937" w:rsidRDefault="00A1733C" w:rsidP="00A1733C">
            <w:pPr>
              <w:spacing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39A4B6CE" w14:textId="24DF657D" w:rsidR="00A1733C" w:rsidRPr="002F1937" w:rsidRDefault="00A1733C" w:rsidP="00A1733C">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7F05E030" w14:textId="77777777" w:rsidR="00A1733C" w:rsidRPr="002F1937" w:rsidRDefault="00A1733C" w:rsidP="00A1733C">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1F768C19" w14:textId="77777777" w:rsidR="00A1733C" w:rsidRPr="002F1937" w:rsidRDefault="00A1733C" w:rsidP="00A1733C">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21E95BE6" w14:textId="77777777" w:rsidR="00A1733C" w:rsidRPr="002F1937" w:rsidRDefault="00A1733C" w:rsidP="00A1733C">
            <w:pPr>
              <w:spacing w:after="0" w:line="240" w:lineRule="auto"/>
              <w:jc w:val="right"/>
              <w:rPr>
                <w:rFonts w:ascii="Times New Roman" w:hAnsi="Times New Roman"/>
              </w:rPr>
            </w:pPr>
          </w:p>
        </w:tc>
      </w:tr>
      <w:tr w:rsidR="00A1733C" w:rsidRPr="002F1937" w14:paraId="2D5C9C5F" w14:textId="77777777" w:rsidTr="00A1733C">
        <w:trPr>
          <w:trHeight w:val="204"/>
        </w:trPr>
        <w:tc>
          <w:tcPr>
            <w:tcW w:w="2100" w:type="pct"/>
            <w:tcBorders>
              <w:top w:val="nil"/>
              <w:left w:val="nil"/>
              <w:bottom w:val="nil"/>
              <w:right w:val="nil"/>
            </w:tcBorders>
            <w:shd w:val="clear" w:color="auto" w:fill="auto"/>
            <w:noWrap/>
            <w:vAlign w:val="bottom"/>
            <w:hideMark/>
          </w:tcPr>
          <w:p w14:paraId="49A96EB0" w14:textId="77777777" w:rsidR="00A1733C" w:rsidRPr="002F1937" w:rsidRDefault="00A1733C" w:rsidP="00A1733C">
            <w:pPr>
              <w:spacing w:after="0" w:line="240" w:lineRule="auto"/>
              <w:ind w:firstLineChars="100" w:firstLine="160"/>
              <w:rPr>
                <w:rFonts w:ascii="Arial" w:hAnsi="Arial" w:cs="Arial"/>
                <w:color w:val="000000"/>
                <w:sz w:val="16"/>
                <w:szCs w:val="16"/>
              </w:rPr>
            </w:pPr>
            <w:r w:rsidRPr="002F1937">
              <w:rPr>
                <w:rFonts w:ascii="Arial" w:hAnsi="Arial" w:cs="Arial"/>
                <w:color w:val="000000"/>
                <w:sz w:val="16"/>
                <w:szCs w:val="16"/>
              </w:rPr>
              <w:t>Contributed equity</w:t>
            </w:r>
          </w:p>
        </w:tc>
        <w:tc>
          <w:tcPr>
            <w:tcW w:w="605" w:type="pct"/>
            <w:tcBorders>
              <w:top w:val="nil"/>
              <w:left w:val="nil"/>
              <w:bottom w:val="nil"/>
              <w:right w:val="nil"/>
            </w:tcBorders>
            <w:shd w:val="clear" w:color="auto" w:fill="auto"/>
            <w:noWrap/>
            <w:vAlign w:val="bottom"/>
            <w:hideMark/>
          </w:tcPr>
          <w:p w14:paraId="0408407D" w14:textId="294536AA"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45,261</w:t>
            </w:r>
          </w:p>
        </w:tc>
        <w:tc>
          <w:tcPr>
            <w:tcW w:w="574" w:type="pct"/>
            <w:tcBorders>
              <w:top w:val="nil"/>
              <w:left w:val="nil"/>
              <w:bottom w:val="nil"/>
              <w:right w:val="nil"/>
            </w:tcBorders>
            <w:shd w:val="clear" w:color="000000" w:fill="E6E6E6"/>
            <w:noWrap/>
            <w:vAlign w:val="bottom"/>
            <w:hideMark/>
          </w:tcPr>
          <w:p w14:paraId="4B9EBA20" w14:textId="5F4EF1D2"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67,143</w:t>
            </w:r>
          </w:p>
        </w:tc>
        <w:tc>
          <w:tcPr>
            <w:tcW w:w="574" w:type="pct"/>
            <w:tcBorders>
              <w:top w:val="nil"/>
              <w:left w:val="nil"/>
              <w:bottom w:val="nil"/>
              <w:right w:val="nil"/>
            </w:tcBorders>
            <w:shd w:val="clear" w:color="auto" w:fill="auto"/>
            <w:noWrap/>
            <w:vAlign w:val="bottom"/>
            <w:hideMark/>
          </w:tcPr>
          <w:p w14:paraId="235738BD" w14:textId="729FEBDD"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79,545</w:t>
            </w:r>
          </w:p>
        </w:tc>
        <w:tc>
          <w:tcPr>
            <w:tcW w:w="574" w:type="pct"/>
            <w:tcBorders>
              <w:top w:val="nil"/>
              <w:left w:val="nil"/>
              <w:bottom w:val="nil"/>
              <w:right w:val="nil"/>
            </w:tcBorders>
            <w:shd w:val="clear" w:color="auto" w:fill="auto"/>
            <w:noWrap/>
            <w:vAlign w:val="bottom"/>
            <w:hideMark/>
          </w:tcPr>
          <w:p w14:paraId="64287FB4" w14:textId="7C2870AC"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91,136</w:t>
            </w:r>
          </w:p>
        </w:tc>
        <w:tc>
          <w:tcPr>
            <w:tcW w:w="573" w:type="pct"/>
            <w:tcBorders>
              <w:top w:val="nil"/>
              <w:left w:val="nil"/>
              <w:bottom w:val="nil"/>
              <w:right w:val="nil"/>
            </w:tcBorders>
            <w:shd w:val="clear" w:color="auto" w:fill="auto"/>
            <w:noWrap/>
            <w:vAlign w:val="bottom"/>
            <w:hideMark/>
          </w:tcPr>
          <w:p w14:paraId="00B7FC74" w14:textId="36776C33"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102,859</w:t>
            </w:r>
          </w:p>
        </w:tc>
      </w:tr>
      <w:tr w:rsidR="00A1733C" w:rsidRPr="002F1937" w14:paraId="2BC172A6" w14:textId="77777777" w:rsidTr="00A1733C">
        <w:trPr>
          <w:trHeight w:val="204"/>
        </w:trPr>
        <w:tc>
          <w:tcPr>
            <w:tcW w:w="2100" w:type="pct"/>
            <w:tcBorders>
              <w:top w:val="nil"/>
              <w:left w:val="nil"/>
              <w:bottom w:val="nil"/>
              <w:right w:val="nil"/>
            </w:tcBorders>
            <w:shd w:val="clear" w:color="auto" w:fill="auto"/>
            <w:noWrap/>
            <w:vAlign w:val="bottom"/>
            <w:hideMark/>
          </w:tcPr>
          <w:p w14:paraId="54E7C520" w14:textId="77777777" w:rsidR="00A1733C" w:rsidRPr="002F1937" w:rsidRDefault="00A1733C" w:rsidP="00A1733C">
            <w:pPr>
              <w:spacing w:after="0" w:line="240" w:lineRule="auto"/>
              <w:ind w:firstLineChars="100" w:firstLine="160"/>
              <w:rPr>
                <w:rFonts w:ascii="Arial" w:hAnsi="Arial" w:cs="Arial"/>
                <w:color w:val="000000"/>
                <w:sz w:val="16"/>
                <w:szCs w:val="16"/>
              </w:rPr>
            </w:pPr>
            <w:r w:rsidRPr="002F1937">
              <w:rPr>
                <w:rFonts w:ascii="Arial" w:hAnsi="Arial" w:cs="Arial"/>
                <w:color w:val="000000"/>
                <w:sz w:val="16"/>
                <w:szCs w:val="16"/>
              </w:rPr>
              <w:t>Reserves</w:t>
            </w:r>
          </w:p>
        </w:tc>
        <w:tc>
          <w:tcPr>
            <w:tcW w:w="605" w:type="pct"/>
            <w:tcBorders>
              <w:top w:val="nil"/>
              <w:left w:val="nil"/>
              <w:bottom w:val="nil"/>
              <w:right w:val="nil"/>
            </w:tcBorders>
            <w:shd w:val="clear" w:color="auto" w:fill="auto"/>
            <w:noWrap/>
            <w:vAlign w:val="bottom"/>
            <w:hideMark/>
          </w:tcPr>
          <w:p w14:paraId="5A822F15" w14:textId="1E7EA1CB"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46,607</w:t>
            </w:r>
          </w:p>
        </w:tc>
        <w:tc>
          <w:tcPr>
            <w:tcW w:w="574" w:type="pct"/>
            <w:tcBorders>
              <w:top w:val="nil"/>
              <w:left w:val="nil"/>
              <w:bottom w:val="nil"/>
              <w:right w:val="nil"/>
            </w:tcBorders>
            <w:shd w:val="clear" w:color="000000" w:fill="E6E6E6"/>
            <w:noWrap/>
            <w:vAlign w:val="bottom"/>
            <w:hideMark/>
          </w:tcPr>
          <w:p w14:paraId="4F5521AE" w14:textId="7B11A43C"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46,607</w:t>
            </w:r>
          </w:p>
        </w:tc>
        <w:tc>
          <w:tcPr>
            <w:tcW w:w="574" w:type="pct"/>
            <w:tcBorders>
              <w:top w:val="nil"/>
              <w:left w:val="nil"/>
              <w:bottom w:val="nil"/>
              <w:right w:val="nil"/>
            </w:tcBorders>
            <w:shd w:val="clear" w:color="auto" w:fill="auto"/>
            <w:noWrap/>
            <w:vAlign w:val="bottom"/>
            <w:hideMark/>
          </w:tcPr>
          <w:p w14:paraId="0FF9DD04" w14:textId="6ED69A8A"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46,607</w:t>
            </w:r>
          </w:p>
        </w:tc>
        <w:tc>
          <w:tcPr>
            <w:tcW w:w="574" w:type="pct"/>
            <w:tcBorders>
              <w:top w:val="nil"/>
              <w:left w:val="nil"/>
              <w:bottom w:val="nil"/>
              <w:right w:val="nil"/>
            </w:tcBorders>
            <w:shd w:val="clear" w:color="auto" w:fill="auto"/>
            <w:noWrap/>
            <w:vAlign w:val="bottom"/>
            <w:hideMark/>
          </w:tcPr>
          <w:p w14:paraId="7FA09CE5" w14:textId="39F38D01"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46,607</w:t>
            </w:r>
          </w:p>
        </w:tc>
        <w:tc>
          <w:tcPr>
            <w:tcW w:w="573" w:type="pct"/>
            <w:tcBorders>
              <w:top w:val="nil"/>
              <w:left w:val="nil"/>
              <w:bottom w:val="nil"/>
              <w:right w:val="nil"/>
            </w:tcBorders>
            <w:shd w:val="clear" w:color="auto" w:fill="auto"/>
            <w:noWrap/>
            <w:vAlign w:val="bottom"/>
            <w:hideMark/>
          </w:tcPr>
          <w:p w14:paraId="4FAFF11B" w14:textId="4F75365B"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46,607</w:t>
            </w:r>
          </w:p>
        </w:tc>
      </w:tr>
      <w:tr w:rsidR="00A1733C" w:rsidRPr="002F1937" w14:paraId="0C2FCF07" w14:textId="77777777" w:rsidTr="00A1733C">
        <w:trPr>
          <w:trHeight w:val="204"/>
        </w:trPr>
        <w:tc>
          <w:tcPr>
            <w:tcW w:w="2100" w:type="pct"/>
            <w:tcBorders>
              <w:top w:val="nil"/>
              <w:left w:val="nil"/>
              <w:bottom w:val="nil"/>
              <w:right w:val="nil"/>
            </w:tcBorders>
            <w:shd w:val="clear" w:color="auto" w:fill="auto"/>
            <w:vAlign w:val="bottom"/>
            <w:hideMark/>
          </w:tcPr>
          <w:p w14:paraId="37581BFA" w14:textId="45E970BB" w:rsidR="00A1733C" w:rsidRPr="002F1937" w:rsidRDefault="00A1733C" w:rsidP="00A1733C">
            <w:pPr>
              <w:spacing w:after="0" w:line="240" w:lineRule="auto"/>
              <w:ind w:firstLineChars="100" w:firstLine="160"/>
              <w:rPr>
                <w:rFonts w:ascii="Arial" w:hAnsi="Arial" w:cs="Arial"/>
                <w:color w:val="000000"/>
                <w:sz w:val="16"/>
                <w:szCs w:val="16"/>
              </w:rPr>
            </w:pPr>
            <w:r w:rsidRPr="002F1937">
              <w:rPr>
                <w:rFonts w:ascii="Arial" w:hAnsi="Arial" w:cs="Arial"/>
                <w:color w:val="000000"/>
                <w:sz w:val="16"/>
                <w:szCs w:val="16"/>
              </w:rPr>
              <w:t>Retained surplus (accumulated deficit)</w:t>
            </w:r>
          </w:p>
        </w:tc>
        <w:tc>
          <w:tcPr>
            <w:tcW w:w="605" w:type="pct"/>
            <w:tcBorders>
              <w:top w:val="nil"/>
              <w:left w:val="nil"/>
              <w:bottom w:val="nil"/>
              <w:right w:val="nil"/>
            </w:tcBorders>
            <w:shd w:val="clear" w:color="auto" w:fill="auto"/>
            <w:noWrap/>
            <w:vAlign w:val="bottom"/>
            <w:hideMark/>
          </w:tcPr>
          <w:p w14:paraId="4A361F36" w14:textId="5EB3167A"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113,488</w:t>
            </w:r>
          </w:p>
        </w:tc>
        <w:tc>
          <w:tcPr>
            <w:tcW w:w="574" w:type="pct"/>
            <w:tcBorders>
              <w:top w:val="nil"/>
              <w:left w:val="nil"/>
              <w:bottom w:val="nil"/>
              <w:right w:val="nil"/>
            </w:tcBorders>
            <w:shd w:val="clear" w:color="000000" w:fill="E6E6E6"/>
            <w:noWrap/>
            <w:vAlign w:val="bottom"/>
            <w:hideMark/>
          </w:tcPr>
          <w:p w14:paraId="195828D8" w14:textId="177222DC"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96,768</w:t>
            </w:r>
          </w:p>
        </w:tc>
        <w:tc>
          <w:tcPr>
            <w:tcW w:w="574" w:type="pct"/>
            <w:tcBorders>
              <w:top w:val="nil"/>
              <w:left w:val="nil"/>
              <w:bottom w:val="nil"/>
              <w:right w:val="nil"/>
            </w:tcBorders>
            <w:shd w:val="clear" w:color="auto" w:fill="auto"/>
            <w:noWrap/>
            <w:vAlign w:val="bottom"/>
            <w:hideMark/>
          </w:tcPr>
          <w:p w14:paraId="6623B238" w14:textId="10B011EA"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80,048</w:t>
            </w:r>
          </w:p>
        </w:tc>
        <w:tc>
          <w:tcPr>
            <w:tcW w:w="574" w:type="pct"/>
            <w:tcBorders>
              <w:top w:val="nil"/>
              <w:left w:val="nil"/>
              <w:bottom w:val="nil"/>
              <w:right w:val="nil"/>
            </w:tcBorders>
            <w:shd w:val="clear" w:color="auto" w:fill="auto"/>
            <w:noWrap/>
            <w:vAlign w:val="bottom"/>
            <w:hideMark/>
          </w:tcPr>
          <w:p w14:paraId="027900B0" w14:textId="4DABF621"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63,328</w:t>
            </w:r>
          </w:p>
        </w:tc>
        <w:tc>
          <w:tcPr>
            <w:tcW w:w="573" w:type="pct"/>
            <w:tcBorders>
              <w:top w:val="nil"/>
              <w:left w:val="nil"/>
              <w:bottom w:val="nil"/>
              <w:right w:val="nil"/>
            </w:tcBorders>
            <w:shd w:val="clear" w:color="auto" w:fill="auto"/>
            <w:noWrap/>
            <w:vAlign w:val="bottom"/>
            <w:hideMark/>
          </w:tcPr>
          <w:p w14:paraId="771C1A74" w14:textId="590E2BB3" w:rsidR="00A1733C" w:rsidRPr="002F1937" w:rsidRDefault="00A1733C" w:rsidP="00A1733C">
            <w:pPr>
              <w:spacing w:after="0" w:line="240" w:lineRule="auto"/>
              <w:jc w:val="right"/>
              <w:rPr>
                <w:rFonts w:ascii="Arial" w:hAnsi="Arial" w:cs="Arial"/>
                <w:color w:val="000000"/>
                <w:sz w:val="16"/>
                <w:szCs w:val="16"/>
              </w:rPr>
            </w:pPr>
            <w:r>
              <w:rPr>
                <w:rFonts w:ascii="Arial" w:hAnsi="Arial" w:cs="Arial"/>
                <w:color w:val="000000"/>
                <w:sz w:val="16"/>
                <w:szCs w:val="16"/>
              </w:rPr>
              <w:t>42,864</w:t>
            </w:r>
          </w:p>
        </w:tc>
      </w:tr>
      <w:tr w:rsidR="00A1733C" w:rsidRPr="002F1937" w14:paraId="2401FAA9" w14:textId="77777777" w:rsidTr="00A1733C">
        <w:trPr>
          <w:trHeight w:val="204"/>
        </w:trPr>
        <w:tc>
          <w:tcPr>
            <w:tcW w:w="2100" w:type="pct"/>
            <w:tcBorders>
              <w:top w:val="nil"/>
              <w:left w:val="nil"/>
              <w:bottom w:val="nil"/>
              <w:right w:val="nil"/>
            </w:tcBorders>
            <w:shd w:val="clear" w:color="auto" w:fill="auto"/>
            <w:noWrap/>
            <w:vAlign w:val="bottom"/>
            <w:hideMark/>
          </w:tcPr>
          <w:p w14:paraId="212605E7" w14:textId="77777777" w:rsidR="00A1733C" w:rsidRPr="002F1937" w:rsidRDefault="00A1733C" w:rsidP="00A1733C">
            <w:pPr>
              <w:spacing w:after="0" w:line="240" w:lineRule="auto"/>
              <w:rPr>
                <w:rFonts w:ascii="Arial" w:hAnsi="Arial" w:cs="Arial"/>
                <w:b/>
                <w:bCs/>
                <w:i/>
                <w:iCs/>
                <w:color w:val="000000"/>
                <w:sz w:val="16"/>
                <w:szCs w:val="16"/>
              </w:rPr>
            </w:pPr>
            <w:r w:rsidRPr="002F1937">
              <w:rPr>
                <w:rFonts w:ascii="Arial" w:hAnsi="Arial" w:cs="Arial"/>
                <w:b/>
                <w:bCs/>
                <w:i/>
                <w:iCs/>
                <w:color w:val="000000"/>
                <w:sz w:val="16"/>
                <w:szCs w:val="16"/>
              </w:rPr>
              <w:t>Total parent entity interest</w:t>
            </w:r>
          </w:p>
        </w:tc>
        <w:tc>
          <w:tcPr>
            <w:tcW w:w="605" w:type="pct"/>
            <w:tcBorders>
              <w:top w:val="single" w:sz="4" w:space="0" w:color="000000"/>
              <w:left w:val="nil"/>
              <w:bottom w:val="single" w:sz="4" w:space="0" w:color="000000"/>
              <w:right w:val="nil"/>
            </w:tcBorders>
            <w:shd w:val="clear" w:color="auto" w:fill="auto"/>
            <w:noWrap/>
            <w:vAlign w:val="bottom"/>
            <w:hideMark/>
          </w:tcPr>
          <w:p w14:paraId="4ABD37E6" w14:textId="0FAF5875" w:rsidR="00A1733C" w:rsidRPr="002F1937" w:rsidRDefault="00A1733C" w:rsidP="00A1733C">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205,356</w:t>
            </w:r>
          </w:p>
        </w:tc>
        <w:tc>
          <w:tcPr>
            <w:tcW w:w="574" w:type="pct"/>
            <w:tcBorders>
              <w:top w:val="single" w:sz="4" w:space="0" w:color="000000"/>
              <w:left w:val="nil"/>
              <w:bottom w:val="single" w:sz="4" w:space="0" w:color="000000"/>
              <w:right w:val="nil"/>
            </w:tcBorders>
            <w:shd w:val="clear" w:color="000000" w:fill="E6E6E6"/>
            <w:noWrap/>
            <w:vAlign w:val="bottom"/>
            <w:hideMark/>
          </w:tcPr>
          <w:p w14:paraId="5816493F" w14:textId="54E13F98" w:rsidR="00A1733C" w:rsidRPr="002F1937" w:rsidRDefault="00A1733C" w:rsidP="00A1733C">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210,518</w:t>
            </w:r>
          </w:p>
        </w:tc>
        <w:tc>
          <w:tcPr>
            <w:tcW w:w="574" w:type="pct"/>
            <w:tcBorders>
              <w:top w:val="single" w:sz="4" w:space="0" w:color="000000"/>
              <w:left w:val="nil"/>
              <w:bottom w:val="single" w:sz="4" w:space="0" w:color="000000"/>
              <w:right w:val="nil"/>
            </w:tcBorders>
            <w:shd w:val="clear" w:color="auto" w:fill="auto"/>
            <w:noWrap/>
            <w:vAlign w:val="bottom"/>
            <w:hideMark/>
          </w:tcPr>
          <w:p w14:paraId="6A04D5CB" w14:textId="605181CF" w:rsidR="00A1733C" w:rsidRPr="002F1937" w:rsidRDefault="00A1733C" w:rsidP="00A1733C">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206,200</w:t>
            </w:r>
          </w:p>
        </w:tc>
        <w:tc>
          <w:tcPr>
            <w:tcW w:w="574" w:type="pct"/>
            <w:tcBorders>
              <w:top w:val="single" w:sz="4" w:space="0" w:color="000000"/>
              <w:left w:val="nil"/>
              <w:bottom w:val="single" w:sz="4" w:space="0" w:color="000000"/>
              <w:right w:val="nil"/>
            </w:tcBorders>
            <w:shd w:val="clear" w:color="auto" w:fill="auto"/>
            <w:noWrap/>
            <w:vAlign w:val="bottom"/>
            <w:hideMark/>
          </w:tcPr>
          <w:p w14:paraId="568AB9C4" w14:textId="31EDC901" w:rsidR="00A1733C" w:rsidRPr="002F1937" w:rsidRDefault="00A1733C" w:rsidP="00A1733C">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201,071</w:t>
            </w:r>
          </w:p>
        </w:tc>
        <w:tc>
          <w:tcPr>
            <w:tcW w:w="573" w:type="pct"/>
            <w:tcBorders>
              <w:top w:val="single" w:sz="4" w:space="0" w:color="000000"/>
              <w:left w:val="nil"/>
              <w:bottom w:val="single" w:sz="4" w:space="0" w:color="000000"/>
              <w:right w:val="nil"/>
            </w:tcBorders>
            <w:shd w:val="clear" w:color="auto" w:fill="auto"/>
            <w:noWrap/>
            <w:vAlign w:val="bottom"/>
            <w:hideMark/>
          </w:tcPr>
          <w:p w14:paraId="2305790F" w14:textId="0A44E6EF" w:rsidR="00A1733C" w:rsidRPr="002F1937" w:rsidRDefault="00A1733C" w:rsidP="00A1733C">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192,330</w:t>
            </w:r>
          </w:p>
        </w:tc>
      </w:tr>
      <w:tr w:rsidR="00A1733C" w:rsidRPr="002F1937" w14:paraId="241CECDD" w14:textId="77777777" w:rsidTr="00A1733C">
        <w:trPr>
          <w:trHeight w:val="204"/>
        </w:trPr>
        <w:tc>
          <w:tcPr>
            <w:tcW w:w="2100" w:type="pct"/>
            <w:tcBorders>
              <w:top w:val="nil"/>
              <w:left w:val="nil"/>
              <w:bottom w:val="single" w:sz="4" w:space="0" w:color="000000"/>
              <w:right w:val="nil"/>
            </w:tcBorders>
            <w:shd w:val="clear" w:color="auto" w:fill="auto"/>
            <w:noWrap/>
            <w:vAlign w:val="bottom"/>
            <w:hideMark/>
          </w:tcPr>
          <w:p w14:paraId="7AF9E06F" w14:textId="77777777" w:rsidR="00A1733C" w:rsidRPr="002F1937" w:rsidRDefault="00A1733C" w:rsidP="00A1733C">
            <w:pPr>
              <w:spacing w:after="0" w:line="240" w:lineRule="auto"/>
              <w:rPr>
                <w:rFonts w:ascii="Arial" w:hAnsi="Arial" w:cs="Arial"/>
                <w:b/>
                <w:bCs/>
                <w:color w:val="000000"/>
                <w:sz w:val="16"/>
                <w:szCs w:val="16"/>
              </w:rPr>
            </w:pPr>
            <w:r w:rsidRPr="002F1937">
              <w:rPr>
                <w:rFonts w:ascii="Arial" w:hAnsi="Arial" w:cs="Arial"/>
                <w:b/>
                <w:bCs/>
                <w:color w:val="000000"/>
                <w:sz w:val="16"/>
                <w:szCs w:val="16"/>
              </w:rPr>
              <w:t>Total equity</w:t>
            </w:r>
          </w:p>
        </w:tc>
        <w:tc>
          <w:tcPr>
            <w:tcW w:w="605" w:type="pct"/>
            <w:tcBorders>
              <w:top w:val="nil"/>
              <w:left w:val="nil"/>
              <w:bottom w:val="single" w:sz="4" w:space="0" w:color="000000"/>
              <w:right w:val="nil"/>
            </w:tcBorders>
            <w:shd w:val="clear" w:color="auto" w:fill="auto"/>
            <w:noWrap/>
            <w:vAlign w:val="bottom"/>
            <w:hideMark/>
          </w:tcPr>
          <w:p w14:paraId="5F24079F" w14:textId="105C21D0" w:rsidR="00A1733C" w:rsidRPr="002F1937" w:rsidRDefault="00A1733C" w:rsidP="00A1733C">
            <w:pPr>
              <w:spacing w:after="0" w:line="240" w:lineRule="auto"/>
              <w:jc w:val="right"/>
              <w:rPr>
                <w:rFonts w:ascii="Arial" w:hAnsi="Arial" w:cs="Arial"/>
                <w:b/>
                <w:bCs/>
                <w:color w:val="000000"/>
                <w:sz w:val="16"/>
                <w:szCs w:val="16"/>
              </w:rPr>
            </w:pPr>
            <w:r>
              <w:rPr>
                <w:rFonts w:ascii="Arial" w:hAnsi="Arial" w:cs="Arial"/>
                <w:b/>
                <w:bCs/>
                <w:color w:val="000000"/>
                <w:sz w:val="16"/>
                <w:szCs w:val="16"/>
              </w:rPr>
              <w:t>205,356</w:t>
            </w:r>
          </w:p>
        </w:tc>
        <w:tc>
          <w:tcPr>
            <w:tcW w:w="574" w:type="pct"/>
            <w:tcBorders>
              <w:top w:val="nil"/>
              <w:left w:val="nil"/>
              <w:bottom w:val="single" w:sz="4" w:space="0" w:color="000000"/>
              <w:right w:val="nil"/>
            </w:tcBorders>
            <w:shd w:val="clear" w:color="000000" w:fill="E6E6E6"/>
            <w:noWrap/>
            <w:vAlign w:val="bottom"/>
            <w:hideMark/>
          </w:tcPr>
          <w:p w14:paraId="04453E00" w14:textId="3989EAE0" w:rsidR="00A1733C" w:rsidRPr="002F1937" w:rsidRDefault="00A1733C" w:rsidP="00A1733C">
            <w:pPr>
              <w:spacing w:after="0" w:line="240" w:lineRule="auto"/>
              <w:jc w:val="right"/>
              <w:rPr>
                <w:rFonts w:ascii="Arial" w:hAnsi="Arial" w:cs="Arial"/>
                <w:b/>
                <w:bCs/>
                <w:color w:val="000000"/>
                <w:sz w:val="16"/>
                <w:szCs w:val="16"/>
              </w:rPr>
            </w:pPr>
            <w:r>
              <w:rPr>
                <w:rFonts w:ascii="Arial" w:hAnsi="Arial" w:cs="Arial"/>
                <w:b/>
                <w:bCs/>
                <w:color w:val="000000"/>
                <w:sz w:val="16"/>
                <w:szCs w:val="16"/>
              </w:rPr>
              <w:t>210,518</w:t>
            </w:r>
          </w:p>
        </w:tc>
        <w:tc>
          <w:tcPr>
            <w:tcW w:w="574" w:type="pct"/>
            <w:tcBorders>
              <w:top w:val="nil"/>
              <w:left w:val="nil"/>
              <w:bottom w:val="single" w:sz="4" w:space="0" w:color="000000"/>
              <w:right w:val="nil"/>
            </w:tcBorders>
            <w:shd w:val="clear" w:color="auto" w:fill="auto"/>
            <w:noWrap/>
            <w:vAlign w:val="bottom"/>
            <w:hideMark/>
          </w:tcPr>
          <w:p w14:paraId="6F68344E" w14:textId="7B0463B2" w:rsidR="00A1733C" w:rsidRPr="002F1937" w:rsidRDefault="00A1733C" w:rsidP="00A1733C">
            <w:pPr>
              <w:spacing w:after="0" w:line="240" w:lineRule="auto"/>
              <w:jc w:val="right"/>
              <w:rPr>
                <w:rFonts w:ascii="Arial" w:hAnsi="Arial" w:cs="Arial"/>
                <w:b/>
                <w:bCs/>
                <w:color w:val="000000"/>
                <w:sz w:val="16"/>
                <w:szCs w:val="16"/>
              </w:rPr>
            </w:pPr>
            <w:r>
              <w:rPr>
                <w:rFonts w:ascii="Arial" w:hAnsi="Arial" w:cs="Arial"/>
                <w:b/>
                <w:bCs/>
                <w:color w:val="000000"/>
                <w:sz w:val="16"/>
                <w:szCs w:val="16"/>
              </w:rPr>
              <w:t>206,200</w:t>
            </w:r>
          </w:p>
        </w:tc>
        <w:tc>
          <w:tcPr>
            <w:tcW w:w="574" w:type="pct"/>
            <w:tcBorders>
              <w:top w:val="nil"/>
              <w:left w:val="nil"/>
              <w:bottom w:val="single" w:sz="4" w:space="0" w:color="000000"/>
              <w:right w:val="nil"/>
            </w:tcBorders>
            <w:shd w:val="clear" w:color="auto" w:fill="auto"/>
            <w:noWrap/>
            <w:vAlign w:val="bottom"/>
            <w:hideMark/>
          </w:tcPr>
          <w:p w14:paraId="0BAB77EB" w14:textId="72719913" w:rsidR="00A1733C" w:rsidRPr="002F1937" w:rsidRDefault="00A1733C" w:rsidP="00A1733C">
            <w:pPr>
              <w:spacing w:after="0" w:line="240" w:lineRule="auto"/>
              <w:jc w:val="right"/>
              <w:rPr>
                <w:rFonts w:ascii="Arial" w:hAnsi="Arial" w:cs="Arial"/>
                <w:b/>
                <w:bCs/>
                <w:color w:val="000000"/>
                <w:sz w:val="16"/>
                <w:szCs w:val="16"/>
              </w:rPr>
            </w:pPr>
            <w:r>
              <w:rPr>
                <w:rFonts w:ascii="Arial" w:hAnsi="Arial" w:cs="Arial"/>
                <w:b/>
                <w:bCs/>
                <w:color w:val="000000"/>
                <w:sz w:val="16"/>
                <w:szCs w:val="16"/>
              </w:rPr>
              <w:t>201,071</w:t>
            </w:r>
          </w:p>
        </w:tc>
        <w:tc>
          <w:tcPr>
            <w:tcW w:w="573" w:type="pct"/>
            <w:tcBorders>
              <w:top w:val="nil"/>
              <w:left w:val="nil"/>
              <w:bottom w:val="single" w:sz="4" w:space="0" w:color="000000"/>
              <w:right w:val="nil"/>
            </w:tcBorders>
            <w:shd w:val="clear" w:color="auto" w:fill="auto"/>
            <w:noWrap/>
            <w:vAlign w:val="bottom"/>
            <w:hideMark/>
          </w:tcPr>
          <w:p w14:paraId="4C243548" w14:textId="0B0A6006" w:rsidR="00A1733C" w:rsidRPr="002F1937" w:rsidRDefault="00A1733C" w:rsidP="00A1733C">
            <w:pPr>
              <w:spacing w:after="0" w:line="240" w:lineRule="auto"/>
              <w:jc w:val="right"/>
              <w:rPr>
                <w:rFonts w:ascii="Arial" w:hAnsi="Arial" w:cs="Arial"/>
                <w:b/>
                <w:bCs/>
                <w:color w:val="000000"/>
                <w:sz w:val="16"/>
                <w:szCs w:val="16"/>
              </w:rPr>
            </w:pPr>
            <w:r>
              <w:rPr>
                <w:rFonts w:ascii="Arial" w:hAnsi="Arial" w:cs="Arial"/>
                <w:b/>
                <w:bCs/>
                <w:color w:val="000000"/>
                <w:sz w:val="16"/>
                <w:szCs w:val="16"/>
              </w:rPr>
              <w:t>192,330</w:t>
            </w:r>
          </w:p>
        </w:tc>
      </w:tr>
    </w:tbl>
    <w:p w14:paraId="24B85897" w14:textId="77777777" w:rsidR="00EB7700" w:rsidRDefault="00115843" w:rsidP="003D12A2">
      <w:pPr>
        <w:spacing w:before="60" w:after="0" w:line="240" w:lineRule="auto"/>
        <w:rPr>
          <w:rFonts w:ascii="Arial" w:hAnsi="Arial" w:cs="Arial"/>
          <w:sz w:val="16"/>
        </w:rPr>
      </w:pPr>
      <w:r w:rsidRPr="00E84E69">
        <w:rPr>
          <w:rFonts w:ascii="Arial" w:hAnsi="Arial" w:cs="Arial"/>
          <w:sz w:val="16"/>
        </w:rPr>
        <w:t>Prepared on Australian Accounting Standards basis.</w:t>
      </w:r>
    </w:p>
    <w:p w14:paraId="6B6F85AB" w14:textId="77777777" w:rsidR="00EB7700" w:rsidRPr="00EE6EE6" w:rsidRDefault="00EB7700" w:rsidP="00EB7700">
      <w:pPr>
        <w:spacing w:after="0" w:line="240" w:lineRule="auto"/>
        <w:rPr>
          <w:rFonts w:ascii="Arial" w:hAnsi="Arial" w:cs="Arial"/>
          <w:sz w:val="16"/>
          <w:szCs w:val="16"/>
        </w:rPr>
      </w:pPr>
      <w:r w:rsidRPr="00EE6EE6">
        <w:rPr>
          <w:rFonts w:ascii="Arial" w:hAnsi="Arial" w:cs="Arial"/>
          <w:sz w:val="16"/>
          <w:szCs w:val="16"/>
        </w:rPr>
        <w:t>Table has been prepared inclusive of 2022-23 Additional Estimates figures.</w:t>
      </w:r>
    </w:p>
    <w:p w14:paraId="6C51D9B9" w14:textId="2E26E1FC" w:rsidR="00115843" w:rsidRPr="003D12A2" w:rsidRDefault="00115843" w:rsidP="003D12A2">
      <w:pPr>
        <w:spacing w:before="60" w:after="0" w:line="240" w:lineRule="auto"/>
        <w:rPr>
          <w:rStyle w:val="TableHeadingChar"/>
        </w:rPr>
      </w:pPr>
      <w:r>
        <w:br w:type="page"/>
      </w:r>
      <w:r w:rsidRPr="003D12A2">
        <w:rPr>
          <w:rStyle w:val="TableHeadingChar"/>
        </w:rPr>
        <w:lastRenderedPageBreak/>
        <w:t>Table 3.3: Departmental statement of changes in equity — summary of movement (Budget year 202</w:t>
      </w:r>
      <w:r w:rsidR="00C6640B">
        <w:rPr>
          <w:rStyle w:val="TableHeadingChar"/>
          <w:lang w:val="en-US"/>
        </w:rPr>
        <w:t>3</w:t>
      </w:r>
      <w:r w:rsidRPr="003D12A2">
        <w:rPr>
          <w:rStyle w:val="TableHeadingChar"/>
        </w:rPr>
        <w:t>-2</w:t>
      </w:r>
      <w:r w:rsidR="00C6640B">
        <w:rPr>
          <w:rStyle w:val="TableHeadingChar"/>
          <w:lang w:val="en-US"/>
        </w:rPr>
        <w:t>4</w:t>
      </w:r>
      <w:r w:rsidRPr="003D12A2">
        <w:rPr>
          <w:rStyle w:val="TableHeadingChar"/>
        </w:rPr>
        <w:t>)</w:t>
      </w:r>
    </w:p>
    <w:tbl>
      <w:tblPr>
        <w:tblW w:w="5000" w:type="pct"/>
        <w:tblLook w:val="04A0" w:firstRow="1" w:lastRow="0" w:firstColumn="1" w:lastColumn="0" w:noHBand="0" w:noVBand="1"/>
      </w:tblPr>
      <w:tblGrid>
        <w:gridCol w:w="3491"/>
        <w:gridCol w:w="973"/>
        <w:gridCol w:w="1112"/>
        <w:gridCol w:w="1161"/>
        <w:gridCol w:w="973"/>
      </w:tblGrid>
      <w:tr w:rsidR="00276BCE" w:rsidRPr="00276BCE" w14:paraId="4D442634" w14:textId="77777777" w:rsidTr="00276BCE">
        <w:trPr>
          <w:trHeight w:val="204"/>
        </w:trPr>
        <w:tc>
          <w:tcPr>
            <w:tcW w:w="2263" w:type="pct"/>
            <w:tcBorders>
              <w:top w:val="single" w:sz="4" w:space="0" w:color="auto"/>
              <w:left w:val="nil"/>
              <w:bottom w:val="nil"/>
              <w:right w:val="nil"/>
            </w:tcBorders>
            <w:shd w:val="clear" w:color="auto" w:fill="auto"/>
            <w:noWrap/>
            <w:vAlign w:val="bottom"/>
            <w:hideMark/>
          </w:tcPr>
          <w:p w14:paraId="413BD4F8" w14:textId="77777777" w:rsidR="00276BCE" w:rsidRPr="00276BCE" w:rsidRDefault="00276BCE" w:rsidP="00276BCE">
            <w:pPr>
              <w:spacing w:after="0" w:line="240" w:lineRule="auto"/>
              <w:jc w:val="right"/>
              <w:rPr>
                <w:rFonts w:ascii="Arial" w:hAnsi="Arial" w:cs="Arial"/>
                <w:color w:val="000000"/>
                <w:sz w:val="16"/>
                <w:szCs w:val="16"/>
              </w:rPr>
            </w:pPr>
            <w:r w:rsidRPr="00276BCE">
              <w:rPr>
                <w:rFonts w:ascii="Arial" w:hAnsi="Arial" w:cs="Arial"/>
                <w:color w:val="000000"/>
                <w:sz w:val="16"/>
                <w:szCs w:val="16"/>
              </w:rPr>
              <w:t> </w:t>
            </w:r>
          </w:p>
        </w:tc>
        <w:tc>
          <w:tcPr>
            <w:tcW w:w="631" w:type="pct"/>
            <w:tcBorders>
              <w:top w:val="single" w:sz="4" w:space="0" w:color="auto"/>
              <w:left w:val="nil"/>
              <w:bottom w:val="single" w:sz="4" w:space="0" w:color="000000"/>
              <w:right w:val="nil"/>
            </w:tcBorders>
            <w:shd w:val="clear" w:color="auto" w:fill="auto"/>
            <w:vAlign w:val="bottom"/>
            <w:hideMark/>
          </w:tcPr>
          <w:p w14:paraId="2F65F833" w14:textId="77777777" w:rsidR="00276BCE" w:rsidRPr="00276BCE" w:rsidRDefault="00276BCE" w:rsidP="00276BCE">
            <w:pPr>
              <w:spacing w:after="0" w:line="240" w:lineRule="auto"/>
              <w:jc w:val="right"/>
              <w:rPr>
                <w:rFonts w:ascii="Arial" w:hAnsi="Arial" w:cs="Arial"/>
                <w:color w:val="000000"/>
                <w:sz w:val="16"/>
                <w:szCs w:val="16"/>
              </w:rPr>
            </w:pPr>
            <w:r w:rsidRPr="00276BCE">
              <w:rPr>
                <w:rFonts w:ascii="Arial" w:hAnsi="Arial" w:cs="Arial"/>
                <w:color w:val="000000"/>
                <w:sz w:val="16"/>
                <w:szCs w:val="16"/>
              </w:rPr>
              <w:t>Retained</w:t>
            </w:r>
            <w:r w:rsidRPr="00276BCE">
              <w:rPr>
                <w:rFonts w:ascii="Arial" w:hAnsi="Arial" w:cs="Arial"/>
                <w:color w:val="000000"/>
                <w:sz w:val="16"/>
                <w:szCs w:val="16"/>
              </w:rPr>
              <w:br/>
              <w:t>earnings</w:t>
            </w:r>
            <w:r w:rsidRPr="00276BCE">
              <w:rPr>
                <w:rFonts w:ascii="Arial" w:hAnsi="Arial" w:cs="Arial"/>
                <w:color w:val="000000"/>
                <w:sz w:val="16"/>
                <w:szCs w:val="16"/>
              </w:rPr>
              <w:br/>
            </w:r>
            <w:r w:rsidRPr="00276BCE">
              <w:rPr>
                <w:rFonts w:ascii="Arial" w:hAnsi="Arial" w:cs="Arial"/>
                <w:color w:val="000000"/>
                <w:sz w:val="16"/>
                <w:szCs w:val="16"/>
              </w:rPr>
              <w:br/>
              <w:t>$'000</w:t>
            </w:r>
          </w:p>
        </w:tc>
        <w:tc>
          <w:tcPr>
            <w:tcW w:w="721" w:type="pct"/>
            <w:tcBorders>
              <w:top w:val="single" w:sz="4" w:space="0" w:color="auto"/>
              <w:left w:val="nil"/>
              <w:bottom w:val="single" w:sz="4" w:space="0" w:color="000000"/>
              <w:right w:val="nil"/>
            </w:tcBorders>
            <w:shd w:val="clear" w:color="auto" w:fill="auto"/>
            <w:vAlign w:val="bottom"/>
            <w:hideMark/>
          </w:tcPr>
          <w:p w14:paraId="75EF88A7" w14:textId="77777777" w:rsidR="00276BCE" w:rsidRPr="00276BCE" w:rsidRDefault="00276BCE" w:rsidP="00276BCE">
            <w:pPr>
              <w:spacing w:after="0" w:line="240" w:lineRule="auto"/>
              <w:jc w:val="right"/>
              <w:rPr>
                <w:rFonts w:ascii="Arial" w:hAnsi="Arial" w:cs="Arial"/>
                <w:color w:val="000000"/>
                <w:sz w:val="16"/>
                <w:szCs w:val="16"/>
              </w:rPr>
            </w:pPr>
            <w:r w:rsidRPr="00276BCE">
              <w:rPr>
                <w:rFonts w:ascii="Arial" w:hAnsi="Arial" w:cs="Arial"/>
                <w:color w:val="000000"/>
                <w:sz w:val="16"/>
                <w:szCs w:val="16"/>
              </w:rPr>
              <w:t>Asset</w:t>
            </w:r>
            <w:r w:rsidRPr="00276BCE">
              <w:rPr>
                <w:rFonts w:ascii="Arial" w:hAnsi="Arial" w:cs="Arial"/>
                <w:color w:val="000000"/>
                <w:sz w:val="16"/>
                <w:szCs w:val="16"/>
              </w:rPr>
              <w:br/>
              <w:t>revaluation</w:t>
            </w:r>
            <w:r w:rsidRPr="00276BCE">
              <w:rPr>
                <w:rFonts w:ascii="Arial" w:hAnsi="Arial" w:cs="Arial"/>
                <w:color w:val="000000"/>
                <w:sz w:val="16"/>
                <w:szCs w:val="16"/>
              </w:rPr>
              <w:br/>
              <w:t>reserve</w:t>
            </w:r>
            <w:r w:rsidRPr="00276BCE">
              <w:rPr>
                <w:rFonts w:ascii="Arial" w:hAnsi="Arial" w:cs="Arial"/>
                <w:color w:val="000000"/>
                <w:sz w:val="16"/>
                <w:szCs w:val="16"/>
              </w:rPr>
              <w:br/>
              <w:t>$'000</w:t>
            </w:r>
          </w:p>
        </w:tc>
        <w:tc>
          <w:tcPr>
            <w:tcW w:w="753" w:type="pct"/>
            <w:tcBorders>
              <w:top w:val="single" w:sz="4" w:space="0" w:color="auto"/>
              <w:left w:val="nil"/>
              <w:bottom w:val="single" w:sz="4" w:space="0" w:color="000000"/>
              <w:right w:val="nil"/>
            </w:tcBorders>
            <w:shd w:val="clear" w:color="auto" w:fill="auto"/>
            <w:vAlign w:val="bottom"/>
            <w:hideMark/>
          </w:tcPr>
          <w:p w14:paraId="015A5D7E" w14:textId="77777777" w:rsidR="00276BCE" w:rsidRPr="00276BCE" w:rsidRDefault="00276BCE" w:rsidP="00276BCE">
            <w:pPr>
              <w:spacing w:after="0" w:line="240" w:lineRule="auto"/>
              <w:jc w:val="right"/>
              <w:rPr>
                <w:rFonts w:ascii="Arial" w:hAnsi="Arial" w:cs="Arial"/>
                <w:color w:val="000000"/>
                <w:sz w:val="16"/>
                <w:szCs w:val="16"/>
              </w:rPr>
            </w:pPr>
            <w:r w:rsidRPr="00276BCE">
              <w:rPr>
                <w:rFonts w:ascii="Arial" w:hAnsi="Arial" w:cs="Arial"/>
                <w:color w:val="000000"/>
                <w:sz w:val="16"/>
                <w:szCs w:val="16"/>
              </w:rPr>
              <w:t>Contributed</w:t>
            </w:r>
            <w:r w:rsidRPr="00276BCE">
              <w:rPr>
                <w:rFonts w:ascii="Arial" w:hAnsi="Arial" w:cs="Arial"/>
                <w:color w:val="000000"/>
                <w:sz w:val="16"/>
                <w:szCs w:val="16"/>
              </w:rPr>
              <w:br/>
              <w:t>equity/</w:t>
            </w:r>
            <w:r w:rsidRPr="00276BCE">
              <w:rPr>
                <w:rFonts w:ascii="Arial" w:hAnsi="Arial" w:cs="Arial"/>
                <w:color w:val="000000"/>
                <w:sz w:val="16"/>
                <w:szCs w:val="16"/>
              </w:rPr>
              <w:br/>
              <w:t>capital</w:t>
            </w:r>
            <w:r w:rsidRPr="00276BCE">
              <w:rPr>
                <w:rFonts w:ascii="Arial" w:hAnsi="Arial" w:cs="Arial"/>
                <w:color w:val="000000"/>
                <w:sz w:val="16"/>
                <w:szCs w:val="16"/>
              </w:rPr>
              <w:br/>
              <w:t>$'000</w:t>
            </w:r>
          </w:p>
        </w:tc>
        <w:tc>
          <w:tcPr>
            <w:tcW w:w="631" w:type="pct"/>
            <w:tcBorders>
              <w:top w:val="single" w:sz="4" w:space="0" w:color="auto"/>
              <w:left w:val="nil"/>
              <w:bottom w:val="single" w:sz="4" w:space="0" w:color="000000"/>
              <w:right w:val="nil"/>
            </w:tcBorders>
            <w:shd w:val="clear" w:color="auto" w:fill="auto"/>
            <w:vAlign w:val="bottom"/>
            <w:hideMark/>
          </w:tcPr>
          <w:p w14:paraId="02C150C4" w14:textId="77777777" w:rsidR="00276BCE" w:rsidRPr="00276BCE" w:rsidRDefault="00276BCE" w:rsidP="00276BCE">
            <w:pPr>
              <w:spacing w:after="0" w:line="240" w:lineRule="auto"/>
              <w:jc w:val="right"/>
              <w:rPr>
                <w:rFonts w:ascii="Arial" w:hAnsi="Arial" w:cs="Arial"/>
                <w:color w:val="000000"/>
                <w:sz w:val="16"/>
                <w:szCs w:val="16"/>
              </w:rPr>
            </w:pPr>
            <w:r w:rsidRPr="00276BCE">
              <w:rPr>
                <w:rFonts w:ascii="Arial" w:hAnsi="Arial" w:cs="Arial"/>
                <w:color w:val="000000"/>
                <w:sz w:val="16"/>
                <w:szCs w:val="16"/>
              </w:rPr>
              <w:t>Total</w:t>
            </w:r>
            <w:r w:rsidRPr="00276BCE">
              <w:rPr>
                <w:rFonts w:ascii="Arial" w:hAnsi="Arial" w:cs="Arial"/>
                <w:color w:val="000000"/>
                <w:sz w:val="16"/>
                <w:szCs w:val="16"/>
              </w:rPr>
              <w:br/>
              <w:t xml:space="preserve">equity </w:t>
            </w:r>
            <w:r w:rsidRPr="00276BCE">
              <w:rPr>
                <w:rFonts w:ascii="Arial" w:hAnsi="Arial" w:cs="Arial"/>
                <w:color w:val="000000"/>
                <w:sz w:val="16"/>
                <w:szCs w:val="16"/>
              </w:rPr>
              <w:br/>
            </w:r>
            <w:r w:rsidRPr="00276BCE">
              <w:rPr>
                <w:rFonts w:ascii="Arial" w:hAnsi="Arial" w:cs="Arial"/>
                <w:color w:val="000000"/>
                <w:sz w:val="16"/>
                <w:szCs w:val="16"/>
              </w:rPr>
              <w:br/>
              <w:t>$'000</w:t>
            </w:r>
          </w:p>
        </w:tc>
      </w:tr>
      <w:tr w:rsidR="00276BCE" w:rsidRPr="00276BCE" w14:paraId="529C560A" w14:textId="77777777" w:rsidTr="00276BCE">
        <w:trPr>
          <w:trHeight w:val="204"/>
        </w:trPr>
        <w:tc>
          <w:tcPr>
            <w:tcW w:w="2263" w:type="pct"/>
            <w:tcBorders>
              <w:top w:val="nil"/>
              <w:left w:val="nil"/>
              <w:bottom w:val="nil"/>
              <w:right w:val="nil"/>
            </w:tcBorders>
            <w:shd w:val="clear" w:color="auto" w:fill="auto"/>
            <w:vAlign w:val="bottom"/>
            <w:hideMark/>
          </w:tcPr>
          <w:p w14:paraId="4A7A644E" w14:textId="77777777" w:rsidR="00276BCE" w:rsidRPr="00276BCE" w:rsidRDefault="00276BCE" w:rsidP="00276BCE">
            <w:pPr>
              <w:spacing w:after="0" w:line="240" w:lineRule="auto"/>
              <w:rPr>
                <w:rFonts w:ascii="Arial" w:hAnsi="Arial" w:cs="Arial"/>
                <w:b/>
                <w:bCs/>
                <w:color w:val="000000"/>
                <w:sz w:val="16"/>
                <w:szCs w:val="16"/>
              </w:rPr>
            </w:pPr>
            <w:r w:rsidRPr="00276BCE">
              <w:rPr>
                <w:rFonts w:ascii="Arial" w:hAnsi="Arial" w:cs="Arial"/>
                <w:b/>
                <w:bCs/>
                <w:color w:val="000000"/>
                <w:sz w:val="16"/>
                <w:szCs w:val="16"/>
              </w:rPr>
              <w:t>Opening balance as at 1 July 2022</w:t>
            </w:r>
          </w:p>
        </w:tc>
        <w:tc>
          <w:tcPr>
            <w:tcW w:w="631" w:type="pct"/>
            <w:tcBorders>
              <w:top w:val="nil"/>
              <w:left w:val="nil"/>
              <w:bottom w:val="nil"/>
              <w:right w:val="nil"/>
            </w:tcBorders>
            <w:shd w:val="clear" w:color="auto" w:fill="auto"/>
            <w:noWrap/>
            <w:vAlign w:val="bottom"/>
            <w:hideMark/>
          </w:tcPr>
          <w:p w14:paraId="5466D389" w14:textId="77777777" w:rsidR="00276BCE" w:rsidRPr="00276BCE" w:rsidRDefault="00276BCE" w:rsidP="00276BCE">
            <w:pPr>
              <w:spacing w:after="0" w:line="240" w:lineRule="auto"/>
              <w:jc w:val="right"/>
              <w:rPr>
                <w:rFonts w:ascii="Arial" w:hAnsi="Arial" w:cs="Arial"/>
                <w:b/>
                <w:bCs/>
                <w:color w:val="000000"/>
                <w:sz w:val="16"/>
                <w:szCs w:val="16"/>
              </w:rPr>
            </w:pPr>
          </w:p>
        </w:tc>
        <w:tc>
          <w:tcPr>
            <w:tcW w:w="721" w:type="pct"/>
            <w:tcBorders>
              <w:top w:val="nil"/>
              <w:left w:val="nil"/>
              <w:bottom w:val="nil"/>
              <w:right w:val="nil"/>
            </w:tcBorders>
            <w:shd w:val="clear" w:color="auto" w:fill="auto"/>
            <w:noWrap/>
            <w:vAlign w:val="bottom"/>
            <w:hideMark/>
          </w:tcPr>
          <w:p w14:paraId="07CE0863" w14:textId="77777777" w:rsidR="00276BCE" w:rsidRPr="00276BCE" w:rsidRDefault="00276BCE" w:rsidP="00276BCE">
            <w:pPr>
              <w:spacing w:after="0" w:line="240" w:lineRule="auto"/>
              <w:jc w:val="right"/>
              <w:rPr>
                <w:rFonts w:ascii="Times New Roman" w:hAnsi="Times New Roman"/>
              </w:rPr>
            </w:pPr>
          </w:p>
        </w:tc>
        <w:tc>
          <w:tcPr>
            <w:tcW w:w="753" w:type="pct"/>
            <w:tcBorders>
              <w:top w:val="nil"/>
              <w:left w:val="nil"/>
              <w:bottom w:val="nil"/>
              <w:right w:val="nil"/>
            </w:tcBorders>
            <w:shd w:val="clear" w:color="auto" w:fill="auto"/>
            <w:noWrap/>
            <w:vAlign w:val="bottom"/>
            <w:hideMark/>
          </w:tcPr>
          <w:p w14:paraId="06247ABC" w14:textId="77777777" w:rsidR="00276BCE" w:rsidRPr="00276BCE" w:rsidRDefault="00276BCE" w:rsidP="00276BCE">
            <w:pPr>
              <w:spacing w:after="0" w:line="240" w:lineRule="auto"/>
              <w:jc w:val="right"/>
              <w:rPr>
                <w:rFonts w:ascii="Times New Roman" w:hAnsi="Times New Roman"/>
              </w:rPr>
            </w:pPr>
          </w:p>
        </w:tc>
        <w:tc>
          <w:tcPr>
            <w:tcW w:w="631" w:type="pct"/>
            <w:tcBorders>
              <w:top w:val="nil"/>
              <w:left w:val="nil"/>
              <w:bottom w:val="nil"/>
              <w:right w:val="nil"/>
            </w:tcBorders>
            <w:shd w:val="clear" w:color="auto" w:fill="auto"/>
            <w:noWrap/>
            <w:vAlign w:val="bottom"/>
            <w:hideMark/>
          </w:tcPr>
          <w:p w14:paraId="40853DB0" w14:textId="77777777" w:rsidR="00276BCE" w:rsidRPr="00276BCE" w:rsidRDefault="00276BCE" w:rsidP="00276BCE">
            <w:pPr>
              <w:spacing w:after="0" w:line="240" w:lineRule="auto"/>
              <w:jc w:val="right"/>
              <w:rPr>
                <w:rFonts w:ascii="Times New Roman" w:hAnsi="Times New Roman"/>
              </w:rPr>
            </w:pPr>
          </w:p>
        </w:tc>
      </w:tr>
      <w:tr w:rsidR="00276BCE" w:rsidRPr="00276BCE" w14:paraId="7A683BCA" w14:textId="77777777" w:rsidTr="00276BCE">
        <w:trPr>
          <w:trHeight w:val="204"/>
        </w:trPr>
        <w:tc>
          <w:tcPr>
            <w:tcW w:w="2263" w:type="pct"/>
            <w:tcBorders>
              <w:top w:val="nil"/>
              <w:left w:val="nil"/>
              <w:bottom w:val="nil"/>
              <w:right w:val="nil"/>
            </w:tcBorders>
            <w:shd w:val="clear" w:color="auto" w:fill="auto"/>
            <w:vAlign w:val="bottom"/>
            <w:hideMark/>
          </w:tcPr>
          <w:p w14:paraId="529D93F3" w14:textId="2C5900CF" w:rsidR="00276BCE" w:rsidRPr="00276BCE" w:rsidRDefault="00276BCE" w:rsidP="00276BCE">
            <w:pPr>
              <w:spacing w:after="0" w:line="240" w:lineRule="auto"/>
              <w:ind w:left="113"/>
              <w:rPr>
                <w:rFonts w:ascii="Arial" w:hAnsi="Arial" w:cs="Arial"/>
                <w:color w:val="000000"/>
                <w:sz w:val="16"/>
                <w:szCs w:val="16"/>
              </w:rPr>
            </w:pPr>
            <w:r w:rsidRPr="00276BCE">
              <w:rPr>
                <w:rFonts w:ascii="Arial" w:hAnsi="Arial" w:cs="Arial"/>
                <w:color w:val="000000"/>
                <w:sz w:val="16"/>
                <w:szCs w:val="16"/>
              </w:rPr>
              <w:t>Balance carried forward from previous period</w:t>
            </w:r>
          </w:p>
        </w:tc>
        <w:tc>
          <w:tcPr>
            <w:tcW w:w="631" w:type="pct"/>
            <w:tcBorders>
              <w:top w:val="nil"/>
              <w:left w:val="nil"/>
              <w:bottom w:val="nil"/>
              <w:right w:val="nil"/>
            </w:tcBorders>
            <w:shd w:val="clear" w:color="auto" w:fill="auto"/>
            <w:noWrap/>
            <w:vAlign w:val="bottom"/>
            <w:hideMark/>
          </w:tcPr>
          <w:p w14:paraId="0241B4B6" w14:textId="2BDE64FE" w:rsidR="00276BCE" w:rsidRPr="00276BCE" w:rsidRDefault="00276BCE" w:rsidP="00276BCE">
            <w:pPr>
              <w:spacing w:after="0" w:line="240" w:lineRule="auto"/>
              <w:jc w:val="right"/>
              <w:rPr>
                <w:rFonts w:ascii="Arial" w:hAnsi="Arial" w:cs="Arial"/>
                <w:color w:val="000000"/>
                <w:sz w:val="16"/>
                <w:szCs w:val="16"/>
              </w:rPr>
            </w:pPr>
            <w:r w:rsidRPr="00276BCE">
              <w:rPr>
                <w:rFonts w:ascii="Arial" w:hAnsi="Arial" w:cs="Arial"/>
                <w:color w:val="000000"/>
                <w:sz w:val="16"/>
                <w:szCs w:val="16"/>
              </w:rPr>
              <w:t>113,488</w:t>
            </w:r>
          </w:p>
        </w:tc>
        <w:tc>
          <w:tcPr>
            <w:tcW w:w="721" w:type="pct"/>
            <w:tcBorders>
              <w:top w:val="nil"/>
              <w:left w:val="nil"/>
              <w:bottom w:val="nil"/>
              <w:right w:val="nil"/>
            </w:tcBorders>
            <w:shd w:val="clear" w:color="auto" w:fill="auto"/>
            <w:noWrap/>
            <w:vAlign w:val="bottom"/>
            <w:hideMark/>
          </w:tcPr>
          <w:p w14:paraId="2DBE5F05" w14:textId="0DD52863" w:rsidR="00276BCE" w:rsidRPr="00276BCE" w:rsidRDefault="00276BCE" w:rsidP="00276BCE">
            <w:pPr>
              <w:spacing w:after="0" w:line="240" w:lineRule="auto"/>
              <w:jc w:val="right"/>
              <w:rPr>
                <w:rFonts w:ascii="Arial" w:hAnsi="Arial" w:cs="Arial"/>
                <w:color w:val="000000"/>
                <w:sz w:val="16"/>
                <w:szCs w:val="16"/>
              </w:rPr>
            </w:pPr>
            <w:r w:rsidRPr="00276BCE">
              <w:rPr>
                <w:rFonts w:ascii="Arial" w:hAnsi="Arial" w:cs="Arial"/>
                <w:color w:val="000000"/>
                <w:sz w:val="16"/>
                <w:szCs w:val="16"/>
              </w:rPr>
              <w:t>46,607</w:t>
            </w:r>
          </w:p>
        </w:tc>
        <w:tc>
          <w:tcPr>
            <w:tcW w:w="753" w:type="pct"/>
            <w:tcBorders>
              <w:top w:val="nil"/>
              <w:left w:val="nil"/>
              <w:bottom w:val="nil"/>
              <w:right w:val="nil"/>
            </w:tcBorders>
            <w:shd w:val="clear" w:color="auto" w:fill="auto"/>
            <w:noWrap/>
            <w:vAlign w:val="bottom"/>
            <w:hideMark/>
          </w:tcPr>
          <w:p w14:paraId="7B4FFF6F" w14:textId="457B15B6" w:rsidR="00276BCE" w:rsidRPr="00276BCE" w:rsidRDefault="00276BCE" w:rsidP="00276BCE">
            <w:pPr>
              <w:spacing w:after="0" w:line="240" w:lineRule="auto"/>
              <w:jc w:val="right"/>
              <w:rPr>
                <w:rFonts w:ascii="Arial" w:hAnsi="Arial" w:cs="Arial"/>
                <w:color w:val="000000"/>
                <w:sz w:val="16"/>
                <w:szCs w:val="16"/>
              </w:rPr>
            </w:pPr>
            <w:r w:rsidRPr="00276BCE">
              <w:rPr>
                <w:rFonts w:ascii="Arial" w:hAnsi="Arial" w:cs="Arial"/>
                <w:color w:val="000000"/>
                <w:sz w:val="16"/>
                <w:szCs w:val="16"/>
              </w:rPr>
              <w:t>45,261</w:t>
            </w:r>
          </w:p>
        </w:tc>
        <w:tc>
          <w:tcPr>
            <w:tcW w:w="631" w:type="pct"/>
            <w:tcBorders>
              <w:top w:val="nil"/>
              <w:left w:val="nil"/>
              <w:bottom w:val="nil"/>
              <w:right w:val="nil"/>
            </w:tcBorders>
            <w:shd w:val="clear" w:color="auto" w:fill="auto"/>
            <w:noWrap/>
            <w:vAlign w:val="bottom"/>
            <w:hideMark/>
          </w:tcPr>
          <w:p w14:paraId="47073425" w14:textId="1DFCC65A" w:rsidR="00276BCE" w:rsidRPr="00276BCE" w:rsidRDefault="00276BCE" w:rsidP="00276BCE">
            <w:pPr>
              <w:spacing w:after="0" w:line="240" w:lineRule="auto"/>
              <w:jc w:val="right"/>
              <w:rPr>
                <w:rFonts w:ascii="Arial" w:hAnsi="Arial" w:cs="Arial"/>
                <w:color w:val="000000"/>
                <w:sz w:val="16"/>
                <w:szCs w:val="16"/>
              </w:rPr>
            </w:pPr>
            <w:r w:rsidRPr="00276BCE">
              <w:rPr>
                <w:rFonts w:ascii="Arial" w:hAnsi="Arial" w:cs="Arial"/>
                <w:color w:val="000000"/>
                <w:sz w:val="16"/>
                <w:szCs w:val="16"/>
              </w:rPr>
              <w:t>205,356</w:t>
            </w:r>
          </w:p>
        </w:tc>
      </w:tr>
      <w:tr w:rsidR="00276BCE" w:rsidRPr="00276BCE" w14:paraId="2D2C16FF" w14:textId="77777777" w:rsidTr="00276BCE">
        <w:trPr>
          <w:trHeight w:val="204"/>
        </w:trPr>
        <w:tc>
          <w:tcPr>
            <w:tcW w:w="2263" w:type="pct"/>
            <w:tcBorders>
              <w:top w:val="nil"/>
              <w:left w:val="nil"/>
              <w:bottom w:val="nil"/>
              <w:right w:val="nil"/>
            </w:tcBorders>
            <w:shd w:val="clear" w:color="auto" w:fill="auto"/>
            <w:vAlign w:val="bottom"/>
            <w:hideMark/>
          </w:tcPr>
          <w:p w14:paraId="0BCAB81C" w14:textId="77777777" w:rsidR="00276BCE" w:rsidRPr="00276BCE" w:rsidRDefault="00276BCE" w:rsidP="00276BCE">
            <w:pPr>
              <w:spacing w:after="0" w:line="240" w:lineRule="auto"/>
              <w:rPr>
                <w:rFonts w:ascii="Arial" w:hAnsi="Arial" w:cs="Arial"/>
                <w:b/>
                <w:bCs/>
                <w:i/>
                <w:iCs/>
                <w:color w:val="000000"/>
                <w:sz w:val="16"/>
                <w:szCs w:val="16"/>
              </w:rPr>
            </w:pPr>
            <w:r w:rsidRPr="00276BCE">
              <w:rPr>
                <w:rFonts w:ascii="Arial" w:hAnsi="Arial" w:cs="Arial"/>
                <w:b/>
                <w:bCs/>
                <w:i/>
                <w:iCs/>
                <w:color w:val="000000"/>
                <w:sz w:val="16"/>
                <w:szCs w:val="16"/>
              </w:rPr>
              <w:t>Adjusted opening balance</w:t>
            </w:r>
          </w:p>
        </w:tc>
        <w:tc>
          <w:tcPr>
            <w:tcW w:w="631" w:type="pct"/>
            <w:tcBorders>
              <w:top w:val="single" w:sz="4" w:space="0" w:color="000000"/>
              <w:left w:val="nil"/>
              <w:bottom w:val="single" w:sz="4" w:space="0" w:color="000000"/>
              <w:right w:val="nil"/>
            </w:tcBorders>
            <w:shd w:val="clear" w:color="auto" w:fill="auto"/>
            <w:noWrap/>
            <w:vAlign w:val="bottom"/>
            <w:hideMark/>
          </w:tcPr>
          <w:p w14:paraId="7B05CA3B" w14:textId="05523F5E" w:rsidR="00276BCE" w:rsidRPr="00276BCE" w:rsidRDefault="00276BCE" w:rsidP="00276BCE">
            <w:pPr>
              <w:spacing w:after="0" w:line="240" w:lineRule="auto"/>
              <w:jc w:val="right"/>
              <w:rPr>
                <w:rFonts w:ascii="Arial" w:hAnsi="Arial" w:cs="Arial"/>
                <w:b/>
                <w:bCs/>
                <w:i/>
                <w:iCs/>
                <w:color w:val="000000"/>
                <w:sz w:val="16"/>
                <w:szCs w:val="16"/>
              </w:rPr>
            </w:pPr>
            <w:r w:rsidRPr="00276BCE">
              <w:rPr>
                <w:rFonts w:ascii="Arial" w:hAnsi="Arial" w:cs="Arial"/>
                <w:b/>
                <w:bCs/>
                <w:i/>
                <w:iCs/>
                <w:color w:val="000000"/>
                <w:sz w:val="16"/>
                <w:szCs w:val="16"/>
              </w:rPr>
              <w:t>113,488</w:t>
            </w:r>
          </w:p>
        </w:tc>
        <w:tc>
          <w:tcPr>
            <w:tcW w:w="721" w:type="pct"/>
            <w:tcBorders>
              <w:top w:val="single" w:sz="4" w:space="0" w:color="000000"/>
              <w:left w:val="nil"/>
              <w:bottom w:val="single" w:sz="4" w:space="0" w:color="000000"/>
              <w:right w:val="nil"/>
            </w:tcBorders>
            <w:shd w:val="clear" w:color="auto" w:fill="auto"/>
            <w:noWrap/>
            <w:vAlign w:val="bottom"/>
            <w:hideMark/>
          </w:tcPr>
          <w:p w14:paraId="282C4540" w14:textId="3F55B65D" w:rsidR="00276BCE" w:rsidRPr="00276BCE" w:rsidRDefault="00276BCE" w:rsidP="00276BCE">
            <w:pPr>
              <w:spacing w:after="0" w:line="240" w:lineRule="auto"/>
              <w:jc w:val="right"/>
              <w:rPr>
                <w:rFonts w:ascii="Arial" w:hAnsi="Arial" w:cs="Arial"/>
                <w:b/>
                <w:bCs/>
                <w:i/>
                <w:iCs/>
                <w:color w:val="000000"/>
                <w:sz w:val="16"/>
                <w:szCs w:val="16"/>
              </w:rPr>
            </w:pPr>
            <w:r w:rsidRPr="00276BCE">
              <w:rPr>
                <w:rFonts w:ascii="Arial" w:hAnsi="Arial" w:cs="Arial"/>
                <w:b/>
                <w:bCs/>
                <w:i/>
                <w:iCs/>
                <w:color w:val="000000"/>
                <w:sz w:val="16"/>
                <w:szCs w:val="16"/>
              </w:rPr>
              <w:t>46,607</w:t>
            </w:r>
          </w:p>
        </w:tc>
        <w:tc>
          <w:tcPr>
            <w:tcW w:w="753" w:type="pct"/>
            <w:tcBorders>
              <w:top w:val="single" w:sz="4" w:space="0" w:color="000000"/>
              <w:left w:val="nil"/>
              <w:bottom w:val="single" w:sz="4" w:space="0" w:color="000000"/>
              <w:right w:val="nil"/>
            </w:tcBorders>
            <w:shd w:val="clear" w:color="auto" w:fill="auto"/>
            <w:noWrap/>
            <w:vAlign w:val="bottom"/>
            <w:hideMark/>
          </w:tcPr>
          <w:p w14:paraId="45697FFE" w14:textId="5641F6FC" w:rsidR="00276BCE" w:rsidRPr="00276BCE" w:rsidRDefault="00276BCE" w:rsidP="00276BCE">
            <w:pPr>
              <w:spacing w:after="0" w:line="240" w:lineRule="auto"/>
              <w:jc w:val="right"/>
              <w:rPr>
                <w:rFonts w:ascii="Arial" w:hAnsi="Arial" w:cs="Arial"/>
                <w:b/>
                <w:bCs/>
                <w:i/>
                <w:iCs/>
                <w:color w:val="000000"/>
                <w:sz w:val="16"/>
                <w:szCs w:val="16"/>
              </w:rPr>
            </w:pPr>
            <w:r w:rsidRPr="00276BCE">
              <w:rPr>
                <w:rFonts w:ascii="Arial" w:hAnsi="Arial" w:cs="Arial"/>
                <w:b/>
                <w:bCs/>
                <w:i/>
                <w:iCs/>
                <w:color w:val="000000"/>
                <w:sz w:val="16"/>
                <w:szCs w:val="16"/>
              </w:rPr>
              <w:t>45,261</w:t>
            </w:r>
          </w:p>
        </w:tc>
        <w:tc>
          <w:tcPr>
            <w:tcW w:w="631" w:type="pct"/>
            <w:tcBorders>
              <w:top w:val="single" w:sz="4" w:space="0" w:color="000000"/>
              <w:left w:val="nil"/>
              <w:bottom w:val="single" w:sz="4" w:space="0" w:color="000000"/>
              <w:right w:val="nil"/>
            </w:tcBorders>
            <w:shd w:val="clear" w:color="auto" w:fill="auto"/>
            <w:noWrap/>
            <w:vAlign w:val="bottom"/>
            <w:hideMark/>
          </w:tcPr>
          <w:p w14:paraId="7B6001A5" w14:textId="3BACFC49" w:rsidR="00276BCE" w:rsidRPr="00276BCE" w:rsidRDefault="00276BCE" w:rsidP="00276BCE">
            <w:pPr>
              <w:spacing w:after="0" w:line="240" w:lineRule="auto"/>
              <w:jc w:val="right"/>
              <w:rPr>
                <w:rFonts w:ascii="Arial" w:hAnsi="Arial" w:cs="Arial"/>
                <w:b/>
                <w:bCs/>
                <w:i/>
                <w:iCs/>
                <w:color w:val="000000"/>
                <w:sz w:val="16"/>
                <w:szCs w:val="16"/>
              </w:rPr>
            </w:pPr>
            <w:r w:rsidRPr="00276BCE">
              <w:rPr>
                <w:rFonts w:ascii="Arial" w:hAnsi="Arial" w:cs="Arial"/>
                <w:b/>
                <w:bCs/>
                <w:i/>
                <w:iCs/>
                <w:color w:val="000000"/>
                <w:sz w:val="16"/>
                <w:szCs w:val="16"/>
              </w:rPr>
              <w:t>205,356</w:t>
            </w:r>
          </w:p>
        </w:tc>
      </w:tr>
      <w:tr w:rsidR="00276BCE" w:rsidRPr="00276BCE" w14:paraId="2AAB8759" w14:textId="77777777" w:rsidTr="00276BCE">
        <w:trPr>
          <w:trHeight w:val="204"/>
        </w:trPr>
        <w:tc>
          <w:tcPr>
            <w:tcW w:w="2263" w:type="pct"/>
            <w:tcBorders>
              <w:top w:val="nil"/>
              <w:left w:val="nil"/>
              <w:bottom w:val="nil"/>
              <w:right w:val="nil"/>
            </w:tcBorders>
            <w:shd w:val="clear" w:color="auto" w:fill="auto"/>
            <w:noWrap/>
            <w:vAlign w:val="bottom"/>
            <w:hideMark/>
          </w:tcPr>
          <w:p w14:paraId="0F7AF873" w14:textId="77777777" w:rsidR="00276BCE" w:rsidRPr="00276BCE" w:rsidRDefault="00276BCE" w:rsidP="00276BCE">
            <w:pPr>
              <w:spacing w:after="0" w:line="240" w:lineRule="auto"/>
              <w:rPr>
                <w:rFonts w:ascii="Arial" w:hAnsi="Arial" w:cs="Arial"/>
                <w:b/>
                <w:bCs/>
                <w:color w:val="000000"/>
                <w:sz w:val="16"/>
                <w:szCs w:val="16"/>
              </w:rPr>
            </w:pPr>
            <w:r w:rsidRPr="00276BCE">
              <w:rPr>
                <w:rFonts w:ascii="Arial" w:hAnsi="Arial" w:cs="Arial"/>
                <w:b/>
                <w:bCs/>
                <w:color w:val="000000"/>
                <w:sz w:val="16"/>
                <w:szCs w:val="16"/>
              </w:rPr>
              <w:t>Comprehensive income</w:t>
            </w:r>
          </w:p>
        </w:tc>
        <w:tc>
          <w:tcPr>
            <w:tcW w:w="631" w:type="pct"/>
            <w:tcBorders>
              <w:top w:val="nil"/>
              <w:left w:val="nil"/>
              <w:bottom w:val="nil"/>
              <w:right w:val="nil"/>
            </w:tcBorders>
            <w:shd w:val="clear" w:color="auto" w:fill="auto"/>
            <w:noWrap/>
            <w:vAlign w:val="bottom"/>
            <w:hideMark/>
          </w:tcPr>
          <w:p w14:paraId="7B9A1603" w14:textId="77777777" w:rsidR="00276BCE" w:rsidRPr="00276BCE" w:rsidRDefault="00276BCE" w:rsidP="00276BCE">
            <w:pPr>
              <w:spacing w:after="0" w:line="240" w:lineRule="auto"/>
              <w:jc w:val="right"/>
              <w:rPr>
                <w:rFonts w:ascii="Arial" w:hAnsi="Arial" w:cs="Arial"/>
                <w:b/>
                <w:bCs/>
                <w:color w:val="000000"/>
                <w:sz w:val="16"/>
                <w:szCs w:val="16"/>
              </w:rPr>
            </w:pPr>
          </w:p>
        </w:tc>
        <w:tc>
          <w:tcPr>
            <w:tcW w:w="721" w:type="pct"/>
            <w:tcBorders>
              <w:top w:val="nil"/>
              <w:left w:val="nil"/>
              <w:bottom w:val="nil"/>
              <w:right w:val="nil"/>
            </w:tcBorders>
            <w:shd w:val="clear" w:color="auto" w:fill="auto"/>
            <w:noWrap/>
            <w:vAlign w:val="bottom"/>
            <w:hideMark/>
          </w:tcPr>
          <w:p w14:paraId="614B60CE" w14:textId="77777777" w:rsidR="00276BCE" w:rsidRPr="00276BCE" w:rsidRDefault="00276BCE" w:rsidP="00276BCE">
            <w:pPr>
              <w:spacing w:after="0" w:line="240" w:lineRule="auto"/>
              <w:jc w:val="right"/>
              <w:rPr>
                <w:rFonts w:ascii="Times New Roman" w:hAnsi="Times New Roman"/>
              </w:rPr>
            </w:pPr>
          </w:p>
        </w:tc>
        <w:tc>
          <w:tcPr>
            <w:tcW w:w="753" w:type="pct"/>
            <w:tcBorders>
              <w:top w:val="nil"/>
              <w:left w:val="nil"/>
              <w:bottom w:val="nil"/>
              <w:right w:val="nil"/>
            </w:tcBorders>
            <w:shd w:val="clear" w:color="auto" w:fill="auto"/>
            <w:noWrap/>
            <w:vAlign w:val="bottom"/>
            <w:hideMark/>
          </w:tcPr>
          <w:p w14:paraId="23CDB872" w14:textId="77777777" w:rsidR="00276BCE" w:rsidRPr="00276BCE" w:rsidRDefault="00276BCE" w:rsidP="00276BCE">
            <w:pPr>
              <w:spacing w:after="0" w:line="240" w:lineRule="auto"/>
              <w:jc w:val="right"/>
              <w:rPr>
                <w:rFonts w:ascii="Times New Roman" w:hAnsi="Times New Roman"/>
              </w:rPr>
            </w:pPr>
          </w:p>
        </w:tc>
        <w:tc>
          <w:tcPr>
            <w:tcW w:w="631" w:type="pct"/>
            <w:tcBorders>
              <w:top w:val="nil"/>
              <w:left w:val="nil"/>
              <w:bottom w:val="nil"/>
              <w:right w:val="nil"/>
            </w:tcBorders>
            <w:shd w:val="clear" w:color="auto" w:fill="auto"/>
            <w:noWrap/>
            <w:vAlign w:val="bottom"/>
            <w:hideMark/>
          </w:tcPr>
          <w:p w14:paraId="2629BFB0" w14:textId="77777777" w:rsidR="00276BCE" w:rsidRPr="00276BCE" w:rsidRDefault="00276BCE" w:rsidP="00276BCE">
            <w:pPr>
              <w:spacing w:after="0" w:line="240" w:lineRule="auto"/>
              <w:jc w:val="right"/>
              <w:rPr>
                <w:rFonts w:ascii="Times New Roman" w:hAnsi="Times New Roman"/>
              </w:rPr>
            </w:pPr>
          </w:p>
        </w:tc>
      </w:tr>
      <w:tr w:rsidR="00276BCE" w:rsidRPr="00276BCE" w14:paraId="4C2B5B81" w14:textId="77777777" w:rsidTr="00276BCE">
        <w:trPr>
          <w:trHeight w:val="204"/>
        </w:trPr>
        <w:tc>
          <w:tcPr>
            <w:tcW w:w="2263" w:type="pct"/>
            <w:tcBorders>
              <w:top w:val="nil"/>
              <w:left w:val="nil"/>
              <w:bottom w:val="nil"/>
              <w:right w:val="nil"/>
            </w:tcBorders>
            <w:shd w:val="clear" w:color="auto" w:fill="auto"/>
            <w:noWrap/>
            <w:vAlign w:val="bottom"/>
            <w:hideMark/>
          </w:tcPr>
          <w:p w14:paraId="117434F5" w14:textId="77777777" w:rsidR="00276BCE" w:rsidRPr="00276BCE" w:rsidRDefault="00276BCE" w:rsidP="00276BCE">
            <w:pPr>
              <w:spacing w:after="0" w:line="240" w:lineRule="auto"/>
              <w:ind w:left="113"/>
              <w:rPr>
                <w:rFonts w:ascii="Arial" w:hAnsi="Arial" w:cs="Arial"/>
                <w:sz w:val="16"/>
                <w:szCs w:val="16"/>
              </w:rPr>
            </w:pPr>
            <w:r w:rsidRPr="00276BCE">
              <w:rPr>
                <w:rFonts w:ascii="Arial" w:hAnsi="Arial" w:cs="Arial"/>
                <w:sz w:val="16"/>
                <w:szCs w:val="16"/>
              </w:rPr>
              <w:t>Surplus/(deficit) for the period</w:t>
            </w:r>
          </w:p>
        </w:tc>
        <w:tc>
          <w:tcPr>
            <w:tcW w:w="631" w:type="pct"/>
            <w:tcBorders>
              <w:top w:val="nil"/>
              <w:left w:val="nil"/>
              <w:bottom w:val="nil"/>
              <w:right w:val="nil"/>
            </w:tcBorders>
            <w:shd w:val="clear" w:color="auto" w:fill="auto"/>
            <w:noWrap/>
            <w:vAlign w:val="bottom"/>
            <w:hideMark/>
          </w:tcPr>
          <w:p w14:paraId="32204364" w14:textId="77777777" w:rsidR="00276BCE" w:rsidRPr="00276BCE" w:rsidRDefault="00276BCE" w:rsidP="00276BCE">
            <w:pPr>
              <w:spacing w:after="0" w:line="240" w:lineRule="auto"/>
              <w:jc w:val="right"/>
              <w:rPr>
                <w:rFonts w:ascii="Arial" w:hAnsi="Arial" w:cs="Arial"/>
                <w:color w:val="000000"/>
                <w:sz w:val="16"/>
                <w:szCs w:val="16"/>
              </w:rPr>
            </w:pPr>
            <w:r w:rsidRPr="00276BCE">
              <w:rPr>
                <w:rFonts w:ascii="Arial" w:hAnsi="Arial" w:cs="Arial"/>
                <w:color w:val="000000"/>
                <w:sz w:val="16"/>
                <w:szCs w:val="16"/>
              </w:rPr>
              <w:t>(16,720)</w:t>
            </w:r>
          </w:p>
        </w:tc>
        <w:tc>
          <w:tcPr>
            <w:tcW w:w="721" w:type="pct"/>
            <w:tcBorders>
              <w:top w:val="nil"/>
              <w:left w:val="nil"/>
              <w:bottom w:val="nil"/>
              <w:right w:val="nil"/>
            </w:tcBorders>
            <w:shd w:val="clear" w:color="auto" w:fill="auto"/>
            <w:noWrap/>
            <w:vAlign w:val="bottom"/>
            <w:hideMark/>
          </w:tcPr>
          <w:p w14:paraId="1AC62980" w14:textId="76575515" w:rsidR="00276BCE" w:rsidRPr="00276BCE" w:rsidRDefault="00276BCE" w:rsidP="00276BCE">
            <w:pPr>
              <w:spacing w:after="0" w:line="240" w:lineRule="auto"/>
              <w:jc w:val="right"/>
              <w:rPr>
                <w:rFonts w:ascii="Arial" w:hAnsi="Arial" w:cs="Arial"/>
                <w:color w:val="000000"/>
                <w:sz w:val="16"/>
                <w:szCs w:val="16"/>
              </w:rPr>
            </w:pPr>
            <w:r w:rsidRPr="00276BCE">
              <w:rPr>
                <w:rFonts w:ascii="Arial" w:hAnsi="Arial" w:cs="Arial"/>
                <w:color w:val="000000"/>
                <w:sz w:val="16"/>
                <w:szCs w:val="16"/>
              </w:rPr>
              <w:t>-</w:t>
            </w:r>
          </w:p>
        </w:tc>
        <w:tc>
          <w:tcPr>
            <w:tcW w:w="753" w:type="pct"/>
            <w:tcBorders>
              <w:top w:val="nil"/>
              <w:left w:val="nil"/>
              <w:bottom w:val="nil"/>
              <w:right w:val="nil"/>
            </w:tcBorders>
            <w:shd w:val="clear" w:color="auto" w:fill="auto"/>
            <w:noWrap/>
            <w:vAlign w:val="bottom"/>
            <w:hideMark/>
          </w:tcPr>
          <w:p w14:paraId="3F32C2A1" w14:textId="0F67FB4C" w:rsidR="00276BCE" w:rsidRPr="00276BCE" w:rsidRDefault="00276BCE" w:rsidP="00276BCE">
            <w:pPr>
              <w:spacing w:after="0" w:line="240" w:lineRule="auto"/>
              <w:jc w:val="right"/>
              <w:rPr>
                <w:rFonts w:ascii="Arial" w:hAnsi="Arial" w:cs="Arial"/>
                <w:color w:val="000000"/>
                <w:sz w:val="16"/>
                <w:szCs w:val="16"/>
              </w:rPr>
            </w:pPr>
            <w:r w:rsidRPr="00276BCE">
              <w:rPr>
                <w:rFonts w:ascii="Arial" w:hAnsi="Arial" w:cs="Arial"/>
                <w:color w:val="000000"/>
                <w:sz w:val="16"/>
                <w:szCs w:val="16"/>
              </w:rPr>
              <w:t>-</w:t>
            </w:r>
          </w:p>
        </w:tc>
        <w:tc>
          <w:tcPr>
            <w:tcW w:w="631" w:type="pct"/>
            <w:tcBorders>
              <w:top w:val="nil"/>
              <w:left w:val="nil"/>
              <w:bottom w:val="nil"/>
              <w:right w:val="nil"/>
            </w:tcBorders>
            <w:shd w:val="clear" w:color="auto" w:fill="auto"/>
            <w:noWrap/>
            <w:vAlign w:val="bottom"/>
            <w:hideMark/>
          </w:tcPr>
          <w:p w14:paraId="19617DFF" w14:textId="77777777" w:rsidR="00276BCE" w:rsidRPr="00276BCE" w:rsidRDefault="00276BCE" w:rsidP="00276BCE">
            <w:pPr>
              <w:spacing w:after="0" w:line="240" w:lineRule="auto"/>
              <w:jc w:val="right"/>
              <w:rPr>
                <w:rFonts w:ascii="Arial" w:hAnsi="Arial" w:cs="Arial"/>
                <w:color w:val="000000"/>
                <w:sz w:val="16"/>
                <w:szCs w:val="16"/>
              </w:rPr>
            </w:pPr>
            <w:r w:rsidRPr="00276BCE">
              <w:rPr>
                <w:rFonts w:ascii="Arial" w:hAnsi="Arial" w:cs="Arial"/>
                <w:color w:val="000000"/>
                <w:sz w:val="16"/>
                <w:szCs w:val="16"/>
              </w:rPr>
              <w:t>(16,720)</w:t>
            </w:r>
          </w:p>
        </w:tc>
      </w:tr>
      <w:tr w:rsidR="00276BCE" w:rsidRPr="00276BCE" w14:paraId="72BDA73F" w14:textId="77777777" w:rsidTr="00276BCE">
        <w:trPr>
          <w:trHeight w:val="204"/>
        </w:trPr>
        <w:tc>
          <w:tcPr>
            <w:tcW w:w="2263" w:type="pct"/>
            <w:tcBorders>
              <w:top w:val="nil"/>
              <w:left w:val="nil"/>
              <w:bottom w:val="nil"/>
              <w:right w:val="nil"/>
            </w:tcBorders>
            <w:shd w:val="clear" w:color="auto" w:fill="auto"/>
            <w:vAlign w:val="bottom"/>
            <w:hideMark/>
          </w:tcPr>
          <w:p w14:paraId="366242B9" w14:textId="77777777" w:rsidR="00276BCE" w:rsidRPr="00276BCE" w:rsidRDefault="00276BCE" w:rsidP="00276BCE">
            <w:pPr>
              <w:spacing w:after="0" w:line="240" w:lineRule="auto"/>
              <w:rPr>
                <w:rFonts w:ascii="Arial" w:hAnsi="Arial" w:cs="Arial"/>
                <w:b/>
                <w:bCs/>
                <w:i/>
                <w:iCs/>
                <w:color w:val="000000"/>
                <w:sz w:val="16"/>
                <w:szCs w:val="16"/>
              </w:rPr>
            </w:pPr>
            <w:r w:rsidRPr="00276BCE">
              <w:rPr>
                <w:rFonts w:ascii="Arial" w:hAnsi="Arial" w:cs="Arial"/>
                <w:b/>
                <w:bCs/>
                <w:i/>
                <w:iCs/>
                <w:color w:val="000000"/>
                <w:sz w:val="16"/>
                <w:szCs w:val="16"/>
              </w:rPr>
              <w:t>Total comprehensive income</w:t>
            </w:r>
          </w:p>
        </w:tc>
        <w:tc>
          <w:tcPr>
            <w:tcW w:w="631" w:type="pct"/>
            <w:tcBorders>
              <w:top w:val="single" w:sz="4" w:space="0" w:color="000000"/>
              <w:left w:val="nil"/>
              <w:bottom w:val="nil"/>
              <w:right w:val="nil"/>
            </w:tcBorders>
            <w:shd w:val="clear" w:color="auto" w:fill="auto"/>
            <w:noWrap/>
            <w:vAlign w:val="bottom"/>
            <w:hideMark/>
          </w:tcPr>
          <w:p w14:paraId="72A68B65" w14:textId="77777777" w:rsidR="00276BCE" w:rsidRPr="00276BCE" w:rsidRDefault="00276BCE" w:rsidP="00276BCE">
            <w:pPr>
              <w:spacing w:after="0" w:line="240" w:lineRule="auto"/>
              <w:jc w:val="right"/>
              <w:rPr>
                <w:rFonts w:ascii="Arial" w:hAnsi="Arial" w:cs="Arial"/>
                <w:b/>
                <w:bCs/>
                <w:i/>
                <w:iCs/>
                <w:color w:val="000000"/>
                <w:sz w:val="16"/>
                <w:szCs w:val="16"/>
              </w:rPr>
            </w:pPr>
            <w:r w:rsidRPr="00276BCE">
              <w:rPr>
                <w:rFonts w:ascii="Arial" w:hAnsi="Arial" w:cs="Arial"/>
                <w:b/>
                <w:bCs/>
                <w:i/>
                <w:iCs/>
                <w:color w:val="000000"/>
                <w:sz w:val="16"/>
                <w:szCs w:val="16"/>
              </w:rPr>
              <w:t>(16,720)</w:t>
            </w:r>
          </w:p>
        </w:tc>
        <w:tc>
          <w:tcPr>
            <w:tcW w:w="721" w:type="pct"/>
            <w:tcBorders>
              <w:top w:val="single" w:sz="4" w:space="0" w:color="000000"/>
              <w:left w:val="nil"/>
              <w:bottom w:val="nil"/>
              <w:right w:val="nil"/>
            </w:tcBorders>
            <w:shd w:val="clear" w:color="auto" w:fill="auto"/>
            <w:noWrap/>
            <w:vAlign w:val="bottom"/>
            <w:hideMark/>
          </w:tcPr>
          <w:p w14:paraId="7A3E99E0" w14:textId="23203F0B" w:rsidR="00276BCE" w:rsidRPr="00276BCE" w:rsidRDefault="00276BCE" w:rsidP="00276BCE">
            <w:pPr>
              <w:spacing w:after="0" w:line="240" w:lineRule="auto"/>
              <w:jc w:val="right"/>
              <w:rPr>
                <w:rFonts w:ascii="Arial" w:hAnsi="Arial" w:cs="Arial"/>
                <w:b/>
                <w:bCs/>
                <w:i/>
                <w:iCs/>
                <w:color w:val="000000"/>
                <w:sz w:val="16"/>
                <w:szCs w:val="16"/>
              </w:rPr>
            </w:pPr>
            <w:r w:rsidRPr="00276BCE">
              <w:rPr>
                <w:rFonts w:ascii="Arial" w:hAnsi="Arial" w:cs="Arial"/>
                <w:b/>
                <w:bCs/>
                <w:i/>
                <w:iCs/>
                <w:color w:val="000000"/>
                <w:sz w:val="16"/>
                <w:szCs w:val="16"/>
              </w:rPr>
              <w:t>-</w:t>
            </w:r>
          </w:p>
        </w:tc>
        <w:tc>
          <w:tcPr>
            <w:tcW w:w="753" w:type="pct"/>
            <w:tcBorders>
              <w:top w:val="single" w:sz="4" w:space="0" w:color="000000"/>
              <w:left w:val="nil"/>
              <w:bottom w:val="nil"/>
              <w:right w:val="nil"/>
            </w:tcBorders>
            <w:shd w:val="clear" w:color="auto" w:fill="auto"/>
            <w:noWrap/>
            <w:vAlign w:val="bottom"/>
            <w:hideMark/>
          </w:tcPr>
          <w:p w14:paraId="4EA20DB3" w14:textId="271F57D3" w:rsidR="00276BCE" w:rsidRPr="00276BCE" w:rsidRDefault="00276BCE" w:rsidP="00276BCE">
            <w:pPr>
              <w:spacing w:after="0" w:line="240" w:lineRule="auto"/>
              <w:jc w:val="right"/>
              <w:rPr>
                <w:rFonts w:ascii="Arial" w:hAnsi="Arial" w:cs="Arial"/>
                <w:b/>
                <w:bCs/>
                <w:i/>
                <w:iCs/>
                <w:color w:val="000000"/>
                <w:sz w:val="16"/>
                <w:szCs w:val="16"/>
              </w:rPr>
            </w:pPr>
            <w:r w:rsidRPr="00276BCE">
              <w:rPr>
                <w:rFonts w:ascii="Arial" w:hAnsi="Arial" w:cs="Arial"/>
                <w:b/>
                <w:bCs/>
                <w:i/>
                <w:iCs/>
                <w:color w:val="000000"/>
                <w:sz w:val="16"/>
                <w:szCs w:val="16"/>
              </w:rPr>
              <w:t>-</w:t>
            </w:r>
          </w:p>
        </w:tc>
        <w:tc>
          <w:tcPr>
            <w:tcW w:w="631" w:type="pct"/>
            <w:tcBorders>
              <w:top w:val="single" w:sz="4" w:space="0" w:color="000000"/>
              <w:left w:val="nil"/>
              <w:bottom w:val="nil"/>
              <w:right w:val="nil"/>
            </w:tcBorders>
            <w:shd w:val="clear" w:color="auto" w:fill="auto"/>
            <w:noWrap/>
            <w:vAlign w:val="bottom"/>
            <w:hideMark/>
          </w:tcPr>
          <w:p w14:paraId="39F47873" w14:textId="77777777" w:rsidR="00276BCE" w:rsidRPr="00276BCE" w:rsidRDefault="00276BCE" w:rsidP="00276BCE">
            <w:pPr>
              <w:spacing w:after="0" w:line="240" w:lineRule="auto"/>
              <w:jc w:val="right"/>
              <w:rPr>
                <w:rFonts w:ascii="Arial" w:hAnsi="Arial" w:cs="Arial"/>
                <w:b/>
                <w:bCs/>
                <w:i/>
                <w:iCs/>
                <w:color w:val="000000"/>
                <w:sz w:val="16"/>
                <w:szCs w:val="16"/>
              </w:rPr>
            </w:pPr>
            <w:r w:rsidRPr="00276BCE">
              <w:rPr>
                <w:rFonts w:ascii="Arial" w:hAnsi="Arial" w:cs="Arial"/>
                <w:b/>
                <w:bCs/>
                <w:i/>
                <w:iCs/>
                <w:color w:val="000000"/>
                <w:sz w:val="16"/>
                <w:szCs w:val="16"/>
              </w:rPr>
              <w:t>(16,720)</w:t>
            </w:r>
          </w:p>
        </w:tc>
      </w:tr>
      <w:tr w:rsidR="00276BCE" w:rsidRPr="00276BCE" w14:paraId="32CF2103" w14:textId="77777777" w:rsidTr="00276BCE">
        <w:trPr>
          <w:trHeight w:val="204"/>
        </w:trPr>
        <w:tc>
          <w:tcPr>
            <w:tcW w:w="2263" w:type="pct"/>
            <w:tcBorders>
              <w:top w:val="nil"/>
              <w:left w:val="nil"/>
              <w:bottom w:val="nil"/>
              <w:right w:val="nil"/>
            </w:tcBorders>
            <w:shd w:val="clear" w:color="auto" w:fill="auto"/>
            <w:noWrap/>
            <w:vAlign w:val="bottom"/>
            <w:hideMark/>
          </w:tcPr>
          <w:p w14:paraId="70C6030F" w14:textId="77777777" w:rsidR="00276BCE" w:rsidRPr="00276BCE" w:rsidRDefault="00276BCE" w:rsidP="00276BCE">
            <w:pPr>
              <w:spacing w:after="0" w:line="240" w:lineRule="auto"/>
              <w:ind w:left="113"/>
              <w:rPr>
                <w:rFonts w:ascii="Arial" w:hAnsi="Arial" w:cs="Arial"/>
                <w:color w:val="000000"/>
                <w:sz w:val="16"/>
                <w:szCs w:val="16"/>
              </w:rPr>
            </w:pPr>
            <w:r w:rsidRPr="00276BCE">
              <w:rPr>
                <w:rFonts w:ascii="Arial" w:hAnsi="Arial" w:cs="Arial"/>
                <w:color w:val="000000"/>
                <w:sz w:val="16"/>
                <w:szCs w:val="16"/>
              </w:rPr>
              <w:t>of which:</w:t>
            </w:r>
          </w:p>
        </w:tc>
        <w:tc>
          <w:tcPr>
            <w:tcW w:w="631" w:type="pct"/>
            <w:tcBorders>
              <w:top w:val="single" w:sz="4" w:space="0" w:color="000000"/>
              <w:left w:val="nil"/>
              <w:bottom w:val="nil"/>
              <w:right w:val="nil"/>
            </w:tcBorders>
            <w:shd w:val="clear" w:color="auto" w:fill="auto"/>
            <w:noWrap/>
            <w:vAlign w:val="bottom"/>
            <w:hideMark/>
          </w:tcPr>
          <w:p w14:paraId="77705B4B" w14:textId="7878F06C" w:rsidR="00276BCE" w:rsidRPr="00276BCE" w:rsidRDefault="00276BCE" w:rsidP="00276BCE">
            <w:pPr>
              <w:spacing w:after="0" w:line="240" w:lineRule="auto"/>
              <w:jc w:val="right"/>
              <w:rPr>
                <w:rFonts w:ascii="Arial" w:hAnsi="Arial" w:cs="Arial"/>
                <w:color w:val="000000"/>
                <w:sz w:val="16"/>
                <w:szCs w:val="16"/>
              </w:rPr>
            </w:pPr>
          </w:p>
        </w:tc>
        <w:tc>
          <w:tcPr>
            <w:tcW w:w="721" w:type="pct"/>
            <w:tcBorders>
              <w:top w:val="single" w:sz="4" w:space="0" w:color="000000"/>
              <w:left w:val="nil"/>
              <w:bottom w:val="nil"/>
              <w:right w:val="nil"/>
            </w:tcBorders>
            <w:shd w:val="clear" w:color="auto" w:fill="auto"/>
            <w:noWrap/>
            <w:vAlign w:val="bottom"/>
            <w:hideMark/>
          </w:tcPr>
          <w:p w14:paraId="2C6B4E66" w14:textId="52AC56F8" w:rsidR="00276BCE" w:rsidRPr="00276BCE" w:rsidRDefault="00276BCE" w:rsidP="00276BCE">
            <w:pPr>
              <w:spacing w:after="0" w:line="240" w:lineRule="auto"/>
              <w:jc w:val="right"/>
              <w:rPr>
                <w:rFonts w:ascii="Arial" w:hAnsi="Arial" w:cs="Arial"/>
                <w:color w:val="000000"/>
                <w:sz w:val="16"/>
                <w:szCs w:val="16"/>
              </w:rPr>
            </w:pPr>
          </w:p>
        </w:tc>
        <w:tc>
          <w:tcPr>
            <w:tcW w:w="753" w:type="pct"/>
            <w:tcBorders>
              <w:top w:val="single" w:sz="4" w:space="0" w:color="000000"/>
              <w:left w:val="nil"/>
              <w:bottom w:val="nil"/>
              <w:right w:val="nil"/>
            </w:tcBorders>
            <w:shd w:val="clear" w:color="auto" w:fill="auto"/>
            <w:noWrap/>
            <w:vAlign w:val="bottom"/>
            <w:hideMark/>
          </w:tcPr>
          <w:p w14:paraId="2BAB662A" w14:textId="38914C20" w:rsidR="00276BCE" w:rsidRPr="00276BCE" w:rsidRDefault="00276BCE" w:rsidP="00276BCE">
            <w:pPr>
              <w:spacing w:after="0" w:line="240" w:lineRule="auto"/>
              <w:jc w:val="right"/>
              <w:rPr>
                <w:rFonts w:ascii="Arial" w:hAnsi="Arial" w:cs="Arial"/>
                <w:color w:val="000000"/>
                <w:sz w:val="16"/>
                <w:szCs w:val="16"/>
              </w:rPr>
            </w:pPr>
          </w:p>
        </w:tc>
        <w:tc>
          <w:tcPr>
            <w:tcW w:w="631" w:type="pct"/>
            <w:tcBorders>
              <w:top w:val="single" w:sz="4" w:space="0" w:color="000000"/>
              <w:left w:val="nil"/>
              <w:bottom w:val="nil"/>
              <w:right w:val="nil"/>
            </w:tcBorders>
            <w:shd w:val="clear" w:color="auto" w:fill="auto"/>
            <w:noWrap/>
            <w:vAlign w:val="bottom"/>
            <w:hideMark/>
          </w:tcPr>
          <w:p w14:paraId="697B1B31" w14:textId="39222DE9" w:rsidR="00276BCE" w:rsidRPr="00276BCE" w:rsidRDefault="00276BCE" w:rsidP="00276BCE">
            <w:pPr>
              <w:spacing w:after="0" w:line="240" w:lineRule="auto"/>
              <w:jc w:val="right"/>
              <w:rPr>
                <w:rFonts w:ascii="Arial" w:hAnsi="Arial" w:cs="Arial"/>
                <w:color w:val="000000"/>
                <w:sz w:val="16"/>
                <w:szCs w:val="16"/>
              </w:rPr>
            </w:pPr>
          </w:p>
        </w:tc>
      </w:tr>
      <w:tr w:rsidR="00276BCE" w:rsidRPr="00276BCE" w14:paraId="0AC79AFD" w14:textId="77777777" w:rsidTr="00276BCE">
        <w:trPr>
          <w:trHeight w:val="204"/>
        </w:trPr>
        <w:tc>
          <w:tcPr>
            <w:tcW w:w="2263" w:type="pct"/>
            <w:tcBorders>
              <w:top w:val="nil"/>
              <w:left w:val="nil"/>
              <w:bottom w:val="nil"/>
              <w:right w:val="nil"/>
            </w:tcBorders>
            <w:shd w:val="clear" w:color="auto" w:fill="auto"/>
            <w:vAlign w:val="bottom"/>
            <w:hideMark/>
          </w:tcPr>
          <w:p w14:paraId="4F322D61" w14:textId="5BEFE7DE" w:rsidR="00276BCE" w:rsidRPr="00276BCE" w:rsidRDefault="00276BCE" w:rsidP="00276BCE">
            <w:pPr>
              <w:spacing w:after="0" w:line="240" w:lineRule="auto"/>
              <w:ind w:left="227"/>
              <w:rPr>
                <w:rFonts w:ascii="Arial" w:hAnsi="Arial" w:cs="Arial"/>
                <w:color w:val="000000"/>
                <w:sz w:val="16"/>
                <w:szCs w:val="16"/>
              </w:rPr>
            </w:pPr>
            <w:r w:rsidRPr="00276BCE">
              <w:rPr>
                <w:rFonts w:ascii="Arial" w:hAnsi="Arial" w:cs="Arial"/>
                <w:color w:val="000000"/>
                <w:sz w:val="16"/>
                <w:szCs w:val="16"/>
              </w:rPr>
              <w:t>Attributable to the Australian Government</w:t>
            </w:r>
          </w:p>
        </w:tc>
        <w:tc>
          <w:tcPr>
            <w:tcW w:w="631" w:type="pct"/>
            <w:tcBorders>
              <w:top w:val="nil"/>
              <w:left w:val="nil"/>
              <w:bottom w:val="nil"/>
              <w:right w:val="nil"/>
            </w:tcBorders>
            <w:shd w:val="clear" w:color="auto" w:fill="auto"/>
            <w:noWrap/>
            <w:vAlign w:val="bottom"/>
            <w:hideMark/>
          </w:tcPr>
          <w:p w14:paraId="5303D268" w14:textId="6F4805A7" w:rsidR="00276BCE" w:rsidRPr="00276BCE" w:rsidRDefault="00276BCE" w:rsidP="00276BCE">
            <w:pPr>
              <w:spacing w:after="0" w:line="240" w:lineRule="auto"/>
              <w:jc w:val="right"/>
              <w:rPr>
                <w:rFonts w:ascii="Arial" w:hAnsi="Arial" w:cs="Arial"/>
                <w:color w:val="000000"/>
                <w:sz w:val="16"/>
                <w:szCs w:val="16"/>
              </w:rPr>
            </w:pPr>
            <w:r w:rsidRPr="00276BCE">
              <w:rPr>
                <w:rFonts w:ascii="Arial" w:hAnsi="Arial" w:cs="Arial"/>
                <w:color w:val="000000"/>
                <w:sz w:val="16"/>
                <w:szCs w:val="16"/>
              </w:rPr>
              <w:t>-</w:t>
            </w:r>
          </w:p>
        </w:tc>
        <w:tc>
          <w:tcPr>
            <w:tcW w:w="721" w:type="pct"/>
            <w:tcBorders>
              <w:top w:val="nil"/>
              <w:left w:val="nil"/>
              <w:bottom w:val="nil"/>
              <w:right w:val="nil"/>
            </w:tcBorders>
            <w:shd w:val="clear" w:color="auto" w:fill="auto"/>
            <w:noWrap/>
            <w:vAlign w:val="bottom"/>
            <w:hideMark/>
          </w:tcPr>
          <w:p w14:paraId="54ABB666" w14:textId="390DD8D8" w:rsidR="00276BCE" w:rsidRPr="00276BCE" w:rsidRDefault="00276BCE" w:rsidP="00276BCE">
            <w:pPr>
              <w:spacing w:after="0" w:line="240" w:lineRule="auto"/>
              <w:jc w:val="right"/>
              <w:rPr>
                <w:rFonts w:ascii="Arial" w:hAnsi="Arial" w:cs="Arial"/>
                <w:color w:val="000000"/>
                <w:sz w:val="16"/>
                <w:szCs w:val="16"/>
              </w:rPr>
            </w:pPr>
            <w:r w:rsidRPr="00276BCE">
              <w:rPr>
                <w:rFonts w:ascii="Arial" w:hAnsi="Arial" w:cs="Arial"/>
                <w:color w:val="000000"/>
                <w:sz w:val="16"/>
                <w:szCs w:val="16"/>
              </w:rPr>
              <w:t>-</w:t>
            </w:r>
          </w:p>
        </w:tc>
        <w:tc>
          <w:tcPr>
            <w:tcW w:w="753" w:type="pct"/>
            <w:tcBorders>
              <w:top w:val="nil"/>
              <w:left w:val="nil"/>
              <w:bottom w:val="nil"/>
              <w:right w:val="nil"/>
            </w:tcBorders>
            <w:shd w:val="clear" w:color="auto" w:fill="auto"/>
            <w:noWrap/>
            <w:vAlign w:val="bottom"/>
            <w:hideMark/>
          </w:tcPr>
          <w:p w14:paraId="5A813FFE" w14:textId="6344B600" w:rsidR="00276BCE" w:rsidRPr="00276BCE" w:rsidRDefault="00276BCE" w:rsidP="00276BCE">
            <w:pPr>
              <w:spacing w:after="0" w:line="240" w:lineRule="auto"/>
              <w:jc w:val="right"/>
              <w:rPr>
                <w:rFonts w:ascii="Arial" w:hAnsi="Arial" w:cs="Arial"/>
                <w:color w:val="000000"/>
                <w:sz w:val="16"/>
                <w:szCs w:val="16"/>
              </w:rPr>
            </w:pPr>
            <w:r w:rsidRPr="00276BCE">
              <w:rPr>
                <w:rFonts w:ascii="Arial" w:hAnsi="Arial" w:cs="Arial"/>
                <w:color w:val="000000"/>
                <w:sz w:val="16"/>
                <w:szCs w:val="16"/>
              </w:rPr>
              <w:t>21,882</w:t>
            </w:r>
          </w:p>
        </w:tc>
        <w:tc>
          <w:tcPr>
            <w:tcW w:w="631" w:type="pct"/>
            <w:tcBorders>
              <w:top w:val="nil"/>
              <w:left w:val="nil"/>
              <w:bottom w:val="nil"/>
              <w:right w:val="nil"/>
            </w:tcBorders>
            <w:shd w:val="clear" w:color="auto" w:fill="auto"/>
            <w:noWrap/>
            <w:vAlign w:val="bottom"/>
            <w:hideMark/>
          </w:tcPr>
          <w:p w14:paraId="2B80E46B" w14:textId="5E070E8A" w:rsidR="00276BCE" w:rsidRPr="00276BCE" w:rsidRDefault="00276BCE" w:rsidP="00276BCE">
            <w:pPr>
              <w:spacing w:after="0" w:line="240" w:lineRule="auto"/>
              <w:jc w:val="right"/>
              <w:rPr>
                <w:rFonts w:ascii="Arial" w:hAnsi="Arial" w:cs="Arial"/>
                <w:color w:val="000000"/>
                <w:sz w:val="16"/>
                <w:szCs w:val="16"/>
              </w:rPr>
            </w:pPr>
            <w:r w:rsidRPr="00276BCE">
              <w:rPr>
                <w:rFonts w:ascii="Arial" w:hAnsi="Arial" w:cs="Arial"/>
                <w:color w:val="000000"/>
                <w:sz w:val="16"/>
                <w:szCs w:val="16"/>
              </w:rPr>
              <w:t>21,882</w:t>
            </w:r>
          </w:p>
        </w:tc>
      </w:tr>
      <w:tr w:rsidR="00276BCE" w:rsidRPr="00276BCE" w14:paraId="0E5AE6D2" w14:textId="77777777" w:rsidTr="00276BCE">
        <w:trPr>
          <w:trHeight w:val="204"/>
        </w:trPr>
        <w:tc>
          <w:tcPr>
            <w:tcW w:w="2263" w:type="pct"/>
            <w:tcBorders>
              <w:top w:val="nil"/>
              <w:left w:val="nil"/>
              <w:bottom w:val="nil"/>
              <w:right w:val="nil"/>
            </w:tcBorders>
            <w:shd w:val="clear" w:color="auto" w:fill="auto"/>
            <w:vAlign w:val="bottom"/>
            <w:hideMark/>
          </w:tcPr>
          <w:p w14:paraId="2691A5A4" w14:textId="3E3E8E63" w:rsidR="00276BCE" w:rsidRPr="00276BCE" w:rsidRDefault="00276BCE" w:rsidP="00276BCE">
            <w:pPr>
              <w:spacing w:after="0" w:line="240" w:lineRule="auto"/>
              <w:rPr>
                <w:rFonts w:ascii="Arial" w:hAnsi="Arial" w:cs="Arial"/>
                <w:b/>
                <w:bCs/>
                <w:i/>
                <w:iCs/>
                <w:color w:val="000000"/>
                <w:sz w:val="16"/>
                <w:szCs w:val="16"/>
              </w:rPr>
            </w:pPr>
            <w:r w:rsidRPr="00276BCE">
              <w:rPr>
                <w:rFonts w:ascii="Arial" w:hAnsi="Arial" w:cs="Arial"/>
                <w:b/>
                <w:bCs/>
                <w:i/>
                <w:iCs/>
                <w:color w:val="000000"/>
                <w:sz w:val="16"/>
                <w:szCs w:val="16"/>
              </w:rPr>
              <w:t>Sub-total transactions with owners</w:t>
            </w:r>
          </w:p>
        </w:tc>
        <w:tc>
          <w:tcPr>
            <w:tcW w:w="631" w:type="pct"/>
            <w:tcBorders>
              <w:top w:val="single" w:sz="4" w:space="0" w:color="000000"/>
              <w:left w:val="nil"/>
              <w:bottom w:val="single" w:sz="4" w:space="0" w:color="000000"/>
              <w:right w:val="nil"/>
            </w:tcBorders>
            <w:shd w:val="clear" w:color="auto" w:fill="auto"/>
            <w:noWrap/>
            <w:vAlign w:val="bottom"/>
            <w:hideMark/>
          </w:tcPr>
          <w:p w14:paraId="3C8C543A" w14:textId="4FC5BD97" w:rsidR="00276BCE" w:rsidRPr="00276BCE" w:rsidRDefault="00276BCE" w:rsidP="00276BCE">
            <w:pPr>
              <w:spacing w:after="0" w:line="240" w:lineRule="auto"/>
              <w:jc w:val="right"/>
              <w:rPr>
                <w:rFonts w:ascii="Arial" w:hAnsi="Arial" w:cs="Arial"/>
                <w:b/>
                <w:bCs/>
                <w:i/>
                <w:iCs/>
                <w:color w:val="000000"/>
                <w:sz w:val="16"/>
                <w:szCs w:val="16"/>
              </w:rPr>
            </w:pPr>
            <w:r w:rsidRPr="00276BCE">
              <w:rPr>
                <w:rFonts w:ascii="Arial" w:hAnsi="Arial" w:cs="Arial"/>
                <w:b/>
                <w:bCs/>
                <w:i/>
                <w:iCs/>
                <w:color w:val="000000"/>
                <w:sz w:val="16"/>
                <w:szCs w:val="16"/>
              </w:rPr>
              <w:t>-</w:t>
            </w:r>
          </w:p>
        </w:tc>
        <w:tc>
          <w:tcPr>
            <w:tcW w:w="721" w:type="pct"/>
            <w:tcBorders>
              <w:top w:val="single" w:sz="4" w:space="0" w:color="000000"/>
              <w:left w:val="nil"/>
              <w:bottom w:val="single" w:sz="4" w:space="0" w:color="000000"/>
              <w:right w:val="nil"/>
            </w:tcBorders>
            <w:shd w:val="clear" w:color="auto" w:fill="auto"/>
            <w:noWrap/>
            <w:vAlign w:val="bottom"/>
            <w:hideMark/>
          </w:tcPr>
          <w:p w14:paraId="6E881221" w14:textId="7007348D" w:rsidR="00276BCE" w:rsidRPr="00276BCE" w:rsidRDefault="00276BCE" w:rsidP="00276BCE">
            <w:pPr>
              <w:spacing w:after="0" w:line="240" w:lineRule="auto"/>
              <w:jc w:val="right"/>
              <w:rPr>
                <w:rFonts w:ascii="Arial" w:hAnsi="Arial" w:cs="Arial"/>
                <w:b/>
                <w:bCs/>
                <w:i/>
                <w:iCs/>
                <w:color w:val="000000"/>
                <w:sz w:val="16"/>
                <w:szCs w:val="16"/>
              </w:rPr>
            </w:pPr>
            <w:r w:rsidRPr="00276BCE">
              <w:rPr>
                <w:rFonts w:ascii="Arial" w:hAnsi="Arial" w:cs="Arial"/>
                <w:b/>
                <w:bCs/>
                <w:i/>
                <w:iCs/>
                <w:color w:val="000000"/>
                <w:sz w:val="16"/>
                <w:szCs w:val="16"/>
              </w:rPr>
              <w:t>-</w:t>
            </w:r>
          </w:p>
        </w:tc>
        <w:tc>
          <w:tcPr>
            <w:tcW w:w="753" w:type="pct"/>
            <w:tcBorders>
              <w:top w:val="single" w:sz="4" w:space="0" w:color="000000"/>
              <w:left w:val="nil"/>
              <w:bottom w:val="single" w:sz="4" w:space="0" w:color="000000"/>
              <w:right w:val="nil"/>
            </w:tcBorders>
            <w:shd w:val="clear" w:color="auto" w:fill="auto"/>
            <w:noWrap/>
            <w:vAlign w:val="bottom"/>
            <w:hideMark/>
          </w:tcPr>
          <w:p w14:paraId="752C6CC1" w14:textId="5F77F83C" w:rsidR="00276BCE" w:rsidRPr="00276BCE" w:rsidRDefault="00276BCE" w:rsidP="00276BCE">
            <w:pPr>
              <w:spacing w:after="0" w:line="240" w:lineRule="auto"/>
              <w:jc w:val="right"/>
              <w:rPr>
                <w:rFonts w:ascii="Arial" w:hAnsi="Arial" w:cs="Arial"/>
                <w:b/>
                <w:bCs/>
                <w:i/>
                <w:iCs/>
                <w:color w:val="000000"/>
                <w:sz w:val="16"/>
                <w:szCs w:val="16"/>
              </w:rPr>
            </w:pPr>
            <w:r w:rsidRPr="00276BCE">
              <w:rPr>
                <w:rFonts w:ascii="Arial" w:hAnsi="Arial" w:cs="Arial"/>
                <w:b/>
                <w:bCs/>
                <w:i/>
                <w:iCs/>
                <w:color w:val="000000"/>
                <w:sz w:val="16"/>
                <w:szCs w:val="16"/>
              </w:rPr>
              <w:t>21,882</w:t>
            </w:r>
          </w:p>
        </w:tc>
        <w:tc>
          <w:tcPr>
            <w:tcW w:w="631" w:type="pct"/>
            <w:tcBorders>
              <w:top w:val="single" w:sz="4" w:space="0" w:color="000000"/>
              <w:left w:val="nil"/>
              <w:bottom w:val="single" w:sz="4" w:space="0" w:color="000000"/>
              <w:right w:val="nil"/>
            </w:tcBorders>
            <w:shd w:val="clear" w:color="auto" w:fill="auto"/>
            <w:noWrap/>
            <w:vAlign w:val="bottom"/>
            <w:hideMark/>
          </w:tcPr>
          <w:p w14:paraId="44551030" w14:textId="187B0F1C" w:rsidR="00276BCE" w:rsidRPr="00276BCE" w:rsidRDefault="00276BCE" w:rsidP="00276BCE">
            <w:pPr>
              <w:spacing w:after="0" w:line="240" w:lineRule="auto"/>
              <w:jc w:val="right"/>
              <w:rPr>
                <w:rFonts w:ascii="Arial" w:hAnsi="Arial" w:cs="Arial"/>
                <w:b/>
                <w:bCs/>
                <w:i/>
                <w:iCs/>
                <w:color w:val="000000"/>
                <w:sz w:val="16"/>
                <w:szCs w:val="16"/>
              </w:rPr>
            </w:pPr>
            <w:r w:rsidRPr="00276BCE">
              <w:rPr>
                <w:rFonts w:ascii="Arial" w:hAnsi="Arial" w:cs="Arial"/>
                <w:b/>
                <w:bCs/>
                <w:i/>
                <w:iCs/>
                <w:color w:val="000000"/>
                <w:sz w:val="16"/>
                <w:szCs w:val="16"/>
              </w:rPr>
              <w:t>21,882</w:t>
            </w:r>
          </w:p>
        </w:tc>
      </w:tr>
      <w:tr w:rsidR="00276BCE" w:rsidRPr="00276BCE" w14:paraId="72AD3242" w14:textId="77777777" w:rsidTr="00276BCE">
        <w:trPr>
          <w:trHeight w:val="204"/>
        </w:trPr>
        <w:tc>
          <w:tcPr>
            <w:tcW w:w="2263" w:type="pct"/>
            <w:tcBorders>
              <w:top w:val="nil"/>
              <w:left w:val="nil"/>
              <w:bottom w:val="nil"/>
              <w:right w:val="nil"/>
            </w:tcBorders>
            <w:shd w:val="clear" w:color="auto" w:fill="auto"/>
            <w:vAlign w:val="bottom"/>
            <w:hideMark/>
          </w:tcPr>
          <w:p w14:paraId="5055B08C" w14:textId="6BBED518" w:rsidR="00276BCE" w:rsidRPr="00276BCE" w:rsidRDefault="00276BCE" w:rsidP="00276BCE">
            <w:pPr>
              <w:spacing w:after="0" w:line="240" w:lineRule="auto"/>
              <w:rPr>
                <w:rFonts w:ascii="Arial" w:hAnsi="Arial" w:cs="Arial"/>
                <w:b/>
                <w:bCs/>
                <w:color w:val="000000"/>
                <w:sz w:val="16"/>
                <w:szCs w:val="16"/>
              </w:rPr>
            </w:pPr>
            <w:r w:rsidRPr="00276BCE">
              <w:rPr>
                <w:rFonts w:ascii="Arial" w:hAnsi="Arial" w:cs="Arial"/>
                <w:b/>
                <w:bCs/>
                <w:color w:val="000000"/>
                <w:sz w:val="16"/>
                <w:szCs w:val="16"/>
              </w:rPr>
              <w:t>Estimated closing balance as at 30</w:t>
            </w:r>
            <w:r>
              <w:rPr>
                <w:rFonts w:ascii="Arial" w:hAnsi="Arial" w:cs="Arial"/>
                <w:b/>
                <w:bCs/>
                <w:color w:val="000000"/>
                <w:sz w:val="16"/>
                <w:szCs w:val="16"/>
              </w:rPr>
              <w:t> </w:t>
            </w:r>
            <w:r w:rsidRPr="00276BCE">
              <w:rPr>
                <w:rFonts w:ascii="Arial" w:hAnsi="Arial" w:cs="Arial"/>
                <w:b/>
                <w:bCs/>
                <w:color w:val="000000"/>
                <w:sz w:val="16"/>
                <w:szCs w:val="16"/>
              </w:rPr>
              <w:t>June</w:t>
            </w:r>
            <w:r>
              <w:rPr>
                <w:rFonts w:ascii="Arial" w:hAnsi="Arial" w:cs="Arial"/>
                <w:b/>
                <w:bCs/>
                <w:color w:val="000000"/>
                <w:sz w:val="16"/>
                <w:szCs w:val="16"/>
              </w:rPr>
              <w:t> </w:t>
            </w:r>
            <w:r w:rsidRPr="00276BCE">
              <w:rPr>
                <w:rFonts w:ascii="Arial" w:hAnsi="Arial" w:cs="Arial"/>
                <w:b/>
                <w:bCs/>
                <w:color w:val="000000"/>
                <w:sz w:val="16"/>
                <w:szCs w:val="16"/>
              </w:rPr>
              <w:t>2023</w:t>
            </w:r>
          </w:p>
        </w:tc>
        <w:tc>
          <w:tcPr>
            <w:tcW w:w="631" w:type="pct"/>
            <w:tcBorders>
              <w:top w:val="single" w:sz="4" w:space="0" w:color="auto"/>
              <w:left w:val="nil"/>
              <w:bottom w:val="single" w:sz="4" w:space="0" w:color="auto"/>
              <w:right w:val="nil"/>
            </w:tcBorders>
            <w:shd w:val="clear" w:color="auto" w:fill="auto"/>
            <w:noWrap/>
            <w:vAlign w:val="bottom"/>
            <w:hideMark/>
          </w:tcPr>
          <w:p w14:paraId="0262D5C9" w14:textId="43FF5B92" w:rsidR="00276BCE" w:rsidRPr="00276BCE" w:rsidRDefault="00276BCE" w:rsidP="00276BCE">
            <w:pPr>
              <w:spacing w:after="0" w:line="240" w:lineRule="auto"/>
              <w:jc w:val="right"/>
              <w:rPr>
                <w:rFonts w:ascii="Arial" w:hAnsi="Arial" w:cs="Arial"/>
                <w:b/>
                <w:bCs/>
                <w:color w:val="000000"/>
                <w:sz w:val="16"/>
                <w:szCs w:val="16"/>
              </w:rPr>
            </w:pPr>
            <w:r w:rsidRPr="00276BCE">
              <w:rPr>
                <w:rFonts w:ascii="Arial" w:hAnsi="Arial" w:cs="Arial"/>
                <w:b/>
                <w:bCs/>
                <w:color w:val="000000"/>
                <w:sz w:val="16"/>
                <w:szCs w:val="16"/>
              </w:rPr>
              <w:t>96,768</w:t>
            </w:r>
          </w:p>
        </w:tc>
        <w:tc>
          <w:tcPr>
            <w:tcW w:w="721" w:type="pct"/>
            <w:tcBorders>
              <w:top w:val="single" w:sz="4" w:space="0" w:color="auto"/>
              <w:left w:val="nil"/>
              <w:bottom w:val="single" w:sz="4" w:space="0" w:color="auto"/>
              <w:right w:val="nil"/>
            </w:tcBorders>
            <w:shd w:val="clear" w:color="auto" w:fill="auto"/>
            <w:noWrap/>
            <w:vAlign w:val="bottom"/>
            <w:hideMark/>
          </w:tcPr>
          <w:p w14:paraId="24B03B37" w14:textId="3668C4EF" w:rsidR="00276BCE" w:rsidRPr="00276BCE" w:rsidRDefault="00276BCE" w:rsidP="00276BCE">
            <w:pPr>
              <w:spacing w:after="0" w:line="240" w:lineRule="auto"/>
              <w:jc w:val="right"/>
              <w:rPr>
                <w:rFonts w:ascii="Arial" w:hAnsi="Arial" w:cs="Arial"/>
                <w:b/>
                <w:bCs/>
                <w:color w:val="000000"/>
                <w:sz w:val="16"/>
                <w:szCs w:val="16"/>
              </w:rPr>
            </w:pPr>
            <w:r w:rsidRPr="00276BCE">
              <w:rPr>
                <w:rFonts w:ascii="Arial" w:hAnsi="Arial" w:cs="Arial"/>
                <w:b/>
                <w:bCs/>
                <w:color w:val="000000"/>
                <w:sz w:val="16"/>
                <w:szCs w:val="16"/>
              </w:rPr>
              <w:t>46,607</w:t>
            </w:r>
          </w:p>
        </w:tc>
        <w:tc>
          <w:tcPr>
            <w:tcW w:w="753" w:type="pct"/>
            <w:tcBorders>
              <w:top w:val="single" w:sz="4" w:space="0" w:color="auto"/>
              <w:left w:val="nil"/>
              <w:bottom w:val="single" w:sz="4" w:space="0" w:color="auto"/>
              <w:right w:val="nil"/>
            </w:tcBorders>
            <w:shd w:val="clear" w:color="auto" w:fill="auto"/>
            <w:noWrap/>
            <w:vAlign w:val="bottom"/>
            <w:hideMark/>
          </w:tcPr>
          <w:p w14:paraId="17DC737E" w14:textId="6C57D6F1" w:rsidR="00276BCE" w:rsidRPr="00276BCE" w:rsidRDefault="00276BCE" w:rsidP="00276BCE">
            <w:pPr>
              <w:spacing w:after="0" w:line="240" w:lineRule="auto"/>
              <w:jc w:val="right"/>
              <w:rPr>
                <w:rFonts w:ascii="Arial" w:hAnsi="Arial" w:cs="Arial"/>
                <w:b/>
                <w:bCs/>
                <w:color w:val="000000"/>
                <w:sz w:val="16"/>
                <w:szCs w:val="16"/>
              </w:rPr>
            </w:pPr>
            <w:r w:rsidRPr="00276BCE">
              <w:rPr>
                <w:rFonts w:ascii="Arial" w:hAnsi="Arial" w:cs="Arial"/>
                <w:b/>
                <w:bCs/>
                <w:color w:val="000000"/>
                <w:sz w:val="16"/>
                <w:szCs w:val="16"/>
              </w:rPr>
              <w:t>67,143</w:t>
            </w:r>
          </w:p>
        </w:tc>
        <w:tc>
          <w:tcPr>
            <w:tcW w:w="631" w:type="pct"/>
            <w:tcBorders>
              <w:top w:val="single" w:sz="4" w:space="0" w:color="auto"/>
              <w:left w:val="nil"/>
              <w:bottom w:val="single" w:sz="4" w:space="0" w:color="auto"/>
              <w:right w:val="nil"/>
            </w:tcBorders>
            <w:shd w:val="clear" w:color="auto" w:fill="auto"/>
            <w:noWrap/>
            <w:vAlign w:val="bottom"/>
            <w:hideMark/>
          </w:tcPr>
          <w:p w14:paraId="7F477054" w14:textId="00DDDEC1" w:rsidR="00276BCE" w:rsidRPr="00276BCE" w:rsidRDefault="00276BCE" w:rsidP="00276BCE">
            <w:pPr>
              <w:spacing w:after="0" w:line="240" w:lineRule="auto"/>
              <w:jc w:val="right"/>
              <w:rPr>
                <w:rFonts w:ascii="Arial" w:hAnsi="Arial" w:cs="Arial"/>
                <w:b/>
                <w:bCs/>
                <w:color w:val="000000"/>
                <w:sz w:val="16"/>
                <w:szCs w:val="16"/>
              </w:rPr>
            </w:pPr>
            <w:r w:rsidRPr="00276BCE">
              <w:rPr>
                <w:rFonts w:ascii="Arial" w:hAnsi="Arial" w:cs="Arial"/>
                <w:b/>
                <w:bCs/>
                <w:color w:val="000000"/>
                <w:sz w:val="16"/>
                <w:szCs w:val="16"/>
              </w:rPr>
              <w:t>210,518</w:t>
            </w:r>
          </w:p>
        </w:tc>
      </w:tr>
      <w:tr w:rsidR="00276BCE" w:rsidRPr="00276BCE" w14:paraId="5F65336E" w14:textId="77777777" w:rsidTr="00276BCE">
        <w:trPr>
          <w:trHeight w:val="204"/>
        </w:trPr>
        <w:tc>
          <w:tcPr>
            <w:tcW w:w="2263" w:type="pct"/>
            <w:tcBorders>
              <w:top w:val="nil"/>
              <w:left w:val="nil"/>
              <w:bottom w:val="single" w:sz="4" w:space="0" w:color="000000"/>
              <w:right w:val="nil"/>
            </w:tcBorders>
            <w:shd w:val="clear" w:color="auto" w:fill="auto"/>
            <w:vAlign w:val="bottom"/>
            <w:hideMark/>
          </w:tcPr>
          <w:p w14:paraId="796E15F8" w14:textId="7674F925" w:rsidR="00276BCE" w:rsidRPr="00276BCE" w:rsidRDefault="00276BCE" w:rsidP="00276BCE">
            <w:pPr>
              <w:spacing w:after="0" w:line="240" w:lineRule="auto"/>
              <w:rPr>
                <w:rFonts w:ascii="Arial" w:hAnsi="Arial" w:cs="Arial"/>
                <w:b/>
                <w:bCs/>
                <w:color w:val="000000"/>
                <w:sz w:val="16"/>
                <w:szCs w:val="16"/>
              </w:rPr>
            </w:pPr>
            <w:r w:rsidRPr="00276BCE">
              <w:rPr>
                <w:rFonts w:ascii="Arial" w:hAnsi="Arial" w:cs="Arial"/>
                <w:b/>
                <w:bCs/>
                <w:color w:val="000000"/>
                <w:sz w:val="16"/>
                <w:szCs w:val="16"/>
              </w:rPr>
              <w:t>Closing balance attributable to the Australian Government</w:t>
            </w:r>
          </w:p>
        </w:tc>
        <w:tc>
          <w:tcPr>
            <w:tcW w:w="631" w:type="pct"/>
            <w:tcBorders>
              <w:top w:val="nil"/>
              <w:left w:val="nil"/>
              <w:bottom w:val="single" w:sz="4" w:space="0" w:color="auto"/>
              <w:right w:val="nil"/>
            </w:tcBorders>
            <w:shd w:val="clear" w:color="auto" w:fill="auto"/>
            <w:noWrap/>
            <w:vAlign w:val="bottom"/>
            <w:hideMark/>
          </w:tcPr>
          <w:p w14:paraId="0F4DBF03" w14:textId="5AB747B0" w:rsidR="00276BCE" w:rsidRPr="00276BCE" w:rsidRDefault="00276BCE" w:rsidP="00276BCE">
            <w:pPr>
              <w:spacing w:after="0" w:line="240" w:lineRule="auto"/>
              <w:jc w:val="right"/>
              <w:rPr>
                <w:rFonts w:ascii="Arial" w:hAnsi="Arial" w:cs="Arial"/>
                <w:b/>
                <w:bCs/>
                <w:color w:val="000000"/>
                <w:sz w:val="16"/>
                <w:szCs w:val="16"/>
              </w:rPr>
            </w:pPr>
            <w:r w:rsidRPr="00276BCE">
              <w:rPr>
                <w:rFonts w:ascii="Arial" w:hAnsi="Arial" w:cs="Arial"/>
                <w:b/>
                <w:bCs/>
                <w:color w:val="000000"/>
                <w:sz w:val="16"/>
                <w:szCs w:val="16"/>
              </w:rPr>
              <w:t>96,768</w:t>
            </w:r>
          </w:p>
        </w:tc>
        <w:tc>
          <w:tcPr>
            <w:tcW w:w="721" w:type="pct"/>
            <w:tcBorders>
              <w:top w:val="nil"/>
              <w:left w:val="nil"/>
              <w:bottom w:val="single" w:sz="4" w:space="0" w:color="auto"/>
              <w:right w:val="nil"/>
            </w:tcBorders>
            <w:shd w:val="clear" w:color="auto" w:fill="auto"/>
            <w:noWrap/>
            <w:vAlign w:val="bottom"/>
            <w:hideMark/>
          </w:tcPr>
          <w:p w14:paraId="34A58991" w14:textId="4445FFE8" w:rsidR="00276BCE" w:rsidRPr="00276BCE" w:rsidRDefault="00276BCE" w:rsidP="00276BCE">
            <w:pPr>
              <w:spacing w:after="0" w:line="240" w:lineRule="auto"/>
              <w:jc w:val="right"/>
              <w:rPr>
                <w:rFonts w:ascii="Arial" w:hAnsi="Arial" w:cs="Arial"/>
                <w:b/>
                <w:bCs/>
                <w:color w:val="000000"/>
                <w:sz w:val="16"/>
                <w:szCs w:val="16"/>
              </w:rPr>
            </w:pPr>
            <w:r w:rsidRPr="00276BCE">
              <w:rPr>
                <w:rFonts w:ascii="Arial" w:hAnsi="Arial" w:cs="Arial"/>
                <w:b/>
                <w:bCs/>
                <w:color w:val="000000"/>
                <w:sz w:val="16"/>
                <w:szCs w:val="16"/>
              </w:rPr>
              <w:t>46,607</w:t>
            </w:r>
          </w:p>
        </w:tc>
        <w:tc>
          <w:tcPr>
            <w:tcW w:w="753" w:type="pct"/>
            <w:tcBorders>
              <w:top w:val="nil"/>
              <w:left w:val="nil"/>
              <w:bottom w:val="single" w:sz="4" w:space="0" w:color="auto"/>
              <w:right w:val="nil"/>
            </w:tcBorders>
            <w:shd w:val="clear" w:color="auto" w:fill="auto"/>
            <w:noWrap/>
            <w:vAlign w:val="bottom"/>
            <w:hideMark/>
          </w:tcPr>
          <w:p w14:paraId="4D9B5159" w14:textId="4C774BD6" w:rsidR="00276BCE" w:rsidRPr="00276BCE" w:rsidRDefault="00276BCE" w:rsidP="00276BCE">
            <w:pPr>
              <w:spacing w:after="0" w:line="240" w:lineRule="auto"/>
              <w:jc w:val="right"/>
              <w:rPr>
                <w:rFonts w:ascii="Arial" w:hAnsi="Arial" w:cs="Arial"/>
                <w:b/>
                <w:bCs/>
                <w:color w:val="000000"/>
                <w:sz w:val="16"/>
                <w:szCs w:val="16"/>
              </w:rPr>
            </w:pPr>
            <w:r w:rsidRPr="00276BCE">
              <w:rPr>
                <w:rFonts w:ascii="Arial" w:hAnsi="Arial" w:cs="Arial"/>
                <w:b/>
                <w:bCs/>
                <w:color w:val="000000"/>
                <w:sz w:val="16"/>
                <w:szCs w:val="16"/>
              </w:rPr>
              <w:t>67,143</w:t>
            </w:r>
          </w:p>
        </w:tc>
        <w:tc>
          <w:tcPr>
            <w:tcW w:w="631" w:type="pct"/>
            <w:tcBorders>
              <w:top w:val="nil"/>
              <w:left w:val="nil"/>
              <w:bottom w:val="single" w:sz="4" w:space="0" w:color="auto"/>
              <w:right w:val="nil"/>
            </w:tcBorders>
            <w:shd w:val="clear" w:color="auto" w:fill="auto"/>
            <w:noWrap/>
            <w:vAlign w:val="bottom"/>
            <w:hideMark/>
          </w:tcPr>
          <w:p w14:paraId="5A8C9CB8" w14:textId="17A52171" w:rsidR="00276BCE" w:rsidRPr="00276BCE" w:rsidRDefault="00276BCE" w:rsidP="00276BCE">
            <w:pPr>
              <w:spacing w:after="0" w:line="240" w:lineRule="auto"/>
              <w:jc w:val="right"/>
              <w:rPr>
                <w:rFonts w:ascii="Arial" w:hAnsi="Arial" w:cs="Arial"/>
                <w:b/>
                <w:bCs/>
                <w:color w:val="000000"/>
                <w:sz w:val="16"/>
                <w:szCs w:val="16"/>
              </w:rPr>
            </w:pPr>
            <w:r w:rsidRPr="00276BCE">
              <w:rPr>
                <w:rFonts w:ascii="Arial" w:hAnsi="Arial" w:cs="Arial"/>
                <w:b/>
                <w:bCs/>
                <w:color w:val="000000"/>
                <w:sz w:val="16"/>
                <w:szCs w:val="16"/>
              </w:rPr>
              <w:t>210,518</w:t>
            </w:r>
          </w:p>
        </w:tc>
      </w:tr>
    </w:tbl>
    <w:p w14:paraId="71754120" w14:textId="15F83125" w:rsidR="00115843" w:rsidRDefault="00115843" w:rsidP="00115843">
      <w:pPr>
        <w:pStyle w:val="TableGraphic"/>
        <w:spacing w:before="60"/>
        <w:rPr>
          <w:rFonts w:ascii="Arial" w:hAnsi="Arial" w:cs="Arial"/>
          <w:sz w:val="16"/>
        </w:rPr>
      </w:pPr>
      <w:r w:rsidRPr="000E5662">
        <w:rPr>
          <w:rFonts w:ascii="Arial" w:hAnsi="Arial" w:cs="Arial"/>
          <w:sz w:val="16"/>
        </w:rPr>
        <w:t>Prepared on Australian Accounting Standards basis</w:t>
      </w:r>
      <w:r>
        <w:rPr>
          <w:rFonts w:ascii="Arial" w:hAnsi="Arial" w:cs="Arial"/>
          <w:sz w:val="16"/>
        </w:rPr>
        <w:t>.</w:t>
      </w:r>
    </w:p>
    <w:p w14:paraId="6D821CA0" w14:textId="14B97A86" w:rsidR="00EB7700" w:rsidRPr="00EB7700" w:rsidRDefault="00EB7700" w:rsidP="00EB7700">
      <w:pPr>
        <w:spacing w:after="0" w:line="240" w:lineRule="auto"/>
        <w:rPr>
          <w:rFonts w:ascii="Arial" w:hAnsi="Arial" w:cs="Arial"/>
          <w:sz w:val="16"/>
          <w:szCs w:val="16"/>
        </w:rPr>
      </w:pPr>
      <w:r w:rsidRPr="00EE6EE6">
        <w:rPr>
          <w:rFonts w:ascii="Arial" w:hAnsi="Arial" w:cs="Arial"/>
          <w:sz w:val="16"/>
          <w:szCs w:val="16"/>
        </w:rPr>
        <w:t>Table has been prepared inclusive of 2022-23 Additional Estimates figures.</w:t>
      </w:r>
    </w:p>
    <w:p w14:paraId="3A5057D2" w14:textId="77777777" w:rsidR="00115843" w:rsidRPr="00A00283" w:rsidRDefault="00115843" w:rsidP="00115843">
      <w:pPr>
        <w:pStyle w:val="TableHeading"/>
      </w:pPr>
      <w:r>
        <w:br w:type="page"/>
      </w: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tbl>
      <w:tblPr>
        <w:tblW w:w="5000" w:type="pct"/>
        <w:tblLook w:val="04A0" w:firstRow="1" w:lastRow="0" w:firstColumn="1" w:lastColumn="0" w:noHBand="0" w:noVBand="1"/>
      </w:tblPr>
      <w:tblGrid>
        <w:gridCol w:w="3238"/>
        <w:gridCol w:w="933"/>
        <w:gridCol w:w="885"/>
        <w:gridCol w:w="885"/>
        <w:gridCol w:w="885"/>
        <w:gridCol w:w="884"/>
      </w:tblGrid>
      <w:tr w:rsidR="00EC06FE" w:rsidRPr="00EC06FE" w14:paraId="2D8FB848" w14:textId="77777777" w:rsidTr="001D4879">
        <w:trPr>
          <w:trHeight w:val="204"/>
        </w:trPr>
        <w:tc>
          <w:tcPr>
            <w:tcW w:w="2100" w:type="pct"/>
            <w:tcBorders>
              <w:top w:val="single" w:sz="4" w:space="0" w:color="auto"/>
              <w:left w:val="nil"/>
              <w:bottom w:val="nil"/>
              <w:right w:val="nil"/>
            </w:tcBorders>
            <w:shd w:val="clear" w:color="auto" w:fill="auto"/>
            <w:noWrap/>
            <w:vAlign w:val="bottom"/>
            <w:hideMark/>
          </w:tcPr>
          <w:p w14:paraId="7CA80CFF" w14:textId="77777777" w:rsidR="00EC06FE" w:rsidRPr="00EC06FE" w:rsidRDefault="00EC06FE" w:rsidP="00EC06FE">
            <w:pPr>
              <w:spacing w:after="0" w:line="240" w:lineRule="auto"/>
              <w:rPr>
                <w:rFonts w:ascii="Arial" w:hAnsi="Arial" w:cs="Arial"/>
                <w:b/>
                <w:bCs/>
                <w:sz w:val="16"/>
                <w:szCs w:val="16"/>
              </w:rPr>
            </w:pPr>
            <w:r w:rsidRPr="00EC06FE">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560790AA" w14:textId="77777777" w:rsidR="00EC06FE" w:rsidRPr="00EC06FE" w:rsidRDefault="00EC06FE" w:rsidP="00EC06FE">
            <w:pPr>
              <w:spacing w:after="0" w:line="240" w:lineRule="auto"/>
              <w:jc w:val="right"/>
              <w:rPr>
                <w:rFonts w:ascii="Arial" w:hAnsi="Arial" w:cs="Arial"/>
                <w:sz w:val="16"/>
                <w:szCs w:val="16"/>
              </w:rPr>
            </w:pPr>
            <w:r w:rsidRPr="00EC06FE">
              <w:rPr>
                <w:rFonts w:ascii="Arial" w:hAnsi="Arial" w:cs="Arial"/>
                <w:sz w:val="16"/>
                <w:szCs w:val="16"/>
              </w:rPr>
              <w:t>2022-23 Estimated actual</w:t>
            </w:r>
            <w:r w:rsidRPr="00EC06FE">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000000" w:fill="E6E6E6"/>
            <w:vAlign w:val="bottom"/>
            <w:hideMark/>
          </w:tcPr>
          <w:p w14:paraId="7B45B7AD" w14:textId="77777777" w:rsidR="00EC06FE" w:rsidRPr="00EC06FE" w:rsidRDefault="00EC06FE" w:rsidP="00EC06FE">
            <w:pPr>
              <w:spacing w:after="0" w:line="240" w:lineRule="auto"/>
              <w:jc w:val="right"/>
              <w:rPr>
                <w:rFonts w:ascii="Arial" w:hAnsi="Arial" w:cs="Arial"/>
                <w:sz w:val="16"/>
                <w:szCs w:val="16"/>
              </w:rPr>
            </w:pPr>
            <w:r w:rsidRPr="00EC06FE">
              <w:rPr>
                <w:rFonts w:ascii="Arial" w:hAnsi="Arial" w:cs="Arial"/>
                <w:sz w:val="16"/>
                <w:szCs w:val="16"/>
              </w:rPr>
              <w:t>2023-24</w:t>
            </w:r>
            <w:r w:rsidRPr="00EC06FE">
              <w:rPr>
                <w:rFonts w:ascii="Arial" w:hAnsi="Arial" w:cs="Arial"/>
                <w:sz w:val="16"/>
                <w:szCs w:val="16"/>
              </w:rPr>
              <w:br/>
              <w:t>Budget</w:t>
            </w:r>
            <w:r w:rsidRPr="00EC06FE">
              <w:rPr>
                <w:rFonts w:ascii="Arial" w:hAnsi="Arial" w:cs="Arial"/>
                <w:sz w:val="16"/>
                <w:szCs w:val="16"/>
              </w:rPr>
              <w:br/>
            </w:r>
            <w:r w:rsidRPr="00EC06FE">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3CA45398" w14:textId="77777777" w:rsidR="00EC06FE" w:rsidRPr="00EC06FE" w:rsidRDefault="00EC06FE" w:rsidP="00EC06FE">
            <w:pPr>
              <w:spacing w:after="0" w:line="240" w:lineRule="auto"/>
              <w:jc w:val="right"/>
              <w:rPr>
                <w:rFonts w:ascii="Arial" w:hAnsi="Arial" w:cs="Arial"/>
                <w:sz w:val="16"/>
                <w:szCs w:val="16"/>
              </w:rPr>
            </w:pPr>
            <w:r w:rsidRPr="00EC06FE">
              <w:rPr>
                <w:rFonts w:ascii="Arial" w:hAnsi="Arial" w:cs="Arial"/>
                <w:sz w:val="16"/>
                <w:szCs w:val="16"/>
              </w:rPr>
              <w:t>2024-25 Forward estimate</w:t>
            </w:r>
            <w:r w:rsidRPr="00EC06FE">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0727CFDB" w14:textId="77777777" w:rsidR="00EC06FE" w:rsidRPr="00EC06FE" w:rsidRDefault="00EC06FE" w:rsidP="00EC06FE">
            <w:pPr>
              <w:spacing w:after="0" w:line="240" w:lineRule="auto"/>
              <w:jc w:val="right"/>
              <w:rPr>
                <w:rFonts w:ascii="Arial" w:hAnsi="Arial" w:cs="Arial"/>
                <w:sz w:val="16"/>
                <w:szCs w:val="16"/>
              </w:rPr>
            </w:pPr>
            <w:r w:rsidRPr="00EC06FE">
              <w:rPr>
                <w:rFonts w:ascii="Arial" w:hAnsi="Arial" w:cs="Arial"/>
                <w:sz w:val="16"/>
                <w:szCs w:val="16"/>
              </w:rPr>
              <w:t>2025-26 Forward estimate</w:t>
            </w:r>
            <w:r w:rsidRPr="00EC06FE">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1D5DABAC" w14:textId="77777777" w:rsidR="00EC06FE" w:rsidRPr="00EC06FE" w:rsidRDefault="00EC06FE" w:rsidP="00EC06FE">
            <w:pPr>
              <w:spacing w:after="0" w:line="240" w:lineRule="auto"/>
              <w:jc w:val="right"/>
              <w:rPr>
                <w:rFonts w:ascii="Arial" w:hAnsi="Arial" w:cs="Arial"/>
                <w:sz w:val="16"/>
                <w:szCs w:val="16"/>
              </w:rPr>
            </w:pPr>
            <w:r w:rsidRPr="00EC06FE">
              <w:rPr>
                <w:rFonts w:ascii="Arial" w:hAnsi="Arial" w:cs="Arial"/>
                <w:sz w:val="16"/>
                <w:szCs w:val="16"/>
              </w:rPr>
              <w:t>2026-27</w:t>
            </w:r>
            <w:r w:rsidRPr="00EC06FE">
              <w:rPr>
                <w:rFonts w:ascii="Arial" w:hAnsi="Arial" w:cs="Arial"/>
                <w:sz w:val="16"/>
                <w:szCs w:val="16"/>
              </w:rPr>
              <w:br/>
              <w:t>Forward estimate</w:t>
            </w:r>
            <w:r w:rsidRPr="00EC06FE">
              <w:rPr>
                <w:rFonts w:ascii="Arial" w:hAnsi="Arial" w:cs="Arial"/>
                <w:sz w:val="16"/>
                <w:szCs w:val="16"/>
              </w:rPr>
              <w:br/>
              <w:t>$'000</w:t>
            </w:r>
          </w:p>
        </w:tc>
      </w:tr>
      <w:tr w:rsidR="00EC06FE" w:rsidRPr="00EC06FE" w14:paraId="5E24D4CF" w14:textId="77777777" w:rsidTr="001D4879">
        <w:trPr>
          <w:trHeight w:val="204"/>
        </w:trPr>
        <w:tc>
          <w:tcPr>
            <w:tcW w:w="2100" w:type="pct"/>
            <w:tcBorders>
              <w:top w:val="nil"/>
              <w:left w:val="nil"/>
              <w:bottom w:val="nil"/>
              <w:right w:val="nil"/>
            </w:tcBorders>
            <w:shd w:val="clear" w:color="auto" w:fill="auto"/>
            <w:noWrap/>
            <w:vAlign w:val="bottom"/>
            <w:hideMark/>
          </w:tcPr>
          <w:p w14:paraId="7D9D70FA" w14:textId="77777777" w:rsidR="00EC06FE" w:rsidRPr="00EC06FE" w:rsidRDefault="00EC06FE" w:rsidP="00EC06FE">
            <w:pPr>
              <w:spacing w:after="0" w:line="240" w:lineRule="auto"/>
              <w:rPr>
                <w:rFonts w:ascii="Arial" w:hAnsi="Arial" w:cs="Arial"/>
                <w:b/>
                <w:bCs/>
                <w:color w:val="000000"/>
                <w:sz w:val="16"/>
                <w:szCs w:val="16"/>
              </w:rPr>
            </w:pPr>
            <w:r w:rsidRPr="00EC06FE">
              <w:rPr>
                <w:rFonts w:ascii="Arial" w:hAnsi="Arial" w:cs="Arial"/>
                <w:b/>
                <w:bCs/>
                <w:color w:val="000000"/>
                <w:sz w:val="16"/>
                <w:szCs w:val="16"/>
              </w:rPr>
              <w:t>OPERATING ACTIVITIES</w:t>
            </w:r>
          </w:p>
        </w:tc>
        <w:tc>
          <w:tcPr>
            <w:tcW w:w="605" w:type="pct"/>
            <w:tcBorders>
              <w:top w:val="nil"/>
              <w:left w:val="nil"/>
              <w:bottom w:val="nil"/>
              <w:right w:val="nil"/>
            </w:tcBorders>
            <w:shd w:val="clear" w:color="auto" w:fill="auto"/>
            <w:noWrap/>
            <w:vAlign w:val="bottom"/>
            <w:hideMark/>
          </w:tcPr>
          <w:p w14:paraId="1C042A52" w14:textId="77777777" w:rsidR="00EC06FE" w:rsidRPr="00EC06FE" w:rsidRDefault="00EC06FE" w:rsidP="001D4879">
            <w:pPr>
              <w:spacing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66D85D3C" w14:textId="4F506E77" w:rsidR="00EC06FE" w:rsidRPr="00EC06FE" w:rsidRDefault="00EC06FE" w:rsidP="001D4879">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157DB1A6" w14:textId="77777777" w:rsidR="00EC06FE" w:rsidRPr="00EC06FE" w:rsidRDefault="00EC06FE" w:rsidP="001D4879">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1214E188" w14:textId="77777777" w:rsidR="00EC06FE" w:rsidRPr="00EC06FE" w:rsidRDefault="00EC06FE" w:rsidP="001D4879">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461CE909" w14:textId="77777777" w:rsidR="00EC06FE" w:rsidRPr="00EC06FE" w:rsidRDefault="00EC06FE" w:rsidP="001D4879">
            <w:pPr>
              <w:spacing w:after="0" w:line="240" w:lineRule="auto"/>
              <w:jc w:val="right"/>
              <w:rPr>
                <w:rFonts w:ascii="Times New Roman" w:hAnsi="Times New Roman"/>
              </w:rPr>
            </w:pPr>
          </w:p>
        </w:tc>
      </w:tr>
      <w:tr w:rsidR="00EC06FE" w:rsidRPr="00EC06FE" w14:paraId="14F4D317" w14:textId="77777777" w:rsidTr="001D4879">
        <w:trPr>
          <w:trHeight w:val="204"/>
        </w:trPr>
        <w:tc>
          <w:tcPr>
            <w:tcW w:w="2100" w:type="pct"/>
            <w:tcBorders>
              <w:top w:val="nil"/>
              <w:left w:val="nil"/>
              <w:bottom w:val="nil"/>
              <w:right w:val="nil"/>
            </w:tcBorders>
            <w:shd w:val="clear" w:color="auto" w:fill="auto"/>
            <w:noWrap/>
            <w:vAlign w:val="bottom"/>
            <w:hideMark/>
          </w:tcPr>
          <w:p w14:paraId="46050189" w14:textId="77777777" w:rsidR="00EC06FE" w:rsidRPr="00EC06FE" w:rsidRDefault="00EC06FE" w:rsidP="00EC06FE">
            <w:pPr>
              <w:spacing w:after="0" w:line="240" w:lineRule="auto"/>
              <w:ind w:left="113"/>
              <w:rPr>
                <w:rFonts w:ascii="Arial" w:hAnsi="Arial" w:cs="Arial"/>
                <w:b/>
                <w:bCs/>
                <w:color w:val="000000"/>
                <w:sz w:val="16"/>
                <w:szCs w:val="16"/>
              </w:rPr>
            </w:pPr>
            <w:r w:rsidRPr="00EC06FE">
              <w:rPr>
                <w:rFonts w:ascii="Arial" w:hAnsi="Arial" w:cs="Arial"/>
                <w:b/>
                <w:bCs/>
                <w:color w:val="000000"/>
                <w:sz w:val="16"/>
                <w:szCs w:val="16"/>
              </w:rPr>
              <w:t>Cash received</w:t>
            </w:r>
          </w:p>
        </w:tc>
        <w:tc>
          <w:tcPr>
            <w:tcW w:w="605" w:type="pct"/>
            <w:tcBorders>
              <w:top w:val="nil"/>
              <w:left w:val="nil"/>
              <w:bottom w:val="nil"/>
              <w:right w:val="nil"/>
            </w:tcBorders>
            <w:shd w:val="clear" w:color="auto" w:fill="auto"/>
            <w:noWrap/>
            <w:vAlign w:val="bottom"/>
            <w:hideMark/>
          </w:tcPr>
          <w:p w14:paraId="4918B3AB" w14:textId="77777777" w:rsidR="00EC06FE" w:rsidRPr="00EC06FE" w:rsidRDefault="00EC06FE" w:rsidP="001D4879">
            <w:pPr>
              <w:spacing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53B18B39" w14:textId="5BAABCF8" w:rsidR="00EC06FE" w:rsidRPr="00EC06FE" w:rsidRDefault="00EC06FE" w:rsidP="001D4879">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5D36FD52" w14:textId="77777777" w:rsidR="00EC06FE" w:rsidRPr="00EC06FE" w:rsidRDefault="00EC06FE" w:rsidP="001D4879">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21A1170C" w14:textId="77777777" w:rsidR="00EC06FE" w:rsidRPr="00EC06FE" w:rsidRDefault="00EC06FE" w:rsidP="001D4879">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3BFDDC2F" w14:textId="77777777" w:rsidR="00EC06FE" w:rsidRPr="00EC06FE" w:rsidRDefault="00EC06FE" w:rsidP="001D4879">
            <w:pPr>
              <w:spacing w:after="0" w:line="240" w:lineRule="auto"/>
              <w:jc w:val="right"/>
              <w:rPr>
                <w:rFonts w:ascii="Times New Roman" w:hAnsi="Times New Roman"/>
              </w:rPr>
            </w:pPr>
          </w:p>
        </w:tc>
      </w:tr>
      <w:tr w:rsidR="001D4879" w:rsidRPr="00EC06FE" w14:paraId="11906D94" w14:textId="77777777" w:rsidTr="001D4879">
        <w:trPr>
          <w:trHeight w:val="204"/>
        </w:trPr>
        <w:tc>
          <w:tcPr>
            <w:tcW w:w="2100" w:type="pct"/>
            <w:tcBorders>
              <w:top w:val="nil"/>
              <w:left w:val="nil"/>
              <w:bottom w:val="nil"/>
              <w:right w:val="nil"/>
            </w:tcBorders>
            <w:shd w:val="clear" w:color="auto" w:fill="auto"/>
            <w:noWrap/>
            <w:vAlign w:val="bottom"/>
            <w:hideMark/>
          </w:tcPr>
          <w:p w14:paraId="0F52CEEF" w14:textId="77777777" w:rsidR="001D4879" w:rsidRPr="00EC06FE" w:rsidRDefault="001D4879" w:rsidP="001D4879">
            <w:pPr>
              <w:spacing w:after="0" w:line="240" w:lineRule="auto"/>
              <w:ind w:left="227"/>
              <w:rPr>
                <w:rFonts w:ascii="Arial" w:hAnsi="Arial" w:cs="Arial"/>
                <w:color w:val="000000"/>
                <w:sz w:val="16"/>
                <w:szCs w:val="16"/>
              </w:rPr>
            </w:pPr>
            <w:r w:rsidRPr="00EC06FE">
              <w:rPr>
                <w:rFonts w:ascii="Arial" w:hAnsi="Arial" w:cs="Arial"/>
                <w:color w:val="000000"/>
                <w:sz w:val="16"/>
                <w:szCs w:val="16"/>
              </w:rPr>
              <w:t>Appropriations</w:t>
            </w:r>
          </w:p>
        </w:tc>
        <w:tc>
          <w:tcPr>
            <w:tcW w:w="605" w:type="pct"/>
            <w:tcBorders>
              <w:top w:val="nil"/>
              <w:left w:val="nil"/>
              <w:bottom w:val="nil"/>
              <w:right w:val="nil"/>
            </w:tcBorders>
            <w:shd w:val="clear" w:color="auto" w:fill="auto"/>
            <w:noWrap/>
            <w:vAlign w:val="bottom"/>
            <w:hideMark/>
          </w:tcPr>
          <w:p w14:paraId="76D9556D" w14:textId="7076A878"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431,019</w:t>
            </w:r>
          </w:p>
        </w:tc>
        <w:tc>
          <w:tcPr>
            <w:tcW w:w="574" w:type="pct"/>
            <w:tcBorders>
              <w:top w:val="nil"/>
              <w:left w:val="nil"/>
              <w:bottom w:val="nil"/>
              <w:right w:val="nil"/>
            </w:tcBorders>
            <w:shd w:val="clear" w:color="000000" w:fill="E6E6E6"/>
            <w:noWrap/>
            <w:vAlign w:val="bottom"/>
            <w:hideMark/>
          </w:tcPr>
          <w:p w14:paraId="0AAF360E" w14:textId="1329EF58"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438,763</w:t>
            </w:r>
          </w:p>
        </w:tc>
        <w:tc>
          <w:tcPr>
            <w:tcW w:w="574" w:type="pct"/>
            <w:tcBorders>
              <w:top w:val="nil"/>
              <w:left w:val="nil"/>
              <w:bottom w:val="nil"/>
              <w:right w:val="nil"/>
            </w:tcBorders>
            <w:shd w:val="clear" w:color="auto" w:fill="auto"/>
            <w:noWrap/>
            <w:vAlign w:val="bottom"/>
            <w:hideMark/>
          </w:tcPr>
          <w:p w14:paraId="7EB96982" w14:textId="4ACFBE3D"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385,045</w:t>
            </w:r>
          </w:p>
        </w:tc>
        <w:tc>
          <w:tcPr>
            <w:tcW w:w="574" w:type="pct"/>
            <w:tcBorders>
              <w:top w:val="nil"/>
              <w:left w:val="nil"/>
              <w:bottom w:val="nil"/>
              <w:right w:val="nil"/>
            </w:tcBorders>
            <w:shd w:val="clear" w:color="auto" w:fill="auto"/>
            <w:noWrap/>
            <w:vAlign w:val="bottom"/>
            <w:hideMark/>
          </w:tcPr>
          <w:p w14:paraId="2A11A9CC" w14:textId="1EC1F7A3"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360,008</w:t>
            </w:r>
          </w:p>
        </w:tc>
        <w:tc>
          <w:tcPr>
            <w:tcW w:w="573" w:type="pct"/>
            <w:tcBorders>
              <w:top w:val="nil"/>
              <w:left w:val="nil"/>
              <w:bottom w:val="nil"/>
              <w:right w:val="nil"/>
            </w:tcBorders>
            <w:shd w:val="clear" w:color="auto" w:fill="auto"/>
            <w:noWrap/>
            <w:vAlign w:val="bottom"/>
            <w:hideMark/>
          </w:tcPr>
          <w:p w14:paraId="02ABBD79" w14:textId="1245FB04"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331,985</w:t>
            </w:r>
          </w:p>
        </w:tc>
      </w:tr>
      <w:tr w:rsidR="001D4879" w:rsidRPr="00EC06FE" w14:paraId="6CA6406F" w14:textId="77777777" w:rsidTr="001D4879">
        <w:trPr>
          <w:trHeight w:val="204"/>
        </w:trPr>
        <w:tc>
          <w:tcPr>
            <w:tcW w:w="2100" w:type="pct"/>
            <w:tcBorders>
              <w:top w:val="nil"/>
              <w:left w:val="nil"/>
              <w:bottom w:val="nil"/>
              <w:right w:val="nil"/>
            </w:tcBorders>
            <w:shd w:val="clear" w:color="auto" w:fill="auto"/>
            <w:vAlign w:val="bottom"/>
            <w:hideMark/>
          </w:tcPr>
          <w:p w14:paraId="311813F0" w14:textId="1324E784" w:rsidR="001D4879" w:rsidRPr="00EC06FE" w:rsidRDefault="001D4879" w:rsidP="001D4879">
            <w:pPr>
              <w:spacing w:after="0" w:line="240" w:lineRule="auto"/>
              <w:ind w:left="227"/>
              <w:rPr>
                <w:rFonts w:ascii="Arial" w:hAnsi="Arial" w:cs="Arial"/>
                <w:color w:val="000000"/>
                <w:sz w:val="16"/>
                <w:szCs w:val="16"/>
              </w:rPr>
            </w:pPr>
            <w:r w:rsidRPr="00EC06FE">
              <w:rPr>
                <w:rFonts w:ascii="Arial" w:hAnsi="Arial" w:cs="Arial"/>
                <w:color w:val="000000"/>
                <w:sz w:val="16"/>
                <w:szCs w:val="16"/>
              </w:rPr>
              <w:t>Sale of goods and rendering of services</w:t>
            </w:r>
          </w:p>
        </w:tc>
        <w:tc>
          <w:tcPr>
            <w:tcW w:w="605" w:type="pct"/>
            <w:tcBorders>
              <w:top w:val="nil"/>
              <w:left w:val="nil"/>
              <w:bottom w:val="nil"/>
              <w:right w:val="nil"/>
            </w:tcBorders>
            <w:shd w:val="clear" w:color="auto" w:fill="auto"/>
            <w:noWrap/>
            <w:vAlign w:val="bottom"/>
            <w:hideMark/>
          </w:tcPr>
          <w:p w14:paraId="03C1B1A9" w14:textId="2EE79E25"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8,284</w:t>
            </w:r>
          </w:p>
        </w:tc>
        <w:tc>
          <w:tcPr>
            <w:tcW w:w="574" w:type="pct"/>
            <w:tcBorders>
              <w:top w:val="nil"/>
              <w:left w:val="nil"/>
              <w:bottom w:val="nil"/>
              <w:right w:val="nil"/>
            </w:tcBorders>
            <w:shd w:val="clear" w:color="000000" w:fill="E6E6E6"/>
            <w:noWrap/>
            <w:vAlign w:val="bottom"/>
            <w:hideMark/>
          </w:tcPr>
          <w:p w14:paraId="38C96135" w14:textId="06AAC2D1"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8,795</w:t>
            </w:r>
          </w:p>
        </w:tc>
        <w:tc>
          <w:tcPr>
            <w:tcW w:w="574" w:type="pct"/>
            <w:tcBorders>
              <w:top w:val="nil"/>
              <w:left w:val="nil"/>
              <w:bottom w:val="nil"/>
              <w:right w:val="nil"/>
            </w:tcBorders>
            <w:shd w:val="clear" w:color="auto" w:fill="auto"/>
            <w:noWrap/>
            <w:vAlign w:val="bottom"/>
            <w:hideMark/>
          </w:tcPr>
          <w:p w14:paraId="20A30CAA" w14:textId="60008971"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8,284</w:t>
            </w:r>
          </w:p>
        </w:tc>
        <w:tc>
          <w:tcPr>
            <w:tcW w:w="574" w:type="pct"/>
            <w:tcBorders>
              <w:top w:val="nil"/>
              <w:left w:val="nil"/>
              <w:bottom w:val="nil"/>
              <w:right w:val="nil"/>
            </w:tcBorders>
            <w:shd w:val="clear" w:color="auto" w:fill="auto"/>
            <w:noWrap/>
            <w:vAlign w:val="bottom"/>
            <w:hideMark/>
          </w:tcPr>
          <w:p w14:paraId="2A29AA81" w14:textId="0FA592C3"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8,284</w:t>
            </w:r>
          </w:p>
        </w:tc>
        <w:tc>
          <w:tcPr>
            <w:tcW w:w="573" w:type="pct"/>
            <w:tcBorders>
              <w:top w:val="nil"/>
              <w:left w:val="nil"/>
              <w:bottom w:val="nil"/>
              <w:right w:val="nil"/>
            </w:tcBorders>
            <w:shd w:val="clear" w:color="auto" w:fill="auto"/>
            <w:noWrap/>
            <w:vAlign w:val="bottom"/>
            <w:hideMark/>
          </w:tcPr>
          <w:p w14:paraId="1B7EDB0D" w14:textId="5DFC0D18"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8,284</w:t>
            </w:r>
          </w:p>
        </w:tc>
      </w:tr>
      <w:tr w:rsidR="001D4879" w:rsidRPr="00EC06FE" w14:paraId="3BF303F2" w14:textId="77777777" w:rsidTr="001D4879">
        <w:trPr>
          <w:trHeight w:val="204"/>
        </w:trPr>
        <w:tc>
          <w:tcPr>
            <w:tcW w:w="2100" w:type="pct"/>
            <w:tcBorders>
              <w:top w:val="nil"/>
              <w:left w:val="nil"/>
              <w:bottom w:val="nil"/>
              <w:right w:val="nil"/>
            </w:tcBorders>
            <w:shd w:val="clear" w:color="auto" w:fill="auto"/>
            <w:noWrap/>
            <w:vAlign w:val="bottom"/>
            <w:hideMark/>
          </w:tcPr>
          <w:p w14:paraId="4102E3CD" w14:textId="77777777" w:rsidR="001D4879" w:rsidRPr="00EC06FE" w:rsidRDefault="001D4879" w:rsidP="001D4879">
            <w:pPr>
              <w:spacing w:after="0" w:line="240" w:lineRule="auto"/>
              <w:ind w:left="227"/>
              <w:rPr>
                <w:rFonts w:ascii="Arial" w:hAnsi="Arial" w:cs="Arial"/>
                <w:color w:val="000000"/>
                <w:sz w:val="16"/>
                <w:szCs w:val="16"/>
              </w:rPr>
            </w:pPr>
            <w:r w:rsidRPr="00EC06FE">
              <w:rPr>
                <w:rFonts w:ascii="Arial" w:hAnsi="Arial" w:cs="Arial"/>
                <w:color w:val="000000"/>
                <w:sz w:val="16"/>
                <w:szCs w:val="16"/>
              </w:rPr>
              <w:t>Net GST received</w:t>
            </w:r>
          </w:p>
        </w:tc>
        <w:tc>
          <w:tcPr>
            <w:tcW w:w="605" w:type="pct"/>
            <w:tcBorders>
              <w:top w:val="nil"/>
              <w:left w:val="nil"/>
              <w:bottom w:val="nil"/>
              <w:right w:val="nil"/>
            </w:tcBorders>
            <w:shd w:val="clear" w:color="auto" w:fill="auto"/>
            <w:noWrap/>
            <w:vAlign w:val="bottom"/>
            <w:hideMark/>
          </w:tcPr>
          <w:p w14:paraId="26EA0485" w14:textId="298F2BC9"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15,402</w:t>
            </w:r>
          </w:p>
        </w:tc>
        <w:tc>
          <w:tcPr>
            <w:tcW w:w="574" w:type="pct"/>
            <w:tcBorders>
              <w:top w:val="nil"/>
              <w:left w:val="nil"/>
              <w:bottom w:val="nil"/>
              <w:right w:val="nil"/>
            </w:tcBorders>
            <w:shd w:val="clear" w:color="000000" w:fill="E6E6E6"/>
            <w:noWrap/>
            <w:vAlign w:val="bottom"/>
            <w:hideMark/>
          </w:tcPr>
          <w:p w14:paraId="7ABC1C02" w14:textId="748F7E3B"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15,402</w:t>
            </w:r>
          </w:p>
        </w:tc>
        <w:tc>
          <w:tcPr>
            <w:tcW w:w="574" w:type="pct"/>
            <w:tcBorders>
              <w:top w:val="nil"/>
              <w:left w:val="nil"/>
              <w:bottom w:val="nil"/>
              <w:right w:val="nil"/>
            </w:tcBorders>
            <w:shd w:val="clear" w:color="auto" w:fill="auto"/>
            <w:noWrap/>
            <w:vAlign w:val="bottom"/>
            <w:hideMark/>
          </w:tcPr>
          <w:p w14:paraId="1D8B73B0" w14:textId="3FEA90D3"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15,402</w:t>
            </w:r>
          </w:p>
        </w:tc>
        <w:tc>
          <w:tcPr>
            <w:tcW w:w="574" w:type="pct"/>
            <w:tcBorders>
              <w:top w:val="nil"/>
              <w:left w:val="nil"/>
              <w:bottom w:val="nil"/>
              <w:right w:val="nil"/>
            </w:tcBorders>
            <w:shd w:val="clear" w:color="auto" w:fill="auto"/>
            <w:noWrap/>
            <w:vAlign w:val="bottom"/>
            <w:hideMark/>
          </w:tcPr>
          <w:p w14:paraId="09E1DD44" w14:textId="24C2BE01"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15,402</w:t>
            </w:r>
          </w:p>
        </w:tc>
        <w:tc>
          <w:tcPr>
            <w:tcW w:w="573" w:type="pct"/>
            <w:tcBorders>
              <w:top w:val="nil"/>
              <w:left w:val="nil"/>
              <w:bottom w:val="nil"/>
              <w:right w:val="nil"/>
            </w:tcBorders>
            <w:shd w:val="clear" w:color="auto" w:fill="auto"/>
            <w:noWrap/>
            <w:vAlign w:val="bottom"/>
            <w:hideMark/>
          </w:tcPr>
          <w:p w14:paraId="38F22144" w14:textId="5DFFED8D"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15,402</w:t>
            </w:r>
          </w:p>
        </w:tc>
      </w:tr>
      <w:tr w:rsidR="001D4879" w:rsidRPr="00EC06FE" w14:paraId="31F6D5F6" w14:textId="77777777" w:rsidTr="001D4879">
        <w:trPr>
          <w:trHeight w:val="204"/>
        </w:trPr>
        <w:tc>
          <w:tcPr>
            <w:tcW w:w="2100" w:type="pct"/>
            <w:tcBorders>
              <w:top w:val="nil"/>
              <w:left w:val="nil"/>
              <w:bottom w:val="nil"/>
              <w:right w:val="nil"/>
            </w:tcBorders>
            <w:shd w:val="clear" w:color="auto" w:fill="auto"/>
            <w:noWrap/>
            <w:vAlign w:val="bottom"/>
            <w:hideMark/>
          </w:tcPr>
          <w:p w14:paraId="74EB375F" w14:textId="77777777" w:rsidR="001D4879" w:rsidRPr="00EC06FE" w:rsidRDefault="001D4879" w:rsidP="001D4879">
            <w:pPr>
              <w:spacing w:after="0" w:line="240" w:lineRule="auto"/>
              <w:ind w:left="227"/>
              <w:rPr>
                <w:rFonts w:ascii="Arial" w:hAnsi="Arial" w:cs="Arial"/>
                <w:color w:val="000000"/>
                <w:sz w:val="16"/>
                <w:szCs w:val="16"/>
              </w:rPr>
            </w:pPr>
            <w:r w:rsidRPr="00EC06FE">
              <w:rPr>
                <w:rFonts w:ascii="Arial" w:hAnsi="Arial" w:cs="Arial"/>
                <w:color w:val="000000"/>
                <w:sz w:val="16"/>
                <w:szCs w:val="16"/>
              </w:rPr>
              <w:t xml:space="preserve">Other </w:t>
            </w:r>
          </w:p>
        </w:tc>
        <w:tc>
          <w:tcPr>
            <w:tcW w:w="605" w:type="pct"/>
            <w:tcBorders>
              <w:top w:val="nil"/>
              <w:left w:val="nil"/>
              <w:bottom w:val="nil"/>
              <w:right w:val="nil"/>
            </w:tcBorders>
            <w:shd w:val="clear" w:color="auto" w:fill="auto"/>
            <w:noWrap/>
            <w:vAlign w:val="bottom"/>
            <w:hideMark/>
          </w:tcPr>
          <w:p w14:paraId="7EB83D41" w14:textId="3E49151C"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4,680</w:t>
            </w:r>
          </w:p>
        </w:tc>
        <w:tc>
          <w:tcPr>
            <w:tcW w:w="574" w:type="pct"/>
            <w:tcBorders>
              <w:top w:val="nil"/>
              <w:left w:val="nil"/>
              <w:bottom w:val="nil"/>
              <w:right w:val="nil"/>
            </w:tcBorders>
            <w:shd w:val="clear" w:color="000000" w:fill="E6E6E6"/>
            <w:noWrap/>
            <w:vAlign w:val="bottom"/>
            <w:hideMark/>
          </w:tcPr>
          <w:p w14:paraId="7D12EFA7" w14:textId="14BBB9AD"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5,807</w:t>
            </w:r>
          </w:p>
        </w:tc>
        <w:tc>
          <w:tcPr>
            <w:tcW w:w="574" w:type="pct"/>
            <w:tcBorders>
              <w:top w:val="nil"/>
              <w:left w:val="nil"/>
              <w:bottom w:val="nil"/>
              <w:right w:val="nil"/>
            </w:tcBorders>
            <w:shd w:val="clear" w:color="auto" w:fill="auto"/>
            <w:noWrap/>
            <w:vAlign w:val="bottom"/>
            <w:hideMark/>
          </w:tcPr>
          <w:p w14:paraId="5A80E269" w14:textId="00CEE7E9"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5,807</w:t>
            </w:r>
          </w:p>
        </w:tc>
        <w:tc>
          <w:tcPr>
            <w:tcW w:w="574" w:type="pct"/>
            <w:tcBorders>
              <w:top w:val="nil"/>
              <w:left w:val="nil"/>
              <w:bottom w:val="nil"/>
              <w:right w:val="nil"/>
            </w:tcBorders>
            <w:shd w:val="clear" w:color="auto" w:fill="auto"/>
            <w:noWrap/>
            <w:vAlign w:val="bottom"/>
            <w:hideMark/>
          </w:tcPr>
          <w:p w14:paraId="1D7AC305" w14:textId="1CA382C1"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5,807</w:t>
            </w:r>
          </w:p>
        </w:tc>
        <w:tc>
          <w:tcPr>
            <w:tcW w:w="573" w:type="pct"/>
            <w:tcBorders>
              <w:top w:val="nil"/>
              <w:left w:val="nil"/>
              <w:bottom w:val="nil"/>
              <w:right w:val="nil"/>
            </w:tcBorders>
            <w:shd w:val="clear" w:color="auto" w:fill="auto"/>
            <w:noWrap/>
            <w:vAlign w:val="bottom"/>
            <w:hideMark/>
          </w:tcPr>
          <w:p w14:paraId="09984760" w14:textId="47DBE6ED"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5,807</w:t>
            </w:r>
          </w:p>
        </w:tc>
      </w:tr>
      <w:tr w:rsidR="001D4879" w:rsidRPr="00EC06FE" w14:paraId="286CC38E" w14:textId="77777777" w:rsidTr="001D4879">
        <w:trPr>
          <w:trHeight w:val="204"/>
        </w:trPr>
        <w:tc>
          <w:tcPr>
            <w:tcW w:w="2100" w:type="pct"/>
            <w:tcBorders>
              <w:top w:val="nil"/>
              <w:left w:val="nil"/>
              <w:bottom w:val="nil"/>
              <w:right w:val="nil"/>
            </w:tcBorders>
            <w:shd w:val="clear" w:color="auto" w:fill="auto"/>
            <w:noWrap/>
            <w:vAlign w:val="bottom"/>
            <w:hideMark/>
          </w:tcPr>
          <w:p w14:paraId="657B1F06" w14:textId="77777777" w:rsidR="001D4879" w:rsidRPr="00EC06FE" w:rsidRDefault="001D4879" w:rsidP="001D4879">
            <w:pPr>
              <w:spacing w:after="0" w:line="240" w:lineRule="auto"/>
              <w:ind w:left="113"/>
              <w:rPr>
                <w:rFonts w:ascii="Arial" w:hAnsi="Arial" w:cs="Arial"/>
                <w:b/>
                <w:bCs/>
                <w:color w:val="000000"/>
                <w:sz w:val="16"/>
                <w:szCs w:val="16"/>
              </w:rPr>
            </w:pPr>
            <w:r w:rsidRPr="00EC06FE">
              <w:rPr>
                <w:rFonts w:ascii="Arial" w:hAnsi="Arial" w:cs="Arial"/>
                <w:b/>
                <w:bCs/>
                <w:color w:val="000000"/>
                <w:sz w:val="16"/>
                <w:szCs w:val="16"/>
              </w:rPr>
              <w:t>Total cash received</w:t>
            </w:r>
          </w:p>
        </w:tc>
        <w:tc>
          <w:tcPr>
            <w:tcW w:w="605" w:type="pct"/>
            <w:tcBorders>
              <w:top w:val="single" w:sz="4" w:space="0" w:color="000000"/>
              <w:left w:val="nil"/>
              <w:bottom w:val="single" w:sz="4" w:space="0" w:color="000000"/>
              <w:right w:val="nil"/>
            </w:tcBorders>
            <w:shd w:val="clear" w:color="auto" w:fill="auto"/>
            <w:noWrap/>
            <w:vAlign w:val="bottom"/>
            <w:hideMark/>
          </w:tcPr>
          <w:p w14:paraId="3F620F28" w14:textId="5A36FC02" w:rsidR="001D4879" w:rsidRPr="00EC06FE" w:rsidRDefault="001D4879" w:rsidP="001D487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459,385</w:t>
            </w:r>
          </w:p>
        </w:tc>
        <w:tc>
          <w:tcPr>
            <w:tcW w:w="574" w:type="pct"/>
            <w:tcBorders>
              <w:top w:val="single" w:sz="4" w:space="0" w:color="000000"/>
              <w:left w:val="nil"/>
              <w:bottom w:val="single" w:sz="4" w:space="0" w:color="000000"/>
              <w:right w:val="nil"/>
            </w:tcBorders>
            <w:shd w:val="clear" w:color="000000" w:fill="E6E6E6"/>
            <w:noWrap/>
            <w:vAlign w:val="bottom"/>
            <w:hideMark/>
          </w:tcPr>
          <w:p w14:paraId="2FEC538A" w14:textId="0A6EBC16" w:rsidR="001D4879" w:rsidRPr="00EC06FE" w:rsidRDefault="001D4879" w:rsidP="001D487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468,767</w:t>
            </w:r>
          </w:p>
        </w:tc>
        <w:tc>
          <w:tcPr>
            <w:tcW w:w="574" w:type="pct"/>
            <w:tcBorders>
              <w:top w:val="single" w:sz="4" w:space="0" w:color="000000"/>
              <w:left w:val="nil"/>
              <w:bottom w:val="single" w:sz="4" w:space="0" w:color="000000"/>
              <w:right w:val="nil"/>
            </w:tcBorders>
            <w:shd w:val="clear" w:color="auto" w:fill="auto"/>
            <w:noWrap/>
            <w:vAlign w:val="bottom"/>
            <w:hideMark/>
          </w:tcPr>
          <w:p w14:paraId="184D9F17" w14:textId="553245EC" w:rsidR="001D4879" w:rsidRPr="00EC06FE" w:rsidRDefault="001D4879" w:rsidP="001D487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414,538</w:t>
            </w:r>
          </w:p>
        </w:tc>
        <w:tc>
          <w:tcPr>
            <w:tcW w:w="574" w:type="pct"/>
            <w:tcBorders>
              <w:top w:val="single" w:sz="4" w:space="0" w:color="000000"/>
              <w:left w:val="nil"/>
              <w:bottom w:val="single" w:sz="4" w:space="0" w:color="000000"/>
              <w:right w:val="nil"/>
            </w:tcBorders>
            <w:shd w:val="clear" w:color="auto" w:fill="auto"/>
            <w:noWrap/>
            <w:vAlign w:val="bottom"/>
            <w:hideMark/>
          </w:tcPr>
          <w:p w14:paraId="74DCF38B" w14:textId="04B155D7" w:rsidR="001D4879" w:rsidRPr="00EC06FE" w:rsidRDefault="001D4879" w:rsidP="001D487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389,501</w:t>
            </w:r>
          </w:p>
        </w:tc>
        <w:tc>
          <w:tcPr>
            <w:tcW w:w="573" w:type="pct"/>
            <w:tcBorders>
              <w:top w:val="single" w:sz="4" w:space="0" w:color="000000"/>
              <w:left w:val="nil"/>
              <w:bottom w:val="single" w:sz="4" w:space="0" w:color="000000"/>
              <w:right w:val="nil"/>
            </w:tcBorders>
            <w:shd w:val="clear" w:color="auto" w:fill="auto"/>
            <w:noWrap/>
            <w:vAlign w:val="bottom"/>
            <w:hideMark/>
          </w:tcPr>
          <w:p w14:paraId="5B78128E" w14:textId="2236CA30" w:rsidR="001D4879" w:rsidRPr="00EC06FE" w:rsidRDefault="001D4879" w:rsidP="001D487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361,478</w:t>
            </w:r>
          </w:p>
        </w:tc>
      </w:tr>
      <w:tr w:rsidR="001D4879" w:rsidRPr="00EC06FE" w14:paraId="4F9938F4" w14:textId="77777777" w:rsidTr="001D4879">
        <w:trPr>
          <w:trHeight w:val="204"/>
        </w:trPr>
        <w:tc>
          <w:tcPr>
            <w:tcW w:w="2100" w:type="pct"/>
            <w:tcBorders>
              <w:top w:val="nil"/>
              <w:left w:val="nil"/>
              <w:bottom w:val="nil"/>
              <w:right w:val="nil"/>
            </w:tcBorders>
            <w:shd w:val="clear" w:color="auto" w:fill="auto"/>
            <w:noWrap/>
            <w:vAlign w:val="bottom"/>
            <w:hideMark/>
          </w:tcPr>
          <w:p w14:paraId="6F96DCA0" w14:textId="77777777" w:rsidR="001D4879" w:rsidRPr="00EC06FE" w:rsidRDefault="001D4879" w:rsidP="001D4879">
            <w:pPr>
              <w:spacing w:after="0" w:line="240" w:lineRule="auto"/>
              <w:ind w:left="113"/>
              <w:rPr>
                <w:rFonts w:ascii="Arial" w:hAnsi="Arial" w:cs="Arial"/>
                <w:b/>
                <w:bCs/>
                <w:color w:val="000000"/>
                <w:sz w:val="16"/>
                <w:szCs w:val="16"/>
              </w:rPr>
            </w:pPr>
            <w:r w:rsidRPr="00EC06FE">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099ACF41" w14:textId="77777777" w:rsidR="001D4879" w:rsidRPr="00EC06FE" w:rsidRDefault="001D4879" w:rsidP="001D4879">
            <w:pPr>
              <w:spacing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130D9E19" w14:textId="2AF745F1" w:rsidR="001D4879" w:rsidRPr="00EC06FE" w:rsidRDefault="001D4879" w:rsidP="001D4879">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0C76E260" w14:textId="77777777" w:rsidR="001D4879" w:rsidRPr="00EC06FE" w:rsidRDefault="001D4879" w:rsidP="001D4879">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47D746AE" w14:textId="77777777" w:rsidR="001D4879" w:rsidRPr="00EC06FE" w:rsidRDefault="001D4879" w:rsidP="001D4879">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28BF57D4" w14:textId="77777777" w:rsidR="001D4879" w:rsidRPr="00EC06FE" w:rsidRDefault="001D4879" w:rsidP="001D4879">
            <w:pPr>
              <w:spacing w:after="0" w:line="240" w:lineRule="auto"/>
              <w:jc w:val="right"/>
              <w:rPr>
                <w:rFonts w:ascii="Times New Roman" w:hAnsi="Times New Roman"/>
              </w:rPr>
            </w:pPr>
          </w:p>
        </w:tc>
      </w:tr>
      <w:tr w:rsidR="001D4879" w:rsidRPr="00EC06FE" w14:paraId="2620664C" w14:textId="77777777" w:rsidTr="001D4879">
        <w:trPr>
          <w:trHeight w:val="204"/>
        </w:trPr>
        <w:tc>
          <w:tcPr>
            <w:tcW w:w="2100" w:type="pct"/>
            <w:tcBorders>
              <w:top w:val="nil"/>
              <w:left w:val="nil"/>
              <w:bottom w:val="nil"/>
              <w:right w:val="nil"/>
            </w:tcBorders>
            <w:shd w:val="clear" w:color="auto" w:fill="auto"/>
            <w:noWrap/>
            <w:vAlign w:val="bottom"/>
            <w:hideMark/>
          </w:tcPr>
          <w:p w14:paraId="442AD9C8" w14:textId="77777777" w:rsidR="001D4879" w:rsidRPr="00EC06FE" w:rsidRDefault="001D4879" w:rsidP="001D4879">
            <w:pPr>
              <w:spacing w:after="0" w:line="240" w:lineRule="auto"/>
              <w:ind w:left="227"/>
              <w:rPr>
                <w:rFonts w:ascii="Arial" w:hAnsi="Arial" w:cs="Arial"/>
                <w:color w:val="000000"/>
                <w:sz w:val="16"/>
                <w:szCs w:val="16"/>
              </w:rPr>
            </w:pPr>
            <w:r w:rsidRPr="00EC06FE">
              <w:rPr>
                <w:rFonts w:ascii="Arial" w:hAnsi="Arial" w:cs="Arial"/>
                <w:color w:val="000000"/>
                <w:sz w:val="16"/>
                <w:szCs w:val="16"/>
              </w:rPr>
              <w:t>Employees</w:t>
            </w:r>
          </w:p>
        </w:tc>
        <w:tc>
          <w:tcPr>
            <w:tcW w:w="605" w:type="pct"/>
            <w:tcBorders>
              <w:top w:val="nil"/>
              <w:left w:val="nil"/>
              <w:bottom w:val="nil"/>
              <w:right w:val="nil"/>
            </w:tcBorders>
            <w:shd w:val="clear" w:color="auto" w:fill="auto"/>
            <w:noWrap/>
            <w:vAlign w:val="bottom"/>
            <w:hideMark/>
          </w:tcPr>
          <w:p w14:paraId="3AF1B223" w14:textId="6B42F25C"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262,722</w:t>
            </w:r>
          </w:p>
        </w:tc>
        <w:tc>
          <w:tcPr>
            <w:tcW w:w="574" w:type="pct"/>
            <w:tcBorders>
              <w:top w:val="nil"/>
              <w:left w:val="nil"/>
              <w:bottom w:val="nil"/>
              <w:right w:val="nil"/>
            </w:tcBorders>
            <w:shd w:val="clear" w:color="000000" w:fill="E6E6E6"/>
            <w:noWrap/>
            <w:vAlign w:val="bottom"/>
            <w:hideMark/>
          </w:tcPr>
          <w:p w14:paraId="654BB271" w14:textId="02589C07"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290,564</w:t>
            </w:r>
          </w:p>
        </w:tc>
        <w:tc>
          <w:tcPr>
            <w:tcW w:w="574" w:type="pct"/>
            <w:tcBorders>
              <w:top w:val="nil"/>
              <w:left w:val="nil"/>
              <w:bottom w:val="nil"/>
              <w:right w:val="nil"/>
            </w:tcBorders>
            <w:shd w:val="clear" w:color="auto" w:fill="auto"/>
            <w:noWrap/>
            <w:vAlign w:val="bottom"/>
            <w:hideMark/>
          </w:tcPr>
          <w:p w14:paraId="24098F11" w14:textId="1C665B89"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241,543</w:t>
            </w:r>
          </w:p>
        </w:tc>
        <w:tc>
          <w:tcPr>
            <w:tcW w:w="574" w:type="pct"/>
            <w:tcBorders>
              <w:top w:val="nil"/>
              <w:left w:val="nil"/>
              <w:bottom w:val="nil"/>
              <w:right w:val="nil"/>
            </w:tcBorders>
            <w:shd w:val="clear" w:color="auto" w:fill="auto"/>
            <w:noWrap/>
            <w:vAlign w:val="bottom"/>
            <w:hideMark/>
          </w:tcPr>
          <w:p w14:paraId="1DC235E0" w14:textId="1DD269F2"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228,815</w:t>
            </w:r>
          </w:p>
        </w:tc>
        <w:tc>
          <w:tcPr>
            <w:tcW w:w="573" w:type="pct"/>
            <w:tcBorders>
              <w:top w:val="nil"/>
              <w:left w:val="nil"/>
              <w:bottom w:val="nil"/>
              <w:right w:val="nil"/>
            </w:tcBorders>
            <w:shd w:val="clear" w:color="auto" w:fill="auto"/>
            <w:noWrap/>
            <w:vAlign w:val="bottom"/>
            <w:hideMark/>
          </w:tcPr>
          <w:p w14:paraId="3E999CC7" w14:textId="2C3724DC"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225,256</w:t>
            </w:r>
          </w:p>
        </w:tc>
      </w:tr>
      <w:tr w:rsidR="001D4879" w:rsidRPr="00EC06FE" w14:paraId="66A8E0DD" w14:textId="77777777" w:rsidTr="001D4879">
        <w:trPr>
          <w:trHeight w:val="204"/>
        </w:trPr>
        <w:tc>
          <w:tcPr>
            <w:tcW w:w="2100" w:type="pct"/>
            <w:tcBorders>
              <w:top w:val="nil"/>
              <w:left w:val="nil"/>
              <w:bottom w:val="nil"/>
              <w:right w:val="nil"/>
            </w:tcBorders>
            <w:shd w:val="clear" w:color="auto" w:fill="auto"/>
            <w:noWrap/>
            <w:vAlign w:val="bottom"/>
            <w:hideMark/>
          </w:tcPr>
          <w:p w14:paraId="44012995" w14:textId="77777777" w:rsidR="001D4879" w:rsidRPr="00EC06FE" w:rsidRDefault="001D4879" w:rsidP="001D4879">
            <w:pPr>
              <w:spacing w:after="0" w:line="240" w:lineRule="auto"/>
              <w:ind w:left="227"/>
              <w:rPr>
                <w:rFonts w:ascii="Arial" w:hAnsi="Arial" w:cs="Arial"/>
                <w:color w:val="000000"/>
                <w:sz w:val="16"/>
                <w:szCs w:val="16"/>
              </w:rPr>
            </w:pPr>
            <w:r w:rsidRPr="00EC06FE">
              <w:rPr>
                <w:rFonts w:ascii="Arial" w:hAnsi="Arial" w:cs="Arial"/>
                <w:color w:val="000000"/>
                <w:sz w:val="16"/>
                <w:szCs w:val="16"/>
              </w:rPr>
              <w:t>Suppliers</w:t>
            </w:r>
          </w:p>
        </w:tc>
        <w:tc>
          <w:tcPr>
            <w:tcW w:w="605" w:type="pct"/>
            <w:tcBorders>
              <w:top w:val="nil"/>
              <w:left w:val="nil"/>
              <w:bottom w:val="nil"/>
              <w:right w:val="nil"/>
            </w:tcBorders>
            <w:shd w:val="clear" w:color="auto" w:fill="auto"/>
            <w:noWrap/>
            <w:vAlign w:val="bottom"/>
            <w:hideMark/>
          </w:tcPr>
          <w:p w14:paraId="7BA506E7" w14:textId="5A8DCB63"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149,278</w:t>
            </w:r>
          </w:p>
        </w:tc>
        <w:tc>
          <w:tcPr>
            <w:tcW w:w="574" w:type="pct"/>
            <w:tcBorders>
              <w:top w:val="nil"/>
              <w:left w:val="nil"/>
              <w:bottom w:val="nil"/>
              <w:right w:val="nil"/>
            </w:tcBorders>
            <w:shd w:val="clear" w:color="000000" w:fill="E6E6E6"/>
            <w:noWrap/>
            <w:vAlign w:val="bottom"/>
            <w:hideMark/>
          </w:tcPr>
          <w:p w14:paraId="0506BA97" w14:textId="0CC0690A"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154,118</w:t>
            </w:r>
          </w:p>
        </w:tc>
        <w:tc>
          <w:tcPr>
            <w:tcW w:w="574" w:type="pct"/>
            <w:tcBorders>
              <w:top w:val="nil"/>
              <w:left w:val="nil"/>
              <w:bottom w:val="nil"/>
              <w:right w:val="nil"/>
            </w:tcBorders>
            <w:shd w:val="clear" w:color="auto" w:fill="auto"/>
            <w:noWrap/>
            <w:vAlign w:val="bottom"/>
            <w:hideMark/>
          </w:tcPr>
          <w:p w14:paraId="6E30F145" w14:textId="4C8A5077"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151,110</w:t>
            </w:r>
          </w:p>
        </w:tc>
        <w:tc>
          <w:tcPr>
            <w:tcW w:w="574" w:type="pct"/>
            <w:tcBorders>
              <w:top w:val="nil"/>
              <w:left w:val="nil"/>
              <w:bottom w:val="nil"/>
              <w:right w:val="nil"/>
            </w:tcBorders>
            <w:shd w:val="clear" w:color="auto" w:fill="auto"/>
            <w:noWrap/>
            <w:vAlign w:val="bottom"/>
            <w:hideMark/>
          </w:tcPr>
          <w:p w14:paraId="66A4C9AB" w14:textId="713DC908"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138,801</w:t>
            </w:r>
          </w:p>
        </w:tc>
        <w:tc>
          <w:tcPr>
            <w:tcW w:w="573" w:type="pct"/>
            <w:tcBorders>
              <w:top w:val="nil"/>
              <w:left w:val="nil"/>
              <w:bottom w:val="nil"/>
              <w:right w:val="nil"/>
            </w:tcBorders>
            <w:shd w:val="clear" w:color="auto" w:fill="auto"/>
            <w:noWrap/>
            <w:vAlign w:val="bottom"/>
            <w:hideMark/>
          </w:tcPr>
          <w:p w14:paraId="5AD98AA6" w14:textId="6A563602"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114,337</w:t>
            </w:r>
          </w:p>
        </w:tc>
      </w:tr>
      <w:tr w:rsidR="001D4879" w:rsidRPr="00EC06FE" w14:paraId="5A153598" w14:textId="77777777" w:rsidTr="001D4879">
        <w:trPr>
          <w:trHeight w:val="204"/>
        </w:trPr>
        <w:tc>
          <w:tcPr>
            <w:tcW w:w="2100" w:type="pct"/>
            <w:tcBorders>
              <w:top w:val="nil"/>
              <w:left w:val="nil"/>
              <w:bottom w:val="nil"/>
              <w:right w:val="nil"/>
            </w:tcBorders>
            <w:shd w:val="clear" w:color="auto" w:fill="auto"/>
            <w:vAlign w:val="bottom"/>
            <w:hideMark/>
          </w:tcPr>
          <w:p w14:paraId="77C760F6" w14:textId="77777777" w:rsidR="001D4879" w:rsidRPr="00EC06FE" w:rsidRDefault="001D4879" w:rsidP="001D4879">
            <w:pPr>
              <w:spacing w:after="0" w:line="240" w:lineRule="auto"/>
              <w:ind w:left="227"/>
              <w:rPr>
                <w:rFonts w:ascii="Arial" w:hAnsi="Arial" w:cs="Arial"/>
                <w:color w:val="000000"/>
                <w:sz w:val="16"/>
                <w:szCs w:val="16"/>
              </w:rPr>
            </w:pPr>
            <w:r w:rsidRPr="00EC06FE">
              <w:rPr>
                <w:rFonts w:ascii="Arial" w:hAnsi="Arial" w:cs="Arial"/>
                <w:color w:val="000000"/>
                <w:sz w:val="16"/>
                <w:szCs w:val="16"/>
              </w:rPr>
              <w:t>Interest payments on lease liability</w:t>
            </w:r>
          </w:p>
        </w:tc>
        <w:tc>
          <w:tcPr>
            <w:tcW w:w="605" w:type="pct"/>
            <w:tcBorders>
              <w:top w:val="nil"/>
              <w:left w:val="nil"/>
              <w:bottom w:val="nil"/>
              <w:right w:val="nil"/>
            </w:tcBorders>
            <w:shd w:val="clear" w:color="auto" w:fill="auto"/>
            <w:noWrap/>
            <w:vAlign w:val="bottom"/>
            <w:hideMark/>
          </w:tcPr>
          <w:p w14:paraId="36DFC60A" w14:textId="0862DF8B"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1,942</w:t>
            </w:r>
          </w:p>
        </w:tc>
        <w:tc>
          <w:tcPr>
            <w:tcW w:w="574" w:type="pct"/>
            <w:tcBorders>
              <w:top w:val="nil"/>
              <w:left w:val="nil"/>
              <w:bottom w:val="nil"/>
              <w:right w:val="nil"/>
            </w:tcBorders>
            <w:shd w:val="clear" w:color="000000" w:fill="E6E6E6"/>
            <w:noWrap/>
            <w:vAlign w:val="bottom"/>
            <w:hideMark/>
          </w:tcPr>
          <w:p w14:paraId="41BD2D19" w14:textId="542691CA"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1,824</w:t>
            </w:r>
          </w:p>
        </w:tc>
        <w:tc>
          <w:tcPr>
            <w:tcW w:w="574" w:type="pct"/>
            <w:tcBorders>
              <w:top w:val="nil"/>
              <w:left w:val="nil"/>
              <w:bottom w:val="nil"/>
              <w:right w:val="nil"/>
            </w:tcBorders>
            <w:shd w:val="clear" w:color="auto" w:fill="auto"/>
            <w:noWrap/>
            <w:vAlign w:val="bottom"/>
            <w:hideMark/>
          </w:tcPr>
          <w:p w14:paraId="1177EC28" w14:textId="66B3D85C"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1,824</w:t>
            </w:r>
          </w:p>
        </w:tc>
        <w:tc>
          <w:tcPr>
            <w:tcW w:w="574" w:type="pct"/>
            <w:tcBorders>
              <w:top w:val="nil"/>
              <w:left w:val="nil"/>
              <w:bottom w:val="nil"/>
              <w:right w:val="nil"/>
            </w:tcBorders>
            <w:shd w:val="clear" w:color="auto" w:fill="auto"/>
            <w:noWrap/>
            <w:vAlign w:val="bottom"/>
            <w:hideMark/>
          </w:tcPr>
          <w:p w14:paraId="40AB665D" w14:textId="1C80236E"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1,824</w:t>
            </w:r>
          </w:p>
        </w:tc>
        <w:tc>
          <w:tcPr>
            <w:tcW w:w="573" w:type="pct"/>
            <w:tcBorders>
              <w:top w:val="nil"/>
              <w:left w:val="nil"/>
              <w:bottom w:val="nil"/>
              <w:right w:val="nil"/>
            </w:tcBorders>
            <w:shd w:val="clear" w:color="auto" w:fill="auto"/>
            <w:noWrap/>
            <w:vAlign w:val="bottom"/>
            <w:hideMark/>
          </w:tcPr>
          <w:p w14:paraId="0A82E198" w14:textId="7ADBFCE9"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1,824</w:t>
            </w:r>
          </w:p>
        </w:tc>
      </w:tr>
      <w:tr w:rsidR="001D4879" w:rsidRPr="00EC06FE" w14:paraId="75CA7A66" w14:textId="77777777" w:rsidTr="001D4879">
        <w:trPr>
          <w:trHeight w:val="204"/>
        </w:trPr>
        <w:tc>
          <w:tcPr>
            <w:tcW w:w="2100" w:type="pct"/>
            <w:tcBorders>
              <w:top w:val="nil"/>
              <w:left w:val="nil"/>
              <w:bottom w:val="nil"/>
              <w:right w:val="nil"/>
            </w:tcBorders>
            <w:shd w:val="clear" w:color="auto" w:fill="auto"/>
            <w:noWrap/>
            <w:vAlign w:val="bottom"/>
            <w:hideMark/>
          </w:tcPr>
          <w:p w14:paraId="7AB5FCF4" w14:textId="77777777" w:rsidR="001D4879" w:rsidRPr="00EC06FE" w:rsidRDefault="001D4879" w:rsidP="001D4879">
            <w:pPr>
              <w:spacing w:after="0" w:line="240" w:lineRule="auto"/>
              <w:ind w:left="227"/>
              <w:rPr>
                <w:rFonts w:ascii="Arial" w:hAnsi="Arial" w:cs="Arial"/>
                <w:color w:val="000000"/>
                <w:sz w:val="16"/>
                <w:szCs w:val="16"/>
              </w:rPr>
            </w:pPr>
            <w:r w:rsidRPr="00EC06FE">
              <w:rPr>
                <w:rFonts w:ascii="Arial" w:hAnsi="Arial" w:cs="Arial"/>
                <w:color w:val="000000"/>
                <w:sz w:val="16"/>
                <w:szCs w:val="16"/>
              </w:rPr>
              <w:t>Other</w:t>
            </w:r>
          </w:p>
        </w:tc>
        <w:tc>
          <w:tcPr>
            <w:tcW w:w="605" w:type="pct"/>
            <w:tcBorders>
              <w:top w:val="nil"/>
              <w:left w:val="nil"/>
              <w:bottom w:val="nil"/>
              <w:right w:val="nil"/>
            </w:tcBorders>
            <w:shd w:val="clear" w:color="auto" w:fill="auto"/>
            <w:noWrap/>
            <w:vAlign w:val="bottom"/>
            <w:hideMark/>
          </w:tcPr>
          <w:p w14:paraId="32B61CB2" w14:textId="6482818F"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4,466</w:t>
            </w:r>
          </w:p>
        </w:tc>
        <w:tc>
          <w:tcPr>
            <w:tcW w:w="574" w:type="pct"/>
            <w:tcBorders>
              <w:top w:val="nil"/>
              <w:left w:val="nil"/>
              <w:bottom w:val="nil"/>
              <w:right w:val="nil"/>
            </w:tcBorders>
            <w:shd w:val="clear" w:color="000000" w:fill="E6E6E6"/>
            <w:noWrap/>
            <w:vAlign w:val="bottom"/>
            <w:hideMark/>
          </w:tcPr>
          <w:p w14:paraId="0F779C7A" w14:textId="7DB14228"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2,266</w:t>
            </w:r>
          </w:p>
        </w:tc>
        <w:tc>
          <w:tcPr>
            <w:tcW w:w="574" w:type="pct"/>
            <w:tcBorders>
              <w:top w:val="nil"/>
              <w:left w:val="nil"/>
              <w:bottom w:val="nil"/>
              <w:right w:val="nil"/>
            </w:tcBorders>
            <w:shd w:val="clear" w:color="auto" w:fill="auto"/>
            <w:noWrap/>
            <w:vAlign w:val="bottom"/>
            <w:hideMark/>
          </w:tcPr>
          <w:p w14:paraId="7ABAB68E" w14:textId="1443F85D"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66</w:t>
            </w:r>
          </w:p>
        </w:tc>
        <w:tc>
          <w:tcPr>
            <w:tcW w:w="574" w:type="pct"/>
            <w:tcBorders>
              <w:top w:val="nil"/>
              <w:left w:val="nil"/>
              <w:bottom w:val="nil"/>
              <w:right w:val="nil"/>
            </w:tcBorders>
            <w:shd w:val="clear" w:color="auto" w:fill="auto"/>
            <w:noWrap/>
            <w:vAlign w:val="bottom"/>
            <w:hideMark/>
          </w:tcPr>
          <w:p w14:paraId="67FA554D" w14:textId="0E9BB6C5"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66</w:t>
            </w:r>
          </w:p>
        </w:tc>
        <w:tc>
          <w:tcPr>
            <w:tcW w:w="573" w:type="pct"/>
            <w:tcBorders>
              <w:top w:val="nil"/>
              <w:left w:val="nil"/>
              <w:bottom w:val="nil"/>
              <w:right w:val="nil"/>
            </w:tcBorders>
            <w:shd w:val="clear" w:color="auto" w:fill="auto"/>
            <w:noWrap/>
            <w:vAlign w:val="bottom"/>
            <w:hideMark/>
          </w:tcPr>
          <w:p w14:paraId="09A76496" w14:textId="06BF52C6"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66</w:t>
            </w:r>
          </w:p>
        </w:tc>
      </w:tr>
      <w:tr w:rsidR="001D4879" w:rsidRPr="00EC06FE" w14:paraId="67803FCA" w14:textId="77777777" w:rsidTr="001D4879">
        <w:trPr>
          <w:trHeight w:val="204"/>
        </w:trPr>
        <w:tc>
          <w:tcPr>
            <w:tcW w:w="2100" w:type="pct"/>
            <w:tcBorders>
              <w:top w:val="nil"/>
              <w:left w:val="nil"/>
              <w:bottom w:val="nil"/>
              <w:right w:val="nil"/>
            </w:tcBorders>
            <w:shd w:val="clear" w:color="auto" w:fill="auto"/>
            <w:noWrap/>
            <w:vAlign w:val="bottom"/>
            <w:hideMark/>
          </w:tcPr>
          <w:p w14:paraId="73C685D3" w14:textId="77777777" w:rsidR="001D4879" w:rsidRPr="00EC06FE" w:rsidRDefault="001D4879" w:rsidP="001D4879">
            <w:pPr>
              <w:spacing w:after="0" w:line="240" w:lineRule="auto"/>
              <w:ind w:left="113"/>
              <w:rPr>
                <w:rFonts w:ascii="Arial" w:hAnsi="Arial" w:cs="Arial"/>
                <w:b/>
                <w:bCs/>
                <w:i/>
                <w:iCs/>
                <w:color w:val="000000"/>
                <w:sz w:val="16"/>
                <w:szCs w:val="16"/>
              </w:rPr>
            </w:pPr>
            <w:r w:rsidRPr="00EC06FE">
              <w:rPr>
                <w:rFonts w:ascii="Arial" w:hAnsi="Arial" w:cs="Arial"/>
                <w:b/>
                <w:bCs/>
                <w:i/>
                <w:iCs/>
                <w:color w:val="000000"/>
                <w:sz w:val="16"/>
                <w:szCs w:val="16"/>
              </w:rPr>
              <w:t>Total cash used</w:t>
            </w:r>
          </w:p>
        </w:tc>
        <w:tc>
          <w:tcPr>
            <w:tcW w:w="605" w:type="pct"/>
            <w:tcBorders>
              <w:top w:val="single" w:sz="4" w:space="0" w:color="000000"/>
              <w:left w:val="nil"/>
              <w:bottom w:val="nil"/>
              <w:right w:val="nil"/>
            </w:tcBorders>
            <w:shd w:val="clear" w:color="auto" w:fill="auto"/>
            <w:noWrap/>
            <w:vAlign w:val="bottom"/>
            <w:hideMark/>
          </w:tcPr>
          <w:p w14:paraId="2208E9B6" w14:textId="74D73A09" w:rsidR="001D4879" w:rsidRPr="00EC06FE" w:rsidRDefault="001D4879" w:rsidP="001D487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418,408</w:t>
            </w:r>
          </w:p>
        </w:tc>
        <w:tc>
          <w:tcPr>
            <w:tcW w:w="574" w:type="pct"/>
            <w:tcBorders>
              <w:top w:val="single" w:sz="4" w:space="0" w:color="000000"/>
              <w:left w:val="nil"/>
              <w:bottom w:val="nil"/>
              <w:right w:val="nil"/>
            </w:tcBorders>
            <w:shd w:val="clear" w:color="000000" w:fill="E6E6E6"/>
            <w:noWrap/>
            <w:vAlign w:val="bottom"/>
            <w:hideMark/>
          </w:tcPr>
          <w:p w14:paraId="4AFAC0E9" w14:textId="7FDA6FBD" w:rsidR="001D4879" w:rsidRPr="00EC06FE" w:rsidRDefault="001D4879" w:rsidP="001D487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448,772</w:t>
            </w:r>
          </w:p>
        </w:tc>
        <w:tc>
          <w:tcPr>
            <w:tcW w:w="574" w:type="pct"/>
            <w:tcBorders>
              <w:top w:val="single" w:sz="4" w:space="0" w:color="000000"/>
              <w:left w:val="nil"/>
              <w:bottom w:val="nil"/>
              <w:right w:val="nil"/>
            </w:tcBorders>
            <w:shd w:val="clear" w:color="auto" w:fill="auto"/>
            <w:noWrap/>
            <w:vAlign w:val="bottom"/>
            <w:hideMark/>
          </w:tcPr>
          <w:p w14:paraId="10C783AA" w14:textId="79FDAB41" w:rsidR="001D4879" w:rsidRPr="00EC06FE" w:rsidRDefault="001D4879" w:rsidP="001D487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394,543</w:t>
            </w:r>
          </w:p>
        </w:tc>
        <w:tc>
          <w:tcPr>
            <w:tcW w:w="574" w:type="pct"/>
            <w:tcBorders>
              <w:top w:val="single" w:sz="4" w:space="0" w:color="000000"/>
              <w:left w:val="nil"/>
              <w:bottom w:val="nil"/>
              <w:right w:val="nil"/>
            </w:tcBorders>
            <w:shd w:val="clear" w:color="auto" w:fill="auto"/>
            <w:noWrap/>
            <w:vAlign w:val="bottom"/>
            <w:hideMark/>
          </w:tcPr>
          <w:p w14:paraId="5112BC24" w14:textId="139FD7B9" w:rsidR="001D4879" w:rsidRPr="00EC06FE" w:rsidRDefault="001D4879" w:rsidP="001D487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369,506</w:t>
            </w:r>
          </w:p>
        </w:tc>
        <w:tc>
          <w:tcPr>
            <w:tcW w:w="573" w:type="pct"/>
            <w:tcBorders>
              <w:top w:val="single" w:sz="4" w:space="0" w:color="000000"/>
              <w:left w:val="nil"/>
              <w:bottom w:val="nil"/>
              <w:right w:val="nil"/>
            </w:tcBorders>
            <w:shd w:val="clear" w:color="auto" w:fill="auto"/>
            <w:noWrap/>
            <w:vAlign w:val="bottom"/>
            <w:hideMark/>
          </w:tcPr>
          <w:p w14:paraId="56C8916F" w14:textId="76239877" w:rsidR="001D4879" w:rsidRPr="00EC06FE" w:rsidRDefault="001D4879" w:rsidP="001D487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341,483</w:t>
            </w:r>
          </w:p>
        </w:tc>
      </w:tr>
      <w:tr w:rsidR="001D4879" w:rsidRPr="00EC06FE" w14:paraId="3FA582A1" w14:textId="77777777" w:rsidTr="001D4879">
        <w:trPr>
          <w:trHeight w:val="204"/>
        </w:trPr>
        <w:tc>
          <w:tcPr>
            <w:tcW w:w="2100" w:type="pct"/>
            <w:tcBorders>
              <w:top w:val="nil"/>
              <w:left w:val="nil"/>
              <w:bottom w:val="nil"/>
              <w:right w:val="nil"/>
            </w:tcBorders>
            <w:shd w:val="clear" w:color="auto" w:fill="auto"/>
            <w:vAlign w:val="bottom"/>
            <w:hideMark/>
          </w:tcPr>
          <w:p w14:paraId="3E1C1AE0" w14:textId="78096308" w:rsidR="001D4879" w:rsidRPr="00EC06FE" w:rsidRDefault="001D4879" w:rsidP="001D4879">
            <w:pPr>
              <w:spacing w:after="0" w:line="240" w:lineRule="auto"/>
              <w:rPr>
                <w:rFonts w:ascii="Arial" w:hAnsi="Arial" w:cs="Arial"/>
                <w:b/>
                <w:bCs/>
                <w:color w:val="000000"/>
                <w:sz w:val="16"/>
                <w:szCs w:val="16"/>
              </w:rPr>
            </w:pPr>
            <w:r w:rsidRPr="00EC06FE">
              <w:rPr>
                <w:rFonts w:ascii="Arial" w:hAnsi="Arial" w:cs="Arial"/>
                <w:b/>
                <w:bCs/>
                <w:color w:val="000000"/>
                <w:sz w:val="16"/>
                <w:szCs w:val="16"/>
              </w:rPr>
              <w:t>Net cash from/(used by) operating activities</w:t>
            </w:r>
          </w:p>
        </w:tc>
        <w:tc>
          <w:tcPr>
            <w:tcW w:w="605" w:type="pct"/>
            <w:tcBorders>
              <w:top w:val="single" w:sz="4" w:space="0" w:color="auto"/>
              <w:left w:val="nil"/>
              <w:bottom w:val="single" w:sz="4" w:space="0" w:color="auto"/>
              <w:right w:val="nil"/>
            </w:tcBorders>
            <w:shd w:val="clear" w:color="auto" w:fill="auto"/>
            <w:noWrap/>
            <w:vAlign w:val="bottom"/>
            <w:hideMark/>
          </w:tcPr>
          <w:p w14:paraId="573FCBD4" w14:textId="4E9CF947" w:rsidR="001D4879" w:rsidRPr="00EC06FE" w:rsidRDefault="001D4879" w:rsidP="001D4879">
            <w:pPr>
              <w:spacing w:after="0" w:line="240" w:lineRule="auto"/>
              <w:jc w:val="right"/>
              <w:rPr>
                <w:rFonts w:ascii="Arial" w:hAnsi="Arial" w:cs="Arial"/>
                <w:b/>
                <w:bCs/>
                <w:color w:val="000000"/>
                <w:sz w:val="16"/>
                <w:szCs w:val="16"/>
              </w:rPr>
            </w:pPr>
            <w:r>
              <w:rPr>
                <w:rFonts w:ascii="Arial" w:hAnsi="Arial" w:cs="Arial"/>
                <w:b/>
                <w:bCs/>
                <w:color w:val="000000"/>
                <w:sz w:val="16"/>
                <w:szCs w:val="16"/>
              </w:rPr>
              <w:t>40,977</w:t>
            </w:r>
          </w:p>
        </w:tc>
        <w:tc>
          <w:tcPr>
            <w:tcW w:w="574" w:type="pct"/>
            <w:tcBorders>
              <w:top w:val="single" w:sz="4" w:space="0" w:color="auto"/>
              <w:left w:val="nil"/>
              <w:bottom w:val="single" w:sz="4" w:space="0" w:color="auto"/>
              <w:right w:val="nil"/>
            </w:tcBorders>
            <w:shd w:val="clear" w:color="000000" w:fill="E6E6E6"/>
            <w:noWrap/>
            <w:vAlign w:val="bottom"/>
            <w:hideMark/>
          </w:tcPr>
          <w:p w14:paraId="457B76A8" w14:textId="7713EFEE" w:rsidR="001D4879" w:rsidRPr="00EC06FE" w:rsidRDefault="001D4879" w:rsidP="001D4879">
            <w:pPr>
              <w:spacing w:after="0" w:line="240" w:lineRule="auto"/>
              <w:jc w:val="right"/>
              <w:rPr>
                <w:rFonts w:ascii="Arial" w:hAnsi="Arial" w:cs="Arial"/>
                <w:b/>
                <w:bCs/>
                <w:color w:val="000000"/>
                <w:sz w:val="16"/>
                <w:szCs w:val="16"/>
              </w:rPr>
            </w:pPr>
            <w:r>
              <w:rPr>
                <w:rFonts w:ascii="Arial" w:hAnsi="Arial" w:cs="Arial"/>
                <w:b/>
                <w:bCs/>
                <w:color w:val="000000"/>
                <w:sz w:val="16"/>
                <w:szCs w:val="16"/>
              </w:rPr>
              <w:t>19,995</w:t>
            </w:r>
          </w:p>
        </w:tc>
        <w:tc>
          <w:tcPr>
            <w:tcW w:w="574" w:type="pct"/>
            <w:tcBorders>
              <w:top w:val="single" w:sz="4" w:space="0" w:color="auto"/>
              <w:left w:val="nil"/>
              <w:bottom w:val="single" w:sz="4" w:space="0" w:color="auto"/>
              <w:right w:val="nil"/>
            </w:tcBorders>
            <w:shd w:val="clear" w:color="auto" w:fill="auto"/>
            <w:noWrap/>
            <w:vAlign w:val="bottom"/>
            <w:hideMark/>
          </w:tcPr>
          <w:p w14:paraId="2C83E16D" w14:textId="52E8872E" w:rsidR="001D4879" w:rsidRPr="00EC06FE" w:rsidRDefault="001D4879" w:rsidP="001D4879">
            <w:pPr>
              <w:spacing w:after="0" w:line="240" w:lineRule="auto"/>
              <w:jc w:val="right"/>
              <w:rPr>
                <w:rFonts w:ascii="Arial" w:hAnsi="Arial" w:cs="Arial"/>
                <w:b/>
                <w:bCs/>
                <w:color w:val="000000"/>
                <w:sz w:val="16"/>
                <w:szCs w:val="16"/>
              </w:rPr>
            </w:pPr>
            <w:r>
              <w:rPr>
                <w:rFonts w:ascii="Arial" w:hAnsi="Arial" w:cs="Arial"/>
                <w:b/>
                <w:bCs/>
                <w:color w:val="000000"/>
                <w:sz w:val="16"/>
                <w:szCs w:val="16"/>
              </w:rPr>
              <w:t>19,995</w:t>
            </w:r>
          </w:p>
        </w:tc>
        <w:tc>
          <w:tcPr>
            <w:tcW w:w="574" w:type="pct"/>
            <w:tcBorders>
              <w:top w:val="single" w:sz="4" w:space="0" w:color="auto"/>
              <w:left w:val="nil"/>
              <w:bottom w:val="single" w:sz="4" w:space="0" w:color="auto"/>
              <w:right w:val="nil"/>
            </w:tcBorders>
            <w:shd w:val="clear" w:color="auto" w:fill="auto"/>
            <w:noWrap/>
            <w:vAlign w:val="bottom"/>
            <w:hideMark/>
          </w:tcPr>
          <w:p w14:paraId="5A6BD6A2" w14:textId="3D96C428" w:rsidR="001D4879" w:rsidRPr="00EC06FE" w:rsidRDefault="001D4879" w:rsidP="001D4879">
            <w:pPr>
              <w:spacing w:after="0" w:line="240" w:lineRule="auto"/>
              <w:jc w:val="right"/>
              <w:rPr>
                <w:rFonts w:ascii="Arial" w:hAnsi="Arial" w:cs="Arial"/>
                <w:b/>
                <w:bCs/>
                <w:color w:val="000000"/>
                <w:sz w:val="16"/>
                <w:szCs w:val="16"/>
              </w:rPr>
            </w:pPr>
            <w:r>
              <w:rPr>
                <w:rFonts w:ascii="Arial" w:hAnsi="Arial" w:cs="Arial"/>
                <w:b/>
                <w:bCs/>
                <w:color w:val="000000"/>
                <w:sz w:val="16"/>
                <w:szCs w:val="16"/>
              </w:rPr>
              <w:t>19,995</w:t>
            </w:r>
          </w:p>
        </w:tc>
        <w:tc>
          <w:tcPr>
            <w:tcW w:w="573" w:type="pct"/>
            <w:tcBorders>
              <w:top w:val="single" w:sz="4" w:space="0" w:color="auto"/>
              <w:left w:val="nil"/>
              <w:bottom w:val="single" w:sz="4" w:space="0" w:color="auto"/>
              <w:right w:val="nil"/>
            </w:tcBorders>
            <w:shd w:val="clear" w:color="auto" w:fill="auto"/>
            <w:noWrap/>
            <w:vAlign w:val="bottom"/>
            <w:hideMark/>
          </w:tcPr>
          <w:p w14:paraId="7615DBFD" w14:textId="5BF00134" w:rsidR="001D4879" w:rsidRPr="00EC06FE" w:rsidRDefault="001D4879" w:rsidP="001D4879">
            <w:pPr>
              <w:spacing w:after="0" w:line="240" w:lineRule="auto"/>
              <w:jc w:val="right"/>
              <w:rPr>
                <w:rFonts w:ascii="Arial" w:hAnsi="Arial" w:cs="Arial"/>
                <w:b/>
                <w:bCs/>
                <w:color w:val="000000"/>
                <w:sz w:val="16"/>
                <w:szCs w:val="16"/>
              </w:rPr>
            </w:pPr>
            <w:r>
              <w:rPr>
                <w:rFonts w:ascii="Arial" w:hAnsi="Arial" w:cs="Arial"/>
                <w:b/>
                <w:bCs/>
                <w:color w:val="000000"/>
                <w:sz w:val="16"/>
                <w:szCs w:val="16"/>
              </w:rPr>
              <w:t>19,995</w:t>
            </w:r>
          </w:p>
        </w:tc>
      </w:tr>
      <w:tr w:rsidR="001D4879" w:rsidRPr="00EC06FE" w14:paraId="0953597B" w14:textId="77777777" w:rsidTr="001D4879">
        <w:trPr>
          <w:trHeight w:val="204"/>
        </w:trPr>
        <w:tc>
          <w:tcPr>
            <w:tcW w:w="2100" w:type="pct"/>
            <w:tcBorders>
              <w:top w:val="nil"/>
              <w:left w:val="nil"/>
              <w:bottom w:val="nil"/>
              <w:right w:val="nil"/>
            </w:tcBorders>
            <w:shd w:val="clear" w:color="auto" w:fill="auto"/>
            <w:noWrap/>
            <w:vAlign w:val="bottom"/>
            <w:hideMark/>
          </w:tcPr>
          <w:p w14:paraId="4B912EEF" w14:textId="77777777" w:rsidR="001D4879" w:rsidRPr="00EC06FE" w:rsidRDefault="001D4879" w:rsidP="001D4879">
            <w:pPr>
              <w:spacing w:after="0" w:line="240" w:lineRule="auto"/>
              <w:rPr>
                <w:rFonts w:ascii="Arial" w:hAnsi="Arial" w:cs="Arial"/>
                <w:b/>
                <w:bCs/>
                <w:color w:val="000000"/>
                <w:sz w:val="16"/>
                <w:szCs w:val="16"/>
              </w:rPr>
            </w:pPr>
            <w:r w:rsidRPr="00EC06FE">
              <w:rPr>
                <w:rFonts w:ascii="Arial" w:hAnsi="Arial" w:cs="Arial"/>
                <w:b/>
                <w:bCs/>
                <w:color w:val="000000"/>
                <w:sz w:val="16"/>
                <w:szCs w:val="16"/>
              </w:rPr>
              <w:t>INVESTING ACTIVITIES</w:t>
            </w:r>
          </w:p>
        </w:tc>
        <w:tc>
          <w:tcPr>
            <w:tcW w:w="605" w:type="pct"/>
            <w:tcBorders>
              <w:top w:val="nil"/>
              <w:left w:val="nil"/>
              <w:bottom w:val="nil"/>
              <w:right w:val="nil"/>
            </w:tcBorders>
            <w:shd w:val="clear" w:color="auto" w:fill="auto"/>
            <w:noWrap/>
            <w:vAlign w:val="bottom"/>
            <w:hideMark/>
          </w:tcPr>
          <w:p w14:paraId="1BC25580" w14:textId="77777777" w:rsidR="001D4879" w:rsidRPr="00EC06FE" w:rsidRDefault="001D4879" w:rsidP="001D4879">
            <w:pPr>
              <w:spacing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0956DEB4" w14:textId="216B1D75" w:rsidR="001D4879" w:rsidRPr="00EC06FE" w:rsidRDefault="001D4879" w:rsidP="001D4879">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64AA52A4" w14:textId="77777777" w:rsidR="001D4879" w:rsidRPr="00EC06FE" w:rsidRDefault="001D4879" w:rsidP="001D4879">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753140B5" w14:textId="77777777" w:rsidR="001D4879" w:rsidRPr="00EC06FE" w:rsidRDefault="001D4879" w:rsidP="001D4879">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7D8C4581" w14:textId="77777777" w:rsidR="001D4879" w:rsidRPr="00EC06FE" w:rsidRDefault="001D4879" w:rsidP="001D4879">
            <w:pPr>
              <w:spacing w:after="0" w:line="240" w:lineRule="auto"/>
              <w:jc w:val="right"/>
              <w:rPr>
                <w:rFonts w:ascii="Times New Roman" w:hAnsi="Times New Roman"/>
              </w:rPr>
            </w:pPr>
          </w:p>
        </w:tc>
      </w:tr>
      <w:tr w:rsidR="001D4879" w:rsidRPr="00EC06FE" w14:paraId="2E60C0FA" w14:textId="77777777" w:rsidTr="001D4879">
        <w:trPr>
          <w:trHeight w:val="204"/>
        </w:trPr>
        <w:tc>
          <w:tcPr>
            <w:tcW w:w="2100" w:type="pct"/>
            <w:tcBorders>
              <w:top w:val="nil"/>
              <w:left w:val="nil"/>
              <w:bottom w:val="nil"/>
              <w:right w:val="nil"/>
            </w:tcBorders>
            <w:shd w:val="clear" w:color="auto" w:fill="auto"/>
            <w:noWrap/>
            <w:vAlign w:val="bottom"/>
            <w:hideMark/>
          </w:tcPr>
          <w:p w14:paraId="3C40B146" w14:textId="77777777" w:rsidR="001D4879" w:rsidRPr="00EC06FE" w:rsidRDefault="001D4879" w:rsidP="001D4879">
            <w:pPr>
              <w:spacing w:after="0" w:line="240" w:lineRule="auto"/>
              <w:ind w:left="113"/>
              <w:rPr>
                <w:rFonts w:ascii="Arial" w:hAnsi="Arial" w:cs="Arial"/>
                <w:b/>
                <w:bCs/>
                <w:color w:val="000000"/>
                <w:sz w:val="16"/>
                <w:szCs w:val="16"/>
              </w:rPr>
            </w:pPr>
            <w:r w:rsidRPr="00EC06FE">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18DD9762" w14:textId="77777777" w:rsidR="001D4879" w:rsidRPr="00EC06FE" w:rsidRDefault="001D4879" w:rsidP="001D4879">
            <w:pPr>
              <w:spacing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080552FC" w14:textId="2555C4C2" w:rsidR="001D4879" w:rsidRPr="00EC06FE" w:rsidRDefault="001D4879" w:rsidP="001D4879">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4F4D52DB" w14:textId="77777777" w:rsidR="001D4879" w:rsidRPr="00EC06FE" w:rsidRDefault="001D4879" w:rsidP="001D4879">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64707612" w14:textId="77777777" w:rsidR="001D4879" w:rsidRPr="00EC06FE" w:rsidRDefault="001D4879" w:rsidP="001D4879">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496E7A90" w14:textId="77777777" w:rsidR="001D4879" w:rsidRPr="00EC06FE" w:rsidRDefault="001D4879" w:rsidP="001D4879">
            <w:pPr>
              <w:spacing w:after="0" w:line="240" w:lineRule="auto"/>
              <w:jc w:val="right"/>
              <w:rPr>
                <w:rFonts w:ascii="Times New Roman" w:hAnsi="Times New Roman"/>
              </w:rPr>
            </w:pPr>
          </w:p>
        </w:tc>
      </w:tr>
      <w:tr w:rsidR="001D4879" w:rsidRPr="00EC06FE" w14:paraId="0F5B47B5" w14:textId="77777777" w:rsidTr="001D4879">
        <w:trPr>
          <w:trHeight w:val="204"/>
        </w:trPr>
        <w:tc>
          <w:tcPr>
            <w:tcW w:w="2100" w:type="pct"/>
            <w:tcBorders>
              <w:top w:val="nil"/>
              <w:left w:val="nil"/>
              <w:bottom w:val="nil"/>
              <w:right w:val="nil"/>
            </w:tcBorders>
            <w:shd w:val="clear" w:color="auto" w:fill="auto"/>
            <w:vAlign w:val="bottom"/>
            <w:hideMark/>
          </w:tcPr>
          <w:p w14:paraId="50D8086B" w14:textId="77073B49" w:rsidR="001D4879" w:rsidRPr="00EC06FE" w:rsidRDefault="001D4879" w:rsidP="001D4879">
            <w:pPr>
              <w:spacing w:after="0" w:line="240" w:lineRule="auto"/>
              <w:ind w:left="227"/>
              <w:rPr>
                <w:rFonts w:ascii="Arial" w:hAnsi="Arial" w:cs="Arial"/>
                <w:color w:val="000000"/>
                <w:sz w:val="16"/>
                <w:szCs w:val="16"/>
              </w:rPr>
            </w:pPr>
            <w:r w:rsidRPr="00EC06FE">
              <w:rPr>
                <w:rFonts w:ascii="Arial" w:hAnsi="Arial" w:cs="Arial"/>
                <w:color w:val="000000"/>
                <w:sz w:val="16"/>
                <w:szCs w:val="16"/>
              </w:rPr>
              <w:t>Purchase of property, plant and equipment and intangibles</w:t>
            </w:r>
          </w:p>
        </w:tc>
        <w:tc>
          <w:tcPr>
            <w:tcW w:w="605" w:type="pct"/>
            <w:tcBorders>
              <w:top w:val="nil"/>
              <w:left w:val="nil"/>
              <w:bottom w:val="nil"/>
              <w:right w:val="nil"/>
            </w:tcBorders>
            <w:shd w:val="clear" w:color="auto" w:fill="auto"/>
            <w:noWrap/>
            <w:vAlign w:val="bottom"/>
            <w:hideMark/>
          </w:tcPr>
          <w:p w14:paraId="0AC7C34C" w14:textId="666A033E"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32,435</w:t>
            </w:r>
          </w:p>
        </w:tc>
        <w:tc>
          <w:tcPr>
            <w:tcW w:w="574" w:type="pct"/>
            <w:tcBorders>
              <w:top w:val="nil"/>
              <w:left w:val="nil"/>
              <w:bottom w:val="nil"/>
              <w:right w:val="nil"/>
            </w:tcBorders>
            <w:shd w:val="clear" w:color="000000" w:fill="E6E6E6"/>
            <w:noWrap/>
            <w:vAlign w:val="bottom"/>
            <w:hideMark/>
          </w:tcPr>
          <w:p w14:paraId="2C9BE698" w14:textId="0C0B4748"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21,882</w:t>
            </w:r>
          </w:p>
        </w:tc>
        <w:tc>
          <w:tcPr>
            <w:tcW w:w="574" w:type="pct"/>
            <w:tcBorders>
              <w:top w:val="nil"/>
              <w:left w:val="nil"/>
              <w:bottom w:val="nil"/>
              <w:right w:val="nil"/>
            </w:tcBorders>
            <w:shd w:val="clear" w:color="auto" w:fill="auto"/>
            <w:noWrap/>
            <w:vAlign w:val="bottom"/>
            <w:hideMark/>
          </w:tcPr>
          <w:p w14:paraId="73EA2098" w14:textId="27BA3BE5"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12,402</w:t>
            </w:r>
          </w:p>
        </w:tc>
        <w:tc>
          <w:tcPr>
            <w:tcW w:w="574" w:type="pct"/>
            <w:tcBorders>
              <w:top w:val="nil"/>
              <w:left w:val="nil"/>
              <w:bottom w:val="nil"/>
              <w:right w:val="nil"/>
            </w:tcBorders>
            <w:shd w:val="clear" w:color="auto" w:fill="auto"/>
            <w:noWrap/>
            <w:vAlign w:val="bottom"/>
            <w:hideMark/>
          </w:tcPr>
          <w:p w14:paraId="77F15D14" w14:textId="2E989683"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11,591</w:t>
            </w:r>
          </w:p>
        </w:tc>
        <w:tc>
          <w:tcPr>
            <w:tcW w:w="573" w:type="pct"/>
            <w:tcBorders>
              <w:top w:val="nil"/>
              <w:left w:val="nil"/>
              <w:bottom w:val="nil"/>
              <w:right w:val="nil"/>
            </w:tcBorders>
            <w:shd w:val="clear" w:color="auto" w:fill="auto"/>
            <w:noWrap/>
            <w:vAlign w:val="bottom"/>
            <w:hideMark/>
          </w:tcPr>
          <w:p w14:paraId="018CBDD5" w14:textId="2ED2DCA8"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11,723</w:t>
            </w:r>
          </w:p>
        </w:tc>
      </w:tr>
      <w:tr w:rsidR="001D4879" w:rsidRPr="00EC06FE" w14:paraId="0CE2413E" w14:textId="77777777" w:rsidTr="001D4879">
        <w:trPr>
          <w:trHeight w:val="204"/>
        </w:trPr>
        <w:tc>
          <w:tcPr>
            <w:tcW w:w="2100" w:type="pct"/>
            <w:tcBorders>
              <w:top w:val="nil"/>
              <w:left w:val="nil"/>
              <w:bottom w:val="nil"/>
              <w:right w:val="nil"/>
            </w:tcBorders>
            <w:shd w:val="clear" w:color="auto" w:fill="auto"/>
            <w:noWrap/>
            <w:vAlign w:val="bottom"/>
            <w:hideMark/>
          </w:tcPr>
          <w:p w14:paraId="3BDAAE7E" w14:textId="77777777" w:rsidR="001D4879" w:rsidRPr="00EC06FE" w:rsidRDefault="001D4879" w:rsidP="001D4879">
            <w:pPr>
              <w:spacing w:after="0" w:line="240" w:lineRule="auto"/>
              <w:ind w:left="113"/>
              <w:rPr>
                <w:rFonts w:ascii="Arial" w:hAnsi="Arial" w:cs="Arial"/>
                <w:b/>
                <w:bCs/>
                <w:i/>
                <w:iCs/>
                <w:color w:val="000000"/>
                <w:sz w:val="16"/>
                <w:szCs w:val="16"/>
              </w:rPr>
            </w:pPr>
            <w:r w:rsidRPr="00EC06FE">
              <w:rPr>
                <w:rFonts w:ascii="Arial" w:hAnsi="Arial" w:cs="Arial"/>
                <w:b/>
                <w:bCs/>
                <w:i/>
                <w:iCs/>
                <w:color w:val="000000"/>
                <w:sz w:val="16"/>
                <w:szCs w:val="16"/>
              </w:rPr>
              <w:t>Total cash used</w:t>
            </w:r>
          </w:p>
        </w:tc>
        <w:tc>
          <w:tcPr>
            <w:tcW w:w="605" w:type="pct"/>
            <w:tcBorders>
              <w:top w:val="single" w:sz="4" w:space="0" w:color="000000"/>
              <w:left w:val="nil"/>
              <w:bottom w:val="single" w:sz="4" w:space="0" w:color="000000"/>
              <w:right w:val="nil"/>
            </w:tcBorders>
            <w:shd w:val="clear" w:color="auto" w:fill="auto"/>
            <w:noWrap/>
            <w:vAlign w:val="bottom"/>
            <w:hideMark/>
          </w:tcPr>
          <w:p w14:paraId="4F64DE8B" w14:textId="6A67F44B" w:rsidR="001D4879" w:rsidRPr="00EC06FE" w:rsidRDefault="001D4879" w:rsidP="001D487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32,435</w:t>
            </w:r>
          </w:p>
        </w:tc>
        <w:tc>
          <w:tcPr>
            <w:tcW w:w="574" w:type="pct"/>
            <w:tcBorders>
              <w:top w:val="single" w:sz="4" w:space="0" w:color="000000"/>
              <w:left w:val="nil"/>
              <w:bottom w:val="single" w:sz="4" w:space="0" w:color="000000"/>
              <w:right w:val="nil"/>
            </w:tcBorders>
            <w:shd w:val="clear" w:color="000000" w:fill="E6E6E6"/>
            <w:noWrap/>
            <w:vAlign w:val="bottom"/>
            <w:hideMark/>
          </w:tcPr>
          <w:p w14:paraId="6BBA56A8" w14:textId="3113C43A" w:rsidR="001D4879" w:rsidRPr="00EC06FE" w:rsidRDefault="001D4879" w:rsidP="001D487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21,882</w:t>
            </w:r>
          </w:p>
        </w:tc>
        <w:tc>
          <w:tcPr>
            <w:tcW w:w="574" w:type="pct"/>
            <w:tcBorders>
              <w:top w:val="single" w:sz="4" w:space="0" w:color="000000"/>
              <w:left w:val="nil"/>
              <w:bottom w:val="single" w:sz="4" w:space="0" w:color="000000"/>
              <w:right w:val="nil"/>
            </w:tcBorders>
            <w:shd w:val="clear" w:color="auto" w:fill="auto"/>
            <w:noWrap/>
            <w:vAlign w:val="bottom"/>
            <w:hideMark/>
          </w:tcPr>
          <w:p w14:paraId="669B54E7" w14:textId="5E5BBCE2" w:rsidR="001D4879" w:rsidRPr="00EC06FE" w:rsidRDefault="001D4879" w:rsidP="001D487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12,402</w:t>
            </w:r>
          </w:p>
        </w:tc>
        <w:tc>
          <w:tcPr>
            <w:tcW w:w="574" w:type="pct"/>
            <w:tcBorders>
              <w:top w:val="single" w:sz="4" w:space="0" w:color="000000"/>
              <w:left w:val="nil"/>
              <w:bottom w:val="single" w:sz="4" w:space="0" w:color="000000"/>
              <w:right w:val="nil"/>
            </w:tcBorders>
            <w:shd w:val="clear" w:color="auto" w:fill="auto"/>
            <w:noWrap/>
            <w:vAlign w:val="bottom"/>
            <w:hideMark/>
          </w:tcPr>
          <w:p w14:paraId="70151515" w14:textId="006A25D0" w:rsidR="001D4879" w:rsidRPr="00EC06FE" w:rsidRDefault="001D4879" w:rsidP="001D487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11,591</w:t>
            </w:r>
          </w:p>
        </w:tc>
        <w:tc>
          <w:tcPr>
            <w:tcW w:w="573" w:type="pct"/>
            <w:tcBorders>
              <w:top w:val="single" w:sz="4" w:space="0" w:color="000000"/>
              <w:left w:val="nil"/>
              <w:bottom w:val="single" w:sz="4" w:space="0" w:color="000000"/>
              <w:right w:val="nil"/>
            </w:tcBorders>
            <w:shd w:val="clear" w:color="auto" w:fill="auto"/>
            <w:noWrap/>
            <w:vAlign w:val="bottom"/>
            <w:hideMark/>
          </w:tcPr>
          <w:p w14:paraId="73D6A76F" w14:textId="03394BC5" w:rsidR="001D4879" w:rsidRPr="00EC06FE" w:rsidRDefault="001D4879" w:rsidP="001D487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11,723</w:t>
            </w:r>
          </w:p>
        </w:tc>
      </w:tr>
      <w:tr w:rsidR="001D4879" w:rsidRPr="00EC06FE" w14:paraId="05F72B40" w14:textId="77777777" w:rsidTr="001D4879">
        <w:trPr>
          <w:trHeight w:val="204"/>
        </w:trPr>
        <w:tc>
          <w:tcPr>
            <w:tcW w:w="2100" w:type="pct"/>
            <w:tcBorders>
              <w:top w:val="nil"/>
              <w:left w:val="nil"/>
              <w:bottom w:val="nil"/>
              <w:right w:val="nil"/>
            </w:tcBorders>
            <w:shd w:val="clear" w:color="auto" w:fill="auto"/>
            <w:vAlign w:val="bottom"/>
            <w:hideMark/>
          </w:tcPr>
          <w:p w14:paraId="5EED9AFF" w14:textId="3324084E" w:rsidR="001D4879" w:rsidRPr="00EC06FE" w:rsidRDefault="001D4879" w:rsidP="001D4879">
            <w:pPr>
              <w:spacing w:after="0" w:line="240" w:lineRule="auto"/>
              <w:rPr>
                <w:rFonts w:ascii="Arial" w:hAnsi="Arial" w:cs="Arial"/>
                <w:b/>
                <w:bCs/>
                <w:color w:val="000000"/>
                <w:sz w:val="16"/>
                <w:szCs w:val="16"/>
              </w:rPr>
            </w:pPr>
            <w:r w:rsidRPr="00EC06FE">
              <w:rPr>
                <w:rFonts w:ascii="Arial" w:hAnsi="Arial" w:cs="Arial"/>
                <w:b/>
                <w:bCs/>
                <w:color w:val="000000"/>
                <w:sz w:val="16"/>
                <w:szCs w:val="16"/>
              </w:rPr>
              <w:t>Net cash from/(used by) investing activities</w:t>
            </w:r>
          </w:p>
        </w:tc>
        <w:tc>
          <w:tcPr>
            <w:tcW w:w="605" w:type="pct"/>
            <w:tcBorders>
              <w:top w:val="nil"/>
              <w:left w:val="nil"/>
              <w:bottom w:val="single" w:sz="4" w:space="0" w:color="auto"/>
              <w:right w:val="nil"/>
            </w:tcBorders>
            <w:shd w:val="clear" w:color="auto" w:fill="auto"/>
            <w:noWrap/>
            <w:vAlign w:val="bottom"/>
            <w:hideMark/>
          </w:tcPr>
          <w:p w14:paraId="5C6020AC" w14:textId="20DCDA4B" w:rsidR="001D4879" w:rsidRPr="00EC06FE" w:rsidRDefault="001D4879" w:rsidP="001D4879">
            <w:pPr>
              <w:spacing w:after="0" w:line="240" w:lineRule="auto"/>
              <w:jc w:val="right"/>
              <w:rPr>
                <w:rFonts w:ascii="Arial" w:hAnsi="Arial" w:cs="Arial"/>
                <w:b/>
                <w:bCs/>
                <w:color w:val="000000"/>
                <w:sz w:val="16"/>
                <w:szCs w:val="16"/>
              </w:rPr>
            </w:pPr>
            <w:r>
              <w:rPr>
                <w:rFonts w:ascii="Arial" w:hAnsi="Arial" w:cs="Arial"/>
                <w:b/>
                <w:bCs/>
                <w:color w:val="000000"/>
                <w:sz w:val="16"/>
                <w:szCs w:val="16"/>
              </w:rPr>
              <w:t>(32,435)</w:t>
            </w:r>
          </w:p>
        </w:tc>
        <w:tc>
          <w:tcPr>
            <w:tcW w:w="574" w:type="pct"/>
            <w:tcBorders>
              <w:top w:val="nil"/>
              <w:left w:val="nil"/>
              <w:bottom w:val="single" w:sz="4" w:space="0" w:color="auto"/>
              <w:right w:val="nil"/>
            </w:tcBorders>
            <w:shd w:val="clear" w:color="000000" w:fill="E6E6E6"/>
            <w:noWrap/>
            <w:vAlign w:val="bottom"/>
            <w:hideMark/>
          </w:tcPr>
          <w:p w14:paraId="6ED23FDF" w14:textId="05E72A6D" w:rsidR="001D4879" w:rsidRPr="00EC06FE" w:rsidRDefault="001D4879" w:rsidP="001D4879">
            <w:pPr>
              <w:spacing w:after="0" w:line="240" w:lineRule="auto"/>
              <w:jc w:val="right"/>
              <w:rPr>
                <w:rFonts w:ascii="Arial" w:hAnsi="Arial" w:cs="Arial"/>
                <w:b/>
                <w:bCs/>
                <w:color w:val="000000"/>
                <w:sz w:val="16"/>
                <w:szCs w:val="16"/>
              </w:rPr>
            </w:pPr>
            <w:r>
              <w:rPr>
                <w:rFonts w:ascii="Arial" w:hAnsi="Arial" w:cs="Arial"/>
                <w:b/>
                <w:bCs/>
                <w:color w:val="000000"/>
                <w:sz w:val="16"/>
                <w:szCs w:val="16"/>
              </w:rPr>
              <w:t>(21,882)</w:t>
            </w:r>
          </w:p>
        </w:tc>
        <w:tc>
          <w:tcPr>
            <w:tcW w:w="574" w:type="pct"/>
            <w:tcBorders>
              <w:top w:val="nil"/>
              <w:left w:val="nil"/>
              <w:bottom w:val="single" w:sz="4" w:space="0" w:color="auto"/>
              <w:right w:val="nil"/>
            </w:tcBorders>
            <w:shd w:val="clear" w:color="auto" w:fill="auto"/>
            <w:noWrap/>
            <w:vAlign w:val="bottom"/>
            <w:hideMark/>
          </w:tcPr>
          <w:p w14:paraId="12E9429A" w14:textId="68F20CDD" w:rsidR="001D4879" w:rsidRPr="00EC06FE" w:rsidRDefault="001D4879" w:rsidP="001D4879">
            <w:pPr>
              <w:spacing w:after="0" w:line="240" w:lineRule="auto"/>
              <w:jc w:val="right"/>
              <w:rPr>
                <w:rFonts w:ascii="Arial" w:hAnsi="Arial" w:cs="Arial"/>
                <w:b/>
                <w:bCs/>
                <w:color w:val="000000"/>
                <w:sz w:val="16"/>
                <w:szCs w:val="16"/>
              </w:rPr>
            </w:pPr>
            <w:r>
              <w:rPr>
                <w:rFonts w:ascii="Arial" w:hAnsi="Arial" w:cs="Arial"/>
                <w:b/>
                <w:bCs/>
                <w:color w:val="000000"/>
                <w:sz w:val="16"/>
                <w:szCs w:val="16"/>
              </w:rPr>
              <w:t>(12,402)</w:t>
            </w:r>
          </w:p>
        </w:tc>
        <w:tc>
          <w:tcPr>
            <w:tcW w:w="574" w:type="pct"/>
            <w:tcBorders>
              <w:top w:val="nil"/>
              <w:left w:val="nil"/>
              <w:bottom w:val="single" w:sz="4" w:space="0" w:color="auto"/>
              <w:right w:val="nil"/>
            </w:tcBorders>
            <w:shd w:val="clear" w:color="auto" w:fill="auto"/>
            <w:noWrap/>
            <w:vAlign w:val="bottom"/>
            <w:hideMark/>
          </w:tcPr>
          <w:p w14:paraId="19ACD9B3" w14:textId="5B4B17FC" w:rsidR="001D4879" w:rsidRPr="00EC06FE" w:rsidRDefault="001D4879" w:rsidP="001D4879">
            <w:pPr>
              <w:spacing w:after="0" w:line="240" w:lineRule="auto"/>
              <w:jc w:val="right"/>
              <w:rPr>
                <w:rFonts w:ascii="Arial" w:hAnsi="Arial" w:cs="Arial"/>
                <w:b/>
                <w:bCs/>
                <w:color w:val="000000"/>
                <w:sz w:val="16"/>
                <w:szCs w:val="16"/>
              </w:rPr>
            </w:pPr>
            <w:r>
              <w:rPr>
                <w:rFonts w:ascii="Arial" w:hAnsi="Arial" w:cs="Arial"/>
                <w:b/>
                <w:bCs/>
                <w:color w:val="000000"/>
                <w:sz w:val="16"/>
                <w:szCs w:val="16"/>
              </w:rPr>
              <w:t>(11,591)</w:t>
            </w:r>
          </w:p>
        </w:tc>
        <w:tc>
          <w:tcPr>
            <w:tcW w:w="573" w:type="pct"/>
            <w:tcBorders>
              <w:top w:val="nil"/>
              <w:left w:val="nil"/>
              <w:bottom w:val="single" w:sz="4" w:space="0" w:color="auto"/>
              <w:right w:val="nil"/>
            </w:tcBorders>
            <w:shd w:val="clear" w:color="auto" w:fill="auto"/>
            <w:noWrap/>
            <w:vAlign w:val="bottom"/>
            <w:hideMark/>
          </w:tcPr>
          <w:p w14:paraId="17287402" w14:textId="48326ED3" w:rsidR="001D4879" w:rsidRPr="00EC06FE" w:rsidRDefault="001D4879" w:rsidP="001D4879">
            <w:pPr>
              <w:spacing w:after="0" w:line="240" w:lineRule="auto"/>
              <w:jc w:val="right"/>
              <w:rPr>
                <w:rFonts w:ascii="Arial" w:hAnsi="Arial" w:cs="Arial"/>
                <w:b/>
                <w:bCs/>
                <w:color w:val="000000"/>
                <w:sz w:val="16"/>
                <w:szCs w:val="16"/>
              </w:rPr>
            </w:pPr>
            <w:r>
              <w:rPr>
                <w:rFonts w:ascii="Arial" w:hAnsi="Arial" w:cs="Arial"/>
                <w:b/>
                <w:bCs/>
                <w:color w:val="000000"/>
                <w:sz w:val="16"/>
                <w:szCs w:val="16"/>
              </w:rPr>
              <w:t>(11,723)</w:t>
            </w:r>
          </w:p>
        </w:tc>
      </w:tr>
      <w:tr w:rsidR="001D4879" w:rsidRPr="00EC06FE" w14:paraId="2310D804" w14:textId="77777777" w:rsidTr="001D4879">
        <w:trPr>
          <w:trHeight w:val="204"/>
        </w:trPr>
        <w:tc>
          <w:tcPr>
            <w:tcW w:w="2100" w:type="pct"/>
            <w:tcBorders>
              <w:top w:val="nil"/>
              <w:left w:val="nil"/>
              <w:bottom w:val="nil"/>
              <w:right w:val="nil"/>
            </w:tcBorders>
            <w:shd w:val="clear" w:color="auto" w:fill="auto"/>
            <w:noWrap/>
            <w:vAlign w:val="bottom"/>
            <w:hideMark/>
          </w:tcPr>
          <w:p w14:paraId="7642E467" w14:textId="77777777" w:rsidR="001D4879" w:rsidRPr="00EC06FE" w:rsidRDefault="001D4879" w:rsidP="001D4879">
            <w:pPr>
              <w:spacing w:after="0" w:line="240" w:lineRule="auto"/>
              <w:rPr>
                <w:rFonts w:ascii="Arial" w:hAnsi="Arial" w:cs="Arial"/>
                <w:b/>
                <w:bCs/>
                <w:color w:val="000000"/>
                <w:sz w:val="16"/>
                <w:szCs w:val="16"/>
              </w:rPr>
            </w:pPr>
            <w:r w:rsidRPr="00EC06FE">
              <w:rPr>
                <w:rFonts w:ascii="Arial" w:hAnsi="Arial" w:cs="Arial"/>
                <w:b/>
                <w:bCs/>
                <w:color w:val="000000"/>
                <w:sz w:val="16"/>
                <w:szCs w:val="16"/>
              </w:rPr>
              <w:t>FINANCING ACTIVITIES</w:t>
            </w:r>
          </w:p>
        </w:tc>
        <w:tc>
          <w:tcPr>
            <w:tcW w:w="605" w:type="pct"/>
            <w:tcBorders>
              <w:top w:val="nil"/>
              <w:left w:val="nil"/>
              <w:bottom w:val="nil"/>
              <w:right w:val="nil"/>
            </w:tcBorders>
            <w:shd w:val="clear" w:color="auto" w:fill="auto"/>
            <w:noWrap/>
            <w:vAlign w:val="bottom"/>
            <w:hideMark/>
          </w:tcPr>
          <w:p w14:paraId="7F413F6C" w14:textId="77777777" w:rsidR="001D4879" w:rsidRPr="00EC06FE" w:rsidRDefault="001D4879" w:rsidP="001D4879">
            <w:pPr>
              <w:spacing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052B03C1" w14:textId="481C88AD" w:rsidR="001D4879" w:rsidRPr="00EC06FE" w:rsidRDefault="001D4879" w:rsidP="001D4879">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5E3BBDC8" w14:textId="77777777" w:rsidR="001D4879" w:rsidRPr="00EC06FE" w:rsidRDefault="001D4879" w:rsidP="001D4879">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34EC841D" w14:textId="77777777" w:rsidR="001D4879" w:rsidRPr="00EC06FE" w:rsidRDefault="001D4879" w:rsidP="001D4879">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709519EF" w14:textId="77777777" w:rsidR="001D4879" w:rsidRPr="00EC06FE" w:rsidRDefault="001D4879" w:rsidP="001D4879">
            <w:pPr>
              <w:spacing w:after="0" w:line="240" w:lineRule="auto"/>
              <w:jc w:val="right"/>
              <w:rPr>
                <w:rFonts w:ascii="Times New Roman" w:hAnsi="Times New Roman"/>
              </w:rPr>
            </w:pPr>
          </w:p>
        </w:tc>
      </w:tr>
      <w:tr w:rsidR="001D4879" w:rsidRPr="00EC06FE" w14:paraId="3F5BE483" w14:textId="77777777" w:rsidTr="001D4879">
        <w:trPr>
          <w:trHeight w:val="204"/>
        </w:trPr>
        <w:tc>
          <w:tcPr>
            <w:tcW w:w="2100" w:type="pct"/>
            <w:tcBorders>
              <w:top w:val="nil"/>
              <w:left w:val="nil"/>
              <w:bottom w:val="nil"/>
              <w:right w:val="nil"/>
            </w:tcBorders>
            <w:shd w:val="clear" w:color="auto" w:fill="auto"/>
            <w:noWrap/>
            <w:vAlign w:val="bottom"/>
            <w:hideMark/>
          </w:tcPr>
          <w:p w14:paraId="583BE466" w14:textId="77777777" w:rsidR="001D4879" w:rsidRPr="00EC06FE" w:rsidRDefault="001D4879" w:rsidP="001D4879">
            <w:pPr>
              <w:spacing w:after="0" w:line="240" w:lineRule="auto"/>
              <w:ind w:left="113"/>
              <w:rPr>
                <w:rFonts w:ascii="Arial" w:hAnsi="Arial" w:cs="Arial"/>
                <w:b/>
                <w:bCs/>
                <w:color w:val="000000"/>
                <w:sz w:val="16"/>
                <w:szCs w:val="16"/>
              </w:rPr>
            </w:pPr>
            <w:r w:rsidRPr="00EC06FE">
              <w:rPr>
                <w:rFonts w:ascii="Arial" w:hAnsi="Arial" w:cs="Arial"/>
                <w:b/>
                <w:bCs/>
                <w:color w:val="000000"/>
                <w:sz w:val="16"/>
                <w:szCs w:val="16"/>
              </w:rPr>
              <w:t>Cash received</w:t>
            </w:r>
          </w:p>
        </w:tc>
        <w:tc>
          <w:tcPr>
            <w:tcW w:w="605" w:type="pct"/>
            <w:tcBorders>
              <w:top w:val="nil"/>
              <w:left w:val="nil"/>
              <w:bottom w:val="nil"/>
              <w:right w:val="nil"/>
            </w:tcBorders>
            <w:shd w:val="clear" w:color="auto" w:fill="auto"/>
            <w:noWrap/>
            <w:vAlign w:val="bottom"/>
            <w:hideMark/>
          </w:tcPr>
          <w:p w14:paraId="0CB5F9D2" w14:textId="77777777" w:rsidR="001D4879" w:rsidRPr="00EC06FE" w:rsidRDefault="001D4879" w:rsidP="001D4879">
            <w:pPr>
              <w:spacing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3C3D9BD2" w14:textId="09B43E76" w:rsidR="001D4879" w:rsidRPr="00EC06FE" w:rsidRDefault="001D4879" w:rsidP="001D4879">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228F996A" w14:textId="77777777" w:rsidR="001D4879" w:rsidRPr="00EC06FE" w:rsidRDefault="001D4879" w:rsidP="001D4879">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79FD2DFA" w14:textId="77777777" w:rsidR="001D4879" w:rsidRPr="00EC06FE" w:rsidRDefault="001D4879" w:rsidP="001D4879">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00D9D20D" w14:textId="77777777" w:rsidR="001D4879" w:rsidRPr="00EC06FE" w:rsidRDefault="001D4879" w:rsidP="001D4879">
            <w:pPr>
              <w:spacing w:after="0" w:line="240" w:lineRule="auto"/>
              <w:jc w:val="right"/>
              <w:rPr>
                <w:rFonts w:ascii="Times New Roman" w:hAnsi="Times New Roman"/>
              </w:rPr>
            </w:pPr>
          </w:p>
        </w:tc>
      </w:tr>
      <w:tr w:rsidR="001D4879" w:rsidRPr="00EC06FE" w14:paraId="3AF78B79" w14:textId="77777777" w:rsidTr="001D4879">
        <w:trPr>
          <w:trHeight w:val="204"/>
        </w:trPr>
        <w:tc>
          <w:tcPr>
            <w:tcW w:w="2100" w:type="pct"/>
            <w:tcBorders>
              <w:top w:val="nil"/>
              <w:left w:val="nil"/>
              <w:bottom w:val="nil"/>
              <w:right w:val="nil"/>
            </w:tcBorders>
            <w:shd w:val="clear" w:color="auto" w:fill="auto"/>
            <w:noWrap/>
            <w:vAlign w:val="bottom"/>
            <w:hideMark/>
          </w:tcPr>
          <w:p w14:paraId="435A3A60" w14:textId="77777777" w:rsidR="001D4879" w:rsidRPr="00EC06FE" w:rsidRDefault="001D4879" w:rsidP="001D4879">
            <w:pPr>
              <w:spacing w:after="0" w:line="240" w:lineRule="auto"/>
              <w:ind w:left="227"/>
              <w:rPr>
                <w:rFonts w:ascii="Arial" w:hAnsi="Arial" w:cs="Arial"/>
                <w:color w:val="000000"/>
                <w:sz w:val="16"/>
                <w:szCs w:val="16"/>
              </w:rPr>
            </w:pPr>
            <w:r w:rsidRPr="00EC06FE">
              <w:rPr>
                <w:rFonts w:ascii="Arial" w:hAnsi="Arial" w:cs="Arial"/>
                <w:color w:val="000000"/>
                <w:sz w:val="16"/>
                <w:szCs w:val="16"/>
              </w:rPr>
              <w:t>Contributed equity</w:t>
            </w:r>
          </w:p>
        </w:tc>
        <w:tc>
          <w:tcPr>
            <w:tcW w:w="605" w:type="pct"/>
            <w:tcBorders>
              <w:top w:val="nil"/>
              <w:left w:val="nil"/>
              <w:bottom w:val="nil"/>
              <w:right w:val="nil"/>
            </w:tcBorders>
            <w:shd w:val="clear" w:color="auto" w:fill="auto"/>
            <w:noWrap/>
            <w:vAlign w:val="bottom"/>
            <w:hideMark/>
          </w:tcPr>
          <w:p w14:paraId="777E506F" w14:textId="62CCE56B"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12,435</w:t>
            </w:r>
          </w:p>
        </w:tc>
        <w:tc>
          <w:tcPr>
            <w:tcW w:w="574" w:type="pct"/>
            <w:tcBorders>
              <w:top w:val="nil"/>
              <w:left w:val="nil"/>
              <w:bottom w:val="nil"/>
              <w:right w:val="nil"/>
            </w:tcBorders>
            <w:shd w:val="clear" w:color="000000" w:fill="E6E6E6"/>
            <w:noWrap/>
            <w:vAlign w:val="bottom"/>
            <w:hideMark/>
          </w:tcPr>
          <w:p w14:paraId="43E0B12E" w14:textId="698A2EAF"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21,882</w:t>
            </w:r>
          </w:p>
        </w:tc>
        <w:tc>
          <w:tcPr>
            <w:tcW w:w="574" w:type="pct"/>
            <w:tcBorders>
              <w:top w:val="nil"/>
              <w:left w:val="nil"/>
              <w:bottom w:val="nil"/>
              <w:right w:val="nil"/>
            </w:tcBorders>
            <w:shd w:val="clear" w:color="auto" w:fill="auto"/>
            <w:noWrap/>
            <w:vAlign w:val="bottom"/>
            <w:hideMark/>
          </w:tcPr>
          <w:p w14:paraId="1DF9F91F" w14:textId="752DD03B"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12,402</w:t>
            </w:r>
          </w:p>
        </w:tc>
        <w:tc>
          <w:tcPr>
            <w:tcW w:w="574" w:type="pct"/>
            <w:tcBorders>
              <w:top w:val="nil"/>
              <w:left w:val="nil"/>
              <w:bottom w:val="nil"/>
              <w:right w:val="nil"/>
            </w:tcBorders>
            <w:shd w:val="clear" w:color="auto" w:fill="auto"/>
            <w:noWrap/>
            <w:vAlign w:val="bottom"/>
            <w:hideMark/>
          </w:tcPr>
          <w:p w14:paraId="19D6D1B6" w14:textId="799A4D68"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11,591</w:t>
            </w:r>
          </w:p>
        </w:tc>
        <w:tc>
          <w:tcPr>
            <w:tcW w:w="573" w:type="pct"/>
            <w:tcBorders>
              <w:top w:val="nil"/>
              <w:left w:val="nil"/>
              <w:bottom w:val="nil"/>
              <w:right w:val="nil"/>
            </w:tcBorders>
            <w:shd w:val="clear" w:color="auto" w:fill="auto"/>
            <w:noWrap/>
            <w:vAlign w:val="bottom"/>
            <w:hideMark/>
          </w:tcPr>
          <w:p w14:paraId="6137F67A" w14:textId="2F98973A"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11,723</w:t>
            </w:r>
          </w:p>
        </w:tc>
      </w:tr>
      <w:tr w:rsidR="001D4879" w:rsidRPr="00EC06FE" w14:paraId="7C895728" w14:textId="77777777" w:rsidTr="001D4879">
        <w:trPr>
          <w:trHeight w:val="204"/>
        </w:trPr>
        <w:tc>
          <w:tcPr>
            <w:tcW w:w="2100" w:type="pct"/>
            <w:tcBorders>
              <w:top w:val="nil"/>
              <w:left w:val="nil"/>
              <w:bottom w:val="nil"/>
              <w:right w:val="nil"/>
            </w:tcBorders>
            <w:shd w:val="clear" w:color="auto" w:fill="auto"/>
            <w:noWrap/>
            <w:vAlign w:val="bottom"/>
            <w:hideMark/>
          </w:tcPr>
          <w:p w14:paraId="45AE830A" w14:textId="77777777" w:rsidR="001D4879" w:rsidRPr="00EC06FE" w:rsidRDefault="001D4879" w:rsidP="001D4879">
            <w:pPr>
              <w:spacing w:after="0" w:line="240" w:lineRule="auto"/>
              <w:ind w:left="113"/>
              <w:rPr>
                <w:rFonts w:ascii="Arial" w:hAnsi="Arial" w:cs="Arial"/>
                <w:b/>
                <w:bCs/>
                <w:i/>
                <w:iCs/>
                <w:color w:val="000000"/>
                <w:sz w:val="16"/>
                <w:szCs w:val="16"/>
              </w:rPr>
            </w:pPr>
            <w:r w:rsidRPr="00EC06FE">
              <w:rPr>
                <w:rFonts w:ascii="Arial" w:hAnsi="Arial" w:cs="Arial"/>
                <w:b/>
                <w:bCs/>
                <w:i/>
                <w:iCs/>
                <w:color w:val="000000"/>
                <w:sz w:val="16"/>
                <w:szCs w:val="16"/>
              </w:rPr>
              <w:t>Total cash received</w:t>
            </w:r>
          </w:p>
        </w:tc>
        <w:tc>
          <w:tcPr>
            <w:tcW w:w="605" w:type="pct"/>
            <w:tcBorders>
              <w:top w:val="single" w:sz="4" w:space="0" w:color="000000"/>
              <w:left w:val="nil"/>
              <w:bottom w:val="single" w:sz="4" w:space="0" w:color="000000"/>
              <w:right w:val="nil"/>
            </w:tcBorders>
            <w:shd w:val="clear" w:color="auto" w:fill="auto"/>
            <w:noWrap/>
            <w:vAlign w:val="bottom"/>
            <w:hideMark/>
          </w:tcPr>
          <w:p w14:paraId="52E5E78E" w14:textId="0BEE5D12" w:rsidR="001D4879" w:rsidRPr="00EC06FE" w:rsidRDefault="001D4879" w:rsidP="001D487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12,435</w:t>
            </w:r>
          </w:p>
        </w:tc>
        <w:tc>
          <w:tcPr>
            <w:tcW w:w="574" w:type="pct"/>
            <w:tcBorders>
              <w:top w:val="single" w:sz="4" w:space="0" w:color="000000"/>
              <w:left w:val="nil"/>
              <w:bottom w:val="single" w:sz="4" w:space="0" w:color="000000"/>
              <w:right w:val="nil"/>
            </w:tcBorders>
            <w:shd w:val="clear" w:color="000000" w:fill="E6E6E6"/>
            <w:noWrap/>
            <w:vAlign w:val="bottom"/>
            <w:hideMark/>
          </w:tcPr>
          <w:p w14:paraId="58F11304" w14:textId="52753C93" w:rsidR="001D4879" w:rsidRPr="00EC06FE" w:rsidRDefault="001D4879" w:rsidP="001D487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21,882</w:t>
            </w:r>
          </w:p>
        </w:tc>
        <w:tc>
          <w:tcPr>
            <w:tcW w:w="574" w:type="pct"/>
            <w:tcBorders>
              <w:top w:val="single" w:sz="4" w:space="0" w:color="000000"/>
              <w:left w:val="nil"/>
              <w:bottom w:val="single" w:sz="4" w:space="0" w:color="000000"/>
              <w:right w:val="nil"/>
            </w:tcBorders>
            <w:shd w:val="clear" w:color="auto" w:fill="auto"/>
            <w:noWrap/>
            <w:vAlign w:val="bottom"/>
            <w:hideMark/>
          </w:tcPr>
          <w:p w14:paraId="337377E4" w14:textId="76A1C6B7" w:rsidR="001D4879" w:rsidRPr="00EC06FE" w:rsidRDefault="001D4879" w:rsidP="001D487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12,402</w:t>
            </w:r>
          </w:p>
        </w:tc>
        <w:tc>
          <w:tcPr>
            <w:tcW w:w="574" w:type="pct"/>
            <w:tcBorders>
              <w:top w:val="single" w:sz="4" w:space="0" w:color="000000"/>
              <w:left w:val="nil"/>
              <w:bottom w:val="single" w:sz="4" w:space="0" w:color="000000"/>
              <w:right w:val="nil"/>
            </w:tcBorders>
            <w:shd w:val="clear" w:color="auto" w:fill="auto"/>
            <w:noWrap/>
            <w:vAlign w:val="bottom"/>
            <w:hideMark/>
          </w:tcPr>
          <w:p w14:paraId="6FCB2DD5" w14:textId="3751493A" w:rsidR="001D4879" w:rsidRPr="00EC06FE" w:rsidRDefault="001D4879" w:rsidP="001D487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11,591</w:t>
            </w:r>
          </w:p>
        </w:tc>
        <w:tc>
          <w:tcPr>
            <w:tcW w:w="573" w:type="pct"/>
            <w:tcBorders>
              <w:top w:val="single" w:sz="4" w:space="0" w:color="000000"/>
              <w:left w:val="nil"/>
              <w:bottom w:val="single" w:sz="4" w:space="0" w:color="000000"/>
              <w:right w:val="nil"/>
            </w:tcBorders>
            <w:shd w:val="clear" w:color="auto" w:fill="auto"/>
            <w:noWrap/>
            <w:vAlign w:val="bottom"/>
            <w:hideMark/>
          </w:tcPr>
          <w:p w14:paraId="60AA3392" w14:textId="4472FB87" w:rsidR="001D4879" w:rsidRPr="00EC06FE" w:rsidRDefault="001D4879" w:rsidP="001D487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11,723</w:t>
            </w:r>
          </w:p>
        </w:tc>
      </w:tr>
      <w:tr w:rsidR="001D4879" w:rsidRPr="00EC06FE" w14:paraId="3DF084FC" w14:textId="77777777" w:rsidTr="001D4879">
        <w:trPr>
          <w:trHeight w:val="204"/>
        </w:trPr>
        <w:tc>
          <w:tcPr>
            <w:tcW w:w="2100" w:type="pct"/>
            <w:tcBorders>
              <w:top w:val="nil"/>
              <w:left w:val="nil"/>
              <w:bottom w:val="nil"/>
              <w:right w:val="nil"/>
            </w:tcBorders>
            <w:shd w:val="clear" w:color="auto" w:fill="auto"/>
            <w:noWrap/>
            <w:vAlign w:val="bottom"/>
            <w:hideMark/>
          </w:tcPr>
          <w:p w14:paraId="3BE181AF" w14:textId="77777777" w:rsidR="001D4879" w:rsidRPr="00EC06FE" w:rsidRDefault="001D4879" w:rsidP="001D4879">
            <w:pPr>
              <w:spacing w:after="0" w:line="240" w:lineRule="auto"/>
              <w:ind w:left="113"/>
              <w:rPr>
                <w:rFonts w:ascii="Arial" w:hAnsi="Arial" w:cs="Arial"/>
                <w:b/>
                <w:bCs/>
                <w:color w:val="000000"/>
                <w:sz w:val="16"/>
                <w:szCs w:val="16"/>
              </w:rPr>
            </w:pPr>
            <w:r w:rsidRPr="00EC06FE">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5538DCA2" w14:textId="77777777" w:rsidR="001D4879" w:rsidRPr="00EC06FE" w:rsidRDefault="001D4879" w:rsidP="001D4879">
            <w:pPr>
              <w:spacing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01750653" w14:textId="0A28527F" w:rsidR="001D4879" w:rsidRPr="00EC06FE" w:rsidRDefault="001D4879" w:rsidP="001D4879">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01805EF8" w14:textId="77777777" w:rsidR="001D4879" w:rsidRPr="00EC06FE" w:rsidRDefault="001D4879" w:rsidP="001D4879">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34C80824" w14:textId="77777777" w:rsidR="001D4879" w:rsidRPr="00EC06FE" w:rsidRDefault="001D4879" w:rsidP="001D4879">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78ED2D51" w14:textId="77777777" w:rsidR="001D4879" w:rsidRPr="00EC06FE" w:rsidRDefault="001D4879" w:rsidP="001D4879">
            <w:pPr>
              <w:spacing w:after="0" w:line="240" w:lineRule="auto"/>
              <w:jc w:val="right"/>
              <w:rPr>
                <w:rFonts w:ascii="Times New Roman" w:hAnsi="Times New Roman"/>
              </w:rPr>
            </w:pPr>
          </w:p>
        </w:tc>
      </w:tr>
      <w:tr w:rsidR="001D4879" w:rsidRPr="00EC06FE" w14:paraId="1301637F" w14:textId="77777777" w:rsidTr="001D4879">
        <w:trPr>
          <w:trHeight w:val="204"/>
        </w:trPr>
        <w:tc>
          <w:tcPr>
            <w:tcW w:w="2100" w:type="pct"/>
            <w:tcBorders>
              <w:top w:val="nil"/>
              <w:left w:val="nil"/>
              <w:bottom w:val="nil"/>
              <w:right w:val="nil"/>
            </w:tcBorders>
            <w:shd w:val="clear" w:color="auto" w:fill="auto"/>
            <w:noWrap/>
            <w:vAlign w:val="bottom"/>
            <w:hideMark/>
          </w:tcPr>
          <w:p w14:paraId="6B779785" w14:textId="77777777" w:rsidR="001D4879" w:rsidRPr="00EC06FE" w:rsidRDefault="001D4879" w:rsidP="001D4879">
            <w:pPr>
              <w:spacing w:after="0" w:line="240" w:lineRule="auto"/>
              <w:ind w:left="227"/>
              <w:rPr>
                <w:rFonts w:ascii="Arial" w:hAnsi="Arial" w:cs="Arial"/>
                <w:sz w:val="16"/>
                <w:szCs w:val="16"/>
              </w:rPr>
            </w:pPr>
            <w:r w:rsidRPr="00EC06FE">
              <w:rPr>
                <w:rFonts w:ascii="Arial" w:hAnsi="Arial" w:cs="Arial"/>
                <w:sz w:val="16"/>
                <w:szCs w:val="16"/>
              </w:rPr>
              <w:t>Principal payments on lease liability</w:t>
            </w:r>
          </w:p>
        </w:tc>
        <w:tc>
          <w:tcPr>
            <w:tcW w:w="605" w:type="pct"/>
            <w:tcBorders>
              <w:top w:val="nil"/>
              <w:left w:val="nil"/>
              <w:bottom w:val="nil"/>
              <w:right w:val="nil"/>
            </w:tcBorders>
            <w:shd w:val="clear" w:color="auto" w:fill="auto"/>
            <w:noWrap/>
            <w:vAlign w:val="bottom"/>
            <w:hideMark/>
          </w:tcPr>
          <w:p w14:paraId="65FCAEFE" w14:textId="47F18D8E"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19,932</w:t>
            </w:r>
          </w:p>
        </w:tc>
        <w:tc>
          <w:tcPr>
            <w:tcW w:w="574" w:type="pct"/>
            <w:tcBorders>
              <w:top w:val="nil"/>
              <w:left w:val="nil"/>
              <w:bottom w:val="nil"/>
              <w:right w:val="nil"/>
            </w:tcBorders>
            <w:shd w:val="clear" w:color="000000" w:fill="E6E6E6"/>
            <w:noWrap/>
            <w:vAlign w:val="bottom"/>
            <w:hideMark/>
          </w:tcPr>
          <w:p w14:paraId="29D232D9" w14:textId="18D05C00"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19,995</w:t>
            </w:r>
          </w:p>
        </w:tc>
        <w:tc>
          <w:tcPr>
            <w:tcW w:w="574" w:type="pct"/>
            <w:tcBorders>
              <w:top w:val="nil"/>
              <w:left w:val="nil"/>
              <w:bottom w:val="nil"/>
              <w:right w:val="nil"/>
            </w:tcBorders>
            <w:shd w:val="clear" w:color="auto" w:fill="auto"/>
            <w:noWrap/>
            <w:vAlign w:val="bottom"/>
            <w:hideMark/>
          </w:tcPr>
          <w:p w14:paraId="7FF569DF" w14:textId="0C66368F"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19,995</w:t>
            </w:r>
          </w:p>
        </w:tc>
        <w:tc>
          <w:tcPr>
            <w:tcW w:w="574" w:type="pct"/>
            <w:tcBorders>
              <w:top w:val="nil"/>
              <w:left w:val="nil"/>
              <w:bottom w:val="nil"/>
              <w:right w:val="nil"/>
            </w:tcBorders>
            <w:shd w:val="clear" w:color="auto" w:fill="auto"/>
            <w:noWrap/>
            <w:vAlign w:val="bottom"/>
            <w:hideMark/>
          </w:tcPr>
          <w:p w14:paraId="04EB9550" w14:textId="4847B529"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19,995</w:t>
            </w:r>
          </w:p>
        </w:tc>
        <w:tc>
          <w:tcPr>
            <w:tcW w:w="573" w:type="pct"/>
            <w:tcBorders>
              <w:top w:val="nil"/>
              <w:left w:val="nil"/>
              <w:bottom w:val="nil"/>
              <w:right w:val="nil"/>
            </w:tcBorders>
            <w:shd w:val="clear" w:color="auto" w:fill="auto"/>
            <w:noWrap/>
            <w:vAlign w:val="bottom"/>
            <w:hideMark/>
          </w:tcPr>
          <w:p w14:paraId="5CCBD6EF" w14:textId="01FDBBFE"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19,995</w:t>
            </w:r>
          </w:p>
        </w:tc>
      </w:tr>
      <w:tr w:rsidR="001D4879" w:rsidRPr="00EC06FE" w14:paraId="2F6CEDDC" w14:textId="77777777" w:rsidTr="001D4879">
        <w:trPr>
          <w:trHeight w:val="204"/>
        </w:trPr>
        <w:tc>
          <w:tcPr>
            <w:tcW w:w="2100" w:type="pct"/>
            <w:tcBorders>
              <w:top w:val="nil"/>
              <w:left w:val="nil"/>
              <w:bottom w:val="nil"/>
              <w:right w:val="nil"/>
            </w:tcBorders>
            <w:shd w:val="clear" w:color="auto" w:fill="auto"/>
            <w:noWrap/>
            <w:vAlign w:val="bottom"/>
            <w:hideMark/>
          </w:tcPr>
          <w:p w14:paraId="3752BC5B" w14:textId="77777777" w:rsidR="001D4879" w:rsidRPr="00EC06FE" w:rsidRDefault="001D4879" w:rsidP="001D4879">
            <w:pPr>
              <w:spacing w:after="0" w:line="240" w:lineRule="auto"/>
              <w:rPr>
                <w:rFonts w:ascii="Arial" w:hAnsi="Arial" w:cs="Arial"/>
                <w:b/>
                <w:bCs/>
                <w:i/>
                <w:iCs/>
                <w:color w:val="000000"/>
                <w:sz w:val="16"/>
                <w:szCs w:val="16"/>
              </w:rPr>
            </w:pPr>
            <w:r w:rsidRPr="00EC06FE">
              <w:rPr>
                <w:rFonts w:ascii="Arial" w:hAnsi="Arial" w:cs="Arial"/>
                <w:b/>
                <w:bCs/>
                <w:i/>
                <w:iCs/>
                <w:color w:val="000000"/>
                <w:sz w:val="16"/>
                <w:szCs w:val="16"/>
              </w:rPr>
              <w:t>Total cash used</w:t>
            </w:r>
          </w:p>
        </w:tc>
        <w:tc>
          <w:tcPr>
            <w:tcW w:w="605" w:type="pct"/>
            <w:tcBorders>
              <w:top w:val="single" w:sz="4" w:space="0" w:color="000000"/>
              <w:left w:val="nil"/>
              <w:bottom w:val="single" w:sz="4" w:space="0" w:color="000000"/>
              <w:right w:val="nil"/>
            </w:tcBorders>
            <w:shd w:val="clear" w:color="auto" w:fill="auto"/>
            <w:noWrap/>
            <w:vAlign w:val="bottom"/>
            <w:hideMark/>
          </w:tcPr>
          <w:p w14:paraId="7C10B1E4" w14:textId="7E21A76E" w:rsidR="001D4879" w:rsidRPr="00EC06FE" w:rsidRDefault="001D4879" w:rsidP="001D487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19,932</w:t>
            </w:r>
          </w:p>
        </w:tc>
        <w:tc>
          <w:tcPr>
            <w:tcW w:w="574" w:type="pct"/>
            <w:tcBorders>
              <w:top w:val="single" w:sz="4" w:space="0" w:color="000000"/>
              <w:left w:val="nil"/>
              <w:bottom w:val="single" w:sz="4" w:space="0" w:color="000000"/>
              <w:right w:val="nil"/>
            </w:tcBorders>
            <w:shd w:val="clear" w:color="000000" w:fill="E6E6E6"/>
            <w:noWrap/>
            <w:vAlign w:val="bottom"/>
            <w:hideMark/>
          </w:tcPr>
          <w:p w14:paraId="278578EE" w14:textId="6C2134F3" w:rsidR="001D4879" w:rsidRPr="00EC06FE" w:rsidRDefault="001D4879" w:rsidP="001D487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19,995</w:t>
            </w:r>
          </w:p>
        </w:tc>
        <w:tc>
          <w:tcPr>
            <w:tcW w:w="574" w:type="pct"/>
            <w:tcBorders>
              <w:top w:val="single" w:sz="4" w:space="0" w:color="000000"/>
              <w:left w:val="nil"/>
              <w:bottom w:val="single" w:sz="4" w:space="0" w:color="000000"/>
              <w:right w:val="nil"/>
            </w:tcBorders>
            <w:shd w:val="clear" w:color="auto" w:fill="auto"/>
            <w:noWrap/>
            <w:vAlign w:val="bottom"/>
            <w:hideMark/>
          </w:tcPr>
          <w:p w14:paraId="467D1B1A" w14:textId="50F94723" w:rsidR="001D4879" w:rsidRPr="00EC06FE" w:rsidRDefault="001D4879" w:rsidP="001D487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19,995</w:t>
            </w:r>
          </w:p>
        </w:tc>
        <w:tc>
          <w:tcPr>
            <w:tcW w:w="574" w:type="pct"/>
            <w:tcBorders>
              <w:top w:val="single" w:sz="4" w:space="0" w:color="000000"/>
              <w:left w:val="nil"/>
              <w:bottom w:val="single" w:sz="4" w:space="0" w:color="000000"/>
              <w:right w:val="nil"/>
            </w:tcBorders>
            <w:shd w:val="clear" w:color="auto" w:fill="auto"/>
            <w:noWrap/>
            <w:vAlign w:val="bottom"/>
            <w:hideMark/>
          </w:tcPr>
          <w:p w14:paraId="488589B7" w14:textId="062AE31C" w:rsidR="001D4879" w:rsidRPr="00EC06FE" w:rsidRDefault="001D4879" w:rsidP="001D487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19,995</w:t>
            </w:r>
          </w:p>
        </w:tc>
        <w:tc>
          <w:tcPr>
            <w:tcW w:w="573" w:type="pct"/>
            <w:tcBorders>
              <w:top w:val="single" w:sz="4" w:space="0" w:color="000000"/>
              <w:left w:val="nil"/>
              <w:bottom w:val="single" w:sz="4" w:space="0" w:color="000000"/>
              <w:right w:val="nil"/>
            </w:tcBorders>
            <w:shd w:val="clear" w:color="auto" w:fill="auto"/>
            <w:noWrap/>
            <w:vAlign w:val="bottom"/>
            <w:hideMark/>
          </w:tcPr>
          <w:p w14:paraId="46010015" w14:textId="36575109" w:rsidR="001D4879" w:rsidRPr="00EC06FE" w:rsidRDefault="001D4879" w:rsidP="001D487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19,995</w:t>
            </w:r>
          </w:p>
        </w:tc>
      </w:tr>
      <w:tr w:rsidR="001D4879" w:rsidRPr="00EC06FE" w14:paraId="65EF5C6B" w14:textId="77777777" w:rsidTr="001D4879">
        <w:trPr>
          <w:trHeight w:val="204"/>
        </w:trPr>
        <w:tc>
          <w:tcPr>
            <w:tcW w:w="2100" w:type="pct"/>
            <w:tcBorders>
              <w:top w:val="nil"/>
              <w:left w:val="nil"/>
              <w:bottom w:val="nil"/>
              <w:right w:val="nil"/>
            </w:tcBorders>
            <w:shd w:val="clear" w:color="auto" w:fill="auto"/>
            <w:vAlign w:val="bottom"/>
            <w:hideMark/>
          </w:tcPr>
          <w:p w14:paraId="00EDEEA9" w14:textId="65B17E43" w:rsidR="001D4879" w:rsidRPr="00EC06FE" w:rsidRDefault="001D4879" w:rsidP="001D4879">
            <w:pPr>
              <w:spacing w:after="0" w:line="240" w:lineRule="auto"/>
              <w:rPr>
                <w:rFonts w:ascii="Arial" w:hAnsi="Arial" w:cs="Arial"/>
                <w:b/>
                <w:bCs/>
                <w:color w:val="000000"/>
                <w:sz w:val="16"/>
                <w:szCs w:val="16"/>
              </w:rPr>
            </w:pPr>
            <w:r w:rsidRPr="00EC06FE">
              <w:rPr>
                <w:rFonts w:ascii="Arial" w:hAnsi="Arial" w:cs="Arial"/>
                <w:b/>
                <w:bCs/>
                <w:color w:val="000000"/>
                <w:sz w:val="16"/>
                <w:szCs w:val="16"/>
              </w:rPr>
              <w:t>Net cash from/(used by) financing activities</w:t>
            </w:r>
          </w:p>
        </w:tc>
        <w:tc>
          <w:tcPr>
            <w:tcW w:w="605" w:type="pct"/>
            <w:tcBorders>
              <w:top w:val="nil"/>
              <w:left w:val="nil"/>
              <w:bottom w:val="single" w:sz="4" w:space="0" w:color="000000"/>
              <w:right w:val="nil"/>
            </w:tcBorders>
            <w:shd w:val="clear" w:color="auto" w:fill="auto"/>
            <w:noWrap/>
            <w:vAlign w:val="bottom"/>
            <w:hideMark/>
          </w:tcPr>
          <w:p w14:paraId="42E985C9" w14:textId="7B33D07E" w:rsidR="001D4879" w:rsidRPr="00EC06FE" w:rsidRDefault="001D4879" w:rsidP="001D4879">
            <w:pPr>
              <w:spacing w:after="0" w:line="240" w:lineRule="auto"/>
              <w:jc w:val="right"/>
              <w:rPr>
                <w:rFonts w:ascii="Arial" w:hAnsi="Arial" w:cs="Arial"/>
                <w:b/>
                <w:bCs/>
                <w:color w:val="000000"/>
                <w:sz w:val="16"/>
                <w:szCs w:val="16"/>
              </w:rPr>
            </w:pPr>
            <w:r>
              <w:rPr>
                <w:rFonts w:ascii="Arial" w:hAnsi="Arial" w:cs="Arial"/>
                <w:b/>
                <w:bCs/>
                <w:color w:val="000000"/>
                <w:sz w:val="16"/>
                <w:szCs w:val="16"/>
              </w:rPr>
              <w:t>(7,497)</w:t>
            </w:r>
          </w:p>
        </w:tc>
        <w:tc>
          <w:tcPr>
            <w:tcW w:w="574" w:type="pct"/>
            <w:tcBorders>
              <w:top w:val="nil"/>
              <w:left w:val="nil"/>
              <w:bottom w:val="single" w:sz="4" w:space="0" w:color="000000"/>
              <w:right w:val="nil"/>
            </w:tcBorders>
            <w:shd w:val="clear" w:color="000000" w:fill="E6E6E6"/>
            <w:noWrap/>
            <w:vAlign w:val="bottom"/>
            <w:hideMark/>
          </w:tcPr>
          <w:p w14:paraId="13BE594C" w14:textId="4ECC9205" w:rsidR="001D4879" w:rsidRPr="00EC06FE" w:rsidRDefault="001D4879" w:rsidP="001D4879">
            <w:pPr>
              <w:spacing w:after="0" w:line="240" w:lineRule="auto"/>
              <w:jc w:val="right"/>
              <w:rPr>
                <w:rFonts w:ascii="Arial" w:hAnsi="Arial" w:cs="Arial"/>
                <w:b/>
                <w:bCs/>
                <w:color w:val="000000"/>
                <w:sz w:val="16"/>
                <w:szCs w:val="16"/>
              </w:rPr>
            </w:pPr>
            <w:r>
              <w:rPr>
                <w:rFonts w:ascii="Arial" w:hAnsi="Arial" w:cs="Arial"/>
                <w:b/>
                <w:bCs/>
                <w:color w:val="000000"/>
                <w:sz w:val="16"/>
                <w:szCs w:val="16"/>
              </w:rPr>
              <w:t>1,887</w:t>
            </w:r>
          </w:p>
        </w:tc>
        <w:tc>
          <w:tcPr>
            <w:tcW w:w="574" w:type="pct"/>
            <w:tcBorders>
              <w:top w:val="nil"/>
              <w:left w:val="nil"/>
              <w:bottom w:val="single" w:sz="4" w:space="0" w:color="000000"/>
              <w:right w:val="nil"/>
            </w:tcBorders>
            <w:shd w:val="clear" w:color="auto" w:fill="auto"/>
            <w:noWrap/>
            <w:vAlign w:val="bottom"/>
            <w:hideMark/>
          </w:tcPr>
          <w:p w14:paraId="08747F6C" w14:textId="24EDE813" w:rsidR="001D4879" w:rsidRPr="00EC06FE" w:rsidRDefault="001D4879" w:rsidP="001D4879">
            <w:pPr>
              <w:spacing w:after="0" w:line="240" w:lineRule="auto"/>
              <w:jc w:val="right"/>
              <w:rPr>
                <w:rFonts w:ascii="Arial" w:hAnsi="Arial" w:cs="Arial"/>
                <w:b/>
                <w:bCs/>
                <w:color w:val="000000"/>
                <w:sz w:val="16"/>
                <w:szCs w:val="16"/>
              </w:rPr>
            </w:pPr>
            <w:r>
              <w:rPr>
                <w:rFonts w:ascii="Arial" w:hAnsi="Arial" w:cs="Arial"/>
                <w:b/>
                <w:bCs/>
                <w:color w:val="000000"/>
                <w:sz w:val="16"/>
                <w:szCs w:val="16"/>
              </w:rPr>
              <w:t>(7,593)</w:t>
            </w:r>
          </w:p>
        </w:tc>
        <w:tc>
          <w:tcPr>
            <w:tcW w:w="574" w:type="pct"/>
            <w:tcBorders>
              <w:top w:val="nil"/>
              <w:left w:val="nil"/>
              <w:bottom w:val="single" w:sz="4" w:space="0" w:color="000000"/>
              <w:right w:val="nil"/>
            </w:tcBorders>
            <w:shd w:val="clear" w:color="auto" w:fill="auto"/>
            <w:noWrap/>
            <w:vAlign w:val="bottom"/>
            <w:hideMark/>
          </w:tcPr>
          <w:p w14:paraId="7848F84B" w14:textId="7F11600E" w:rsidR="001D4879" w:rsidRPr="00EC06FE" w:rsidRDefault="001D4879" w:rsidP="001D4879">
            <w:pPr>
              <w:spacing w:after="0" w:line="240" w:lineRule="auto"/>
              <w:jc w:val="right"/>
              <w:rPr>
                <w:rFonts w:ascii="Arial" w:hAnsi="Arial" w:cs="Arial"/>
                <w:b/>
                <w:bCs/>
                <w:color w:val="000000"/>
                <w:sz w:val="16"/>
                <w:szCs w:val="16"/>
              </w:rPr>
            </w:pPr>
            <w:r>
              <w:rPr>
                <w:rFonts w:ascii="Arial" w:hAnsi="Arial" w:cs="Arial"/>
                <w:b/>
                <w:bCs/>
                <w:color w:val="000000"/>
                <w:sz w:val="16"/>
                <w:szCs w:val="16"/>
              </w:rPr>
              <w:t>(8,404)</w:t>
            </w:r>
          </w:p>
        </w:tc>
        <w:tc>
          <w:tcPr>
            <w:tcW w:w="573" w:type="pct"/>
            <w:tcBorders>
              <w:top w:val="nil"/>
              <w:left w:val="nil"/>
              <w:bottom w:val="single" w:sz="4" w:space="0" w:color="000000"/>
              <w:right w:val="nil"/>
            </w:tcBorders>
            <w:shd w:val="clear" w:color="auto" w:fill="auto"/>
            <w:noWrap/>
            <w:vAlign w:val="bottom"/>
            <w:hideMark/>
          </w:tcPr>
          <w:p w14:paraId="226A5FF1" w14:textId="648C6C1D" w:rsidR="001D4879" w:rsidRPr="00EC06FE" w:rsidRDefault="001D4879" w:rsidP="001D4879">
            <w:pPr>
              <w:spacing w:after="0" w:line="240" w:lineRule="auto"/>
              <w:jc w:val="right"/>
              <w:rPr>
                <w:rFonts w:ascii="Arial" w:hAnsi="Arial" w:cs="Arial"/>
                <w:b/>
                <w:bCs/>
                <w:color w:val="000000"/>
                <w:sz w:val="16"/>
                <w:szCs w:val="16"/>
              </w:rPr>
            </w:pPr>
            <w:r>
              <w:rPr>
                <w:rFonts w:ascii="Arial" w:hAnsi="Arial" w:cs="Arial"/>
                <w:b/>
                <w:bCs/>
                <w:color w:val="000000"/>
                <w:sz w:val="16"/>
                <w:szCs w:val="16"/>
              </w:rPr>
              <w:t>(8,272)</w:t>
            </w:r>
          </w:p>
        </w:tc>
      </w:tr>
      <w:tr w:rsidR="001D4879" w:rsidRPr="00EC06FE" w14:paraId="0ADBE25F" w14:textId="77777777" w:rsidTr="001D4879">
        <w:trPr>
          <w:trHeight w:val="204"/>
        </w:trPr>
        <w:tc>
          <w:tcPr>
            <w:tcW w:w="2100" w:type="pct"/>
            <w:tcBorders>
              <w:top w:val="nil"/>
              <w:left w:val="nil"/>
              <w:bottom w:val="nil"/>
              <w:right w:val="nil"/>
            </w:tcBorders>
            <w:shd w:val="clear" w:color="auto" w:fill="auto"/>
            <w:vAlign w:val="bottom"/>
            <w:hideMark/>
          </w:tcPr>
          <w:p w14:paraId="2AB953BB" w14:textId="5A1D5DA5" w:rsidR="001D4879" w:rsidRPr="00EC06FE" w:rsidRDefault="001D4879" w:rsidP="001D4879">
            <w:pPr>
              <w:spacing w:after="0" w:line="240" w:lineRule="auto"/>
              <w:rPr>
                <w:rFonts w:ascii="Arial" w:hAnsi="Arial" w:cs="Arial"/>
                <w:b/>
                <w:bCs/>
                <w:color w:val="000000"/>
                <w:sz w:val="16"/>
                <w:szCs w:val="16"/>
              </w:rPr>
            </w:pPr>
            <w:r w:rsidRPr="00EC06FE">
              <w:rPr>
                <w:rFonts w:ascii="Arial" w:hAnsi="Arial" w:cs="Arial"/>
                <w:b/>
                <w:bCs/>
                <w:color w:val="000000"/>
                <w:sz w:val="16"/>
                <w:szCs w:val="16"/>
              </w:rPr>
              <w:t>Net increase/(decrease) in cash held</w:t>
            </w:r>
          </w:p>
        </w:tc>
        <w:tc>
          <w:tcPr>
            <w:tcW w:w="605" w:type="pct"/>
            <w:tcBorders>
              <w:top w:val="nil"/>
              <w:left w:val="nil"/>
              <w:bottom w:val="single" w:sz="4" w:space="0" w:color="000000"/>
              <w:right w:val="nil"/>
            </w:tcBorders>
            <w:shd w:val="clear" w:color="auto" w:fill="auto"/>
            <w:noWrap/>
            <w:vAlign w:val="bottom"/>
            <w:hideMark/>
          </w:tcPr>
          <w:p w14:paraId="22CE0520" w14:textId="190ABC29" w:rsidR="001D4879" w:rsidRPr="00EC06FE" w:rsidRDefault="001D4879" w:rsidP="001D4879">
            <w:pPr>
              <w:spacing w:after="0" w:line="240" w:lineRule="auto"/>
              <w:jc w:val="right"/>
              <w:rPr>
                <w:rFonts w:ascii="Arial" w:hAnsi="Arial" w:cs="Arial"/>
                <w:b/>
                <w:bCs/>
                <w:color w:val="000000"/>
                <w:sz w:val="16"/>
                <w:szCs w:val="16"/>
              </w:rPr>
            </w:pPr>
            <w:r>
              <w:rPr>
                <w:rFonts w:ascii="Arial" w:hAnsi="Arial" w:cs="Arial"/>
                <w:b/>
                <w:bCs/>
                <w:color w:val="000000"/>
                <w:sz w:val="16"/>
                <w:szCs w:val="16"/>
              </w:rPr>
              <w:t>1,045</w:t>
            </w:r>
          </w:p>
        </w:tc>
        <w:tc>
          <w:tcPr>
            <w:tcW w:w="574" w:type="pct"/>
            <w:tcBorders>
              <w:top w:val="nil"/>
              <w:left w:val="nil"/>
              <w:bottom w:val="single" w:sz="4" w:space="0" w:color="000000"/>
              <w:right w:val="nil"/>
            </w:tcBorders>
            <w:shd w:val="clear" w:color="000000" w:fill="E6E6E6"/>
            <w:noWrap/>
            <w:vAlign w:val="bottom"/>
            <w:hideMark/>
          </w:tcPr>
          <w:p w14:paraId="54A76E72" w14:textId="4BE12B6A" w:rsidR="001D4879" w:rsidRPr="00EC06FE" w:rsidRDefault="001D4879" w:rsidP="001D4879">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574" w:type="pct"/>
            <w:tcBorders>
              <w:top w:val="nil"/>
              <w:left w:val="nil"/>
              <w:bottom w:val="single" w:sz="4" w:space="0" w:color="000000"/>
              <w:right w:val="nil"/>
            </w:tcBorders>
            <w:shd w:val="clear" w:color="auto" w:fill="auto"/>
            <w:noWrap/>
            <w:vAlign w:val="bottom"/>
            <w:hideMark/>
          </w:tcPr>
          <w:p w14:paraId="3644F2BE" w14:textId="184B5608" w:rsidR="001D4879" w:rsidRPr="00EC06FE" w:rsidRDefault="001D4879" w:rsidP="001D4879">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574" w:type="pct"/>
            <w:tcBorders>
              <w:top w:val="nil"/>
              <w:left w:val="nil"/>
              <w:bottom w:val="single" w:sz="4" w:space="0" w:color="000000"/>
              <w:right w:val="nil"/>
            </w:tcBorders>
            <w:shd w:val="clear" w:color="auto" w:fill="auto"/>
            <w:noWrap/>
            <w:vAlign w:val="bottom"/>
            <w:hideMark/>
          </w:tcPr>
          <w:p w14:paraId="0E212903" w14:textId="1D302030" w:rsidR="001D4879" w:rsidRPr="00EC06FE" w:rsidRDefault="001D4879" w:rsidP="001D4879">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573" w:type="pct"/>
            <w:tcBorders>
              <w:top w:val="nil"/>
              <w:left w:val="nil"/>
              <w:bottom w:val="single" w:sz="4" w:space="0" w:color="000000"/>
              <w:right w:val="nil"/>
            </w:tcBorders>
            <w:shd w:val="clear" w:color="auto" w:fill="auto"/>
            <w:noWrap/>
            <w:vAlign w:val="bottom"/>
            <w:hideMark/>
          </w:tcPr>
          <w:p w14:paraId="292EFE3B" w14:textId="5A4F9C84" w:rsidR="001D4879" w:rsidRPr="00EC06FE" w:rsidRDefault="001D4879" w:rsidP="001D4879">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1D4879" w:rsidRPr="00EC06FE" w14:paraId="2D80EACE" w14:textId="77777777" w:rsidTr="001D4879">
        <w:trPr>
          <w:trHeight w:val="204"/>
        </w:trPr>
        <w:tc>
          <w:tcPr>
            <w:tcW w:w="2100" w:type="pct"/>
            <w:tcBorders>
              <w:top w:val="nil"/>
              <w:left w:val="nil"/>
              <w:bottom w:val="nil"/>
              <w:right w:val="nil"/>
            </w:tcBorders>
            <w:shd w:val="clear" w:color="auto" w:fill="auto"/>
            <w:vAlign w:val="bottom"/>
            <w:hideMark/>
          </w:tcPr>
          <w:p w14:paraId="30880E2F" w14:textId="35AA9220" w:rsidR="001D4879" w:rsidRPr="00EC06FE" w:rsidRDefault="001D4879" w:rsidP="001D4879">
            <w:pPr>
              <w:spacing w:after="0" w:line="240" w:lineRule="auto"/>
              <w:rPr>
                <w:rFonts w:ascii="Arial" w:hAnsi="Arial" w:cs="Arial"/>
                <w:color w:val="000000"/>
                <w:sz w:val="16"/>
                <w:szCs w:val="16"/>
              </w:rPr>
            </w:pPr>
            <w:r w:rsidRPr="00EC06FE">
              <w:rPr>
                <w:rFonts w:ascii="Arial" w:hAnsi="Arial" w:cs="Arial"/>
                <w:color w:val="000000"/>
                <w:sz w:val="16"/>
                <w:szCs w:val="16"/>
              </w:rPr>
              <w:t>Cash and cash equivalents at the beginning of the reporting period</w:t>
            </w:r>
          </w:p>
        </w:tc>
        <w:tc>
          <w:tcPr>
            <w:tcW w:w="605" w:type="pct"/>
            <w:tcBorders>
              <w:top w:val="nil"/>
              <w:left w:val="nil"/>
              <w:bottom w:val="nil"/>
              <w:right w:val="nil"/>
            </w:tcBorders>
            <w:shd w:val="clear" w:color="auto" w:fill="auto"/>
            <w:noWrap/>
            <w:vAlign w:val="bottom"/>
            <w:hideMark/>
          </w:tcPr>
          <w:p w14:paraId="6E94F956" w14:textId="3B344DF1"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17,339</w:t>
            </w:r>
          </w:p>
        </w:tc>
        <w:tc>
          <w:tcPr>
            <w:tcW w:w="574" w:type="pct"/>
            <w:tcBorders>
              <w:top w:val="nil"/>
              <w:left w:val="nil"/>
              <w:bottom w:val="nil"/>
              <w:right w:val="nil"/>
            </w:tcBorders>
            <w:shd w:val="clear" w:color="000000" w:fill="E6E6E6"/>
            <w:noWrap/>
            <w:vAlign w:val="bottom"/>
            <w:hideMark/>
          </w:tcPr>
          <w:p w14:paraId="642E5765" w14:textId="609EF628" w:rsidR="001D4879" w:rsidRPr="00A1733C" w:rsidRDefault="001D4879" w:rsidP="001D4879">
            <w:pPr>
              <w:spacing w:after="0" w:line="240" w:lineRule="auto"/>
              <w:jc w:val="right"/>
              <w:rPr>
                <w:rFonts w:ascii="Arial" w:hAnsi="Arial" w:cs="Arial"/>
                <w:bCs/>
                <w:color w:val="000000"/>
                <w:sz w:val="16"/>
                <w:szCs w:val="16"/>
              </w:rPr>
            </w:pPr>
            <w:r w:rsidRPr="00A1733C">
              <w:rPr>
                <w:rFonts w:ascii="Arial" w:hAnsi="Arial" w:cs="Arial"/>
                <w:bCs/>
                <w:color w:val="000000"/>
                <w:sz w:val="16"/>
                <w:szCs w:val="16"/>
              </w:rPr>
              <w:t>18,384</w:t>
            </w:r>
          </w:p>
        </w:tc>
        <w:tc>
          <w:tcPr>
            <w:tcW w:w="574" w:type="pct"/>
            <w:tcBorders>
              <w:top w:val="nil"/>
              <w:left w:val="nil"/>
              <w:bottom w:val="nil"/>
              <w:right w:val="nil"/>
            </w:tcBorders>
            <w:shd w:val="clear" w:color="auto" w:fill="auto"/>
            <w:noWrap/>
            <w:vAlign w:val="bottom"/>
            <w:hideMark/>
          </w:tcPr>
          <w:p w14:paraId="60DBA0F8" w14:textId="4D56540B" w:rsidR="001D4879" w:rsidRPr="00A1733C" w:rsidRDefault="001D4879" w:rsidP="001D4879">
            <w:pPr>
              <w:spacing w:after="0" w:line="240" w:lineRule="auto"/>
              <w:jc w:val="right"/>
              <w:rPr>
                <w:rFonts w:ascii="Arial" w:hAnsi="Arial" w:cs="Arial"/>
                <w:color w:val="000000"/>
                <w:sz w:val="16"/>
                <w:szCs w:val="16"/>
              </w:rPr>
            </w:pPr>
            <w:r w:rsidRPr="00A1733C">
              <w:rPr>
                <w:rFonts w:ascii="Arial" w:hAnsi="Arial" w:cs="Arial"/>
                <w:color w:val="000000"/>
                <w:sz w:val="16"/>
                <w:szCs w:val="16"/>
              </w:rPr>
              <w:t>18,384</w:t>
            </w:r>
          </w:p>
        </w:tc>
        <w:tc>
          <w:tcPr>
            <w:tcW w:w="574" w:type="pct"/>
            <w:tcBorders>
              <w:top w:val="nil"/>
              <w:left w:val="nil"/>
              <w:bottom w:val="nil"/>
              <w:right w:val="nil"/>
            </w:tcBorders>
            <w:shd w:val="clear" w:color="auto" w:fill="auto"/>
            <w:noWrap/>
            <w:vAlign w:val="bottom"/>
            <w:hideMark/>
          </w:tcPr>
          <w:p w14:paraId="64BB3DC8" w14:textId="03E2F8F9"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18,384</w:t>
            </w:r>
          </w:p>
        </w:tc>
        <w:tc>
          <w:tcPr>
            <w:tcW w:w="573" w:type="pct"/>
            <w:tcBorders>
              <w:top w:val="nil"/>
              <w:left w:val="nil"/>
              <w:bottom w:val="nil"/>
              <w:right w:val="nil"/>
            </w:tcBorders>
            <w:shd w:val="clear" w:color="auto" w:fill="auto"/>
            <w:noWrap/>
            <w:vAlign w:val="bottom"/>
            <w:hideMark/>
          </w:tcPr>
          <w:p w14:paraId="7E3E0CE0" w14:textId="35762D2B" w:rsidR="001D4879" w:rsidRPr="00EC06FE" w:rsidRDefault="001D4879" w:rsidP="001D4879">
            <w:pPr>
              <w:spacing w:after="0" w:line="240" w:lineRule="auto"/>
              <w:jc w:val="right"/>
              <w:rPr>
                <w:rFonts w:ascii="Arial" w:hAnsi="Arial" w:cs="Arial"/>
                <w:color w:val="000000"/>
                <w:sz w:val="16"/>
                <w:szCs w:val="16"/>
              </w:rPr>
            </w:pPr>
            <w:r>
              <w:rPr>
                <w:rFonts w:ascii="Arial" w:hAnsi="Arial" w:cs="Arial"/>
                <w:color w:val="000000"/>
                <w:sz w:val="16"/>
                <w:szCs w:val="16"/>
              </w:rPr>
              <w:t>18,384</w:t>
            </w:r>
          </w:p>
        </w:tc>
      </w:tr>
      <w:tr w:rsidR="001D4879" w:rsidRPr="00EC06FE" w14:paraId="7D0628E6" w14:textId="77777777" w:rsidTr="001D4879">
        <w:trPr>
          <w:trHeight w:val="204"/>
        </w:trPr>
        <w:tc>
          <w:tcPr>
            <w:tcW w:w="2100" w:type="pct"/>
            <w:tcBorders>
              <w:top w:val="nil"/>
              <w:left w:val="nil"/>
              <w:bottom w:val="single" w:sz="4" w:space="0" w:color="auto"/>
              <w:right w:val="nil"/>
            </w:tcBorders>
            <w:shd w:val="clear" w:color="auto" w:fill="auto"/>
            <w:vAlign w:val="bottom"/>
            <w:hideMark/>
          </w:tcPr>
          <w:p w14:paraId="45BCBD5F" w14:textId="77ABDFF4" w:rsidR="001D4879" w:rsidRPr="00EC06FE" w:rsidRDefault="001D4879" w:rsidP="001D4879">
            <w:pPr>
              <w:spacing w:after="0" w:line="240" w:lineRule="auto"/>
              <w:rPr>
                <w:rFonts w:ascii="Arial" w:hAnsi="Arial" w:cs="Arial"/>
                <w:b/>
                <w:bCs/>
                <w:color w:val="000000"/>
                <w:sz w:val="16"/>
                <w:szCs w:val="16"/>
              </w:rPr>
            </w:pPr>
            <w:r w:rsidRPr="00EC06FE">
              <w:rPr>
                <w:rFonts w:ascii="Arial" w:hAnsi="Arial" w:cs="Arial"/>
                <w:b/>
                <w:bCs/>
                <w:color w:val="000000"/>
                <w:sz w:val="16"/>
                <w:szCs w:val="16"/>
              </w:rPr>
              <w:t>Cash and cash equivalents at the end of the reporting period</w:t>
            </w:r>
          </w:p>
        </w:tc>
        <w:tc>
          <w:tcPr>
            <w:tcW w:w="605" w:type="pct"/>
            <w:tcBorders>
              <w:top w:val="single" w:sz="4" w:space="0" w:color="000000"/>
              <w:left w:val="nil"/>
              <w:bottom w:val="single" w:sz="4" w:space="0" w:color="auto"/>
              <w:right w:val="nil"/>
            </w:tcBorders>
            <w:shd w:val="clear" w:color="auto" w:fill="auto"/>
            <w:noWrap/>
            <w:vAlign w:val="bottom"/>
            <w:hideMark/>
          </w:tcPr>
          <w:p w14:paraId="74B9CBDC" w14:textId="11AF93C1" w:rsidR="001D4879" w:rsidRPr="00A1733C" w:rsidRDefault="001D4879" w:rsidP="001D4879">
            <w:pPr>
              <w:spacing w:after="0" w:line="240" w:lineRule="auto"/>
              <w:jc w:val="right"/>
              <w:rPr>
                <w:rFonts w:ascii="Arial" w:hAnsi="Arial" w:cs="Arial"/>
                <w:b/>
                <w:color w:val="000000"/>
                <w:sz w:val="16"/>
                <w:szCs w:val="16"/>
              </w:rPr>
            </w:pPr>
            <w:r w:rsidRPr="00A1733C">
              <w:rPr>
                <w:rFonts w:ascii="Arial" w:hAnsi="Arial" w:cs="Arial"/>
                <w:b/>
                <w:color w:val="000000"/>
                <w:sz w:val="16"/>
                <w:szCs w:val="16"/>
              </w:rPr>
              <w:t>18,384</w:t>
            </w:r>
          </w:p>
        </w:tc>
        <w:tc>
          <w:tcPr>
            <w:tcW w:w="574" w:type="pct"/>
            <w:tcBorders>
              <w:top w:val="single" w:sz="4" w:space="0" w:color="000000"/>
              <w:left w:val="nil"/>
              <w:bottom w:val="single" w:sz="4" w:space="0" w:color="auto"/>
              <w:right w:val="nil"/>
            </w:tcBorders>
            <w:shd w:val="clear" w:color="000000" w:fill="E6E6E6"/>
            <w:noWrap/>
            <w:vAlign w:val="bottom"/>
            <w:hideMark/>
          </w:tcPr>
          <w:p w14:paraId="16CEBBC6" w14:textId="17C41162" w:rsidR="001D4879" w:rsidRPr="00A1733C" w:rsidRDefault="001D4879" w:rsidP="001D4879">
            <w:pPr>
              <w:spacing w:after="0" w:line="240" w:lineRule="auto"/>
              <w:jc w:val="right"/>
              <w:rPr>
                <w:rFonts w:ascii="Arial" w:hAnsi="Arial" w:cs="Arial"/>
                <w:b/>
                <w:bCs/>
                <w:color w:val="000000"/>
                <w:sz w:val="16"/>
                <w:szCs w:val="16"/>
              </w:rPr>
            </w:pPr>
            <w:r w:rsidRPr="00A1733C">
              <w:rPr>
                <w:rFonts w:ascii="Arial" w:hAnsi="Arial" w:cs="Arial"/>
                <w:b/>
                <w:bCs/>
                <w:color w:val="000000"/>
                <w:sz w:val="16"/>
                <w:szCs w:val="16"/>
              </w:rPr>
              <w:t>18,384</w:t>
            </w:r>
          </w:p>
        </w:tc>
        <w:tc>
          <w:tcPr>
            <w:tcW w:w="574" w:type="pct"/>
            <w:tcBorders>
              <w:top w:val="single" w:sz="4" w:space="0" w:color="000000"/>
              <w:left w:val="nil"/>
              <w:bottom w:val="single" w:sz="4" w:space="0" w:color="auto"/>
              <w:right w:val="nil"/>
            </w:tcBorders>
            <w:shd w:val="clear" w:color="auto" w:fill="auto"/>
            <w:noWrap/>
            <w:vAlign w:val="bottom"/>
            <w:hideMark/>
          </w:tcPr>
          <w:p w14:paraId="1406505B" w14:textId="57DB8DE7" w:rsidR="001D4879" w:rsidRPr="00A1733C" w:rsidRDefault="001D4879" w:rsidP="001D4879">
            <w:pPr>
              <w:spacing w:after="0" w:line="240" w:lineRule="auto"/>
              <w:jc w:val="right"/>
              <w:rPr>
                <w:rFonts w:ascii="Arial" w:hAnsi="Arial" w:cs="Arial"/>
                <w:b/>
                <w:color w:val="000000"/>
                <w:sz w:val="16"/>
                <w:szCs w:val="16"/>
              </w:rPr>
            </w:pPr>
            <w:r w:rsidRPr="00A1733C">
              <w:rPr>
                <w:rFonts w:ascii="Arial" w:hAnsi="Arial" w:cs="Arial"/>
                <w:b/>
                <w:color w:val="000000"/>
                <w:sz w:val="16"/>
                <w:szCs w:val="16"/>
              </w:rPr>
              <w:t>18,384</w:t>
            </w:r>
          </w:p>
        </w:tc>
        <w:tc>
          <w:tcPr>
            <w:tcW w:w="574" w:type="pct"/>
            <w:tcBorders>
              <w:top w:val="single" w:sz="4" w:space="0" w:color="000000"/>
              <w:left w:val="nil"/>
              <w:bottom w:val="single" w:sz="4" w:space="0" w:color="auto"/>
              <w:right w:val="nil"/>
            </w:tcBorders>
            <w:shd w:val="clear" w:color="auto" w:fill="auto"/>
            <w:noWrap/>
            <w:vAlign w:val="bottom"/>
            <w:hideMark/>
          </w:tcPr>
          <w:p w14:paraId="51457A17" w14:textId="1CDFC4B1" w:rsidR="001D4879" w:rsidRPr="00A1733C" w:rsidRDefault="001D4879" w:rsidP="001D4879">
            <w:pPr>
              <w:spacing w:after="0" w:line="240" w:lineRule="auto"/>
              <w:jc w:val="right"/>
              <w:rPr>
                <w:rFonts w:ascii="Arial" w:hAnsi="Arial" w:cs="Arial"/>
                <w:b/>
                <w:color w:val="000000"/>
                <w:sz w:val="16"/>
                <w:szCs w:val="16"/>
              </w:rPr>
            </w:pPr>
            <w:r w:rsidRPr="00A1733C">
              <w:rPr>
                <w:rFonts w:ascii="Arial" w:hAnsi="Arial" w:cs="Arial"/>
                <w:b/>
                <w:color w:val="000000"/>
                <w:sz w:val="16"/>
                <w:szCs w:val="16"/>
              </w:rPr>
              <w:t>18,384</w:t>
            </w:r>
          </w:p>
        </w:tc>
        <w:tc>
          <w:tcPr>
            <w:tcW w:w="573" w:type="pct"/>
            <w:tcBorders>
              <w:top w:val="single" w:sz="4" w:space="0" w:color="000000"/>
              <w:left w:val="nil"/>
              <w:bottom w:val="single" w:sz="4" w:space="0" w:color="auto"/>
              <w:right w:val="nil"/>
            </w:tcBorders>
            <w:shd w:val="clear" w:color="auto" w:fill="auto"/>
            <w:noWrap/>
            <w:vAlign w:val="bottom"/>
            <w:hideMark/>
          </w:tcPr>
          <w:p w14:paraId="7169A5AF" w14:textId="4F8971BF" w:rsidR="001D4879" w:rsidRPr="00A1733C" w:rsidRDefault="001D4879" w:rsidP="001D4879">
            <w:pPr>
              <w:spacing w:after="0" w:line="240" w:lineRule="auto"/>
              <w:jc w:val="right"/>
              <w:rPr>
                <w:rFonts w:ascii="Arial" w:hAnsi="Arial" w:cs="Arial"/>
                <w:b/>
                <w:color w:val="000000"/>
                <w:sz w:val="16"/>
                <w:szCs w:val="16"/>
              </w:rPr>
            </w:pPr>
            <w:r w:rsidRPr="00A1733C">
              <w:rPr>
                <w:rFonts w:ascii="Arial" w:hAnsi="Arial" w:cs="Arial"/>
                <w:b/>
                <w:color w:val="000000"/>
                <w:sz w:val="16"/>
                <w:szCs w:val="16"/>
              </w:rPr>
              <w:t>18,384</w:t>
            </w:r>
          </w:p>
        </w:tc>
      </w:tr>
    </w:tbl>
    <w:p w14:paraId="59A02B72" w14:textId="77777777" w:rsidR="00EB7700" w:rsidRDefault="00115843" w:rsidP="00EC06FE">
      <w:pPr>
        <w:spacing w:before="60" w:after="0" w:line="240" w:lineRule="auto"/>
        <w:rPr>
          <w:rFonts w:ascii="Arial" w:hAnsi="Arial" w:cs="Arial"/>
          <w:sz w:val="16"/>
        </w:rPr>
      </w:pPr>
      <w:r w:rsidRPr="000E5662">
        <w:rPr>
          <w:rFonts w:ascii="Arial" w:hAnsi="Arial" w:cs="Arial"/>
          <w:sz w:val="16"/>
        </w:rPr>
        <w:t>Prepared on Australian Accounting Standards basis</w:t>
      </w:r>
      <w:r>
        <w:rPr>
          <w:rFonts w:ascii="Arial" w:hAnsi="Arial" w:cs="Arial"/>
          <w:sz w:val="16"/>
        </w:rPr>
        <w:t>.</w:t>
      </w:r>
      <w:r w:rsidR="00EB7700">
        <w:rPr>
          <w:rFonts w:ascii="Arial" w:hAnsi="Arial" w:cs="Arial"/>
          <w:sz w:val="16"/>
        </w:rPr>
        <w:t xml:space="preserve"> </w:t>
      </w:r>
    </w:p>
    <w:p w14:paraId="2CD4A8DA" w14:textId="2C1C6D77" w:rsidR="00EB7700" w:rsidRPr="00EE6EE6" w:rsidRDefault="00EB7700" w:rsidP="00EC06FE">
      <w:pPr>
        <w:spacing w:after="0" w:line="240" w:lineRule="auto"/>
        <w:rPr>
          <w:rFonts w:ascii="Arial" w:hAnsi="Arial" w:cs="Arial"/>
          <w:sz w:val="16"/>
          <w:szCs w:val="16"/>
        </w:rPr>
      </w:pPr>
      <w:r w:rsidRPr="00EE6EE6">
        <w:rPr>
          <w:rFonts w:ascii="Arial" w:hAnsi="Arial" w:cs="Arial"/>
          <w:sz w:val="16"/>
          <w:szCs w:val="16"/>
        </w:rPr>
        <w:t>Table has been prepared inclusive of 2022-23 Additional Estimates figures.</w:t>
      </w:r>
    </w:p>
    <w:p w14:paraId="2EA80F25" w14:textId="1CA13192" w:rsidR="00115843" w:rsidRPr="000E5662" w:rsidRDefault="00115843" w:rsidP="00115843">
      <w:pPr>
        <w:pStyle w:val="TableGraphic"/>
        <w:spacing w:before="60"/>
        <w:rPr>
          <w:rFonts w:ascii="Arial" w:hAnsi="Arial" w:cs="Arial"/>
          <w:sz w:val="16"/>
          <w:szCs w:val="16"/>
        </w:rPr>
      </w:pPr>
    </w:p>
    <w:p w14:paraId="0059D7D6" w14:textId="77777777" w:rsidR="00115843" w:rsidRPr="00D30CBA" w:rsidRDefault="00115843" w:rsidP="00115843">
      <w:pPr>
        <w:pStyle w:val="TableHeadingcontinued"/>
      </w:pPr>
      <w:r>
        <w:br w:type="page"/>
      </w:r>
    </w:p>
    <w:p w14:paraId="11B9D49B" w14:textId="77777777" w:rsidR="00115843" w:rsidRPr="00A00283" w:rsidRDefault="00115843" w:rsidP="00115843">
      <w:pPr>
        <w:pStyle w:val="TableHeading"/>
      </w:pPr>
      <w:r w:rsidRPr="00D30CBA">
        <w:lastRenderedPageBreak/>
        <w:t>Table</w:t>
      </w:r>
      <w:r>
        <w:t xml:space="preserve"> 3.5</w:t>
      </w:r>
      <w:r w:rsidRPr="00D30CBA">
        <w:t xml:space="preserve">: </w:t>
      </w:r>
      <w:r>
        <w:t>Departmental capital budget statement (for the period ended 30 June)</w:t>
      </w:r>
    </w:p>
    <w:tbl>
      <w:tblPr>
        <w:tblW w:w="5000" w:type="pct"/>
        <w:tblLook w:val="04A0" w:firstRow="1" w:lastRow="0" w:firstColumn="1" w:lastColumn="0" w:noHBand="0" w:noVBand="1"/>
      </w:tblPr>
      <w:tblGrid>
        <w:gridCol w:w="3238"/>
        <w:gridCol w:w="933"/>
        <w:gridCol w:w="885"/>
        <w:gridCol w:w="885"/>
        <w:gridCol w:w="885"/>
        <w:gridCol w:w="884"/>
      </w:tblGrid>
      <w:tr w:rsidR="00F67736" w:rsidRPr="00F67736" w14:paraId="3349C1E5" w14:textId="77777777" w:rsidTr="00737A6C">
        <w:trPr>
          <w:trHeight w:val="204"/>
        </w:trPr>
        <w:tc>
          <w:tcPr>
            <w:tcW w:w="2100" w:type="pct"/>
            <w:tcBorders>
              <w:top w:val="single" w:sz="4" w:space="0" w:color="auto"/>
              <w:left w:val="nil"/>
              <w:bottom w:val="nil"/>
              <w:right w:val="nil"/>
            </w:tcBorders>
            <w:shd w:val="clear" w:color="auto" w:fill="auto"/>
            <w:noWrap/>
            <w:vAlign w:val="bottom"/>
            <w:hideMark/>
          </w:tcPr>
          <w:p w14:paraId="434718BB" w14:textId="77777777" w:rsidR="00F67736" w:rsidRPr="00F67736" w:rsidRDefault="00F67736" w:rsidP="00F67736">
            <w:pPr>
              <w:spacing w:after="0" w:line="240" w:lineRule="auto"/>
              <w:rPr>
                <w:rFonts w:ascii="Arial" w:hAnsi="Arial" w:cs="Arial"/>
                <w:b/>
                <w:bCs/>
                <w:sz w:val="16"/>
                <w:szCs w:val="16"/>
              </w:rPr>
            </w:pPr>
            <w:r w:rsidRPr="00F67736">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198CA0EB" w14:textId="77777777" w:rsidR="00F67736" w:rsidRPr="00F67736" w:rsidRDefault="00F67736" w:rsidP="00F67736">
            <w:pPr>
              <w:spacing w:after="0" w:line="240" w:lineRule="auto"/>
              <w:jc w:val="right"/>
              <w:rPr>
                <w:rFonts w:ascii="Arial" w:hAnsi="Arial" w:cs="Arial"/>
                <w:sz w:val="16"/>
                <w:szCs w:val="16"/>
              </w:rPr>
            </w:pPr>
            <w:r w:rsidRPr="00F67736">
              <w:rPr>
                <w:rFonts w:ascii="Arial" w:hAnsi="Arial" w:cs="Arial"/>
                <w:sz w:val="16"/>
                <w:szCs w:val="16"/>
              </w:rPr>
              <w:t>2022-23 Estimated actual</w:t>
            </w:r>
            <w:r w:rsidRPr="00F67736">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000000" w:fill="E6E6E6"/>
            <w:vAlign w:val="bottom"/>
            <w:hideMark/>
          </w:tcPr>
          <w:p w14:paraId="430608D3" w14:textId="77777777" w:rsidR="00F67736" w:rsidRPr="00F67736" w:rsidRDefault="00F67736" w:rsidP="00F67736">
            <w:pPr>
              <w:spacing w:after="0" w:line="240" w:lineRule="auto"/>
              <w:jc w:val="right"/>
              <w:rPr>
                <w:rFonts w:ascii="Arial" w:hAnsi="Arial" w:cs="Arial"/>
                <w:sz w:val="16"/>
                <w:szCs w:val="16"/>
              </w:rPr>
            </w:pPr>
            <w:r w:rsidRPr="00F67736">
              <w:rPr>
                <w:rFonts w:ascii="Arial" w:hAnsi="Arial" w:cs="Arial"/>
                <w:sz w:val="16"/>
                <w:szCs w:val="16"/>
              </w:rPr>
              <w:t>2023-24</w:t>
            </w:r>
            <w:r w:rsidRPr="00F67736">
              <w:rPr>
                <w:rFonts w:ascii="Arial" w:hAnsi="Arial" w:cs="Arial"/>
                <w:sz w:val="16"/>
                <w:szCs w:val="16"/>
              </w:rPr>
              <w:br/>
              <w:t>Budget</w:t>
            </w:r>
            <w:r w:rsidRPr="00F67736">
              <w:rPr>
                <w:rFonts w:ascii="Arial" w:hAnsi="Arial" w:cs="Arial"/>
                <w:sz w:val="16"/>
                <w:szCs w:val="16"/>
              </w:rPr>
              <w:br/>
            </w:r>
            <w:r w:rsidRPr="00F67736">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598D5BFF" w14:textId="77777777" w:rsidR="00F67736" w:rsidRPr="00F67736" w:rsidRDefault="00F67736" w:rsidP="00F67736">
            <w:pPr>
              <w:spacing w:after="0" w:line="240" w:lineRule="auto"/>
              <w:jc w:val="right"/>
              <w:rPr>
                <w:rFonts w:ascii="Arial" w:hAnsi="Arial" w:cs="Arial"/>
                <w:sz w:val="16"/>
                <w:szCs w:val="16"/>
              </w:rPr>
            </w:pPr>
            <w:r w:rsidRPr="00F67736">
              <w:rPr>
                <w:rFonts w:ascii="Arial" w:hAnsi="Arial" w:cs="Arial"/>
                <w:sz w:val="16"/>
                <w:szCs w:val="16"/>
              </w:rPr>
              <w:t>2024-25 Forward estimate</w:t>
            </w:r>
            <w:r w:rsidRPr="00F67736">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1F0F1B35" w14:textId="77777777" w:rsidR="00F67736" w:rsidRPr="00F67736" w:rsidRDefault="00F67736" w:rsidP="00F67736">
            <w:pPr>
              <w:spacing w:after="0" w:line="240" w:lineRule="auto"/>
              <w:jc w:val="right"/>
              <w:rPr>
                <w:rFonts w:ascii="Arial" w:hAnsi="Arial" w:cs="Arial"/>
                <w:sz w:val="16"/>
                <w:szCs w:val="16"/>
              </w:rPr>
            </w:pPr>
            <w:r w:rsidRPr="00F67736">
              <w:rPr>
                <w:rFonts w:ascii="Arial" w:hAnsi="Arial" w:cs="Arial"/>
                <w:sz w:val="16"/>
                <w:szCs w:val="16"/>
              </w:rPr>
              <w:t>2025-26 Forward estimate</w:t>
            </w:r>
            <w:r w:rsidRPr="00F67736">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2193845E" w14:textId="77777777" w:rsidR="00F67736" w:rsidRPr="00F67736" w:rsidRDefault="00F67736" w:rsidP="00F67736">
            <w:pPr>
              <w:spacing w:after="0" w:line="240" w:lineRule="auto"/>
              <w:jc w:val="right"/>
              <w:rPr>
                <w:rFonts w:ascii="Arial" w:hAnsi="Arial" w:cs="Arial"/>
                <w:sz w:val="16"/>
                <w:szCs w:val="16"/>
              </w:rPr>
            </w:pPr>
            <w:r w:rsidRPr="00F67736">
              <w:rPr>
                <w:rFonts w:ascii="Arial" w:hAnsi="Arial" w:cs="Arial"/>
                <w:sz w:val="16"/>
                <w:szCs w:val="16"/>
              </w:rPr>
              <w:t>2026-27</w:t>
            </w:r>
            <w:r w:rsidRPr="00F67736">
              <w:rPr>
                <w:rFonts w:ascii="Arial" w:hAnsi="Arial" w:cs="Arial"/>
                <w:sz w:val="16"/>
                <w:szCs w:val="16"/>
              </w:rPr>
              <w:br/>
              <w:t>Forward estimate</w:t>
            </w:r>
            <w:r w:rsidRPr="00F67736">
              <w:rPr>
                <w:rFonts w:ascii="Arial" w:hAnsi="Arial" w:cs="Arial"/>
                <w:sz w:val="16"/>
                <w:szCs w:val="16"/>
              </w:rPr>
              <w:br/>
              <w:t>$'000</w:t>
            </w:r>
          </w:p>
        </w:tc>
      </w:tr>
      <w:tr w:rsidR="00F67736" w:rsidRPr="00F67736" w14:paraId="76FE9C25" w14:textId="77777777" w:rsidTr="00737A6C">
        <w:trPr>
          <w:trHeight w:val="204"/>
        </w:trPr>
        <w:tc>
          <w:tcPr>
            <w:tcW w:w="2100" w:type="pct"/>
            <w:tcBorders>
              <w:top w:val="nil"/>
              <w:left w:val="nil"/>
              <w:bottom w:val="nil"/>
              <w:right w:val="nil"/>
            </w:tcBorders>
            <w:shd w:val="clear" w:color="auto" w:fill="auto"/>
            <w:noWrap/>
            <w:vAlign w:val="bottom"/>
            <w:hideMark/>
          </w:tcPr>
          <w:p w14:paraId="2FA04D6D" w14:textId="77777777" w:rsidR="00F67736" w:rsidRPr="00F67736" w:rsidRDefault="00F67736" w:rsidP="00F67736">
            <w:pPr>
              <w:spacing w:after="0" w:line="240" w:lineRule="auto"/>
              <w:rPr>
                <w:rFonts w:ascii="Arial" w:hAnsi="Arial" w:cs="Arial"/>
                <w:b/>
                <w:bCs/>
                <w:sz w:val="16"/>
                <w:szCs w:val="16"/>
              </w:rPr>
            </w:pPr>
            <w:r w:rsidRPr="00F67736">
              <w:rPr>
                <w:rFonts w:ascii="Arial" w:hAnsi="Arial" w:cs="Arial"/>
                <w:b/>
                <w:bCs/>
                <w:sz w:val="16"/>
                <w:szCs w:val="16"/>
              </w:rPr>
              <w:t>NEW CAPITAL APPROPRIATIONS</w:t>
            </w:r>
          </w:p>
        </w:tc>
        <w:tc>
          <w:tcPr>
            <w:tcW w:w="605" w:type="pct"/>
            <w:tcBorders>
              <w:top w:val="nil"/>
              <w:left w:val="nil"/>
              <w:bottom w:val="nil"/>
              <w:right w:val="nil"/>
            </w:tcBorders>
            <w:shd w:val="clear" w:color="auto" w:fill="auto"/>
            <w:noWrap/>
            <w:vAlign w:val="bottom"/>
            <w:hideMark/>
          </w:tcPr>
          <w:p w14:paraId="33C72345" w14:textId="77777777" w:rsidR="00F67736" w:rsidRPr="00F67736" w:rsidRDefault="00F67736" w:rsidP="00F67736">
            <w:pPr>
              <w:spacing w:after="0" w:line="240" w:lineRule="auto"/>
              <w:jc w:val="right"/>
              <w:rPr>
                <w:rFonts w:ascii="Arial" w:hAnsi="Arial" w:cs="Arial"/>
                <w:b/>
                <w:bCs/>
                <w:sz w:val="16"/>
                <w:szCs w:val="16"/>
              </w:rPr>
            </w:pPr>
          </w:p>
        </w:tc>
        <w:tc>
          <w:tcPr>
            <w:tcW w:w="574" w:type="pct"/>
            <w:tcBorders>
              <w:top w:val="nil"/>
              <w:left w:val="nil"/>
              <w:bottom w:val="nil"/>
              <w:right w:val="nil"/>
            </w:tcBorders>
            <w:shd w:val="clear" w:color="000000" w:fill="E6E6E6"/>
            <w:noWrap/>
            <w:vAlign w:val="bottom"/>
            <w:hideMark/>
          </w:tcPr>
          <w:p w14:paraId="79A0CB48" w14:textId="2E5CC08B" w:rsidR="00F67736" w:rsidRPr="00F67736" w:rsidRDefault="00F67736" w:rsidP="00F67736">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28A3725B" w14:textId="77777777" w:rsidR="00F67736" w:rsidRPr="00F67736" w:rsidRDefault="00F67736" w:rsidP="00F67736">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2166E7CD" w14:textId="77777777" w:rsidR="00F67736" w:rsidRPr="00F67736" w:rsidRDefault="00F67736" w:rsidP="00F67736">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03D755AE" w14:textId="77777777" w:rsidR="00F67736" w:rsidRPr="00F67736" w:rsidRDefault="00F67736" w:rsidP="00F67736">
            <w:pPr>
              <w:spacing w:after="0" w:line="240" w:lineRule="auto"/>
              <w:jc w:val="right"/>
              <w:rPr>
                <w:rFonts w:ascii="Times New Roman" w:hAnsi="Times New Roman"/>
              </w:rPr>
            </w:pPr>
          </w:p>
        </w:tc>
      </w:tr>
      <w:tr w:rsidR="001D4879" w:rsidRPr="00F67736" w14:paraId="19BDD918" w14:textId="77777777" w:rsidTr="00737A6C">
        <w:trPr>
          <w:trHeight w:val="204"/>
        </w:trPr>
        <w:tc>
          <w:tcPr>
            <w:tcW w:w="2100" w:type="pct"/>
            <w:tcBorders>
              <w:top w:val="nil"/>
              <w:left w:val="nil"/>
              <w:bottom w:val="nil"/>
              <w:right w:val="nil"/>
            </w:tcBorders>
            <w:shd w:val="clear" w:color="auto" w:fill="auto"/>
            <w:noWrap/>
            <w:vAlign w:val="bottom"/>
            <w:hideMark/>
          </w:tcPr>
          <w:p w14:paraId="20B93087" w14:textId="77777777" w:rsidR="001D4879" w:rsidRPr="00F67736" w:rsidRDefault="001D4879" w:rsidP="001D4879">
            <w:pPr>
              <w:spacing w:after="0" w:line="240" w:lineRule="auto"/>
              <w:ind w:left="113"/>
              <w:rPr>
                <w:rFonts w:ascii="Arial" w:hAnsi="Arial" w:cs="Arial"/>
                <w:sz w:val="16"/>
                <w:szCs w:val="16"/>
              </w:rPr>
            </w:pPr>
            <w:r w:rsidRPr="00F67736">
              <w:rPr>
                <w:rFonts w:ascii="Arial" w:hAnsi="Arial" w:cs="Arial"/>
                <w:sz w:val="16"/>
                <w:szCs w:val="16"/>
              </w:rPr>
              <w:t>Capital budget - Bill 1 (DCB)</w:t>
            </w:r>
          </w:p>
        </w:tc>
        <w:tc>
          <w:tcPr>
            <w:tcW w:w="605" w:type="pct"/>
            <w:tcBorders>
              <w:top w:val="nil"/>
              <w:left w:val="nil"/>
              <w:bottom w:val="nil"/>
              <w:right w:val="nil"/>
            </w:tcBorders>
            <w:shd w:val="clear" w:color="auto" w:fill="auto"/>
            <w:noWrap/>
            <w:vAlign w:val="bottom"/>
            <w:hideMark/>
          </w:tcPr>
          <w:p w14:paraId="7B8772E5" w14:textId="29C36181" w:rsidR="001D4879" w:rsidRPr="00F67736" w:rsidRDefault="001D4879" w:rsidP="001D4879">
            <w:pPr>
              <w:spacing w:after="0" w:line="240" w:lineRule="auto"/>
              <w:jc w:val="right"/>
              <w:rPr>
                <w:rFonts w:ascii="Arial" w:hAnsi="Arial" w:cs="Arial"/>
                <w:sz w:val="16"/>
                <w:szCs w:val="16"/>
              </w:rPr>
            </w:pPr>
            <w:r>
              <w:rPr>
                <w:rFonts w:ascii="Arial" w:hAnsi="Arial" w:cs="Arial"/>
                <w:sz w:val="16"/>
                <w:szCs w:val="16"/>
              </w:rPr>
              <w:t>12,456</w:t>
            </w:r>
          </w:p>
        </w:tc>
        <w:tc>
          <w:tcPr>
            <w:tcW w:w="574" w:type="pct"/>
            <w:tcBorders>
              <w:top w:val="nil"/>
              <w:left w:val="nil"/>
              <w:bottom w:val="nil"/>
              <w:right w:val="nil"/>
            </w:tcBorders>
            <w:shd w:val="clear" w:color="000000" w:fill="E6E6E6"/>
            <w:noWrap/>
            <w:vAlign w:val="bottom"/>
            <w:hideMark/>
          </w:tcPr>
          <w:p w14:paraId="164FC2D1" w14:textId="47805380" w:rsidR="001D4879" w:rsidRPr="00F67736" w:rsidRDefault="001D4879" w:rsidP="001D4879">
            <w:pPr>
              <w:spacing w:after="0" w:line="240" w:lineRule="auto"/>
              <w:jc w:val="right"/>
              <w:rPr>
                <w:rFonts w:ascii="Arial" w:hAnsi="Arial" w:cs="Arial"/>
                <w:sz w:val="16"/>
                <w:szCs w:val="16"/>
              </w:rPr>
            </w:pPr>
            <w:r>
              <w:rPr>
                <w:rFonts w:ascii="Arial" w:hAnsi="Arial" w:cs="Arial"/>
                <w:sz w:val="16"/>
                <w:szCs w:val="16"/>
              </w:rPr>
              <w:t>21,900</w:t>
            </w:r>
          </w:p>
        </w:tc>
        <w:tc>
          <w:tcPr>
            <w:tcW w:w="574" w:type="pct"/>
            <w:tcBorders>
              <w:top w:val="nil"/>
              <w:left w:val="nil"/>
              <w:bottom w:val="nil"/>
              <w:right w:val="nil"/>
            </w:tcBorders>
            <w:shd w:val="clear" w:color="auto" w:fill="auto"/>
            <w:noWrap/>
            <w:vAlign w:val="bottom"/>
            <w:hideMark/>
          </w:tcPr>
          <w:p w14:paraId="0CF176B7" w14:textId="211033D6" w:rsidR="001D4879" w:rsidRPr="00F67736" w:rsidRDefault="001D4879" w:rsidP="001D4879">
            <w:pPr>
              <w:spacing w:after="0" w:line="240" w:lineRule="auto"/>
              <w:jc w:val="right"/>
              <w:rPr>
                <w:rFonts w:ascii="Arial" w:hAnsi="Arial" w:cs="Arial"/>
                <w:sz w:val="16"/>
                <w:szCs w:val="16"/>
              </w:rPr>
            </w:pPr>
            <w:r>
              <w:rPr>
                <w:rFonts w:ascii="Arial" w:hAnsi="Arial" w:cs="Arial"/>
                <w:sz w:val="16"/>
                <w:szCs w:val="16"/>
              </w:rPr>
              <w:t>12,424</w:t>
            </w:r>
          </w:p>
        </w:tc>
        <w:tc>
          <w:tcPr>
            <w:tcW w:w="574" w:type="pct"/>
            <w:tcBorders>
              <w:top w:val="nil"/>
              <w:left w:val="nil"/>
              <w:bottom w:val="nil"/>
              <w:right w:val="nil"/>
            </w:tcBorders>
            <w:shd w:val="clear" w:color="auto" w:fill="auto"/>
            <w:noWrap/>
            <w:vAlign w:val="bottom"/>
            <w:hideMark/>
          </w:tcPr>
          <w:p w14:paraId="2663F318" w14:textId="05A16686" w:rsidR="001D4879" w:rsidRPr="00F67736" w:rsidRDefault="001D4879" w:rsidP="001D4879">
            <w:pPr>
              <w:spacing w:after="0" w:line="240" w:lineRule="auto"/>
              <w:jc w:val="right"/>
              <w:rPr>
                <w:rFonts w:ascii="Arial" w:hAnsi="Arial" w:cs="Arial"/>
                <w:sz w:val="16"/>
                <w:szCs w:val="16"/>
              </w:rPr>
            </w:pPr>
            <w:r>
              <w:rPr>
                <w:rFonts w:ascii="Arial" w:hAnsi="Arial" w:cs="Arial"/>
                <w:sz w:val="16"/>
                <w:szCs w:val="16"/>
              </w:rPr>
              <w:t>11,613</w:t>
            </w:r>
          </w:p>
        </w:tc>
        <w:tc>
          <w:tcPr>
            <w:tcW w:w="573" w:type="pct"/>
            <w:tcBorders>
              <w:top w:val="nil"/>
              <w:left w:val="nil"/>
              <w:bottom w:val="nil"/>
              <w:right w:val="nil"/>
            </w:tcBorders>
            <w:shd w:val="clear" w:color="auto" w:fill="auto"/>
            <w:noWrap/>
            <w:vAlign w:val="bottom"/>
            <w:hideMark/>
          </w:tcPr>
          <w:p w14:paraId="6371A46D" w14:textId="1BE6C4A0" w:rsidR="001D4879" w:rsidRPr="00F67736" w:rsidRDefault="001D4879" w:rsidP="001D4879">
            <w:pPr>
              <w:spacing w:after="0" w:line="240" w:lineRule="auto"/>
              <w:jc w:val="right"/>
              <w:rPr>
                <w:rFonts w:ascii="Arial" w:hAnsi="Arial" w:cs="Arial"/>
                <w:sz w:val="16"/>
                <w:szCs w:val="16"/>
              </w:rPr>
            </w:pPr>
            <w:r>
              <w:rPr>
                <w:rFonts w:ascii="Arial" w:hAnsi="Arial" w:cs="Arial"/>
                <w:sz w:val="16"/>
                <w:szCs w:val="16"/>
              </w:rPr>
              <w:t>11,723</w:t>
            </w:r>
          </w:p>
        </w:tc>
      </w:tr>
      <w:tr w:rsidR="001D4879" w:rsidRPr="00F67736" w14:paraId="6A82FC5E" w14:textId="77777777" w:rsidTr="00737A6C">
        <w:trPr>
          <w:trHeight w:val="204"/>
        </w:trPr>
        <w:tc>
          <w:tcPr>
            <w:tcW w:w="2100" w:type="pct"/>
            <w:tcBorders>
              <w:top w:val="nil"/>
              <w:left w:val="nil"/>
              <w:bottom w:val="nil"/>
              <w:right w:val="nil"/>
            </w:tcBorders>
            <w:shd w:val="clear" w:color="auto" w:fill="auto"/>
            <w:noWrap/>
            <w:vAlign w:val="bottom"/>
            <w:hideMark/>
          </w:tcPr>
          <w:p w14:paraId="233E2BFC" w14:textId="77777777" w:rsidR="001D4879" w:rsidRPr="00F67736" w:rsidRDefault="001D4879" w:rsidP="001D4879">
            <w:pPr>
              <w:spacing w:after="0" w:line="240" w:lineRule="auto"/>
              <w:rPr>
                <w:rFonts w:ascii="Arial" w:hAnsi="Arial" w:cs="Arial"/>
                <w:b/>
                <w:bCs/>
                <w:sz w:val="16"/>
                <w:szCs w:val="16"/>
              </w:rPr>
            </w:pPr>
            <w:r w:rsidRPr="00F67736">
              <w:rPr>
                <w:rFonts w:ascii="Arial" w:hAnsi="Arial" w:cs="Arial"/>
                <w:b/>
                <w:bCs/>
                <w:sz w:val="16"/>
                <w:szCs w:val="16"/>
              </w:rPr>
              <w:t>Total new capital appropriations</w:t>
            </w:r>
          </w:p>
        </w:tc>
        <w:tc>
          <w:tcPr>
            <w:tcW w:w="605" w:type="pct"/>
            <w:tcBorders>
              <w:top w:val="single" w:sz="4" w:space="0" w:color="auto"/>
              <w:left w:val="nil"/>
              <w:bottom w:val="single" w:sz="4" w:space="0" w:color="auto"/>
              <w:right w:val="nil"/>
            </w:tcBorders>
            <w:shd w:val="clear" w:color="auto" w:fill="auto"/>
            <w:noWrap/>
            <w:vAlign w:val="bottom"/>
            <w:hideMark/>
          </w:tcPr>
          <w:p w14:paraId="232A3A37" w14:textId="7F11EC76" w:rsidR="001D4879" w:rsidRPr="00F67736" w:rsidRDefault="001D4879" w:rsidP="001D4879">
            <w:pPr>
              <w:spacing w:after="0" w:line="240" w:lineRule="auto"/>
              <w:jc w:val="right"/>
              <w:rPr>
                <w:rFonts w:ascii="Arial" w:hAnsi="Arial" w:cs="Arial"/>
                <w:b/>
                <w:bCs/>
                <w:sz w:val="16"/>
                <w:szCs w:val="16"/>
              </w:rPr>
            </w:pPr>
            <w:r>
              <w:rPr>
                <w:rFonts w:ascii="Arial" w:hAnsi="Arial" w:cs="Arial"/>
                <w:b/>
                <w:bCs/>
                <w:sz w:val="16"/>
                <w:szCs w:val="16"/>
              </w:rPr>
              <w:t>12,456</w:t>
            </w:r>
          </w:p>
        </w:tc>
        <w:tc>
          <w:tcPr>
            <w:tcW w:w="574" w:type="pct"/>
            <w:tcBorders>
              <w:top w:val="single" w:sz="4" w:space="0" w:color="auto"/>
              <w:left w:val="nil"/>
              <w:bottom w:val="single" w:sz="4" w:space="0" w:color="auto"/>
              <w:right w:val="nil"/>
            </w:tcBorders>
            <w:shd w:val="clear" w:color="000000" w:fill="E6E6E6"/>
            <w:noWrap/>
            <w:vAlign w:val="bottom"/>
            <w:hideMark/>
          </w:tcPr>
          <w:p w14:paraId="26081764" w14:textId="6DA96FDD" w:rsidR="001D4879" w:rsidRPr="00F67736" w:rsidRDefault="001D4879" w:rsidP="001D4879">
            <w:pPr>
              <w:spacing w:after="0" w:line="240" w:lineRule="auto"/>
              <w:jc w:val="right"/>
              <w:rPr>
                <w:rFonts w:ascii="Arial" w:hAnsi="Arial" w:cs="Arial"/>
                <w:b/>
                <w:bCs/>
                <w:sz w:val="16"/>
                <w:szCs w:val="16"/>
              </w:rPr>
            </w:pPr>
            <w:r>
              <w:rPr>
                <w:rFonts w:ascii="Arial" w:hAnsi="Arial" w:cs="Arial"/>
                <w:b/>
                <w:bCs/>
                <w:sz w:val="16"/>
                <w:szCs w:val="16"/>
              </w:rPr>
              <w:t>21,900</w:t>
            </w:r>
          </w:p>
        </w:tc>
        <w:tc>
          <w:tcPr>
            <w:tcW w:w="574" w:type="pct"/>
            <w:tcBorders>
              <w:top w:val="single" w:sz="4" w:space="0" w:color="auto"/>
              <w:left w:val="nil"/>
              <w:bottom w:val="single" w:sz="4" w:space="0" w:color="auto"/>
              <w:right w:val="nil"/>
            </w:tcBorders>
            <w:shd w:val="clear" w:color="auto" w:fill="auto"/>
            <w:noWrap/>
            <w:vAlign w:val="bottom"/>
            <w:hideMark/>
          </w:tcPr>
          <w:p w14:paraId="1F760EC7" w14:textId="18355B03" w:rsidR="001D4879" w:rsidRPr="00F67736" w:rsidRDefault="001D4879" w:rsidP="001D4879">
            <w:pPr>
              <w:spacing w:after="0" w:line="240" w:lineRule="auto"/>
              <w:jc w:val="right"/>
              <w:rPr>
                <w:rFonts w:ascii="Arial" w:hAnsi="Arial" w:cs="Arial"/>
                <w:b/>
                <w:bCs/>
                <w:sz w:val="16"/>
                <w:szCs w:val="16"/>
              </w:rPr>
            </w:pPr>
            <w:r>
              <w:rPr>
                <w:rFonts w:ascii="Arial" w:hAnsi="Arial" w:cs="Arial"/>
                <w:b/>
                <w:bCs/>
                <w:sz w:val="16"/>
                <w:szCs w:val="16"/>
              </w:rPr>
              <w:t>12,424</w:t>
            </w:r>
          </w:p>
        </w:tc>
        <w:tc>
          <w:tcPr>
            <w:tcW w:w="574" w:type="pct"/>
            <w:tcBorders>
              <w:top w:val="single" w:sz="4" w:space="0" w:color="auto"/>
              <w:left w:val="nil"/>
              <w:bottom w:val="single" w:sz="4" w:space="0" w:color="auto"/>
              <w:right w:val="nil"/>
            </w:tcBorders>
            <w:shd w:val="clear" w:color="auto" w:fill="auto"/>
            <w:noWrap/>
            <w:vAlign w:val="bottom"/>
            <w:hideMark/>
          </w:tcPr>
          <w:p w14:paraId="0F21ABA8" w14:textId="51F140F4" w:rsidR="001D4879" w:rsidRPr="00F67736" w:rsidRDefault="001D4879" w:rsidP="001D4879">
            <w:pPr>
              <w:spacing w:after="0" w:line="240" w:lineRule="auto"/>
              <w:jc w:val="right"/>
              <w:rPr>
                <w:rFonts w:ascii="Arial" w:hAnsi="Arial" w:cs="Arial"/>
                <w:b/>
                <w:bCs/>
                <w:sz w:val="16"/>
                <w:szCs w:val="16"/>
              </w:rPr>
            </w:pPr>
            <w:r>
              <w:rPr>
                <w:rFonts w:ascii="Arial" w:hAnsi="Arial" w:cs="Arial"/>
                <w:b/>
                <w:bCs/>
                <w:sz w:val="16"/>
                <w:szCs w:val="16"/>
              </w:rPr>
              <w:t>11,613</w:t>
            </w:r>
          </w:p>
        </w:tc>
        <w:tc>
          <w:tcPr>
            <w:tcW w:w="573" w:type="pct"/>
            <w:tcBorders>
              <w:top w:val="single" w:sz="4" w:space="0" w:color="auto"/>
              <w:left w:val="nil"/>
              <w:bottom w:val="single" w:sz="4" w:space="0" w:color="auto"/>
              <w:right w:val="nil"/>
            </w:tcBorders>
            <w:shd w:val="clear" w:color="auto" w:fill="auto"/>
            <w:noWrap/>
            <w:vAlign w:val="bottom"/>
            <w:hideMark/>
          </w:tcPr>
          <w:p w14:paraId="19C30AD3" w14:textId="2F55B9B1" w:rsidR="001D4879" w:rsidRPr="00F67736" w:rsidRDefault="001D4879" w:rsidP="001D4879">
            <w:pPr>
              <w:spacing w:after="0" w:line="240" w:lineRule="auto"/>
              <w:jc w:val="right"/>
              <w:rPr>
                <w:rFonts w:ascii="Arial" w:hAnsi="Arial" w:cs="Arial"/>
                <w:b/>
                <w:bCs/>
                <w:sz w:val="16"/>
                <w:szCs w:val="16"/>
              </w:rPr>
            </w:pPr>
            <w:r>
              <w:rPr>
                <w:rFonts w:ascii="Arial" w:hAnsi="Arial" w:cs="Arial"/>
                <w:b/>
                <w:bCs/>
                <w:sz w:val="16"/>
                <w:szCs w:val="16"/>
              </w:rPr>
              <w:t>11,723</w:t>
            </w:r>
          </w:p>
        </w:tc>
      </w:tr>
      <w:tr w:rsidR="001D4879" w:rsidRPr="001D4879" w14:paraId="1A40B0A8" w14:textId="77777777" w:rsidTr="00737A6C">
        <w:trPr>
          <w:trHeight w:val="204"/>
        </w:trPr>
        <w:tc>
          <w:tcPr>
            <w:tcW w:w="2100" w:type="pct"/>
            <w:tcBorders>
              <w:top w:val="nil"/>
              <w:left w:val="nil"/>
              <w:bottom w:val="nil"/>
              <w:right w:val="nil"/>
            </w:tcBorders>
            <w:shd w:val="clear" w:color="auto" w:fill="auto"/>
            <w:noWrap/>
            <w:vAlign w:val="bottom"/>
            <w:hideMark/>
          </w:tcPr>
          <w:p w14:paraId="3E18996F" w14:textId="77777777" w:rsidR="001D4879" w:rsidRPr="001D4879" w:rsidRDefault="001D4879" w:rsidP="001D4879">
            <w:pPr>
              <w:spacing w:after="0" w:line="240" w:lineRule="auto"/>
              <w:rPr>
                <w:rFonts w:ascii="Arial" w:hAnsi="Arial" w:cs="Arial"/>
                <w:b/>
                <w:bCs/>
                <w:iCs/>
                <w:sz w:val="16"/>
                <w:szCs w:val="16"/>
              </w:rPr>
            </w:pPr>
            <w:r w:rsidRPr="001D4879">
              <w:rPr>
                <w:rFonts w:ascii="Arial" w:hAnsi="Arial" w:cs="Arial"/>
                <w:b/>
                <w:bCs/>
                <w:iCs/>
                <w:sz w:val="16"/>
                <w:szCs w:val="16"/>
              </w:rPr>
              <w:t>Provided for:</w:t>
            </w:r>
          </w:p>
        </w:tc>
        <w:tc>
          <w:tcPr>
            <w:tcW w:w="605" w:type="pct"/>
            <w:tcBorders>
              <w:top w:val="nil"/>
              <w:left w:val="nil"/>
              <w:bottom w:val="nil"/>
              <w:right w:val="nil"/>
            </w:tcBorders>
            <w:shd w:val="clear" w:color="auto" w:fill="auto"/>
            <w:noWrap/>
            <w:vAlign w:val="bottom"/>
            <w:hideMark/>
          </w:tcPr>
          <w:p w14:paraId="50C317C2" w14:textId="77777777" w:rsidR="001D4879" w:rsidRPr="001D4879" w:rsidRDefault="001D4879" w:rsidP="001D4879">
            <w:pPr>
              <w:spacing w:after="0" w:line="240" w:lineRule="auto"/>
              <w:jc w:val="right"/>
              <w:rPr>
                <w:rFonts w:ascii="Arial" w:hAnsi="Arial" w:cs="Arial"/>
                <w:b/>
                <w:bCs/>
                <w:iCs/>
                <w:sz w:val="16"/>
                <w:szCs w:val="16"/>
              </w:rPr>
            </w:pPr>
          </w:p>
        </w:tc>
        <w:tc>
          <w:tcPr>
            <w:tcW w:w="574" w:type="pct"/>
            <w:tcBorders>
              <w:top w:val="nil"/>
              <w:left w:val="nil"/>
              <w:bottom w:val="nil"/>
              <w:right w:val="nil"/>
            </w:tcBorders>
            <w:shd w:val="clear" w:color="000000" w:fill="E6E6E6"/>
            <w:noWrap/>
            <w:vAlign w:val="bottom"/>
            <w:hideMark/>
          </w:tcPr>
          <w:p w14:paraId="67733E8C" w14:textId="06C1881B" w:rsidR="001D4879" w:rsidRPr="001D4879" w:rsidRDefault="001D4879" w:rsidP="001D4879">
            <w:pPr>
              <w:spacing w:after="0" w:line="240" w:lineRule="auto"/>
              <w:jc w:val="right"/>
              <w:rPr>
                <w:rFonts w:ascii="Arial" w:hAnsi="Arial" w:cs="Arial"/>
                <w:iCs/>
                <w:sz w:val="16"/>
                <w:szCs w:val="16"/>
              </w:rPr>
            </w:pPr>
          </w:p>
        </w:tc>
        <w:tc>
          <w:tcPr>
            <w:tcW w:w="574" w:type="pct"/>
            <w:tcBorders>
              <w:top w:val="nil"/>
              <w:left w:val="nil"/>
              <w:bottom w:val="nil"/>
              <w:right w:val="nil"/>
            </w:tcBorders>
            <w:shd w:val="clear" w:color="auto" w:fill="auto"/>
            <w:noWrap/>
            <w:vAlign w:val="bottom"/>
            <w:hideMark/>
          </w:tcPr>
          <w:p w14:paraId="4B336F3A" w14:textId="77777777" w:rsidR="001D4879" w:rsidRPr="001D4879" w:rsidRDefault="001D4879" w:rsidP="001D4879">
            <w:pPr>
              <w:spacing w:after="0" w:line="240" w:lineRule="auto"/>
              <w:jc w:val="right"/>
              <w:rPr>
                <w:rFonts w:ascii="Arial" w:hAnsi="Arial" w:cs="Arial"/>
                <w:iCs/>
                <w:sz w:val="16"/>
                <w:szCs w:val="16"/>
              </w:rPr>
            </w:pPr>
          </w:p>
        </w:tc>
        <w:tc>
          <w:tcPr>
            <w:tcW w:w="574" w:type="pct"/>
            <w:tcBorders>
              <w:top w:val="nil"/>
              <w:left w:val="nil"/>
              <w:bottom w:val="nil"/>
              <w:right w:val="nil"/>
            </w:tcBorders>
            <w:shd w:val="clear" w:color="auto" w:fill="auto"/>
            <w:noWrap/>
            <w:vAlign w:val="bottom"/>
            <w:hideMark/>
          </w:tcPr>
          <w:p w14:paraId="0F3EF344" w14:textId="77777777" w:rsidR="001D4879" w:rsidRPr="001D4879" w:rsidRDefault="001D4879" w:rsidP="001D4879">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7D074075" w14:textId="77777777" w:rsidR="001D4879" w:rsidRPr="001D4879" w:rsidRDefault="001D4879" w:rsidP="001D4879">
            <w:pPr>
              <w:spacing w:after="0" w:line="240" w:lineRule="auto"/>
              <w:jc w:val="right"/>
              <w:rPr>
                <w:rFonts w:ascii="Times New Roman" w:hAnsi="Times New Roman"/>
              </w:rPr>
            </w:pPr>
          </w:p>
        </w:tc>
      </w:tr>
      <w:tr w:rsidR="001D4879" w:rsidRPr="00F67736" w14:paraId="2E322B3F" w14:textId="77777777" w:rsidTr="00737A6C">
        <w:trPr>
          <w:trHeight w:val="204"/>
        </w:trPr>
        <w:tc>
          <w:tcPr>
            <w:tcW w:w="2100" w:type="pct"/>
            <w:tcBorders>
              <w:top w:val="nil"/>
              <w:left w:val="nil"/>
              <w:bottom w:val="nil"/>
              <w:right w:val="nil"/>
            </w:tcBorders>
            <w:shd w:val="clear" w:color="auto" w:fill="auto"/>
            <w:noWrap/>
            <w:vAlign w:val="bottom"/>
            <w:hideMark/>
          </w:tcPr>
          <w:p w14:paraId="3EC5E317" w14:textId="77777777" w:rsidR="001D4879" w:rsidRPr="001D4879" w:rsidRDefault="001D4879" w:rsidP="001D4879">
            <w:pPr>
              <w:spacing w:after="0" w:line="240" w:lineRule="auto"/>
              <w:ind w:left="113"/>
              <w:rPr>
                <w:rFonts w:ascii="Arial" w:hAnsi="Arial" w:cs="Arial"/>
                <w:iCs/>
                <w:sz w:val="16"/>
                <w:szCs w:val="16"/>
              </w:rPr>
            </w:pPr>
            <w:r w:rsidRPr="001D4879">
              <w:rPr>
                <w:rFonts w:ascii="Arial" w:hAnsi="Arial" w:cs="Arial"/>
                <w:iCs/>
                <w:sz w:val="16"/>
                <w:szCs w:val="16"/>
              </w:rPr>
              <w:t>Purchase of non-financial assets</w:t>
            </w:r>
          </w:p>
        </w:tc>
        <w:tc>
          <w:tcPr>
            <w:tcW w:w="605" w:type="pct"/>
            <w:tcBorders>
              <w:top w:val="nil"/>
              <w:left w:val="nil"/>
              <w:bottom w:val="nil"/>
              <w:right w:val="nil"/>
            </w:tcBorders>
            <w:shd w:val="clear" w:color="auto" w:fill="auto"/>
            <w:noWrap/>
            <w:vAlign w:val="bottom"/>
            <w:hideMark/>
          </w:tcPr>
          <w:p w14:paraId="48A5BCD3" w14:textId="498F2E41" w:rsidR="001D4879" w:rsidRPr="001D4879" w:rsidRDefault="001D4879" w:rsidP="001D4879">
            <w:pPr>
              <w:spacing w:after="0" w:line="240" w:lineRule="auto"/>
              <w:jc w:val="right"/>
              <w:rPr>
                <w:rFonts w:ascii="Arial" w:hAnsi="Arial" w:cs="Arial"/>
                <w:iCs/>
                <w:sz w:val="16"/>
                <w:szCs w:val="16"/>
              </w:rPr>
            </w:pPr>
            <w:r w:rsidRPr="001D4879">
              <w:rPr>
                <w:rFonts w:ascii="Arial" w:hAnsi="Arial" w:cs="Arial"/>
                <w:iCs/>
                <w:sz w:val="16"/>
                <w:szCs w:val="16"/>
              </w:rPr>
              <w:t>12,456</w:t>
            </w:r>
          </w:p>
        </w:tc>
        <w:tc>
          <w:tcPr>
            <w:tcW w:w="574" w:type="pct"/>
            <w:tcBorders>
              <w:top w:val="nil"/>
              <w:left w:val="nil"/>
              <w:bottom w:val="nil"/>
              <w:right w:val="nil"/>
            </w:tcBorders>
            <w:shd w:val="clear" w:color="000000" w:fill="E6E6E6"/>
            <w:noWrap/>
            <w:vAlign w:val="bottom"/>
            <w:hideMark/>
          </w:tcPr>
          <w:p w14:paraId="1949D1D5" w14:textId="14EE412B" w:rsidR="001D4879" w:rsidRPr="001D4879" w:rsidRDefault="001D4879" w:rsidP="001D4879">
            <w:pPr>
              <w:spacing w:after="0" w:line="240" w:lineRule="auto"/>
              <w:jc w:val="right"/>
              <w:rPr>
                <w:rFonts w:ascii="Arial" w:hAnsi="Arial" w:cs="Arial"/>
                <w:iCs/>
                <w:sz w:val="16"/>
                <w:szCs w:val="16"/>
              </w:rPr>
            </w:pPr>
            <w:r w:rsidRPr="001D4879">
              <w:rPr>
                <w:rFonts w:ascii="Arial" w:hAnsi="Arial" w:cs="Arial"/>
                <w:iCs/>
                <w:sz w:val="16"/>
                <w:szCs w:val="16"/>
              </w:rPr>
              <w:t>21,900</w:t>
            </w:r>
          </w:p>
        </w:tc>
        <w:tc>
          <w:tcPr>
            <w:tcW w:w="574" w:type="pct"/>
            <w:tcBorders>
              <w:top w:val="nil"/>
              <w:left w:val="nil"/>
              <w:bottom w:val="nil"/>
              <w:right w:val="nil"/>
            </w:tcBorders>
            <w:shd w:val="clear" w:color="auto" w:fill="auto"/>
            <w:noWrap/>
            <w:vAlign w:val="bottom"/>
            <w:hideMark/>
          </w:tcPr>
          <w:p w14:paraId="4003906D" w14:textId="1346C206" w:rsidR="001D4879" w:rsidRPr="001D4879" w:rsidRDefault="001D4879" w:rsidP="001D4879">
            <w:pPr>
              <w:spacing w:after="0" w:line="240" w:lineRule="auto"/>
              <w:jc w:val="right"/>
              <w:rPr>
                <w:rFonts w:ascii="Arial" w:hAnsi="Arial" w:cs="Arial"/>
                <w:iCs/>
                <w:sz w:val="16"/>
                <w:szCs w:val="16"/>
              </w:rPr>
            </w:pPr>
            <w:r w:rsidRPr="001D4879">
              <w:rPr>
                <w:rFonts w:ascii="Arial" w:hAnsi="Arial" w:cs="Arial"/>
                <w:iCs/>
                <w:sz w:val="16"/>
                <w:szCs w:val="16"/>
              </w:rPr>
              <w:t>12,424</w:t>
            </w:r>
          </w:p>
        </w:tc>
        <w:tc>
          <w:tcPr>
            <w:tcW w:w="574" w:type="pct"/>
            <w:tcBorders>
              <w:top w:val="nil"/>
              <w:left w:val="nil"/>
              <w:bottom w:val="nil"/>
              <w:right w:val="nil"/>
            </w:tcBorders>
            <w:shd w:val="clear" w:color="auto" w:fill="auto"/>
            <w:noWrap/>
            <w:vAlign w:val="bottom"/>
            <w:hideMark/>
          </w:tcPr>
          <w:p w14:paraId="63C87A57" w14:textId="1C8E2AE3" w:rsidR="001D4879" w:rsidRPr="001D4879" w:rsidRDefault="001D4879" w:rsidP="001D4879">
            <w:pPr>
              <w:spacing w:after="0" w:line="240" w:lineRule="auto"/>
              <w:jc w:val="right"/>
              <w:rPr>
                <w:rFonts w:ascii="Arial" w:hAnsi="Arial" w:cs="Arial"/>
                <w:iCs/>
                <w:sz w:val="16"/>
                <w:szCs w:val="16"/>
              </w:rPr>
            </w:pPr>
            <w:r w:rsidRPr="001D4879">
              <w:rPr>
                <w:rFonts w:ascii="Arial" w:hAnsi="Arial" w:cs="Arial"/>
                <w:iCs/>
                <w:sz w:val="16"/>
                <w:szCs w:val="16"/>
              </w:rPr>
              <w:t>11,613</w:t>
            </w:r>
          </w:p>
        </w:tc>
        <w:tc>
          <w:tcPr>
            <w:tcW w:w="573" w:type="pct"/>
            <w:tcBorders>
              <w:top w:val="nil"/>
              <w:left w:val="nil"/>
              <w:bottom w:val="nil"/>
              <w:right w:val="nil"/>
            </w:tcBorders>
            <w:shd w:val="clear" w:color="auto" w:fill="auto"/>
            <w:noWrap/>
            <w:vAlign w:val="bottom"/>
            <w:hideMark/>
          </w:tcPr>
          <w:p w14:paraId="1D0A4628" w14:textId="150FFD9D" w:rsidR="001D4879" w:rsidRPr="001D4879" w:rsidRDefault="001D4879" w:rsidP="001D4879">
            <w:pPr>
              <w:spacing w:after="0" w:line="240" w:lineRule="auto"/>
              <w:jc w:val="right"/>
              <w:rPr>
                <w:rFonts w:ascii="Arial" w:hAnsi="Arial" w:cs="Arial"/>
                <w:iCs/>
                <w:sz w:val="16"/>
                <w:szCs w:val="16"/>
              </w:rPr>
            </w:pPr>
            <w:r w:rsidRPr="001D4879">
              <w:rPr>
                <w:rFonts w:ascii="Arial" w:hAnsi="Arial" w:cs="Arial"/>
                <w:iCs/>
                <w:sz w:val="16"/>
                <w:szCs w:val="16"/>
              </w:rPr>
              <w:t>11,723</w:t>
            </w:r>
          </w:p>
        </w:tc>
      </w:tr>
      <w:tr w:rsidR="001D4879" w:rsidRPr="00F67736" w14:paraId="6A1CBE08" w14:textId="77777777" w:rsidTr="00737A6C">
        <w:trPr>
          <w:trHeight w:val="204"/>
        </w:trPr>
        <w:tc>
          <w:tcPr>
            <w:tcW w:w="2100" w:type="pct"/>
            <w:tcBorders>
              <w:top w:val="nil"/>
              <w:left w:val="nil"/>
              <w:bottom w:val="nil"/>
              <w:right w:val="nil"/>
            </w:tcBorders>
            <w:shd w:val="clear" w:color="auto" w:fill="auto"/>
            <w:noWrap/>
            <w:vAlign w:val="bottom"/>
            <w:hideMark/>
          </w:tcPr>
          <w:p w14:paraId="55B1EB00" w14:textId="77777777" w:rsidR="001D4879" w:rsidRPr="001D4879" w:rsidRDefault="001D4879" w:rsidP="001D4879">
            <w:pPr>
              <w:spacing w:after="0" w:line="240" w:lineRule="auto"/>
              <w:rPr>
                <w:rFonts w:ascii="Arial" w:hAnsi="Arial" w:cs="Arial"/>
                <w:b/>
                <w:bCs/>
                <w:iCs/>
                <w:sz w:val="16"/>
                <w:szCs w:val="16"/>
              </w:rPr>
            </w:pPr>
            <w:r w:rsidRPr="001D4879">
              <w:rPr>
                <w:rFonts w:ascii="Arial" w:hAnsi="Arial" w:cs="Arial"/>
                <w:b/>
                <w:bCs/>
                <w:iCs/>
                <w:sz w:val="16"/>
                <w:szCs w:val="16"/>
              </w:rPr>
              <w:t>Total items</w:t>
            </w:r>
          </w:p>
        </w:tc>
        <w:tc>
          <w:tcPr>
            <w:tcW w:w="605" w:type="pct"/>
            <w:tcBorders>
              <w:top w:val="single" w:sz="4" w:space="0" w:color="auto"/>
              <w:left w:val="nil"/>
              <w:bottom w:val="single" w:sz="4" w:space="0" w:color="auto"/>
              <w:right w:val="nil"/>
            </w:tcBorders>
            <w:shd w:val="clear" w:color="auto" w:fill="auto"/>
            <w:noWrap/>
            <w:vAlign w:val="bottom"/>
            <w:hideMark/>
          </w:tcPr>
          <w:p w14:paraId="2591340C" w14:textId="21813DE3" w:rsidR="001D4879" w:rsidRPr="001D4879" w:rsidRDefault="001D4879" w:rsidP="001D4879">
            <w:pPr>
              <w:spacing w:after="0" w:line="240" w:lineRule="auto"/>
              <w:jc w:val="right"/>
              <w:rPr>
                <w:rFonts w:ascii="Arial" w:hAnsi="Arial" w:cs="Arial"/>
                <w:b/>
                <w:bCs/>
                <w:iCs/>
                <w:sz w:val="16"/>
                <w:szCs w:val="16"/>
              </w:rPr>
            </w:pPr>
            <w:r w:rsidRPr="001D4879">
              <w:rPr>
                <w:rFonts w:ascii="Arial" w:hAnsi="Arial" w:cs="Arial"/>
                <w:b/>
                <w:bCs/>
                <w:iCs/>
                <w:sz w:val="16"/>
                <w:szCs w:val="16"/>
              </w:rPr>
              <w:t>12,456</w:t>
            </w:r>
          </w:p>
        </w:tc>
        <w:tc>
          <w:tcPr>
            <w:tcW w:w="574" w:type="pct"/>
            <w:tcBorders>
              <w:top w:val="single" w:sz="4" w:space="0" w:color="auto"/>
              <w:left w:val="nil"/>
              <w:bottom w:val="single" w:sz="4" w:space="0" w:color="auto"/>
              <w:right w:val="nil"/>
            </w:tcBorders>
            <w:shd w:val="clear" w:color="000000" w:fill="E6E6E6"/>
            <w:noWrap/>
            <w:vAlign w:val="bottom"/>
            <w:hideMark/>
          </w:tcPr>
          <w:p w14:paraId="4E866A0E" w14:textId="762FFCBC" w:rsidR="001D4879" w:rsidRPr="001D4879" w:rsidRDefault="001D4879" w:rsidP="001D4879">
            <w:pPr>
              <w:spacing w:after="0" w:line="240" w:lineRule="auto"/>
              <w:jc w:val="right"/>
              <w:rPr>
                <w:rFonts w:ascii="Arial" w:hAnsi="Arial" w:cs="Arial"/>
                <w:b/>
                <w:bCs/>
                <w:iCs/>
                <w:sz w:val="16"/>
                <w:szCs w:val="16"/>
              </w:rPr>
            </w:pPr>
            <w:r w:rsidRPr="001D4879">
              <w:rPr>
                <w:rFonts w:ascii="Arial" w:hAnsi="Arial" w:cs="Arial"/>
                <w:b/>
                <w:bCs/>
                <w:iCs/>
                <w:sz w:val="16"/>
                <w:szCs w:val="16"/>
              </w:rPr>
              <w:t>21,900</w:t>
            </w:r>
          </w:p>
        </w:tc>
        <w:tc>
          <w:tcPr>
            <w:tcW w:w="574" w:type="pct"/>
            <w:tcBorders>
              <w:top w:val="single" w:sz="4" w:space="0" w:color="auto"/>
              <w:left w:val="nil"/>
              <w:bottom w:val="single" w:sz="4" w:space="0" w:color="auto"/>
              <w:right w:val="nil"/>
            </w:tcBorders>
            <w:shd w:val="clear" w:color="auto" w:fill="auto"/>
            <w:noWrap/>
            <w:vAlign w:val="bottom"/>
            <w:hideMark/>
          </w:tcPr>
          <w:p w14:paraId="159F6FAF" w14:textId="29FFBF3F" w:rsidR="001D4879" w:rsidRPr="001D4879" w:rsidRDefault="001D4879" w:rsidP="001D4879">
            <w:pPr>
              <w:spacing w:after="0" w:line="240" w:lineRule="auto"/>
              <w:jc w:val="right"/>
              <w:rPr>
                <w:rFonts w:ascii="Arial" w:hAnsi="Arial" w:cs="Arial"/>
                <w:b/>
                <w:bCs/>
                <w:iCs/>
                <w:sz w:val="16"/>
                <w:szCs w:val="16"/>
              </w:rPr>
            </w:pPr>
            <w:r w:rsidRPr="001D4879">
              <w:rPr>
                <w:rFonts w:ascii="Arial" w:hAnsi="Arial" w:cs="Arial"/>
                <w:b/>
                <w:bCs/>
                <w:iCs/>
                <w:sz w:val="16"/>
                <w:szCs w:val="16"/>
              </w:rPr>
              <w:t>12,424</w:t>
            </w:r>
          </w:p>
        </w:tc>
        <w:tc>
          <w:tcPr>
            <w:tcW w:w="574" w:type="pct"/>
            <w:tcBorders>
              <w:top w:val="single" w:sz="4" w:space="0" w:color="auto"/>
              <w:left w:val="nil"/>
              <w:bottom w:val="single" w:sz="4" w:space="0" w:color="auto"/>
              <w:right w:val="nil"/>
            </w:tcBorders>
            <w:shd w:val="clear" w:color="auto" w:fill="auto"/>
            <w:noWrap/>
            <w:vAlign w:val="bottom"/>
            <w:hideMark/>
          </w:tcPr>
          <w:p w14:paraId="208C42D3" w14:textId="53588C9B" w:rsidR="001D4879" w:rsidRPr="001D4879" w:rsidRDefault="001D4879" w:rsidP="001D4879">
            <w:pPr>
              <w:spacing w:after="0" w:line="240" w:lineRule="auto"/>
              <w:jc w:val="right"/>
              <w:rPr>
                <w:rFonts w:ascii="Arial" w:hAnsi="Arial" w:cs="Arial"/>
                <w:b/>
                <w:bCs/>
                <w:iCs/>
                <w:sz w:val="16"/>
                <w:szCs w:val="16"/>
              </w:rPr>
            </w:pPr>
            <w:r w:rsidRPr="001D4879">
              <w:rPr>
                <w:rFonts w:ascii="Arial" w:hAnsi="Arial" w:cs="Arial"/>
                <w:b/>
                <w:bCs/>
                <w:iCs/>
                <w:sz w:val="16"/>
                <w:szCs w:val="16"/>
              </w:rPr>
              <w:t>11,613</w:t>
            </w:r>
          </w:p>
        </w:tc>
        <w:tc>
          <w:tcPr>
            <w:tcW w:w="573" w:type="pct"/>
            <w:tcBorders>
              <w:top w:val="single" w:sz="4" w:space="0" w:color="auto"/>
              <w:left w:val="nil"/>
              <w:bottom w:val="single" w:sz="4" w:space="0" w:color="auto"/>
              <w:right w:val="nil"/>
            </w:tcBorders>
            <w:shd w:val="clear" w:color="auto" w:fill="auto"/>
            <w:noWrap/>
            <w:vAlign w:val="bottom"/>
            <w:hideMark/>
          </w:tcPr>
          <w:p w14:paraId="3FEC5F9C" w14:textId="07170368" w:rsidR="001D4879" w:rsidRPr="001D4879" w:rsidRDefault="001D4879" w:rsidP="001D4879">
            <w:pPr>
              <w:spacing w:after="0" w:line="240" w:lineRule="auto"/>
              <w:jc w:val="right"/>
              <w:rPr>
                <w:rFonts w:ascii="Arial" w:hAnsi="Arial" w:cs="Arial"/>
                <w:b/>
                <w:bCs/>
                <w:iCs/>
                <w:sz w:val="16"/>
                <w:szCs w:val="16"/>
              </w:rPr>
            </w:pPr>
            <w:r w:rsidRPr="001D4879">
              <w:rPr>
                <w:rFonts w:ascii="Arial" w:hAnsi="Arial" w:cs="Arial"/>
                <w:b/>
                <w:bCs/>
                <w:iCs/>
                <w:sz w:val="16"/>
                <w:szCs w:val="16"/>
              </w:rPr>
              <w:t>11,723</w:t>
            </w:r>
          </w:p>
        </w:tc>
      </w:tr>
      <w:tr w:rsidR="001D4879" w:rsidRPr="00F67736" w14:paraId="36B4E09D" w14:textId="77777777" w:rsidTr="00737A6C">
        <w:trPr>
          <w:trHeight w:val="204"/>
        </w:trPr>
        <w:tc>
          <w:tcPr>
            <w:tcW w:w="2100" w:type="pct"/>
            <w:tcBorders>
              <w:top w:val="nil"/>
              <w:left w:val="nil"/>
              <w:bottom w:val="nil"/>
              <w:right w:val="nil"/>
            </w:tcBorders>
            <w:shd w:val="clear" w:color="auto" w:fill="auto"/>
            <w:vAlign w:val="bottom"/>
            <w:hideMark/>
          </w:tcPr>
          <w:p w14:paraId="6BB33B5B" w14:textId="405B5D65" w:rsidR="001D4879" w:rsidRPr="00F67736" w:rsidRDefault="001D4879" w:rsidP="001D4879">
            <w:pPr>
              <w:spacing w:after="0" w:line="240" w:lineRule="auto"/>
              <w:rPr>
                <w:rFonts w:ascii="Arial" w:hAnsi="Arial" w:cs="Arial"/>
                <w:b/>
                <w:bCs/>
                <w:sz w:val="16"/>
                <w:szCs w:val="16"/>
              </w:rPr>
            </w:pPr>
            <w:r w:rsidRPr="00F67736">
              <w:rPr>
                <w:rFonts w:ascii="Arial" w:hAnsi="Arial" w:cs="Arial"/>
                <w:b/>
                <w:bCs/>
                <w:sz w:val="16"/>
                <w:szCs w:val="16"/>
              </w:rPr>
              <w:t>PURCHASE OF NON-FINANCIAL ASSETS</w:t>
            </w:r>
          </w:p>
        </w:tc>
        <w:tc>
          <w:tcPr>
            <w:tcW w:w="605" w:type="pct"/>
            <w:tcBorders>
              <w:top w:val="nil"/>
              <w:left w:val="nil"/>
              <w:bottom w:val="nil"/>
              <w:right w:val="nil"/>
            </w:tcBorders>
            <w:shd w:val="clear" w:color="auto" w:fill="auto"/>
            <w:vAlign w:val="bottom"/>
            <w:hideMark/>
          </w:tcPr>
          <w:p w14:paraId="55F8F4F7" w14:textId="77777777" w:rsidR="001D4879" w:rsidRPr="00F67736" w:rsidRDefault="001D4879" w:rsidP="001D4879">
            <w:pPr>
              <w:spacing w:after="0" w:line="240" w:lineRule="auto"/>
              <w:jc w:val="right"/>
              <w:rPr>
                <w:rFonts w:ascii="Arial" w:hAnsi="Arial" w:cs="Arial"/>
                <w:b/>
                <w:bCs/>
                <w:sz w:val="16"/>
                <w:szCs w:val="16"/>
              </w:rPr>
            </w:pPr>
          </w:p>
        </w:tc>
        <w:tc>
          <w:tcPr>
            <w:tcW w:w="574" w:type="pct"/>
            <w:tcBorders>
              <w:top w:val="nil"/>
              <w:left w:val="nil"/>
              <w:bottom w:val="nil"/>
              <w:right w:val="nil"/>
            </w:tcBorders>
            <w:shd w:val="clear" w:color="000000" w:fill="E6E6E6"/>
            <w:vAlign w:val="bottom"/>
            <w:hideMark/>
          </w:tcPr>
          <w:p w14:paraId="4ADA7894" w14:textId="18EA723E" w:rsidR="001D4879" w:rsidRPr="00F67736" w:rsidRDefault="001D4879" w:rsidP="001D4879">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vAlign w:val="bottom"/>
            <w:hideMark/>
          </w:tcPr>
          <w:p w14:paraId="3A509F3B" w14:textId="77777777" w:rsidR="001D4879" w:rsidRPr="00F67736" w:rsidRDefault="001D4879" w:rsidP="001D4879">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vAlign w:val="bottom"/>
            <w:hideMark/>
          </w:tcPr>
          <w:p w14:paraId="41F96FA1" w14:textId="77777777" w:rsidR="001D4879" w:rsidRPr="00F67736" w:rsidRDefault="001D4879" w:rsidP="001D4879">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vAlign w:val="bottom"/>
            <w:hideMark/>
          </w:tcPr>
          <w:p w14:paraId="193C3B1F" w14:textId="77777777" w:rsidR="001D4879" w:rsidRPr="00F67736" w:rsidRDefault="001D4879" w:rsidP="001D4879">
            <w:pPr>
              <w:spacing w:after="0" w:line="240" w:lineRule="auto"/>
              <w:jc w:val="right"/>
              <w:rPr>
                <w:rFonts w:ascii="Times New Roman" w:hAnsi="Times New Roman"/>
              </w:rPr>
            </w:pPr>
          </w:p>
        </w:tc>
      </w:tr>
      <w:tr w:rsidR="001D4879" w:rsidRPr="00F67736" w14:paraId="1C3C2562" w14:textId="77777777" w:rsidTr="00737A6C">
        <w:trPr>
          <w:trHeight w:val="204"/>
        </w:trPr>
        <w:tc>
          <w:tcPr>
            <w:tcW w:w="2100" w:type="pct"/>
            <w:tcBorders>
              <w:top w:val="nil"/>
              <w:left w:val="nil"/>
              <w:bottom w:val="nil"/>
              <w:right w:val="nil"/>
            </w:tcBorders>
            <w:shd w:val="clear" w:color="auto" w:fill="auto"/>
            <w:noWrap/>
            <w:vAlign w:val="bottom"/>
            <w:hideMark/>
          </w:tcPr>
          <w:p w14:paraId="5419C465" w14:textId="7E601A9C" w:rsidR="001D4879" w:rsidRPr="00F67736" w:rsidRDefault="001D4879" w:rsidP="001D4879">
            <w:pPr>
              <w:spacing w:after="0" w:line="240" w:lineRule="auto"/>
              <w:ind w:left="113"/>
              <w:rPr>
                <w:rFonts w:ascii="Arial" w:hAnsi="Arial" w:cs="Arial"/>
                <w:sz w:val="16"/>
                <w:szCs w:val="16"/>
              </w:rPr>
            </w:pPr>
            <w:r w:rsidRPr="00F67736">
              <w:rPr>
                <w:rFonts w:ascii="Arial" w:hAnsi="Arial" w:cs="Arial"/>
                <w:sz w:val="16"/>
                <w:szCs w:val="16"/>
              </w:rPr>
              <w:t>Funded by capital appropriations</w:t>
            </w:r>
            <w:r w:rsidRPr="00F67736">
              <w:rPr>
                <w:rFonts w:ascii="Arial" w:hAnsi="Arial" w:cs="Arial"/>
                <w:sz w:val="16"/>
                <w:szCs w:val="16"/>
                <w:vertAlign w:val="superscript"/>
              </w:rPr>
              <w:t>(a)</w:t>
            </w:r>
          </w:p>
        </w:tc>
        <w:tc>
          <w:tcPr>
            <w:tcW w:w="605" w:type="pct"/>
            <w:tcBorders>
              <w:top w:val="nil"/>
              <w:left w:val="nil"/>
              <w:bottom w:val="nil"/>
              <w:right w:val="nil"/>
            </w:tcBorders>
            <w:shd w:val="clear" w:color="auto" w:fill="auto"/>
            <w:noWrap/>
            <w:vAlign w:val="bottom"/>
            <w:hideMark/>
          </w:tcPr>
          <w:p w14:paraId="7B903CF7" w14:textId="752D769B" w:rsidR="001D4879" w:rsidRPr="00F67736" w:rsidRDefault="001D4879" w:rsidP="001D4879">
            <w:pPr>
              <w:spacing w:after="0" w:line="240" w:lineRule="auto"/>
              <w:jc w:val="right"/>
              <w:rPr>
                <w:rFonts w:ascii="Arial" w:hAnsi="Arial" w:cs="Arial"/>
                <w:sz w:val="16"/>
                <w:szCs w:val="16"/>
              </w:rPr>
            </w:pPr>
            <w:r>
              <w:rPr>
                <w:rFonts w:ascii="Arial" w:hAnsi="Arial" w:cs="Arial"/>
                <w:sz w:val="16"/>
                <w:szCs w:val="16"/>
              </w:rPr>
              <w:t>12,456</w:t>
            </w:r>
          </w:p>
        </w:tc>
        <w:tc>
          <w:tcPr>
            <w:tcW w:w="574" w:type="pct"/>
            <w:tcBorders>
              <w:top w:val="nil"/>
              <w:left w:val="nil"/>
              <w:bottom w:val="nil"/>
              <w:right w:val="nil"/>
            </w:tcBorders>
            <w:shd w:val="clear" w:color="000000" w:fill="E6E6E6"/>
            <w:noWrap/>
            <w:vAlign w:val="bottom"/>
            <w:hideMark/>
          </w:tcPr>
          <w:p w14:paraId="677FCD9C" w14:textId="6C2C2073" w:rsidR="001D4879" w:rsidRPr="00F67736" w:rsidRDefault="001D4879" w:rsidP="001D4879">
            <w:pPr>
              <w:spacing w:after="0" w:line="240" w:lineRule="auto"/>
              <w:jc w:val="right"/>
              <w:rPr>
                <w:rFonts w:ascii="Arial" w:hAnsi="Arial" w:cs="Arial"/>
                <w:sz w:val="16"/>
                <w:szCs w:val="16"/>
              </w:rPr>
            </w:pPr>
            <w:r>
              <w:rPr>
                <w:rFonts w:ascii="Arial" w:hAnsi="Arial" w:cs="Arial"/>
                <w:sz w:val="16"/>
                <w:szCs w:val="16"/>
              </w:rPr>
              <w:t>21,900</w:t>
            </w:r>
          </w:p>
        </w:tc>
        <w:tc>
          <w:tcPr>
            <w:tcW w:w="574" w:type="pct"/>
            <w:tcBorders>
              <w:top w:val="nil"/>
              <w:left w:val="nil"/>
              <w:bottom w:val="nil"/>
              <w:right w:val="nil"/>
            </w:tcBorders>
            <w:shd w:val="clear" w:color="auto" w:fill="auto"/>
            <w:noWrap/>
            <w:vAlign w:val="bottom"/>
            <w:hideMark/>
          </w:tcPr>
          <w:p w14:paraId="2CFFB982" w14:textId="73E5DDA0" w:rsidR="001D4879" w:rsidRPr="00F67736" w:rsidRDefault="001D4879" w:rsidP="001D4879">
            <w:pPr>
              <w:spacing w:after="0" w:line="240" w:lineRule="auto"/>
              <w:jc w:val="right"/>
              <w:rPr>
                <w:rFonts w:ascii="Arial" w:hAnsi="Arial" w:cs="Arial"/>
                <w:sz w:val="16"/>
                <w:szCs w:val="16"/>
              </w:rPr>
            </w:pPr>
            <w:r>
              <w:rPr>
                <w:rFonts w:ascii="Arial" w:hAnsi="Arial" w:cs="Arial"/>
                <w:sz w:val="16"/>
                <w:szCs w:val="16"/>
              </w:rPr>
              <w:t>12,424</w:t>
            </w:r>
          </w:p>
        </w:tc>
        <w:tc>
          <w:tcPr>
            <w:tcW w:w="574" w:type="pct"/>
            <w:tcBorders>
              <w:top w:val="nil"/>
              <w:left w:val="nil"/>
              <w:bottom w:val="nil"/>
              <w:right w:val="nil"/>
            </w:tcBorders>
            <w:shd w:val="clear" w:color="auto" w:fill="auto"/>
            <w:noWrap/>
            <w:vAlign w:val="bottom"/>
            <w:hideMark/>
          </w:tcPr>
          <w:p w14:paraId="697C6FEA" w14:textId="54743B16" w:rsidR="001D4879" w:rsidRPr="00F67736" w:rsidRDefault="001D4879" w:rsidP="001D4879">
            <w:pPr>
              <w:spacing w:after="0" w:line="240" w:lineRule="auto"/>
              <w:jc w:val="right"/>
              <w:rPr>
                <w:rFonts w:ascii="Arial" w:hAnsi="Arial" w:cs="Arial"/>
                <w:sz w:val="16"/>
                <w:szCs w:val="16"/>
              </w:rPr>
            </w:pPr>
            <w:r>
              <w:rPr>
                <w:rFonts w:ascii="Arial" w:hAnsi="Arial" w:cs="Arial"/>
                <w:sz w:val="16"/>
                <w:szCs w:val="16"/>
              </w:rPr>
              <w:t>11,613</w:t>
            </w:r>
          </w:p>
        </w:tc>
        <w:tc>
          <w:tcPr>
            <w:tcW w:w="573" w:type="pct"/>
            <w:tcBorders>
              <w:top w:val="nil"/>
              <w:left w:val="nil"/>
              <w:bottom w:val="nil"/>
              <w:right w:val="nil"/>
            </w:tcBorders>
            <w:shd w:val="clear" w:color="auto" w:fill="auto"/>
            <w:noWrap/>
            <w:vAlign w:val="bottom"/>
            <w:hideMark/>
          </w:tcPr>
          <w:p w14:paraId="65DE4CFB" w14:textId="0A0B8D7E" w:rsidR="001D4879" w:rsidRPr="00F67736" w:rsidRDefault="001D4879" w:rsidP="001D4879">
            <w:pPr>
              <w:spacing w:after="0" w:line="240" w:lineRule="auto"/>
              <w:jc w:val="right"/>
              <w:rPr>
                <w:rFonts w:ascii="Arial" w:hAnsi="Arial" w:cs="Arial"/>
                <w:sz w:val="16"/>
                <w:szCs w:val="16"/>
              </w:rPr>
            </w:pPr>
            <w:r>
              <w:rPr>
                <w:rFonts w:ascii="Arial" w:hAnsi="Arial" w:cs="Arial"/>
                <w:sz w:val="16"/>
                <w:szCs w:val="16"/>
              </w:rPr>
              <w:t>11,723</w:t>
            </w:r>
          </w:p>
        </w:tc>
      </w:tr>
      <w:tr w:rsidR="001D4879" w:rsidRPr="00F67736" w14:paraId="03BD1510" w14:textId="77777777" w:rsidTr="00737A6C">
        <w:trPr>
          <w:trHeight w:val="204"/>
        </w:trPr>
        <w:tc>
          <w:tcPr>
            <w:tcW w:w="2100" w:type="pct"/>
            <w:tcBorders>
              <w:top w:val="nil"/>
              <w:left w:val="nil"/>
              <w:bottom w:val="nil"/>
              <w:right w:val="nil"/>
            </w:tcBorders>
            <w:shd w:val="clear" w:color="auto" w:fill="auto"/>
            <w:vAlign w:val="bottom"/>
            <w:hideMark/>
          </w:tcPr>
          <w:p w14:paraId="4A72DF2B" w14:textId="7EBDE983" w:rsidR="001D4879" w:rsidRPr="00F67736" w:rsidRDefault="001D4879" w:rsidP="001D4879">
            <w:pPr>
              <w:spacing w:after="0" w:line="240" w:lineRule="auto"/>
              <w:ind w:left="113"/>
              <w:rPr>
                <w:rFonts w:ascii="Arial" w:hAnsi="Arial" w:cs="Arial"/>
                <w:sz w:val="16"/>
                <w:szCs w:val="16"/>
              </w:rPr>
            </w:pPr>
            <w:r w:rsidRPr="00F67736">
              <w:rPr>
                <w:rFonts w:ascii="Arial" w:hAnsi="Arial" w:cs="Arial"/>
                <w:sz w:val="16"/>
                <w:szCs w:val="16"/>
              </w:rPr>
              <w:t>Funded internally from departmental resources</w:t>
            </w:r>
            <w:r w:rsidRPr="00F67736">
              <w:rPr>
                <w:rFonts w:ascii="Arial" w:hAnsi="Arial" w:cs="Arial"/>
                <w:sz w:val="16"/>
                <w:szCs w:val="16"/>
                <w:vertAlign w:val="superscript"/>
              </w:rPr>
              <w:t>(b)</w:t>
            </w:r>
          </w:p>
        </w:tc>
        <w:tc>
          <w:tcPr>
            <w:tcW w:w="605" w:type="pct"/>
            <w:tcBorders>
              <w:top w:val="nil"/>
              <w:left w:val="nil"/>
              <w:bottom w:val="nil"/>
              <w:right w:val="nil"/>
            </w:tcBorders>
            <w:shd w:val="clear" w:color="auto" w:fill="auto"/>
            <w:noWrap/>
            <w:vAlign w:val="bottom"/>
            <w:hideMark/>
          </w:tcPr>
          <w:p w14:paraId="33E841CC" w14:textId="783FCDB9" w:rsidR="001D4879" w:rsidRPr="00F67736" w:rsidRDefault="001D4879" w:rsidP="001D4879">
            <w:pPr>
              <w:spacing w:after="0" w:line="240" w:lineRule="auto"/>
              <w:jc w:val="right"/>
              <w:rPr>
                <w:rFonts w:ascii="Arial" w:hAnsi="Arial" w:cs="Arial"/>
                <w:sz w:val="16"/>
                <w:szCs w:val="16"/>
              </w:rPr>
            </w:pPr>
            <w:r>
              <w:rPr>
                <w:rFonts w:ascii="Arial" w:hAnsi="Arial" w:cs="Arial"/>
                <w:sz w:val="16"/>
                <w:szCs w:val="16"/>
              </w:rPr>
              <w:t>20,000</w:t>
            </w:r>
          </w:p>
        </w:tc>
        <w:tc>
          <w:tcPr>
            <w:tcW w:w="574" w:type="pct"/>
            <w:tcBorders>
              <w:top w:val="nil"/>
              <w:left w:val="nil"/>
              <w:bottom w:val="nil"/>
              <w:right w:val="nil"/>
            </w:tcBorders>
            <w:shd w:val="clear" w:color="000000" w:fill="E6E6E6"/>
            <w:noWrap/>
            <w:vAlign w:val="bottom"/>
            <w:hideMark/>
          </w:tcPr>
          <w:p w14:paraId="70310C64" w14:textId="42C41FD4" w:rsidR="001D4879" w:rsidRPr="00F67736" w:rsidRDefault="001D4879" w:rsidP="001D4879">
            <w:pPr>
              <w:spacing w:after="0" w:line="240" w:lineRule="auto"/>
              <w:jc w:val="right"/>
              <w:rPr>
                <w:rFonts w:ascii="Arial" w:hAnsi="Arial" w:cs="Arial"/>
                <w:sz w:val="16"/>
                <w:szCs w:val="16"/>
              </w:rPr>
            </w:pPr>
            <w:r>
              <w:rPr>
                <w:rFonts w:ascii="Arial" w:hAnsi="Arial" w:cs="Arial"/>
                <w:sz w:val="16"/>
                <w:szCs w:val="16"/>
              </w:rPr>
              <w:t>-</w:t>
            </w:r>
          </w:p>
        </w:tc>
        <w:tc>
          <w:tcPr>
            <w:tcW w:w="574" w:type="pct"/>
            <w:tcBorders>
              <w:top w:val="nil"/>
              <w:left w:val="nil"/>
              <w:bottom w:val="nil"/>
              <w:right w:val="nil"/>
            </w:tcBorders>
            <w:shd w:val="clear" w:color="auto" w:fill="auto"/>
            <w:noWrap/>
            <w:vAlign w:val="bottom"/>
            <w:hideMark/>
          </w:tcPr>
          <w:p w14:paraId="24B55E01" w14:textId="7905D7F6" w:rsidR="001D4879" w:rsidRPr="00F67736" w:rsidRDefault="001D4879" w:rsidP="001D4879">
            <w:pPr>
              <w:spacing w:after="0" w:line="240" w:lineRule="auto"/>
              <w:jc w:val="right"/>
              <w:rPr>
                <w:rFonts w:ascii="Arial" w:hAnsi="Arial" w:cs="Arial"/>
                <w:sz w:val="16"/>
                <w:szCs w:val="16"/>
              </w:rPr>
            </w:pPr>
            <w:r>
              <w:rPr>
                <w:rFonts w:ascii="Arial" w:hAnsi="Arial" w:cs="Arial"/>
                <w:sz w:val="16"/>
                <w:szCs w:val="16"/>
              </w:rPr>
              <w:t>-</w:t>
            </w:r>
          </w:p>
        </w:tc>
        <w:tc>
          <w:tcPr>
            <w:tcW w:w="574" w:type="pct"/>
            <w:tcBorders>
              <w:top w:val="nil"/>
              <w:left w:val="nil"/>
              <w:bottom w:val="nil"/>
              <w:right w:val="nil"/>
            </w:tcBorders>
            <w:shd w:val="clear" w:color="auto" w:fill="auto"/>
            <w:noWrap/>
            <w:vAlign w:val="bottom"/>
            <w:hideMark/>
          </w:tcPr>
          <w:p w14:paraId="5CE401A3" w14:textId="703AF14D" w:rsidR="001D4879" w:rsidRPr="00F67736" w:rsidRDefault="001D4879" w:rsidP="001D4879">
            <w:pPr>
              <w:spacing w:after="0" w:line="240" w:lineRule="auto"/>
              <w:jc w:val="right"/>
              <w:rPr>
                <w:rFonts w:ascii="Arial" w:hAnsi="Arial" w:cs="Arial"/>
                <w:sz w:val="16"/>
                <w:szCs w:val="16"/>
              </w:rPr>
            </w:pPr>
            <w:r>
              <w:rPr>
                <w:rFonts w:ascii="Arial" w:hAnsi="Arial" w:cs="Arial"/>
                <w:sz w:val="16"/>
                <w:szCs w:val="16"/>
              </w:rPr>
              <w:t>-</w:t>
            </w:r>
          </w:p>
        </w:tc>
        <w:tc>
          <w:tcPr>
            <w:tcW w:w="573" w:type="pct"/>
            <w:tcBorders>
              <w:top w:val="nil"/>
              <w:left w:val="nil"/>
              <w:bottom w:val="nil"/>
              <w:right w:val="nil"/>
            </w:tcBorders>
            <w:shd w:val="clear" w:color="auto" w:fill="auto"/>
            <w:noWrap/>
            <w:vAlign w:val="bottom"/>
            <w:hideMark/>
          </w:tcPr>
          <w:p w14:paraId="321FA9AD" w14:textId="2047F768" w:rsidR="001D4879" w:rsidRPr="00F67736" w:rsidRDefault="001D4879" w:rsidP="001D4879">
            <w:pPr>
              <w:spacing w:after="0" w:line="240" w:lineRule="auto"/>
              <w:jc w:val="right"/>
              <w:rPr>
                <w:rFonts w:ascii="Arial" w:hAnsi="Arial" w:cs="Arial"/>
                <w:sz w:val="16"/>
                <w:szCs w:val="16"/>
              </w:rPr>
            </w:pPr>
            <w:r>
              <w:rPr>
                <w:rFonts w:ascii="Arial" w:hAnsi="Arial" w:cs="Arial"/>
                <w:sz w:val="16"/>
                <w:szCs w:val="16"/>
              </w:rPr>
              <w:t>-</w:t>
            </w:r>
          </w:p>
        </w:tc>
      </w:tr>
      <w:tr w:rsidR="001D4879" w:rsidRPr="00F67736" w14:paraId="04721412" w14:textId="77777777" w:rsidTr="00737A6C">
        <w:trPr>
          <w:trHeight w:val="204"/>
        </w:trPr>
        <w:tc>
          <w:tcPr>
            <w:tcW w:w="2100" w:type="pct"/>
            <w:tcBorders>
              <w:top w:val="nil"/>
              <w:left w:val="nil"/>
              <w:bottom w:val="single" w:sz="4" w:space="0" w:color="auto"/>
              <w:right w:val="nil"/>
            </w:tcBorders>
            <w:shd w:val="clear" w:color="auto" w:fill="auto"/>
            <w:noWrap/>
            <w:vAlign w:val="bottom"/>
            <w:hideMark/>
          </w:tcPr>
          <w:p w14:paraId="07DDB7AB" w14:textId="77777777" w:rsidR="001D4879" w:rsidRPr="00F67736" w:rsidRDefault="001D4879" w:rsidP="001D4879">
            <w:pPr>
              <w:spacing w:after="0" w:line="240" w:lineRule="auto"/>
              <w:rPr>
                <w:rFonts w:ascii="Arial" w:hAnsi="Arial" w:cs="Arial"/>
                <w:b/>
                <w:bCs/>
                <w:sz w:val="16"/>
                <w:szCs w:val="16"/>
              </w:rPr>
            </w:pPr>
            <w:r w:rsidRPr="00F67736">
              <w:rPr>
                <w:rFonts w:ascii="Arial" w:hAnsi="Arial" w:cs="Arial"/>
                <w:b/>
                <w:bCs/>
                <w:sz w:val="16"/>
                <w:szCs w:val="16"/>
              </w:rPr>
              <w:t>TOTAL</w:t>
            </w:r>
          </w:p>
        </w:tc>
        <w:tc>
          <w:tcPr>
            <w:tcW w:w="605" w:type="pct"/>
            <w:tcBorders>
              <w:top w:val="single" w:sz="4" w:space="0" w:color="auto"/>
              <w:left w:val="nil"/>
              <w:bottom w:val="single" w:sz="4" w:space="0" w:color="auto"/>
              <w:right w:val="nil"/>
            </w:tcBorders>
            <w:shd w:val="clear" w:color="auto" w:fill="auto"/>
            <w:noWrap/>
            <w:vAlign w:val="bottom"/>
            <w:hideMark/>
          </w:tcPr>
          <w:p w14:paraId="5FDBDF14" w14:textId="03EB21EF" w:rsidR="001D4879" w:rsidRPr="00F67736" w:rsidRDefault="001D4879" w:rsidP="001D4879">
            <w:pPr>
              <w:spacing w:after="0" w:line="240" w:lineRule="auto"/>
              <w:jc w:val="right"/>
              <w:rPr>
                <w:rFonts w:ascii="Arial" w:hAnsi="Arial" w:cs="Arial"/>
                <w:b/>
                <w:bCs/>
                <w:sz w:val="16"/>
                <w:szCs w:val="16"/>
              </w:rPr>
            </w:pPr>
            <w:r>
              <w:rPr>
                <w:rFonts w:ascii="Arial" w:hAnsi="Arial" w:cs="Arial"/>
                <w:b/>
                <w:bCs/>
                <w:sz w:val="16"/>
                <w:szCs w:val="16"/>
              </w:rPr>
              <w:t>32,456</w:t>
            </w:r>
          </w:p>
        </w:tc>
        <w:tc>
          <w:tcPr>
            <w:tcW w:w="574" w:type="pct"/>
            <w:tcBorders>
              <w:top w:val="single" w:sz="4" w:space="0" w:color="auto"/>
              <w:left w:val="nil"/>
              <w:bottom w:val="single" w:sz="4" w:space="0" w:color="auto"/>
              <w:right w:val="nil"/>
            </w:tcBorders>
            <w:shd w:val="clear" w:color="000000" w:fill="E6E6E6"/>
            <w:noWrap/>
            <w:vAlign w:val="bottom"/>
            <w:hideMark/>
          </w:tcPr>
          <w:p w14:paraId="1109F8CE" w14:textId="6E81766F" w:rsidR="001D4879" w:rsidRPr="00F67736" w:rsidRDefault="001D4879" w:rsidP="001D4879">
            <w:pPr>
              <w:spacing w:after="0" w:line="240" w:lineRule="auto"/>
              <w:jc w:val="right"/>
              <w:rPr>
                <w:rFonts w:ascii="Arial" w:hAnsi="Arial" w:cs="Arial"/>
                <w:b/>
                <w:bCs/>
                <w:sz w:val="16"/>
                <w:szCs w:val="16"/>
              </w:rPr>
            </w:pPr>
            <w:r>
              <w:rPr>
                <w:rFonts w:ascii="Arial" w:hAnsi="Arial" w:cs="Arial"/>
                <w:b/>
                <w:bCs/>
                <w:sz w:val="16"/>
                <w:szCs w:val="16"/>
              </w:rPr>
              <w:t>21,900</w:t>
            </w:r>
          </w:p>
        </w:tc>
        <w:tc>
          <w:tcPr>
            <w:tcW w:w="574" w:type="pct"/>
            <w:tcBorders>
              <w:top w:val="single" w:sz="4" w:space="0" w:color="auto"/>
              <w:left w:val="nil"/>
              <w:bottom w:val="single" w:sz="4" w:space="0" w:color="auto"/>
              <w:right w:val="nil"/>
            </w:tcBorders>
            <w:shd w:val="clear" w:color="auto" w:fill="auto"/>
            <w:noWrap/>
            <w:vAlign w:val="bottom"/>
            <w:hideMark/>
          </w:tcPr>
          <w:p w14:paraId="469AB7F3" w14:textId="77A96B65" w:rsidR="001D4879" w:rsidRPr="00F67736" w:rsidRDefault="001D4879" w:rsidP="001D4879">
            <w:pPr>
              <w:spacing w:after="0" w:line="240" w:lineRule="auto"/>
              <w:jc w:val="right"/>
              <w:rPr>
                <w:rFonts w:ascii="Arial" w:hAnsi="Arial" w:cs="Arial"/>
                <w:b/>
                <w:bCs/>
                <w:sz w:val="16"/>
                <w:szCs w:val="16"/>
              </w:rPr>
            </w:pPr>
            <w:r>
              <w:rPr>
                <w:rFonts w:ascii="Arial" w:hAnsi="Arial" w:cs="Arial"/>
                <w:b/>
                <w:bCs/>
                <w:sz w:val="16"/>
                <w:szCs w:val="16"/>
              </w:rPr>
              <w:t>12,424</w:t>
            </w:r>
          </w:p>
        </w:tc>
        <w:tc>
          <w:tcPr>
            <w:tcW w:w="574" w:type="pct"/>
            <w:tcBorders>
              <w:top w:val="single" w:sz="4" w:space="0" w:color="auto"/>
              <w:left w:val="nil"/>
              <w:bottom w:val="single" w:sz="4" w:space="0" w:color="auto"/>
              <w:right w:val="nil"/>
            </w:tcBorders>
            <w:shd w:val="clear" w:color="auto" w:fill="auto"/>
            <w:noWrap/>
            <w:vAlign w:val="bottom"/>
            <w:hideMark/>
          </w:tcPr>
          <w:p w14:paraId="388FB933" w14:textId="3989F143" w:rsidR="001D4879" w:rsidRPr="00F67736" w:rsidRDefault="001D4879" w:rsidP="001D4879">
            <w:pPr>
              <w:spacing w:after="0" w:line="240" w:lineRule="auto"/>
              <w:jc w:val="right"/>
              <w:rPr>
                <w:rFonts w:ascii="Arial" w:hAnsi="Arial" w:cs="Arial"/>
                <w:b/>
                <w:bCs/>
                <w:sz w:val="16"/>
                <w:szCs w:val="16"/>
              </w:rPr>
            </w:pPr>
            <w:r>
              <w:rPr>
                <w:rFonts w:ascii="Arial" w:hAnsi="Arial" w:cs="Arial"/>
                <w:b/>
                <w:bCs/>
                <w:sz w:val="16"/>
                <w:szCs w:val="16"/>
              </w:rPr>
              <w:t>11,613</w:t>
            </w:r>
          </w:p>
        </w:tc>
        <w:tc>
          <w:tcPr>
            <w:tcW w:w="573" w:type="pct"/>
            <w:tcBorders>
              <w:top w:val="single" w:sz="4" w:space="0" w:color="auto"/>
              <w:left w:val="nil"/>
              <w:bottom w:val="single" w:sz="4" w:space="0" w:color="auto"/>
              <w:right w:val="nil"/>
            </w:tcBorders>
            <w:shd w:val="clear" w:color="auto" w:fill="auto"/>
            <w:noWrap/>
            <w:vAlign w:val="bottom"/>
            <w:hideMark/>
          </w:tcPr>
          <w:p w14:paraId="7CC09DC9" w14:textId="7BF95CA5" w:rsidR="001D4879" w:rsidRPr="00F67736" w:rsidRDefault="001D4879" w:rsidP="001D4879">
            <w:pPr>
              <w:spacing w:after="0" w:line="240" w:lineRule="auto"/>
              <w:jc w:val="right"/>
              <w:rPr>
                <w:rFonts w:ascii="Arial" w:hAnsi="Arial" w:cs="Arial"/>
                <w:b/>
                <w:bCs/>
                <w:sz w:val="16"/>
                <w:szCs w:val="16"/>
              </w:rPr>
            </w:pPr>
            <w:r>
              <w:rPr>
                <w:rFonts w:ascii="Arial" w:hAnsi="Arial" w:cs="Arial"/>
                <w:b/>
                <w:bCs/>
                <w:sz w:val="16"/>
                <w:szCs w:val="16"/>
              </w:rPr>
              <w:t>11,723</w:t>
            </w:r>
          </w:p>
        </w:tc>
      </w:tr>
    </w:tbl>
    <w:p w14:paraId="6FA0B404" w14:textId="544A1E8C" w:rsidR="00115843" w:rsidRDefault="00115843" w:rsidP="00115843">
      <w:pPr>
        <w:pStyle w:val="ChartandTableFootnote"/>
        <w:spacing w:before="60"/>
      </w:pPr>
      <w:r w:rsidRPr="00132F9E">
        <w:t>Prepared on Australian Accounting Standards basis.</w:t>
      </w:r>
    </w:p>
    <w:p w14:paraId="1CDDE619" w14:textId="77777777" w:rsidR="00EB7700" w:rsidRPr="00EE6EE6" w:rsidRDefault="00EB7700" w:rsidP="00EB7700">
      <w:pPr>
        <w:spacing w:after="0"/>
        <w:rPr>
          <w:rFonts w:ascii="Arial" w:hAnsi="Arial" w:cs="Arial"/>
          <w:sz w:val="16"/>
          <w:szCs w:val="16"/>
        </w:rPr>
      </w:pPr>
      <w:r w:rsidRPr="00EE6EE6">
        <w:rPr>
          <w:rFonts w:ascii="Arial" w:hAnsi="Arial" w:cs="Arial"/>
          <w:sz w:val="16"/>
          <w:szCs w:val="16"/>
        </w:rPr>
        <w:t>Table has been prepared inclusive of 2022-23 Additional Estimates figures.</w:t>
      </w:r>
    </w:p>
    <w:p w14:paraId="0327000F" w14:textId="51AEE87E" w:rsidR="00115843" w:rsidRPr="00132F9E" w:rsidRDefault="00115843" w:rsidP="00977C28">
      <w:pPr>
        <w:pStyle w:val="ChartandTableFootnoteAlpha"/>
        <w:numPr>
          <w:ilvl w:val="0"/>
          <w:numId w:val="120"/>
        </w:numPr>
        <w:jc w:val="left"/>
        <w:rPr>
          <w:rFonts w:cs="Arial"/>
          <w:szCs w:val="16"/>
        </w:rPr>
      </w:pPr>
      <w:r w:rsidRPr="00132F9E">
        <w:rPr>
          <w:rFonts w:cs="Arial"/>
          <w:szCs w:val="16"/>
        </w:rPr>
        <w:t xml:space="preserve">Includes purchases from current and previous years’ </w:t>
      </w:r>
      <w:r w:rsidR="009C12D1">
        <w:rPr>
          <w:rFonts w:cs="Arial"/>
          <w:szCs w:val="16"/>
        </w:rPr>
        <w:t>D</w:t>
      </w:r>
      <w:r w:rsidRPr="00132F9E">
        <w:rPr>
          <w:rFonts w:cs="Arial"/>
          <w:szCs w:val="16"/>
        </w:rPr>
        <w:t xml:space="preserve">epartmental </w:t>
      </w:r>
      <w:r w:rsidR="009C12D1">
        <w:rPr>
          <w:rFonts w:cs="Arial"/>
          <w:szCs w:val="16"/>
        </w:rPr>
        <w:t>C</w:t>
      </w:r>
      <w:r w:rsidRPr="00132F9E">
        <w:rPr>
          <w:rFonts w:cs="Arial"/>
          <w:szCs w:val="16"/>
        </w:rPr>
        <w:t xml:space="preserve">apital </w:t>
      </w:r>
      <w:r w:rsidR="009C12D1">
        <w:rPr>
          <w:rFonts w:cs="Arial"/>
          <w:szCs w:val="16"/>
        </w:rPr>
        <w:t>B</w:t>
      </w:r>
      <w:r w:rsidRPr="00132F9E">
        <w:rPr>
          <w:rFonts w:cs="Arial"/>
          <w:szCs w:val="16"/>
        </w:rPr>
        <w:t>udgets (DCBs).</w:t>
      </w:r>
    </w:p>
    <w:p w14:paraId="0A39E3A5" w14:textId="2F08562C" w:rsidR="00115843" w:rsidRDefault="00F67736" w:rsidP="00977C28">
      <w:pPr>
        <w:pStyle w:val="ChartandTableFootnoteAlpha"/>
        <w:numPr>
          <w:ilvl w:val="0"/>
          <w:numId w:val="120"/>
        </w:numPr>
        <w:jc w:val="left"/>
      </w:pPr>
      <w:r w:rsidRPr="00F67736">
        <w:t>Includes s74 receipts.</w:t>
      </w:r>
    </w:p>
    <w:p w14:paraId="3EFC7928" w14:textId="77777777" w:rsidR="00115843" w:rsidRDefault="00115843" w:rsidP="00115843">
      <w:pPr>
        <w:rPr>
          <w:rFonts w:ascii="Arial" w:hAnsi="Arial"/>
          <w:sz w:val="16"/>
        </w:rPr>
      </w:pPr>
      <w:r>
        <w:br w:type="page"/>
      </w:r>
    </w:p>
    <w:p w14:paraId="76C0D203" w14:textId="0838EF56" w:rsidR="00115843" w:rsidRDefault="00115843" w:rsidP="00115843">
      <w:pPr>
        <w:pStyle w:val="TableHeading"/>
      </w:pPr>
      <w:r w:rsidRPr="00D30CBA">
        <w:lastRenderedPageBreak/>
        <w:t>Table</w:t>
      </w:r>
      <w:r>
        <w:t xml:space="preserve"> 3.6</w:t>
      </w:r>
      <w:r w:rsidRPr="00D30CBA">
        <w:t xml:space="preserve">: </w:t>
      </w:r>
      <w:r>
        <w:t>Statement of departmental asset movements (Budget year 202</w:t>
      </w:r>
      <w:r w:rsidR="00C6640B">
        <w:rPr>
          <w:lang w:val="en-US"/>
        </w:rPr>
        <w:t>3</w:t>
      </w:r>
      <w:r>
        <w:t>-2</w:t>
      </w:r>
      <w:r w:rsidR="00C6640B">
        <w:rPr>
          <w:lang w:val="en-US"/>
        </w:rPr>
        <w:t>4</w:t>
      </w:r>
      <w:r>
        <w:t>)</w:t>
      </w:r>
    </w:p>
    <w:tbl>
      <w:tblPr>
        <w:tblW w:w="5000" w:type="pct"/>
        <w:tblLook w:val="04A0" w:firstRow="1" w:lastRow="0" w:firstColumn="1" w:lastColumn="0" w:noHBand="0" w:noVBand="1"/>
      </w:tblPr>
      <w:tblGrid>
        <w:gridCol w:w="3142"/>
        <w:gridCol w:w="901"/>
        <w:gridCol w:w="964"/>
        <w:gridCol w:w="821"/>
        <w:gridCol w:w="981"/>
        <w:gridCol w:w="901"/>
      </w:tblGrid>
      <w:tr w:rsidR="007B771F" w:rsidRPr="007B771F" w14:paraId="02B7FBF5" w14:textId="77777777" w:rsidTr="004A4970">
        <w:trPr>
          <w:trHeight w:val="204"/>
        </w:trPr>
        <w:tc>
          <w:tcPr>
            <w:tcW w:w="2038" w:type="pct"/>
            <w:tcBorders>
              <w:top w:val="single" w:sz="4" w:space="0" w:color="auto"/>
              <w:left w:val="nil"/>
              <w:bottom w:val="nil"/>
              <w:right w:val="nil"/>
            </w:tcBorders>
            <w:shd w:val="clear" w:color="auto" w:fill="auto"/>
            <w:noWrap/>
            <w:vAlign w:val="bottom"/>
            <w:hideMark/>
          </w:tcPr>
          <w:p w14:paraId="6FC368F7" w14:textId="77777777" w:rsidR="007B771F" w:rsidRPr="007B771F" w:rsidRDefault="007B771F" w:rsidP="007B771F">
            <w:pPr>
              <w:spacing w:after="0" w:line="240" w:lineRule="auto"/>
              <w:jc w:val="right"/>
              <w:rPr>
                <w:rFonts w:ascii="Times New Roman" w:hAnsi="Times New Roman"/>
              </w:rPr>
            </w:pPr>
          </w:p>
        </w:tc>
        <w:tc>
          <w:tcPr>
            <w:tcW w:w="2962" w:type="pct"/>
            <w:gridSpan w:val="5"/>
            <w:tcBorders>
              <w:top w:val="single" w:sz="4" w:space="0" w:color="auto"/>
              <w:left w:val="nil"/>
              <w:bottom w:val="single" w:sz="4" w:space="0" w:color="auto"/>
              <w:right w:val="nil"/>
            </w:tcBorders>
            <w:shd w:val="clear" w:color="auto" w:fill="auto"/>
            <w:noWrap/>
            <w:vAlign w:val="bottom"/>
            <w:hideMark/>
          </w:tcPr>
          <w:p w14:paraId="369EBCA6" w14:textId="5AE828B2" w:rsidR="007B771F" w:rsidRPr="007B771F" w:rsidRDefault="007B771F" w:rsidP="007B771F">
            <w:pPr>
              <w:spacing w:after="0" w:line="240" w:lineRule="auto"/>
              <w:jc w:val="center"/>
              <w:rPr>
                <w:rFonts w:ascii="Arial" w:hAnsi="Arial" w:cs="Arial"/>
                <w:b/>
                <w:bCs/>
                <w:sz w:val="16"/>
                <w:szCs w:val="16"/>
              </w:rPr>
            </w:pPr>
            <w:r w:rsidRPr="007B771F">
              <w:rPr>
                <w:rFonts w:ascii="Arial" w:hAnsi="Arial" w:cs="Arial"/>
                <w:b/>
                <w:bCs/>
                <w:sz w:val="16"/>
                <w:szCs w:val="16"/>
              </w:rPr>
              <w:t>Asset Category</w:t>
            </w:r>
          </w:p>
        </w:tc>
      </w:tr>
      <w:tr w:rsidR="007B771F" w:rsidRPr="007B771F" w14:paraId="6EFC822E" w14:textId="77777777" w:rsidTr="004A4970">
        <w:trPr>
          <w:trHeight w:val="204"/>
        </w:trPr>
        <w:tc>
          <w:tcPr>
            <w:tcW w:w="2038" w:type="pct"/>
            <w:tcBorders>
              <w:left w:val="nil"/>
              <w:bottom w:val="nil"/>
              <w:right w:val="nil"/>
            </w:tcBorders>
            <w:shd w:val="clear" w:color="auto" w:fill="auto"/>
            <w:noWrap/>
            <w:vAlign w:val="bottom"/>
            <w:hideMark/>
          </w:tcPr>
          <w:p w14:paraId="67499CB3" w14:textId="77777777" w:rsidR="007B771F" w:rsidRPr="007B771F" w:rsidRDefault="007B771F" w:rsidP="007B771F">
            <w:pPr>
              <w:spacing w:after="0" w:line="240" w:lineRule="auto"/>
              <w:rPr>
                <w:rFonts w:ascii="Arial" w:hAnsi="Arial" w:cs="Arial"/>
                <w:sz w:val="16"/>
                <w:szCs w:val="16"/>
              </w:rPr>
            </w:pPr>
            <w:r w:rsidRPr="007B771F">
              <w:rPr>
                <w:rFonts w:ascii="Arial" w:hAnsi="Arial" w:cs="Arial"/>
                <w:sz w:val="16"/>
                <w:szCs w:val="16"/>
              </w:rPr>
              <w:t> </w:t>
            </w:r>
          </w:p>
        </w:tc>
        <w:tc>
          <w:tcPr>
            <w:tcW w:w="584" w:type="pct"/>
            <w:tcBorders>
              <w:top w:val="single" w:sz="4" w:space="0" w:color="auto"/>
              <w:left w:val="nil"/>
              <w:bottom w:val="single" w:sz="4" w:space="0" w:color="auto"/>
              <w:right w:val="nil"/>
            </w:tcBorders>
            <w:shd w:val="clear" w:color="auto" w:fill="auto"/>
            <w:vAlign w:val="bottom"/>
            <w:hideMark/>
          </w:tcPr>
          <w:p w14:paraId="0E0D6FCD" w14:textId="77777777" w:rsidR="007B771F" w:rsidRPr="007B771F" w:rsidRDefault="007B771F" w:rsidP="007B771F">
            <w:pPr>
              <w:spacing w:after="0" w:line="240" w:lineRule="auto"/>
              <w:jc w:val="right"/>
              <w:rPr>
                <w:rFonts w:ascii="Arial" w:hAnsi="Arial" w:cs="Arial"/>
                <w:sz w:val="16"/>
                <w:szCs w:val="16"/>
              </w:rPr>
            </w:pPr>
            <w:r w:rsidRPr="007B771F">
              <w:rPr>
                <w:rFonts w:ascii="Arial" w:hAnsi="Arial" w:cs="Arial"/>
                <w:sz w:val="16"/>
                <w:szCs w:val="16"/>
              </w:rPr>
              <w:t>Buildings</w:t>
            </w:r>
            <w:r w:rsidRPr="007B771F">
              <w:rPr>
                <w:rFonts w:ascii="Arial" w:hAnsi="Arial" w:cs="Arial"/>
                <w:sz w:val="16"/>
                <w:szCs w:val="16"/>
              </w:rPr>
              <w:br/>
            </w:r>
            <w:r w:rsidRPr="007B771F">
              <w:rPr>
                <w:rFonts w:ascii="Arial" w:hAnsi="Arial" w:cs="Arial"/>
                <w:sz w:val="16"/>
                <w:szCs w:val="16"/>
              </w:rPr>
              <w:br/>
            </w:r>
            <w:r w:rsidRPr="007B771F">
              <w:rPr>
                <w:rFonts w:ascii="Arial" w:hAnsi="Arial" w:cs="Arial"/>
                <w:sz w:val="16"/>
                <w:szCs w:val="16"/>
              </w:rPr>
              <w:br/>
            </w:r>
            <w:r w:rsidRPr="007B771F">
              <w:rPr>
                <w:rFonts w:ascii="Arial" w:hAnsi="Arial" w:cs="Arial"/>
                <w:sz w:val="16"/>
                <w:szCs w:val="16"/>
              </w:rPr>
              <w:br/>
              <w:t>$'000</w:t>
            </w:r>
          </w:p>
        </w:tc>
        <w:tc>
          <w:tcPr>
            <w:tcW w:w="625" w:type="pct"/>
            <w:tcBorders>
              <w:top w:val="single" w:sz="4" w:space="0" w:color="auto"/>
              <w:left w:val="nil"/>
              <w:bottom w:val="single" w:sz="4" w:space="0" w:color="auto"/>
              <w:right w:val="nil"/>
            </w:tcBorders>
            <w:shd w:val="clear" w:color="auto" w:fill="auto"/>
            <w:vAlign w:val="bottom"/>
            <w:hideMark/>
          </w:tcPr>
          <w:p w14:paraId="3486BDC0" w14:textId="77777777" w:rsidR="007B771F" w:rsidRPr="007B771F" w:rsidRDefault="007B771F" w:rsidP="007B771F">
            <w:pPr>
              <w:spacing w:after="0" w:line="240" w:lineRule="auto"/>
              <w:jc w:val="right"/>
              <w:rPr>
                <w:rFonts w:ascii="Arial" w:hAnsi="Arial" w:cs="Arial"/>
                <w:sz w:val="16"/>
                <w:szCs w:val="16"/>
              </w:rPr>
            </w:pPr>
            <w:r w:rsidRPr="007B771F">
              <w:rPr>
                <w:rFonts w:ascii="Arial" w:hAnsi="Arial" w:cs="Arial"/>
                <w:sz w:val="16"/>
                <w:szCs w:val="16"/>
              </w:rPr>
              <w:t>Other</w:t>
            </w:r>
            <w:r w:rsidRPr="007B771F">
              <w:rPr>
                <w:rFonts w:ascii="Arial" w:hAnsi="Arial" w:cs="Arial"/>
                <w:sz w:val="16"/>
                <w:szCs w:val="16"/>
              </w:rPr>
              <w:br/>
              <w:t>property,</w:t>
            </w:r>
            <w:r w:rsidRPr="007B771F">
              <w:rPr>
                <w:rFonts w:ascii="Arial" w:hAnsi="Arial" w:cs="Arial"/>
                <w:sz w:val="16"/>
                <w:szCs w:val="16"/>
              </w:rPr>
              <w:br/>
              <w:t>plant and</w:t>
            </w:r>
            <w:r w:rsidRPr="007B771F">
              <w:rPr>
                <w:rFonts w:ascii="Arial" w:hAnsi="Arial" w:cs="Arial"/>
                <w:sz w:val="16"/>
                <w:szCs w:val="16"/>
              </w:rPr>
              <w:br/>
              <w:t>equipment</w:t>
            </w:r>
            <w:r w:rsidRPr="007B771F">
              <w:rPr>
                <w:rFonts w:ascii="Arial" w:hAnsi="Arial" w:cs="Arial"/>
                <w:sz w:val="16"/>
                <w:szCs w:val="16"/>
              </w:rPr>
              <w:br/>
              <w:t>$'000</w:t>
            </w:r>
          </w:p>
        </w:tc>
        <w:tc>
          <w:tcPr>
            <w:tcW w:w="532" w:type="pct"/>
            <w:tcBorders>
              <w:top w:val="single" w:sz="4" w:space="0" w:color="auto"/>
              <w:left w:val="nil"/>
              <w:bottom w:val="single" w:sz="4" w:space="0" w:color="auto"/>
              <w:right w:val="nil"/>
            </w:tcBorders>
            <w:shd w:val="clear" w:color="auto" w:fill="auto"/>
            <w:vAlign w:val="bottom"/>
            <w:hideMark/>
          </w:tcPr>
          <w:p w14:paraId="302A4405" w14:textId="77777777" w:rsidR="007B771F" w:rsidRPr="007B771F" w:rsidRDefault="007B771F" w:rsidP="007B771F">
            <w:pPr>
              <w:spacing w:after="0" w:line="240" w:lineRule="auto"/>
              <w:jc w:val="right"/>
              <w:rPr>
                <w:rFonts w:ascii="Arial" w:hAnsi="Arial" w:cs="Arial"/>
                <w:sz w:val="16"/>
                <w:szCs w:val="16"/>
              </w:rPr>
            </w:pPr>
            <w:r w:rsidRPr="007B771F">
              <w:rPr>
                <w:rFonts w:ascii="Arial" w:hAnsi="Arial" w:cs="Arial"/>
                <w:sz w:val="16"/>
                <w:szCs w:val="16"/>
              </w:rPr>
              <w:t>Heritage</w:t>
            </w:r>
            <w:r w:rsidRPr="007B771F">
              <w:rPr>
                <w:rFonts w:ascii="Arial" w:hAnsi="Arial" w:cs="Arial"/>
                <w:sz w:val="16"/>
                <w:szCs w:val="16"/>
              </w:rPr>
              <w:br/>
              <w:t>and</w:t>
            </w:r>
            <w:r w:rsidRPr="007B771F">
              <w:rPr>
                <w:rFonts w:ascii="Arial" w:hAnsi="Arial" w:cs="Arial"/>
                <w:sz w:val="16"/>
                <w:szCs w:val="16"/>
              </w:rPr>
              <w:br/>
              <w:t>cultural</w:t>
            </w:r>
            <w:r w:rsidRPr="007B771F">
              <w:rPr>
                <w:rFonts w:ascii="Arial" w:hAnsi="Arial" w:cs="Arial"/>
                <w:sz w:val="16"/>
                <w:szCs w:val="16"/>
              </w:rPr>
              <w:br/>
            </w:r>
            <w:r w:rsidRPr="007B771F">
              <w:rPr>
                <w:rFonts w:ascii="Arial" w:hAnsi="Arial" w:cs="Arial"/>
                <w:sz w:val="16"/>
                <w:szCs w:val="16"/>
              </w:rPr>
              <w:br/>
              <w:t>$'000</w:t>
            </w:r>
          </w:p>
        </w:tc>
        <w:tc>
          <w:tcPr>
            <w:tcW w:w="636" w:type="pct"/>
            <w:tcBorders>
              <w:top w:val="single" w:sz="4" w:space="0" w:color="auto"/>
              <w:left w:val="nil"/>
              <w:bottom w:val="single" w:sz="4" w:space="0" w:color="auto"/>
              <w:right w:val="nil"/>
            </w:tcBorders>
            <w:shd w:val="clear" w:color="auto" w:fill="auto"/>
            <w:vAlign w:val="bottom"/>
            <w:hideMark/>
          </w:tcPr>
          <w:p w14:paraId="6080426A" w14:textId="77777777" w:rsidR="007B771F" w:rsidRPr="007B771F" w:rsidRDefault="007B771F" w:rsidP="007B771F">
            <w:pPr>
              <w:spacing w:after="0" w:line="240" w:lineRule="auto"/>
              <w:jc w:val="right"/>
              <w:rPr>
                <w:rFonts w:ascii="Arial" w:hAnsi="Arial" w:cs="Arial"/>
                <w:sz w:val="16"/>
                <w:szCs w:val="16"/>
              </w:rPr>
            </w:pPr>
            <w:r w:rsidRPr="007B771F">
              <w:rPr>
                <w:rFonts w:ascii="Arial" w:hAnsi="Arial" w:cs="Arial"/>
                <w:sz w:val="16"/>
                <w:szCs w:val="16"/>
              </w:rPr>
              <w:t>Computer</w:t>
            </w:r>
            <w:r w:rsidRPr="007B771F">
              <w:rPr>
                <w:rFonts w:ascii="Arial" w:hAnsi="Arial" w:cs="Arial"/>
                <w:sz w:val="16"/>
                <w:szCs w:val="16"/>
              </w:rPr>
              <w:br/>
              <w:t>software and</w:t>
            </w:r>
            <w:r w:rsidRPr="007B771F">
              <w:rPr>
                <w:rFonts w:ascii="Arial" w:hAnsi="Arial" w:cs="Arial"/>
                <w:sz w:val="16"/>
                <w:szCs w:val="16"/>
              </w:rPr>
              <w:br/>
              <w:t>intangibles</w:t>
            </w:r>
            <w:r w:rsidRPr="007B771F">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auto"/>
            <w:vAlign w:val="bottom"/>
            <w:hideMark/>
          </w:tcPr>
          <w:p w14:paraId="3380CB1A" w14:textId="77777777" w:rsidR="007B771F" w:rsidRPr="007B771F" w:rsidRDefault="007B771F" w:rsidP="007B771F">
            <w:pPr>
              <w:spacing w:after="0" w:line="240" w:lineRule="auto"/>
              <w:jc w:val="right"/>
              <w:rPr>
                <w:rFonts w:ascii="Arial" w:hAnsi="Arial" w:cs="Arial"/>
                <w:sz w:val="16"/>
                <w:szCs w:val="16"/>
              </w:rPr>
            </w:pPr>
            <w:r w:rsidRPr="007B771F">
              <w:rPr>
                <w:rFonts w:ascii="Arial" w:hAnsi="Arial" w:cs="Arial"/>
                <w:sz w:val="16"/>
                <w:szCs w:val="16"/>
              </w:rPr>
              <w:t>Total</w:t>
            </w:r>
            <w:r w:rsidRPr="007B771F">
              <w:rPr>
                <w:rFonts w:ascii="Arial" w:hAnsi="Arial" w:cs="Arial"/>
                <w:sz w:val="16"/>
                <w:szCs w:val="16"/>
              </w:rPr>
              <w:br/>
            </w:r>
            <w:r w:rsidRPr="007B771F">
              <w:rPr>
                <w:rFonts w:ascii="Arial" w:hAnsi="Arial" w:cs="Arial"/>
                <w:sz w:val="16"/>
                <w:szCs w:val="16"/>
              </w:rPr>
              <w:br/>
            </w:r>
            <w:r w:rsidRPr="007B771F">
              <w:rPr>
                <w:rFonts w:ascii="Arial" w:hAnsi="Arial" w:cs="Arial"/>
                <w:sz w:val="16"/>
                <w:szCs w:val="16"/>
              </w:rPr>
              <w:br/>
            </w:r>
            <w:r w:rsidRPr="007B771F">
              <w:rPr>
                <w:rFonts w:ascii="Arial" w:hAnsi="Arial" w:cs="Arial"/>
                <w:sz w:val="16"/>
                <w:szCs w:val="16"/>
              </w:rPr>
              <w:br/>
              <w:t>$'000</w:t>
            </w:r>
          </w:p>
        </w:tc>
      </w:tr>
      <w:tr w:rsidR="007B771F" w:rsidRPr="007B771F" w14:paraId="79F9C080" w14:textId="77777777" w:rsidTr="004A4970">
        <w:trPr>
          <w:trHeight w:val="204"/>
        </w:trPr>
        <w:tc>
          <w:tcPr>
            <w:tcW w:w="2038" w:type="pct"/>
            <w:tcBorders>
              <w:top w:val="nil"/>
              <w:left w:val="nil"/>
              <w:bottom w:val="nil"/>
              <w:right w:val="nil"/>
            </w:tcBorders>
            <w:shd w:val="clear" w:color="auto" w:fill="auto"/>
            <w:vAlign w:val="bottom"/>
            <w:hideMark/>
          </w:tcPr>
          <w:p w14:paraId="681B0177" w14:textId="77777777" w:rsidR="007B771F" w:rsidRPr="007B771F" w:rsidRDefault="007B771F" w:rsidP="007B771F">
            <w:pPr>
              <w:spacing w:after="0" w:line="240" w:lineRule="auto"/>
              <w:rPr>
                <w:rFonts w:ascii="Arial" w:hAnsi="Arial" w:cs="Arial"/>
                <w:b/>
                <w:bCs/>
                <w:sz w:val="16"/>
                <w:szCs w:val="16"/>
              </w:rPr>
            </w:pPr>
            <w:r w:rsidRPr="007B771F">
              <w:rPr>
                <w:rFonts w:ascii="Arial" w:hAnsi="Arial" w:cs="Arial"/>
                <w:b/>
                <w:bCs/>
                <w:sz w:val="16"/>
                <w:szCs w:val="16"/>
              </w:rPr>
              <w:t>As at 1 July 2023</w:t>
            </w:r>
          </w:p>
        </w:tc>
        <w:tc>
          <w:tcPr>
            <w:tcW w:w="584" w:type="pct"/>
            <w:tcBorders>
              <w:top w:val="nil"/>
              <w:left w:val="nil"/>
              <w:bottom w:val="nil"/>
              <w:right w:val="nil"/>
            </w:tcBorders>
            <w:shd w:val="clear" w:color="auto" w:fill="auto"/>
            <w:noWrap/>
            <w:vAlign w:val="bottom"/>
            <w:hideMark/>
          </w:tcPr>
          <w:p w14:paraId="6F141BA7" w14:textId="77777777" w:rsidR="007B771F" w:rsidRPr="007B771F" w:rsidRDefault="007B771F" w:rsidP="007B771F">
            <w:pPr>
              <w:spacing w:after="0" w:line="240" w:lineRule="auto"/>
              <w:jc w:val="right"/>
              <w:rPr>
                <w:rFonts w:ascii="Arial" w:hAnsi="Arial" w:cs="Arial"/>
                <w:b/>
                <w:bCs/>
                <w:sz w:val="16"/>
                <w:szCs w:val="16"/>
              </w:rPr>
            </w:pPr>
          </w:p>
        </w:tc>
        <w:tc>
          <w:tcPr>
            <w:tcW w:w="625" w:type="pct"/>
            <w:tcBorders>
              <w:top w:val="nil"/>
              <w:left w:val="nil"/>
              <w:bottom w:val="nil"/>
              <w:right w:val="nil"/>
            </w:tcBorders>
            <w:shd w:val="clear" w:color="auto" w:fill="auto"/>
            <w:noWrap/>
            <w:vAlign w:val="bottom"/>
            <w:hideMark/>
          </w:tcPr>
          <w:p w14:paraId="7175C54F" w14:textId="77777777" w:rsidR="007B771F" w:rsidRPr="007B771F" w:rsidRDefault="007B771F" w:rsidP="007B771F">
            <w:pPr>
              <w:spacing w:after="0" w:line="240" w:lineRule="auto"/>
              <w:jc w:val="right"/>
              <w:rPr>
                <w:rFonts w:ascii="Times New Roman" w:hAnsi="Times New Roman"/>
              </w:rPr>
            </w:pPr>
          </w:p>
        </w:tc>
        <w:tc>
          <w:tcPr>
            <w:tcW w:w="532" w:type="pct"/>
            <w:tcBorders>
              <w:top w:val="nil"/>
              <w:left w:val="nil"/>
              <w:bottom w:val="nil"/>
              <w:right w:val="nil"/>
            </w:tcBorders>
            <w:shd w:val="clear" w:color="auto" w:fill="auto"/>
            <w:noWrap/>
            <w:vAlign w:val="bottom"/>
            <w:hideMark/>
          </w:tcPr>
          <w:p w14:paraId="4E1F5A6A" w14:textId="77777777" w:rsidR="007B771F" w:rsidRPr="007B771F" w:rsidRDefault="007B771F" w:rsidP="007B771F">
            <w:pPr>
              <w:spacing w:after="0" w:line="240" w:lineRule="auto"/>
              <w:jc w:val="right"/>
              <w:rPr>
                <w:rFonts w:ascii="Times New Roman" w:hAnsi="Times New Roman"/>
              </w:rPr>
            </w:pPr>
          </w:p>
        </w:tc>
        <w:tc>
          <w:tcPr>
            <w:tcW w:w="636" w:type="pct"/>
            <w:tcBorders>
              <w:top w:val="nil"/>
              <w:left w:val="nil"/>
              <w:bottom w:val="nil"/>
              <w:right w:val="nil"/>
            </w:tcBorders>
            <w:shd w:val="clear" w:color="auto" w:fill="auto"/>
            <w:noWrap/>
            <w:vAlign w:val="bottom"/>
            <w:hideMark/>
          </w:tcPr>
          <w:p w14:paraId="23DC71F2" w14:textId="77777777" w:rsidR="007B771F" w:rsidRPr="007B771F" w:rsidRDefault="007B771F" w:rsidP="007B771F">
            <w:pPr>
              <w:spacing w:after="0" w:line="240" w:lineRule="auto"/>
              <w:jc w:val="right"/>
              <w:rPr>
                <w:rFonts w:ascii="Times New Roman" w:hAnsi="Times New Roman"/>
              </w:rPr>
            </w:pPr>
          </w:p>
        </w:tc>
        <w:tc>
          <w:tcPr>
            <w:tcW w:w="584" w:type="pct"/>
            <w:tcBorders>
              <w:top w:val="nil"/>
              <w:left w:val="nil"/>
              <w:bottom w:val="nil"/>
              <w:right w:val="nil"/>
            </w:tcBorders>
            <w:shd w:val="clear" w:color="auto" w:fill="auto"/>
            <w:noWrap/>
            <w:vAlign w:val="bottom"/>
            <w:hideMark/>
          </w:tcPr>
          <w:p w14:paraId="5B0C17CB" w14:textId="77777777" w:rsidR="007B771F" w:rsidRPr="007B771F" w:rsidRDefault="007B771F" w:rsidP="007B771F">
            <w:pPr>
              <w:spacing w:after="0" w:line="240" w:lineRule="auto"/>
              <w:jc w:val="right"/>
              <w:rPr>
                <w:rFonts w:ascii="Times New Roman" w:hAnsi="Times New Roman"/>
              </w:rPr>
            </w:pPr>
          </w:p>
        </w:tc>
      </w:tr>
      <w:tr w:rsidR="001D4879" w:rsidRPr="007B771F" w14:paraId="23AF3C53" w14:textId="77777777" w:rsidTr="004A4970">
        <w:trPr>
          <w:trHeight w:val="204"/>
        </w:trPr>
        <w:tc>
          <w:tcPr>
            <w:tcW w:w="2038" w:type="pct"/>
            <w:tcBorders>
              <w:top w:val="nil"/>
              <w:left w:val="nil"/>
              <w:bottom w:val="nil"/>
              <w:right w:val="nil"/>
            </w:tcBorders>
            <w:shd w:val="clear" w:color="auto" w:fill="auto"/>
            <w:vAlign w:val="bottom"/>
            <w:hideMark/>
          </w:tcPr>
          <w:p w14:paraId="7D5AF511" w14:textId="77777777" w:rsidR="001D4879" w:rsidRPr="007B771F" w:rsidRDefault="001D4879" w:rsidP="001D4879">
            <w:pPr>
              <w:spacing w:after="0" w:line="240" w:lineRule="auto"/>
              <w:ind w:left="113"/>
              <w:rPr>
                <w:rFonts w:ascii="Arial" w:hAnsi="Arial" w:cs="Arial"/>
                <w:sz w:val="16"/>
                <w:szCs w:val="16"/>
              </w:rPr>
            </w:pPr>
            <w:r w:rsidRPr="007B771F">
              <w:rPr>
                <w:rFonts w:ascii="Arial" w:hAnsi="Arial" w:cs="Arial"/>
                <w:sz w:val="16"/>
                <w:szCs w:val="16"/>
              </w:rPr>
              <w:t xml:space="preserve">Gross book value </w:t>
            </w:r>
          </w:p>
        </w:tc>
        <w:tc>
          <w:tcPr>
            <w:tcW w:w="584" w:type="pct"/>
            <w:tcBorders>
              <w:top w:val="nil"/>
              <w:left w:val="nil"/>
              <w:bottom w:val="nil"/>
              <w:right w:val="nil"/>
            </w:tcBorders>
            <w:shd w:val="clear" w:color="auto" w:fill="auto"/>
            <w:noWrap/>
            <w:vAlign w:val="bottom"/>
            <w:hideMark/>
          </w:tcPr>
          <w:p w14:paraId="25789612" w14:textId="0334200D"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35,353</w:t>
            </w:r>
          </w:p>
        </w:tc>
        <w:tc>
          <w:tcPr>
            <w:tcW w:w="625" w:type="pct"/>
            <w:tcBorders>
              <w:top w:val="nil"/>
              <w:left w:val="nil"/>
              <w:bottom w:val="nil"/>
              <w:right w:val="nil"/>
            </w:tcBorders>
            <w:shd w:val="clear" w:color="auto" w:fill="auto"/>
            <w:noWrap/>
            <w:vAlign w:val="bottom"/>
            <w:hideMark/>
          </w:tcPr>
          <w:p w14:paraId="1E2204FC" w14:textId="01BE45E7"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35,390</w:t>
            </w:r>
          </w:p>
        </w:tc>
        <w:tc>
          <w:tcPr>
            <w:tcW w:w="532" w:type="pct"/>
            <w:tcBorders>
              <w:top w:val="nil"/>
              <w:left w:val="nil"/>
              <w:bottom w:val="nil"/>
              <w:right w:val="nil"/>
            </w:tcBorders>
            <w:shd w:val="clear" w:color="auto" w:fill="auto"/>
            <w:noWrap/>
            <w:vAlign w:val="bottom"/>
            <w:hideMark/>
          </w:tcPr>
          <w:p w14:paraId="1A260639" w14:textId="7B8C64B7"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43,038</w:t>
            </w:r>
          </w:p>
        </w:tc>
        <w:tc>
          <w:tcPr>
            <w:tcW w:w="636" w:type="pct"/>
            <w:tcBorders>
              <w:top w:val="nil"/>
              <w:left w:val="nil"/>
              <w:bottom w:val="nil"/>
              <w:right w:val="nil"/>
            </w:tcBorders>
            <w:shd w:val="clear" w:color="auto" w:fill="auto"/>
            <w:noWrap/>
            <w:vAlign w:val="bottom"/>
            <w:hideMark/>
          </w:tcPr>
          <w:p w14:paraId="3FC987E8" w14:textId="5400C15A"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132,381</w:t>
            </w:r>
          </w:p>
        </w:tc>
        <w:tc>
          <w:tcPr>
            <w:tcW w:w="584" w:type="pct"/>
            <w:tcBorders>
              <w:top w:val="nil"/>
              <w:left w:val="nil"/>
              <w:bottom w:val="nil"/>
              <w:right w:val="nil"/>
            </w:tcBorders>
            <w:shd w:val="clear" w:color="auto" w:fill="auto"/>
            <w:noWrap/>
            <w:vAlign w:val="bottom"/>
            <w:hideMark/>
          </w:tcPr>
          <w:p w14:paraId="316FA8E6" w14:textId="3C067C3A"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246,162</w:t>
            </w:r>
          </w:p>
        </w:tc>
      </w:tr>
      <w:tr w:rsidR="001D4879" w:rsidRPr="007B771F" w14:paraId="6DED016A" w14:textId="77777777" w:rsidTr="004A4970">
        <w:trPr>
          <w:trHeight w:val="204"/>
        </w:trPr>
        <w:tc>
          <w:tcPr>
            <w:tcW w:w="2038" w:type="pct"/>
            <w:tcBorders>
              <w:top w:val="nil"/>
              <w:left w:val="nil"/>
              <w:bottom w:val="nil"/>
              <w:right w:val="nil"/>
            </w:tcBorders>
            <w:shd w:val="clear" w:color="auto" w:fill="auto"/>
            <w:noWrap/>
            <w:vAlign w:val="bottom"/>
            <w:hideMark/>
          </w:tcPr>
          <w:p w14:paraId="14A9FB8B" w14:textId="77777777" w:rsidR="001D4879" w:rsidRPr="007B771F" w:rsidRDefault="001D4879" w:rsidP="001D4879">
            <w:pPr>
              <w:spacing w:after="0" w:line="240" w:lineRule="auto"/>
              <w:ind w:left="113"/>
              <w:rPr>
                <w:rFonts w:ascii="Arial" w:hAnsi="Arial" w:cs="Arial"/>
                <w:sz w:val="16"/>
                <w:szCs w:val="16"/>
              </w:rPr>
            </w:pPr>
            <w:r w:rsidRPr="007B771F">
              <w:rPr>
                <w:rFonts w:ascii="Arial" w:hAnsi="Arial" w:cs="Arial"/>
                <w:sz w:val="16"/>
                <w:szCs w:val="16"/>
              </w:rPr>
              <w:t>Gross book value - ROU assets</w:t>
            </w:r>
          </w:p>
        </w:tc>
        <w:tc>
          <w:tcPr>
            <w:tcW w:w="584" w:type="pct"/>
            <w:tcBorders>
              <w:top w:val="nil"/>
              <w:left w:val="nil"/>
              <w:bottom w:val="nil"/>
              <w:right w:val="nil"/>
            </w:tcBorders>
            <w:shd w:val="clear" w:color="auto" w:fill="auto"/>
            <w:noWrap/>
            <w:vAlign w:val="bottom"/>
            <w:hideMark/>
          </w:tcPr>
          <w:p w14:paraId="5823D099" w14:textId="5FD89170"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159,714</w:t>
            </w:r>
          </w:p>
        </w:tc>
        <w:tc>
          <w:tcPr>
            <w:tcW w:w="625" w:type="pct"/>
            <w:tcBorders>
              <w:top w:val="nil"/>
              <w:left w:val="nil"/>
              <w:bottom w:val="nil"/>
              <w:right w:val="nil"/>
            </w:tcBorders>
            <w:shd w:val="clear" w:color="auto" w:fill="auto"/>
            <w:noWrap/>
            <w:vAlign w:val="bottom"/>
            <w:hideMark/>
          </w:tcPr>
          <w:p w14:paraId="710653E6" w14:textId="125063C3"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183</w:t>
            </w:r>
          </w:p>
        </w:tc>
        <w:tc>
          <w:tcPr>
            <w:tcW w:w="532" w:type="pct"/>
            <w:tcBorders>
              <w:top w:val="nil"/>
              <w:left w:val="nil"/>
              <w:bottom w:val="nil"/>
              <w:right w:val="nil"/>
            </w:tcBorders>
            <w:shd w:val="clear" w:color="auto" w:fill="auto"/>
            <w:noWrap/>
            <w:vAlign w:val="bottom"/>
            <w:hideMark/>
          </w:tcPr>
          <w:p w14:paraId="1ACD81FD" w14:textId="310FDCCC"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59007BE2" w14:textId="48965759"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w:t>
            </w:r>
          </w:p>
        </w:tc>
        <w:tc>
          <w:tcPr>
            <w:tcW w:w="584" w:type="pct"/>
            <w:tcBorders>
              <w:top w:val="nil"/>
              <w:left w:val="nil"/>
              <w:bottom w:val="nil"/>
              <w:right w:val="nil"/>
            </w:tcBorders>
            <w:shd w:val="clear" w:color="auto" w:fill="auto"/>
            <w:noWrap/>
            <w:vAlign w:val="bottom"/>
            <w:hideMark/>
          </w:tcPr>
          <w:p w14:paraId="029D770E" w14:textId="4AA1D7FC"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159,897</w:t>
            </w:r>
          </w:p>
        </w:tc>
      </w:tr>
      <w:tr w:rsidR="001D4879" w:rsidRPr="007B771F" w14:paraId="6BBA57B5" w14:textId="77777777" w:rsidTr="004A4970">
        <w:trPr>
          <w:trHeight w:val="204"/>
        </w:trPr>
        <w:tc>
          <w:tcPr>
            <w:tcW w:w="2038" w:type="pct"/>
            <w:tcBorders>
              <w:top w:val="nil"/>
              <w:left w:val="nil"/>
              <w:bottom w:val="nil"/>
              <w:right w:val="nil"/>
            </w:tcBorders>
            <w:shd w:val="clear" w:color="auto" w:fill="auto"/>
            <w:vAlign w:val="bottom"/>
            <w:hideMark/>
          </w:tcPr>
          <w:p w14:paraId="385C3B98" w14:textId="72FA3083" w:rsidR="001D4879" w:rsidRPr="007B771F" w:rsidRDefault="001D4879" w:rsidP="001D4879">
            <w:pPr>
              <w:spacing w:after="0" w:line="240" w:lineRule="auto"/>
              <w:ind w:left="113"/>
              <w:rPr>
                <w:rFonts w:ascii="Arial" w:hAnsi="Arial" w:cs="Arial"/>
                <w:sz w:val="16"/>
                <w:szCs w:val="16"/>
              </w:rPr>
            </w:pPr>
            <w:r w:rsidRPr="007B771F">
              <w:rPr>
                <w:rFonts w:ascii="Arial" w:hAnsi="Arial" w:cs="Arial"/>
                <w:sz w:val="16"/>
                <w:szCs w:val="16"/>
              </w:rPr>
              <w:t>Accumulated depreciation/</w:t>
            </w:r>
            <w:r>
              <w:rPr>
                <w:rFonts w:ascii="Arial" w:hAnsi="Arial" w:cs="Arial"/>
                <w:sz w:val="16"/>
                <w:szCs w:val="16"/>
              </w:rPr>
              <w:t xml:space="preserve"> </w:t>
            </w:r>
            <w:r w:rsidRPr="007B771F">
              <w:rPr>
                <w:rFonts w:ascii="Arial" w:hAnsi="Arial" w:cs="Arial"/>
                <w:sz w:val="16"/>
                <w:szCs w:val="16"/>
              </w:rPr>
              <w:t>amortisation and impairment</w:t>
            </w:r>
          </w:p>
        </w:tc>
        <w:tc>
          <w:tcPr>
            <w:tcW w:w="584" w:type="pct"/>
            <w:tcBorders>
              <w:top w:val="nil"/>
              <w:left w:val="nil"/>
              <w:bottom w:val="nil"/>
              <w:right w:val="nil"/>
            </w:tcBorders>
            <w:shd w:val="clear" w:color="auto" w:fill="auto"/>
            <w:noWrap/>
            <w:vAlign w:val="bottom"/>
            <w:hideMark/>
          </w:tcPr>
          <w:p w14:paraId="4566F8FB" w14:textId="6BC47925"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(18,569)</w:t>
            </w:r>
          </w:p>
        </w:tc>
        <w:tc>
          <w:tcPr>
            <w:tcW w:w="625" w:type="pct"/>
            <w:tcBorders>
              <w:top w:val="nil"/>
              <w:left w:val="nil"/>
              <w:bottom w:val="nil"/>
              <w:right w:val="nil"/>
            </w:tcBorders>
            <w:shd w:val="clear" w:color="auto" w:fill="auto"/>
            <w:noWrap/>
            <w:vAlign w:val="bottom"/>
            <w:hideMark/>
          </w:tcPr>
          <w:p w14:paraId="1A6A88F5" w14:textId="1F47D7DE"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(18,821)</w:t>
            </w:r>
          </w:p>
        </w:tc>
        <w:tc>
          <w:tcPr>
            <w:tcW w:w="532" w:type="pct"/>
            <w:tcBorders>
              <w:top w:val="nil"/>
              <w:left w:val="nil"/>
              <w:bottom w:val="nil"/>
              <w:right w:val="nil"/>
            </w:tcBorders>
            <w:shd w:val="clear" w:color="auto" w:fill="auto"/>
            <w:noWrap/>
            <w:vAlign w:val="bottom"/>
            <w:hideMark/>
          </w:tcPr>
          <w:p w14:paraId="0414D555" w14:textId="4FA08555"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(664)</w:t>
            </w:r>
          </w:p>
        </w:tc>
        <w:tc>
          <w:tcPr>
            <w:tcW w:w="636" w:type="pct"/>
            <w:tcBorders>
              <w:top w:val="nil"/>
              <w:left w:val="nil"/>
              <w:bottom w:val="nil"/>
              <w:right w:val="nil"/>
            </w:tcBorders>
            <w:shd w:val="clear" w:color="auto" w:fill="auto"/>
            <w:noWrap/>
            <w:vAlign w:val="bottom"/>
            <w:hideMark/>
          </w:tcPr>
          <w:p w14:paraId="2E48C571" w14:textId="0111199B"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(56,127)</w:t>
            </w:r>
          </w:p>
        </w:tc>
        <w:tc>
          <w:tcPr>
            <w:tcW w:w="584" w:type="pct"/>
            <w:tcBorders>
              <w:top w:val="nil"/>
              <w:left w:val="nil"/>
              <w:bottom w:val="nil"/>
              <w:right w:val="nil"/>
            </w:tcBorders>
            <w:shd w:val="clear" w:color="auto" w:fill="auto"/>
            <w:noWrap/>
            <w:vAlign w:val="bottom"/>
            <w:hideMark/>
          </w:tcPr>
          <w:p w14:paraId="38CB564B" w14:textId="6B641261"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(94,181)</w:t>
            </w:r>
          </w:p>
        </w:tc>
      </w:tr>
      <w:tr w:rsidR="001D4879" w:rsidRPr="007B771F" w14:paraId="4D05D96D" w14:textId="77777777" w:rsidTr="004A4970">
        <w:trPr>
          <w:trHeight w:val="204"/>
        </w:trPr>
        <w:tc>
          <w:tcPr>
            <w:tcW w:w="2038" w:type="pct"/>
            <w:tcBorders>
              <w:top w:val="nil"/>
              <w:left w:val="nil"/>
              <w:bottom w:val="nil"/>
              <w:right w:val="nil"/>
            </w:tcBorders>
            <w:shd w:val="clear" w:color="auto" w:fill="auto"/>
            <w:vAlign w:val="bottom"/>
            <w:hideMark/>
          </w:tcPr>
          <w:p w14:paraId="66C39A23" w14:textId="1E9D3DEF" w:rsidR="001D4879" w:rsidRPr="007B771F" w:rsidRDefault="001D4879" w:rsidP="001D4879">
            <w:pPr>
              <w:spacing w:after="0" w:line="240" w:lineRule="auto"/>
              <w:ind w:left="113"/>
              <w:rPr>
                <w:rFonts w:ascii="Arial" w:hAnsi="Arial" w:cs="Arial"/>
                <w:sz w:val="16"/>
                <w:szCs w:val="16"/>
              </w:rPr>
            </w:pPr>
            <w:r w:rsidRPr="007B771F">
              <w:rPr>
                <w:rFonts w:ascii="Arial" w:hAnsi="Arial" w:cs="Arial"/>
                <w:sz w:val="16"/>
                <w:szCs w:val="16"/>
              </w:rPr>
              <w:t>Accumulated depreciation/amor</w:t>
            </w:r>
            <w:r>
              <w:rPr>
                <w:rFonts w:ascii="Arial" w:hAnsi="Arial" w:cs="Arial"/>
                <w:sz w:val="16"/>
                <w:szCs w:val="16"/>
              </w:rPr>
              <w:t>t</w:t>
            </w:r>
            <w:r w:rsidRPr="007B771F">
              <w:rPr>
                <w:rFonts w:ascii="Arial" w:hAnsi="Arial" w:cs="Arial"/>
                <w:sz w:val="16"/>
                <w:szCs w:val="16"/>
              </w:rPr>
              <w:t>isation and impairment - ROU assets</w:t>
            </w:r>
          </w:p>
        </w:tc>
        <w:tc>
          <w:tcPr>
            <w:tcW w:w="584" w:type="pct"/>
            <w:tcBorders>
              <w:top w:val="nil"/>
              <w:left w:val="nil"/>
              <w:bottom w:val="nil"/>
              <w:right w:val="nil"/>
            </w:tcBorders>
            <w:shd w:val="clear" w:color="auto" w:fill="auto"/>
            <w:noWrap/>
            <w:vAlign w:val="bottom"/>
            <w:hideMark/>
          </w:tcPr>
          <w:p w14:paraId="78FD1364" w14:textId="261973E9"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(85,375)</w:t>
            </w:r>
          </w:p>
        </w:tc>
        <w:tc>
          <w:tcPr>
            <w:tcW w:w="625" w:type="pct"/>
            <w:tcBorders>
              <w:top w:val="nil"/>
              <w:left w:val="nil"/>
              <w:bottom w:val="nil"/>
              <w:right w:val="nil"/>
            </w:tcBorders>
            <w:shd w:val="clear" w:color="auto" w:fill="auto"/>
            <w:noWrap/>
            <w:vAlign w:val="bottom"/>
            <w:hideMark/>
          </w:tcPr>
          <w:p w14:paraId="1FDDEC00" w14:textId="0E9FDD55"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(132)</w:t>
            </w:r>
          </w:p>
        </w:tc>
        <w:tc>
          <w:tcPr>
            <w:tcW w:w="532" w:type="pct"/>
            <w:tcBorders>
              <w:top w:val="nil"/>
              <w:left w:val="nil"/>
              <w:bottom w:val="nil"/>
              <w:right w:val="nil"/>
            </w:tcBorders>
            <w:shd w:val="clear" w:color="auto" w:fill="auto"/>
            <w:noWrap/>
            <w:vAlign w:val="bottom"/>
            <w:hideMark/>
          </w:tcPr>
          <w:p w14:paraId="1FB37B77" w14:textId="3DE7B28B"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4394584D" w14:textId="7CB949B9"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w:t>
            </w:r>
          </w:p>
        </w:tc>
        <w:tc>
          <w:tcPr>
            <w:tcW w:w="584" w:type="pct"/>
            <w:tcBorders>
              <w:top w:val="nil"/>
              <w:left w:val="nil"/>
              <w:bottom w:val="nil"/>
              <w:right w:val="nil"/>
            </w:tcBorders>
            <w:shd w:val="clear" w:color="auto" w:fill="auto"/>
            <w:noWrap/>
            <w:vAlign w:val="bottom"/>
            <w:hideMark/>
          </w:tcPr>
          <w:p w14:paraId="2D0C542C" w14:textId="42326DA5"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(85,507)</w:t>
            </w:r>
          </w:p>
        </w:tc>
      </w:tr>
      <w:tr w:rsidR="001D4879" w:rsidRPr="007B771F" w14:paraId="272271CD" w14:textId="77777777" w:rsidTr="004A4970">
        <w:trPr>
          <w:trHeight w:val="204"/>
        </w:trPr>
        <w:tc>
          <w:tcPr>
            <w:tcW w:w="2038" w:type="pct"/>
            <w:tcBorders>
              <w:top w:val="nil"/>
              <w:left w:val="nil"/>
              <w:bottom w:val="nil"/>
              <w:right w:val="nil"/>
            </w:tcBorders>
            <w:shd w:val="clear" w:color="auto" w:fill="auto"/>
            <w:vAlign w:val="bottom"/>
            <w:hideMark/>
          </w:tcPr>
          <w:p w14:paraId="74730256" w14:textId="77777777" w:rsidR="001D4879" w:rsidRPr="007B771F" w:rsidRDefault="001D4879" w:rsidP="001D4879">
            <w:pPr>
              <w:spacing w:after="0" w:line="240" w:lineRule="auto"/>
              <w:rPr>
                <w:rFonts w:ascii="Arial" w:hAnsi="Arial" w:cs="Arial"/>
                <w:b/>
                <w:bCs/>
                <w:sz w:val="16"/>
                <w:szCs w:val="16"/>
              </w:rPr>
            </w:pPr>
            <w:r w:rsidRPr="007B771F">
              <w:rPr>
                <w:rFonts w:ascii="Arial" w:hAnsi="Arial" w:cs="Arial"/>
                <w:b/>
                <w:bCs/>
                <w:sz w:val="16"/>
                <w:szCs w:val="16"/>
              </w:rPr>
              <w:t>Opening net book balance</w:t>
            </w:r>
          </w:p>
        </w:tc>
        <w:tc>
          <w:tcPr>
            <w:tcW w:w="584" w:type="pct"/>
            <w:tcBorders>
              <w:top w:val="single" w:sz="4" w:space="0" w:color="auto"/>
              <w:left w:val="nil"/>
              <w:bottom w:val="single" w:sz="4" w:space="0" w:color="auto"/>
              <w:right w:val="nil"/>
            </w:tcBorders>
            <w:shd w:val="clear" w:color="auto" w:fill="auto"/>
            <w:noWrap/>
            <w:vAlign w:val="bottom"/>
            <w:hideMark/>
          </w:tcPr>
          <w:p w14:paraId="7B2D91FA" w14:textId="6B4E2621" w:rsidR="001D4879" w:rsidRPr="007B771F" w:rsidRDefault="001D4879" w:rsidP="001D4879">
            <w:pPr>
              <w:spacing w:after="0" w:line="240" w:lineRule="auto"/>
              <w:jc w:val="right"/>
              <w:rPr>
                <w:rFonts w:ascii="Arial" w:hAnsi="Arial" w:cs="Arial"/>
                <w:b/>
                <w:bCs/>
                <w:sz w:val="16"/>
                <w:szCs w:val="16"/>
              </w:rPr>
            </w:pPr>
            <w:r>
              <w:rPr>
                <w:rFonts w:ascii="Arial" w:hAnsi="Arial" w:cs="Arial"/>
                <w:b/>
                <w:bCs/>
                <w:sz w:val="16"/>
                <w:szCs w:val="16"/>
              </w:rPr>
              <w:t>91,123</w:t>
            </w:r>
          </w:p>
        </w:tc>
        <w:tc>
          <w:tcPr>
            <w:tcW w:w="625" w:type="pct"/>
            <w:tcBorders>
              <w:top w:val="single" w:sz="4" w:space="0" w:color="auto"/>
              <w:left w:val="nil"/>
              <w:bottom w:val="single" w:sz="4" w:space="0" w:color="auto"/>
              <w:right w:val="nil"/>
            </w:tcBorders>
            <w:shd w:val="clear" w:color="auto" w:fill="auto"/>
            <w:noWrap/>
            <w:vAlign w:val="bottom"/>
            <w:hideMark/>
          </w:tcPr>
          <w:p w14:paraId="1E462406" w14:textId="3019BDCB" w:rsidR="001D4879" w:rsidRPr="007B771F" w:rsidRDefault="001D4879" w:rsidP="001D4879">
            <w:pPr>
              <w:spacing w:after="0" w:line="240" w:lineRule="auto"/>
              <w:jc w:val="right"/>
              <w:rPr>
                <w:rFonts w:ascii="Arial" w:hAnsi="Arial" w:cs="Arial"/>
                <w:b/>
                <w:bCs/>
                <w:sz w:val="16"/>
                <w:szCs w:val="16"/>
              </w:rPr>
            </w:pPr>
            <w:r>
              <w:rPr>
                <w:rFonts w:ascii="Arial" w:hAnsi="Arial" w:cs="Arial"/>
                <w:b/>
                <w:bCs/>
                <w:sz w:val="16"/>
                <w:szCs w:val="16"/>
              </w:rPr>
              <w:t>16,620</w:t>
            </w:r>
          </w:p>
        </w:tc>
        <w:tc>
          <w:tcPr>
            <w:tcW w:w="532" w:type="pct"/>
            <w:tcBorders>
              <w:top w:val="single" w:sz="4" w:space="0" w:color="auto"/>
              <w:left w:val="nil"/>
              <w:bottom w:val="single" w:sz="4" w:space="0" w:color="auto"/>
              <w:right w:val="nil"/>
            </w:tcBorders>
            <w:shd w:val="clear" w:color="auto" w:fill="auto"/>
            <w:noWrap/>
            <w:vAlign w:val="bottom"/>
            <w:hideMark/>
          </w:tcPr>
          <w:p w14:paraId="03E0CBEE" w14:textId="6692EDAF" w:rsidR="001D4879" w:rsidRPr="007B771F" w:rsidRDefault="001D4879" w:rsidP="001D4879">
            <w:pPr>
              <w:spacing w:after="0" w:line="240" w:lineRule="auto"/>
              <w:jc w:val="right"/>
              <w:rPr>
                <w:rFonts w:ascii="Arial" w:hAnsi="Arial" w:cs="Arial"/>
                <w:b/>
                <w:bCs/>
                <w:sz w:val="16"/>
                <w:szCs w:val="16"/>
              </w:rPr>
            </w:pPr>
            <w:r>
              <w:rPr>
                <w:rFonts w:ascii="Arial" w:hAnsi="Arial" w:cs="Arial"/>
                <w:b/>
                <w:bCs/>
                <w:sz w:val="16"/>
                <w:szCs w:val="16"/>
              </w:rPr>
              <w:t>42,374</w:t>
            </w:r>
          </w:p>
        </w:tc>
        <w:tc>
          <w:tcPr>
            <w:tcW w:w="636" w:type="pct"/>
            <w:tcBorders>
              <w:top w:val="single" w:sz="4" w:space="0" w:color="auto"/>
              <w:left w:val="nil"/>
              <w:bottom w:val="single" w:sz="4" w:space="0" w:color="auto"/>
              <w:right w:val="nil"/>
            </w:tcBorders>
            <w:shd w:val="clear" w:color="auto" w:fill="auto"/>
            <w:noWrap/>
            <w:vAlign w:val="bottom"/>
            <w:hideMark/>
          </w:tcPr>
          <w:p w14:paraId="61FC2374" w14:textId="2DB543B8" w:rsidR="001D4879" w:rsidRPr="007B771F" w:rsidRDefault="001D4879" w:rsidP="001D4879">
            <w:pPr>
              <w:spacing w:after="0" w:line="240" w:lineRule="auto"/>
              <w:jc w:val="right"/>
              <w:rPr>
                <w:rFonts w:ascii="Arial" w:hAnsi="Arial" w:cs="Arial"/>
                <w:b/>
                <w:bCs/>
                <w:sz w:val="16"/>
                <w:szCs w:val="16"/>
              </w:rPr>
            </w:pPr>
            <w:r>
              <w:rPr>
                <w:rFonts w:ascii="Arial" w:hAnsi="Arial" w:cs="Arial"/>
                <w:b/>
                <w:bCs/>
                <w:sz w:val="16"/>
                <w:szCs w:val="16"/>
              </w:rPr>
              <w:t>76,254</w:t>
            </w:r>
          </w:p>
        </w:tc>
        <w:tc>
          <w:tcPr>
            <w:tcW w:w="584" w:type="pct"/>
            <w:tcBorders>
              <w:top w:val="single" w:sz="4" w:space="0" w:color="auto"/>
              <w:left w:val="nil"/>
              <w:bottom w:val="single" w:sz="4" w:space="0" w:color="auto"/>
              <w:right w:val="nil"/>
            </w:tcBorders>
            <w:shd w:val="clear" w:color="auto" w:fill="auto"/>
            <w:noWrap/>
            <w:vAlign w:val="bottom"/>
            <w:hideMark/>
          </w:tcPr>
          <w:p w14:paraId="20E9099C" w14:textId="1DF3A7F6" w:rsidR="001D4879" w:rsidRPr="007B771F" w:rsidRDefault="001D4879" w:rsidP="001D4879">
            <w:pPr>
              <w:spacing w:after="0" w:line="240" w:lineRule="auto"/>
              <w:jc w:val="right"/>
              <w:rPr>
                <w:rFonts w:ascii="Arial" w:hAnsi="Arial" w:cs="Arial"/>
                <w:b/>
                <w:bCs/>
                <w:sz w:val="16"/>
                <w:szCs w:val="16"/>
              </w:rPr>
            </w:pPr>
            <w:r>
              <w:rPr>
                <w:rFonts w:ascii="Arial" w:hAnsi="Arial" w:cs="Arial"/>
                <w:b/>
                <w:bCs/>
                <w:sz w:val="16"/>
                <w:szCs w:val="16"/>
              </w:rPr>
              <w:t>226,371</w:t>
            </w:r>
          </w:p>
        </w:tc>
      </w:tr>
      <w:tr w:rsidR="001D4879" w:rsidRPr="007B771F" w14:paraId="3337F5E5" w14:textId="77777777" w:rsidTr="004A4970">
        <w:trPr>
          <w:trHeight w:val="204"/>
        </w:trPr>
        <w:tc>
          <w:tcPr>
            <w:tcW w:w="2038" w:type="pct"/>
            <w:tcBorders>
              <w:top w:val="nil"/>
              <w:left w:val="nil"/>
              <w:bottom w:val="nil"/>
              <w:right w:val="nil"/>
            </w:tcBorders>
            <w:shd w:val="clear" w:color="auto" w:fill="auto"/>
            <w:vAlign w:val="bottom"/>
            <w:hideMark/>
          </w:tcPr>
          <w:p w14:paraId="6F748DED" w14:textId="77777777" w:rsidR="001D4879" w:rsidRPr="007B771F" w:rsidRDefault="001D4879" w:rsidP="001D4879">
            <w:pPr>
              <w:spacing w:after="0" w:line="240" w:lineRule="auto"/>
              <w:rPr>
                <w:rFonts w:ascii="Arial" w:hAnsi="Arial" w:cs="Arial"/>
                <w:b/>
                <w:bCs/>
                <w:sz w:val="16"/>
                <w:szCs w:val="16"/>
              </w:rPr>
            </w:pPr>
            <w:r w:rsidRPr="007B771F">
              <w:rPr>
                <w:rFonts w:ascii="Arial" w:hAnsi="Arial" w:cs="Arial"/>
                <w:b/>
                <w:bCs/>
                <w:sz w:val="16"/>
                <w:szCs w:val="16"/>
              </w:rPr>
              <w:t>Capital asset additions</w:t>
            </w:r>
          </w:p>
        </w:tc>
        <w:tc>
          <w:tcPr>
            <w:tcW w:w="584" w:type="pct"/>
            <w:tcBorders>
              <w:top w:val="nil"/>
              <w:left w:val="nil"/>
              <w:bottom w:val="nil"/>
              <w:right w:val="nil"/>
            </w:tcBorders>
            <w:shd w:val="clear" w:color="auto" w:fill="auto"/>
            <w:noWrap/>
            <w:vAlign w:val="bottom"/>
            <w:hideMark/>
          </w:tcPr>
          <w:p w14:paraId="6575AFBC" w14:textId="77777777" w:rsidR="001D4879" w:rsidRPr="007B771F" w:rsidRDefault="001D4879" w:rsidP="001D4879">
            <w:pPr>
              <w:spacing w:after="0" w:line="240" w:lineRule="auto"/>
              <w:jc w:val="right"/>
              <w:rPr>
                <w:rFonts w:ascii="Arial" w:hAnsi="Arial" w:cs="Arial"/>
                <w:b/>
                <w:bCs/>
                <w:sz w:val="16"/>
                <w:szCs w:val="16"/>
              </w:rPr>
            </w:pPr>
          </w:p>
        </w:tc>
        <w:tc>
          <w:tcPr>
            <w:tcW w:w="625" w:type="pct"/>
            <w:tcBorders>
              <w:top w:val="nil"/>
              <w:left w:val="nil"/>
              <w:bottom w:val="nil"/>
              <w:right w:val="nil"/>
            </w:tcBorders>
            <w:shd w:val="clear" w:color="auto" w:fill="auto"/>
            <w:noWrap/>
            <w:vAlign w:val="bottom"/>
            <w:hideMark/>
          </w:tcPr>
          <w:p w14:paraId="6EE3BC33" w14:textId="77777777" w:rsidR="001D4879" w:rsidRPr="007B771F" w:rsidRDefault="001D4879" w:rsidP="001D4879">
            <w:pPr>
              <w:spacing w:after="0" w:line="240" w:lineRule="auto"/>
              <w:jc w:val="right"/>
              <w:rPr>
                <w:rFonts w:ascii="Times New Roman" w:hAnsi="Times New Roman"/>
              </w:rPr>
            </w:pPr>
          </w:p>
        </w:tc>
        <w:tc>
          <w:tcPr>
            <w:tcW w:w="532" w:type="pct"/>
            <w:tcBorders>
              <w:top w:val="nil"/>
              <w:left w:val="nil"/>
              <w:bottom w:val="nil"/>
              <w:right w:val="nil"/>
            </w:tcBorders>
            <w:shd w:val="clear" w:color="auto" w:fill="auto"/>
            <w:noWrap/>
            <w:vAlign w:val="bottom"/>
            <w:hideMark/>
          </w:tcPr>
          <w:p w14:paraId="31B7E8DD" w14:textId="77777777" w:rsidR="001D4879" w:rsidRPr="007B771F" w:rsidRDefault="001D4879" w:rsidP="001D4879">
            <w:pPr>
              <w:spacing w:after="0" w:line="240" w:lineRule="auto"/>
              <w:jc w:val="right"/>
              <w:rPr>
                <w:rFonts w:ascii="Times New Roman" w:hAnsi="Times New Roman"/>
              </w:rPr>
            </w:pPr>
          </w:p>
        </w:tc>
        <w:tc>
          <w:tcPr>
            <w:tcW w:w="636" w:type="pct"/>
            <w:tcBorders>
              <w:top w:val="nil"/>
              <w:left w:val="nil"/>
              <w:bottom w:val="nil"/>
              <w:right w:val="nil"/>
            </w:tcBorders>
            <w:shd w:val="clear" w:color="auto" w:fill="auto"/>
            <w:noWrap/>
            <w:vAlign w:val="bottom"/>
            <w:hideMark/>
          </w:tcPr>
          <w:p w14:paraId="776D3555" w14:textId="77777777" w:rsidR="001D4879" w:rsidRPr="007B771F" w:rsidRDefault="001D4879" w:rsidP="001D4879">
            <w:pPr>
              <w:spacing w:after="0" w:line="240" w:lineRule="auto"/>
              <w:jc w:val="right"/>
              <w:rPr>
                <w:rFonts w:ascii="Times New Roman" w:hAnsi="Times New Roman"/>
              </w:rPr>
            </w:pPr>
          </w:p>
        </w:tc>
        <w:tc>
          <w:tcPr>
            <w:tcW w:w="584" w:type="pct"/>
            <w:tcBorders>
              <w:top w:val="nil"/>
              <w:left w:val="nil"/>
              <w:bottom w:val="nil"/>
              <w:right w:val="nil"/>
            </w:tcBorders>
            <w:shd w:val="clear" w:color="auto" w:fill="auto"/>
            <w:noWrap/>
            <w:vAlign w:val="bottom"/>
            <w:hideMark/>
          </w:tcPr>
          <w:p w14:paraId="33A3EFEC" w14:textId="77777777" w:rsidR="001D4879" w:rsidRPr="007B771F" w:rsidRDefault="001D4879" w:rsidP="001D4879">
            <w:pPr>
              <w:spacing w:after="0" w:line="240" w:lineRule="auto"/>
              <w:jc w:val="right"/>
              <w:rPr>
                <w:rFonts w:ascii="Times New Roman" w:hAnsi="Times New Roman"/>
              </w:rPr>
            </w:pPr>
          </w:p>
        </w:tc>
      </w:tr>
      <w:tr w:rsidR="001D4879" w:rsidRPr="007B771F" w14:paraId="4065F9B0" w14:textId="77777777" w:rsidTr="004A4970">
        <w:trPr>
          <w:trHeight w:val="204"/>
        </w:trPr>
        <w:tc>
          <w:tcPr>
            <w:tcW w:w="2038" w:type="pct"/>
            <w:tcBorders>
              <w:top w:val="nil"/>
              <w:left w:val="nil"/>
              <w:bottom w:val="nil"/>
              <w:right w:val="nil"/>
            </w:tcBorders>
            <w:shd w:val="clear" w:color="auto" w:fill="auto"/>
            <w:vAlign w:val="bottom"/>
            <w:hideMark/>
          </w:tcPr>
          <w:p w14:paraId="04E11EC6" w14:textId="25163998" w:rsidR="001D4879" w:rsidRPr="007B771F" w:rsidRDefault="001D4879" w:rsidP="001D4879">
            <w:pPr>
              <w:spacing w:after="0" w:line="240" w:lineRule="auto"/>
              <w:ind w:left="113"/>
              <w:rPr>
                <w:rFonts w:ascii="Arial" w:hAnsi="Arial" w:cs="Arial"/>
                <w:b/>
                <w:bCs/>
                <w:sz w:val="16"/>
                <w:szCs w:val="16"/>
              </w:rPr>
            </w:pPr>
            <w:r w:rsidRPr="007B771F">
              <w:rPr>
                <w:rFonts w:ascii="Arial" w:hAnsi="Arial" w:cs="Arial"/>
                <w:b/>
                <w:bCs/>
                <w:sz w:val="16"/>
                <w:szCs w:val="16"/>
              </w:rPr>
              <w:t>Estimated expenditure on new or replacement assets</w:t>
            </w:r>
          </w:p>
        </w:tc>
        <w:tc>
          <w:tcPr>
            <w:tcW w:w="584" w:type="pct"/>
            <w:tcBorders>
              <w:top w:val="nil"/>
              <w:left w:val="nil"/>
              <w:bottom w:val="nil"/>
              <w:right w:val="nil"/>
            </w:tcBorders>
            <w:shd w:val="clear" w:color="auto" w:fill="auto"/>
            <w:noWrap/>
            <w:vAlign w:val="bottom"/>
            <w:hideMark/>
          </w:tcPr>
          <w:p w14:paraId="4B663778" w14:textId="77777777" w:rsidR="001D4879" w:rsidRPr="007B771F" w:rsidRDefault="001D4879" w:rsidP="001D4879">
            <w:pPr>
              <w:spacing w:after="0" w:line="240" w:lineRule="auto"/>
              <w:ind w:firstLineChars="100" w:firstLine="161"/>
              <w:jc w:val="right"/>
              <w:rPr>
                <w:rFonts w:ascii="Arial" w:hAnsi="Arial" w:cs="Arial"/>
                <w:b/>
                <w:bCs/>
                <w:sz w:val="16"/>
                <w:szCs w:val="16"/>
              </w:rPr>
            </w:pPr>
          </w:p>
        </w:tc>
        <w:tc>
          <w:tcPr>
            <w:tcW w:w="625" w:type="pct"/>
            <w:tcBorders>
              <w:top w:val="nil"/>
              <w:left w:val="nil"/>
              <w:bottom w:val="nil"/>
              <w:right w:val="nil"/>
            </w:tcBorders>
            <w:shd w:val="clear" w:color="auto" w:fill="auto"/>
            <w:noWrap/>
            <w:vAlign w:val="bottom"/>
            <w:hideMark/>
          </w:tcPr>
          <w:p w14:paraId="2B6AD082" w14:textId="77777777" w:rsidR="001D4879" w:rsidRPr="007B771F" w:rsidRDefault="001D4879" w:rsidP="001D4879">
            <w:pPr>
              <w:spacing w:after="0" w:line="240" w:lineRule="auto"/>
              <w:jc w:val="right"/>
              <w:rPr>
                <w:rFonts w:ascii="Times New Roman" w:hAnsi="Times New Roman"/>
              </w:rPr>
            </w:pPr>
          </w:p>
        </w:tc>
        <w:tc>
          <w:tcPr>
            <w:tcW w:w="532" w:type="pct"/>
            <w:tcBorders>
              <w:top w:val="nil"/>
              <w:left w:val="nil"/>
              <w:bottom w:val="nil"/>
              <w:right w:val="nil"/>
            </w:tcBorders>
            <w:shd w:val="clear" w:color="auto" w:fill="auto"/>
            <w:noWrap/>
            <w:vAlign w:val="bottom"/>
            <w:hideMark/>
          </w:tcPr>
          <w:p w14:paraId="3BCDE3DE" w14:textId="77777777" w:rsidR="001D4879" w:rsidRPr="007B771F" w:rsidRDefault="001D4879" w:rsidP="001D4879">
            <w:pPr>
              <w:spacing w:after="0" w:line="240" w:lineRule="auto"/>
              <w:jc w:val="right"/>
              <w:rPr>
                <w:rFonts w:ascii="Times New Roman" w:hAnsi="Times New Roman"/>
              </w:rPr>
            </w:pPr>
          </w:p>
        </w:tc>
        <w:tc>
          <w:tcPr>
            <w:tcW w:w="636" w:type="pct"/>
            <w:tcBorders>
              <w:top w:val="nil"/>
              <w:left w:val="nil"/>
              <w:bottom w:val="nil"/>
              <w:right w:val="nil"/>
            </w:tcBorders>
            <w:shd w:val="clear" w:color="auto" w:fill="auto"/>
            <w:noWrap/>
            <w:vAlign w:val="bottom"/>
            <w:hideMark/>
          </w:tcPr>
          <w:p w14:paraId="64AB90EA" w14:textId="77777777" w:rsidR="001D4879" w:rsidRPr="007B771F" w:rsidRDefault="001D4879" w:rsidP="001D4879">
            <w:pPr>
              <w:spacing w:after="0" w:line="240" w:lineRule="auto"/>
              <w:jc w:val="right"/>
              <w:rPr>
                <w:rFonts w:ascii="Times New Roman" w:hAnsi="Times New Roman"/>
              </w:rPr>
            </w:pPr>
          </w:p>
        </w:tc>
        <w:tc>
          <w:tcPr>
            <w:tcW w:w="584" w:type="pct"/>
            <w:tcBorders>
              <w:top w:val="nil"/>
              <w:left w:val="nil"/>
              <w:bottom w:val="nil"/>
              <w:right w:val="nil"/>
            </w:tcBorders>
            <w:shd w:val="clear" w:color="auto" w:fill="auto"/>
            <w:noWrap/>
            <w:vAlign w:val="bottom"/>
            <w:hideMark/>
          </w:tcPr>
          <w:p w14:paraId="24E355F9" w14:textId="77777777" w:rsidR="001D4879" w:rsidRPr="007B771F" w:rsidRDefault="001D4879" w:rsidP="001D4879">
            <w:pPr>
              <w:spacing w:after="0" w:line="240" w:lineRule="auto"/>
              <w:jc w:val="right"/>
              <w:rPr>
                <w:rFonts w:ascii="Times New Roman" w:hAnsi="Times New Roman"/>
              </w:rPr>
            </w:pPr>
          </w:p>
        </w:tc>
      </w:tr>
      <w:tr w:rsidR="001D4879" w:rsidRPr="007B771F" w14:paraId="0DB421FE" w14:textId="77777777" w:rsidTr="004A4970">
        <w:trPr>
          <w:trHeight w:val="204"/>
        </w:trPr>
        <w:tc>
          <w:tcPr>
            <w:tcW w:w="2038" w:type="pct"/>
            <w:tcBorders>
              <w:top w:val="nil"/>
              <w:left w:val="nil"/>
              <w:bottom w:val="nil"/>
              <w:right w:val="nil"/>
            </w:tcBorders>
            <w:shd w:val="clear" w:color="auto" w:fill="auto"/>
            <w:vAlign w:val="bottom"/>
            <w:hideMark/>
          </w:tcPr>
          <w:p w14:paraId="2328B2AD" w14:textId="52710ED4" w:rsidR="001D4879" w:rsidRPr="007B771F" w:rsidRDefault="001D4879" w:rsidP="001D4879">
            <w:pPr>
              <w:spacing w:after="0" w:line="240" w:lineRule="auto"/>
              <w:ind w:left="227"/>
              <w:rPr>
                <w:rFonts w:ascii="Arial" w:hAnsi="Arial" w:cs="Arial"/>
                <w:sz w:val="16"/>
                <w:szCs w:val="16"/>
              </w:rPr>
            </w:pPr>
            <w:r w:rsidRPr="007B771F">
              <w:rPr>
                <w:rFonts w:ascii="Arial" w:hAnsi="Arial" w:cs="Arial"/>
                <w:sz w:val="16"/>
                <w:szCs w:val="16"/>
              </w:rPr>
              <w:t>By purchase - appropriation ordinary annual services</w:t>
            </w:r>
            <w:r w:rsidRPr="007B771F">
              <w:rPr>
                <w:rFonts w:ascii="Arial" w:hAnsi="Arial" w:cs="Arial"/>
                <w:sz w:val="16"/>
                <w:szCs w:val="16"/>
                <w:vertAlign w:val="superscript"/>
              </w:rPr>
              <w:t>(a)</w:t>
            </w:r>
          </w:p>
        </w:tc>
        <w:tc>
          <w:tcPr>
            <w:tcW w:w="584" w:type="pct"/>
            <w:tcBorders>
              <w:top w:val="nil"/>
              <w:left w:val="nil"/>
              <w:bottom w:val="nil"/>
              <w:right w:val="nil"/>
            </w:tcBorders>
            <w:shd w:val="clear" w:color="auto" w:fill="auto"/>
            <w:noWrap/>
            <w:vAlign w:val="bottom"/>
            <w:hideMark/>
          </w:tcPr>
          <w:p w14:paraId="6B5B533D" w14:textId="277F5219"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491</w:t>
            </w:r>
          </w:p>
        </w:tc>
        <w:tc>
          <w:tcPr>
            <w:tcW w:w="625" w:type="pct"/>
            <w:tcBorders>
              <w:top w:val="nil"/>
              <w:left w:val="nil"/>
              <w:bottom w:val="nil"/>
              <w:right w:val="nil"/>
            </w:tcBorders>
            <w:shd w:val="clear" w:color="auto" w:fill="auto"/>
            <w:noWrap/>
            <w:vAlign w:val="bottom"/>
            <w:hideMark/>
          </w:tcPr>
          <w:p w14:paraId="29953470" w14:textId="5A7D58BB"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3,109</w:t>
            </w:r>
          </w:p>
        </w:tc>
        <w:tc>
          <w:tcPr>
            <w:tcW w:w="532" w:type="pct"/>
            <w:tcBorders>
              <w:top w:val="nil"/>
              <w:left w:val="nil"/>
              <w:bottom w:val="nil"/>
              <w:right w:val="nil"/>
            </w:tcBorders>
            <w:shd w:val="clear" w:color="auto" w:fill="auto"/>
            <w:noWrap/>
            <w:vAlign w:val="bottom"/>
            <w:hideMark/>
          </w:tcPr>
          <w:p w14:paraId="5C09681B" w14:textId="15C1DAFF"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6FEBAF38" w14:textId="48FB330A"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18,300</w:t>
            </w:r>
          </w:p>
        </w:tc>
        <w:tc>
          <w:tcPr>
            <w:tcW w:w="584" w:type="pct"/>
            <w:tcBorders>
              <w:top w:val="nil"/>
              <w:left w:val="nil"/>
              <w:bottom w:val="nil"/>
              <w:right w:val="nil"/>
            </w:tcBorders>
            <w:shd w:val="clear" w:color="auto" w:fill="auto"/>
            <w:noWrap/>
            <w:vAlign w:val="bottom"/>
            <w:hideMark/>
          </w:tcPr>
          <w:p w14:paraId="3FADE843" w14:textId="67E1EEA2"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21,900</w:t>
            </w:r>
          </w:p>
        </w:tc>
      </w:tr>
      <w:tr w:rsidR="001D4879" w:rsidRPr="007B771F" w14:paraId="280621A4" w14:textId="77777777" w:rsidTr="004A4970">
        <w:trPr>
          <w:trHeight w:val="204"/>
        </w:trPr>
        <w:tc>
          <w:tcPr>
            <w:tcW w:w="2038" w:type="pct"/>
            <w:tcBorders>
              <w:top w:val="nil"/>
              <w:left w:val="nil"/>
              <w:bottom w:val="nil"/>
              <w:right w:val="nil"/>
            </w:tcBorders>
            <w:shd w:val="clear" w:color="auto" w:fill="auto"/>
            <w:vAlign w:val="bottom"/>
            <w:hideMark/>
          </w:tcPr>
          <w:p w14:paraId="5288C3F8" w14:textId="04810ECB" w:rsidR="001D4879" w:rsidRPr="007B771F" w:rsidRDefault="001D4879" w:rsidP="001D4879">
            <w:pPr>
              <w:spacing w:after="0" w:line="240" w:lineRule="auto"/>
              <w:ind w:left="227"/>
              <w:rPr>
                <w:rFonts w:ascii="Arial" w:hAnsi="Arial" w:cs="Arial"/>
                <w:sz w:val="16"/>
                <w:szCs w:val="16"/>
              </w:rPr>
            </w:pPr>
            <w:r w:rsidRPr="007B771F">
              <w:rPr>
                <w:rFonts w:ascii="Arial" w:hAnsi="Arial" w:cs="Arial"/>
                <w:sz w:val="16"/>
                <w:szCs w:val="16"/>
              </w:rPr>
              <w:t>By purchase - appropriation ordinary annual services - ROU assets</w:t>
            </w:r>
          </w:p>
        </w:tc>
        <w:tc>
          <w:tcPr>
            <w:tcW w:w="584" w:type="pct"/>
            <w:tcBorders>
              <w:top w:val="nil"/>
              <w:left w:val="nil"/>
              <w:bottom w:val="nil"/>
              <w:right w:val="nil"/>
            </w:tcBorders>
            <w:shd w:val="clear" w:color="auto" w:fill="auto"/>
            <w:noWrap/>
            <w:vAlign w:val="bottom"/>
            <w:hideMark/>
          </w:tcPr>
          <w:p w14:paraId="63D2F1DC" w14:textId="618C9B2F"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1,234</w:t>
            </w:r>
          </w:p>
        </w:tc>
        <w:tc>
          <w:tcPr>
            <w:tcW w:w="625" w:type="pct"/>
            <w:tcBorders>
              <w:top w:val="nil"/>
              <w:left w:val="nil"/>
              <w:bottom w:val="nil"/>
              <w:right w:val="nil"/>
            </w:tcBorders>
            <w:shd w:val="clear" w:color="auto" w:fill="auto"/>
            <w:noWrap/>
            <w:vAlign w:val="bottom"/>
            <w:hideMark/>
          </w:tcPr>
          <w:p w14:paraId="2E956CEC" w14:textId="6A2A4E36"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16</w:t>
            </w:r>
          </w:p>
        </w:tc>
        <w:tc>
          <w:tcPr>
            <w:tcW w:w="532" w:type="pct"/>
            <w:tcBorders>
              <w:top w:val="nil"/>
              <w:left w:val="nil"/>
              <w:bottom w:val="nil"/>
              <w:right w:val="nil"/>
            </w:tcBorders>
            <w:shd w:val="clear" w:color="auto" w:fill="auto"/>
            <w:noWrap/>
            <w:vAlign w:val="bottom"/>
            <w:hideMark/>
          </w:tcPr>
          <w:p w14:paraId="35807812" w14:textId="74075C49"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1C8B1851" w14:textId="596C4139"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w:t>
            </w:r>
          </w:p>
        </w:tc>
        <w:tc>
          <w:tcPr>
            <w:tcW w:w="584" w:type="pct"/>
            <w:tcBorders>
              <w:top w:val="nil"/>
              <w:left w:val="nil"/>
              <w:bottom w:val="nil"/>
              <w:right w:val="nil"/>
            </w:tcBorders>
            <w:shd w:val="clear" w:color="auto" w:fill="auto"/>
            <w:noWrap/>
            <w:vAlign w:val="bottom"/>
            <w:hideMark/>
          </w:tcPr>
          <w:p w14:paraId="1F30A3BC" w14:textId="290F0658"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1,250</w:t>
            </w:r>
          </w:p>
        </w:tc>
      </w:tr>
      <w:tr w:rsidR="001D4879" w:rsidRPr="007B771F" w14:paraId="20581780" w14:textId="77777777" w:rsidTr="004A4970">
        <w:trPr>
          <w:trHeight w:val="204"/>
        </w:trPr>
        <w:tc>
          <w:tcPr>
            <w:tcW w:w="2038" w:type="pct"/>
            <w:tcBorders>
              <w:top w:val="nil"/>
              <w:left w:val="nil"/>
              <w:bottom w:val="nil"/>
              <w:right w:val="nil"/>
            </w:tcBorders>
            <w:shd w:val="clear" w:color="auto" w:fill="auto"/>
            <w:vAlign w:val="bottom"/>
            <w:hideMark/>
          </w:tcPr>
          <w:p w14:paraId="0E4548DA" w14:textId="77777777" w:rsidR="001D4879" w:rsidRPr="007B771F" w:rsidRDefault="001D4879" w:rsidP="001D4879">
            <w:pPr>
              <w:spacing w:after="0" w:line="240" w:lineRule="auto"/>
              <w:ind w:left="113"/>
              <w:rPr>
                <w:rFonts w:ascii="Arial" w:hAnsi="Arial" w:cs="Arial"/>
                <w:b/>
                <w:bCs/>
                <w:sz w:val="16"/>
                <w:szCs w:val="16"/>
              </w:rPr>
            </w:pPr>
            <w:r w:rsidRPr="007B771F">
              <w:rPr>
                <w:rFonts w:ascii="Arial" w:hAnsi="Arial" w:cs="Arial"/>
                <w:b/>
                <w:bCs/>
                <w:sz w:val="16"/>
                <w:szCs w:val="16"/>
              </w:rPr>
              <w:t>Total additions</w:t>
            </w:r>
          </w:p>
        </w:tc>
        <w:tc>
          <w:tcPr>
            <w:tcW w:w="584" w:type="pct"/>
            <w:tcBorders>
              <w:top w:val="single" w:sz="4" w:space="0" w:color="auto"/>
              <w:left w:val="nil"/>
              <w:bottom w:val="nil"/>
              <w:right w:val="nil"/>
            </w:tcBorders>
            <w:shd w:val="clear" w:color="auto" w:fill="auto"/>
            <w:noWrap/>
            <w:vAlign w:val="bottom"/>
            <w:hideMark/>
          </w:tcPr>
          <w:p w14:paraId="1308967C" w14:textId="40732141" w:rsidR="001D4879" w:rsidRPr="007B771F" w:rsidRDefault="001D4879" w:rsidP="001D4879">
            <w:pPr>
              <w:spacing w:after="0" w:line="240" w:lineRule="auto"/>
              <w:jc w:val="right"/>
              <w:rPr>
                <w:rFonts w:ascii="Arial" w:hAnsi="Arial" w:cs="Arial"/>
                <w:b/>
                <w:bCs/>
                <w:sz w:val="16"/>
                <w:szCs w:val="16"/>
              </w:rPr>
            </w:pPr>
            <w:r>
              <w:rPr>
                <w:rFonts w:ascii="Arial" w:hAnsi="Arial" w:cs="Arial"/>
                <w:b/>
                <w:bCs/>
                <w:sz w:val="16"/>
                <w:szCs w:val="16"/>
              </w:rPr>
              <w:t>1,725</w:t>
            </w:r>
          </w:p>
        </w:tc>
        <w:tc>
          <w:tcPr>
            <w:tcW w:w="625" w:type="pct"/>
            <w:tcBorders>
              <w:top w:val="single" w:sz="4" w:space="0" w:color="auto"/>
              <w:left w:val="nil"/>
              <w:bottom w:val="nil"/>
              <w:right w:val="nil"/>
            </w:tcBorders>
            <w:shd w:val="clear" w:color="auto" w:fill="auto"/>
            <w:noWrap/>
            <w:vAlign w:val="bottom"/>
            <w:hideMark/>
          </w:tcPr>
          <w:p w14:paraId="4B81CADE" w14:textId="1BCF98CD" w:rsidR="001D4879" w:rsidRPr="007B771F" w:rsidRDefault="001D4879" w:rsidP="001D4879">
            <w:pPr>
              <w:spacing w:after="0" w:line="240" w:lineRule="auto"/>
              <w:jc w:val="right"/>
              <w:rPr>
                <w:rFonts w:ascii="Arial" w:hAnsi="Arial" w:cs="Arial"/>
                <w:b/>
                <w:bCs/>
                <w:sz w:val="16"/>
                <w:szCs w:val="16"/>
              </w:rPr>
            </w:pPr>
            <w:r>
              <w:rPr>
                <w:rFonts w:ascii="Arial" w:hAnsi="Arial" w:cs="Arial"/>
                <w:b/>
                <w:bCs/>
                <w:sz w:val="16"/>
                <w:szCs w:val="16"/>
              </w:rPr>
              <w:t>3,125</w:t>
            </w:r>
          </w:p>
        </w:tc>
        <w:tc>
          <w:tcPr>
            <w:tcW w:w="532" w:type="pct"/>
            <w:tcBorders>
              <w:top w:val="single" w:sz="4" w:space="0" w:color="auto"/>
              <w:left w:val="nil"/>
              <w:bottom w:val="nil"/>
              <w:right w:val="nil"/>
            </w:tcBorders>
            <w:shd w:val="clear" w:color="auto" w:fill="auto"/>
            <w:noWrap/>
            <w:vAlign w:val="bottom"/>
            <w:hideMark/>
          </w:tcPr>
          <w:p w14:paraId="4D508CDA" w14:textId="0625B051" w:rsidR="001D4879" w:rsidRPr="007B771F" w:rsidRDefault="001D4879" w:rsidP="001D4879">
            <w:pPr>
              <w:spacing w:after="0" w:line="240" w:lineRule="auto"/>
              <w:jc w:val="right"/>
              <w:rPr>
                <w:rFonts w:ascii="Arial" w:hAnsi="Arial" w:cs="Arial"/>
                <w:b/>
                <w:bCs/>
                <w:sz w:val="16"/>
                <w:szCs w:val="16"/>
              </w:rPr>
            </w:pPr>
            <w:r>
              <w:rPr>
                <w:rFonts w:ascii="Arial" w:hAnsi="Arial" w:cs="Arial"/>
                <w:b/>
                <w:bCs/>
                <w:sz w:val="16"/>
                <w:szCs w:val="16"/>
              </w:rPr>
              <w:t>-</w:t>
            </w:r>
          </w:p>
        </w:tc>
        <w:tc>
          <w:tcPr>
            <w:tcW w:w="636" w:type="pct"/>
            <w:tcBorders>
              <w:top w:val="single" w:sz="4" w:space="0" w:color="auto"/>
              <w:left w:val="nil"/>
              <w:bottom w:val="nil"/>
              <w:right w:val="nil"/>
            </w:tcBorders>
            <w:shd w:val="clear" w:color="auto" w:fill="auto"/>
            <w:noWrap/>
            <w:vAlign w:val="bottom"/>
            <w:hideMark/>
          </w:tcPr>
          <w:p w14:paraId="263857BF" w14:textId="6EE9BD9C" w:rsidR="001D4879" w:rsidRPr="007B771F" w:rsidRDefault="001D4879" w:rsidP="001D4879">
            <w:pPr>
              <w:spacing w:after="0" w:line="240" w:lineRule="auto"/>
              <w:jc w:val="right"/>
              <w:rPr>
                <w:rFonts w:ascii="Arial" w:hAnsi="Arial" w:cs="Arial"/>
                <w:b/>
                <w:bCs/>
                <w:sz w:val="16"/>
                <w:szCs w:val="16"/>
              </w:rPr>
            </w:pPr>
            <w:r>
              <w:rPr>
                <w:rFonts w:ascii="Arial" w:hAnsi="Arial" w:cs="Arial"/>
                <w:b/>
                <w:bCs/>
                <w:sz w:val="16"/>
                <w:szCs w:val="16"/>
              </w:rPr>
              <w:t>18,300</w:t>
            </w:r>
          </w:p>
        </w:tc>
        <w:tc>
          <w:tcPr>
            <w:tcW w:w="584" w:type="pct"/>
            <w:tcBorders>
              <w:top w:val="single" w:sz="4" w:space="0" w:color="auto"/>
              <w:left w:val="nil"/>
              <w:bottom w:val="nil"/>
              <w:right w:val="nil"/>
            </w:tcBorders>
            <w:shd w:val="clear" w:color="auto" w:fill="auto"/>
            <w:noWrap/>
            <w:vAlign w:val="bottom"/>
            <w:hideMark/>
          </w:tcPr>
          <w:p w14:paraId="5A8AF7FA" w14:textId="181BEDA1" w:rsidR="001D4879" w:rsidRPr="007B771F" w:rsidRDefault="001D4879" w:rsidP="001D4879">
            <w:pPr>
              <w:spacing w:after="0" w:line="240" w:lineRule="auto"/>
              <w:jc w:val="right"/>
              <w:rPr>
                <w:rFonts w:ascii="Arial" w:hAnsi="Arial" w:cs="Arial"/>
                <w:b/>
                <w:bCs/>
                <w:sz w:val="16"/>
                <w:szCs w:val="16"/>
              </w:rPr>
            </w:pPr>
            <w:r>
              <w:rPr>
                <w:rFonts w:ascii="Arial" w:hAnsi="Arial" w:cs="Arial"/>
                <w:b/>
                <w:bCs/>
                <w:sz w:val="16"/>
                <w:szCs w:val="16"/>
              </w:rPr>
              <w:t>23,150</w:t>
            </w:r>
          </w:p>
        </w:tc>
      </w:tr>
      <w:tr w:rsidR="001D4879" w:rsidRPr="007B771F" w14:paraId="6C8FDA7C" w14:textId="77777777" w:rsidTr="004A4970">
        <w:trPr>
          <w:trHeight w:val="204"/>
        </w:trPr>
        <w:tc>
          <w:tcPr>
            <w:tcW w:w="2038" w:type="pct"/>
            <w:tcBorders>
              <w:top w:val="nil"/>
              <w:left w:val="nil"/>
              <w:bottom w:val="nil"/>
              <w:right w:val="nil"/>
            </w:tcBorders>
            <w:shd w:val="clear" w:color="auto" w:fill="auto"/>
            <w:vAlign w:val="bottom"/>
            <w:hideMark/>
          </w:tcPr>
          <w:p w14:paraId="6E8A4FA1" w14:textId="77777777" w:rsidR="001D4879" w:rsidRPr="007B771F" w:rsidRDefault="001D4879" w:rsidP="001D4879">
            <w:pPr>
              <w:spacing w:after="0" w:line="240" w:lineRule="auto"/>
              <w:ind w:left="113"/>
              <w:rPr>
                <w:rFonts w:ascii="Arial" w:hAnsi="Arial" w:cs="Arial"/>
                <w:b/>
                <w:bCs/>
                <w:sz w:val="16"/>
                <w:szCs w:val="16"/>
              </w:rPr>
            </w:pPr>
            <w:r w:rsidRPr="007B771F">
              <w:rPr>
                <w:rFonts w:ascii="Arial" w:hAnsi="Arial" w:cs="Arial"/>
                <w:b/>
                <w:bCs/>
                <w:sz w:val="16"/>
                <w:szCs w:val="16"/>
              </w:rPr>
              <w:t>Other movements</w:t>
            </w:r>
          </w:p>
        </w:tc>
        <w:tc>
          <w:tcPr>
            <w:tcW w:w="584" w:type="pct"/>
            <w:tcBorders>
              <w:top w:val="single" w:sz="4" w:space="0" w:color="auto"/>
              <w:left w:val="nil"/>
              <w:bottom w:val="nil"/>
              <w:right w:val="nil"/>
            </w:tcBorders>
            <w:shd w:val="clear" w:color="auto" w:fill="auto"/>
            <w:noWrap/>
            <w:vAlign w:val="bottom"/>
            <w:hideMark/>
          </w:tcPr>
          <w:p w14:paraId="4B1DD44A" w14:textId="0277F8F5" w:rsidR="001D4879" w:rsidRPr="007B771F" w:rsidRDefault="001D4879" w:rsidP="001D4879">
            <w:pPr>
              <w:spacing w:after="0" w:line="240" w:lineRule="auto"/>
              <w:jc w:val="right"/>
              <w:rPr>
                <w:rFonts w:ascii="Arial" w:hAnsi="Arial" w:cs="Arial"/>
                <w:b/>
                <w:bCs/>
                <w:sz w:val="16"/>
                <w:szCs w:val="16"/>
              </w:rPr>
            </w:pPr>
          </w:p>
        </w:tc>
        <w:tc>
          <w:tcPr>
            <w:tcW w:w="625" w:type="pct"/>
            <w:tcBorders>
              <w:top w:val="single" w:sz="4" w:space="0" w:color="auto"/>
              <w:left w:val="nil"/>
              <w:bottom w:val="nil"/>
              <w:right w:val="nil"/>
            </w:tcBorders>
            <w:shd w:val="clear" w:color="auto" w:fill="auto"/>
            <w:noWrap/>
            <w:vAlign w:val="bottom"/>
            <w:hideMark/>
          </w:tcPr>
          <w:p w14:paraId="5265FE03" w14:textId="4F967CB6" w:rsidR="001D4879" w:rsidRPr="007B771F" w:rsidRDefault="001D4879" w:rsidP="001D4879">
            <w:pPr>
              <w:spacing w:after="0" w:line="240" w:lineRule="auto"/>
              <w:jc w:val="right"/>
              <w:rPr>
                <w:rFonts w:ascii="Arial" w:hAnsi="Arial" w:cs="Arial"/>
                <w:b/>
                <w:bCs/>
                <w:sz w:val="16"/>
                <w:szCs w:val="16"/>
              </w:rPr>
            </w:pPr>
          </w:p>
        </w:tc>
        <w:tc>
          <w:tcPr>
            <w:tcW w:w="532" w:type="pct"/>
            <w:tcBorders>
              <w:top w:val="single" w:sz="4" w:space="0" w:color="auto"/>
              <w:left w:val="nil"/>
              <w:bottom w:val="nil"/>
              <w:right w:val="nil"/>
            </w:tcBorders>
            <w:shd w:val="clear" w:color="auto" w:fill="auto"/>
            <w:noWrap/>
            <w:vAlign w:val="bottom"/>
            <w:hideMark/>
          </w:tcPr>
          <w:p w14:paraId="2DCE9ED8" w14:textId="5B3B2451" w:rsidR="001D4879" w:rsidRPr="007B771F" w:rsidRDefault="001D4879" w:rsidP="001D4879">
            <w:pPr>
              <w:spacing w:after="0" w:line="240" w:lineRule="auto"/>
              <w:jc w:val="right"/>
              <w:rPr>
                <w:rFonts w:ascii="Arial" w:hAnsi="Arial" w:cs="Arial"/>
                <w:b/>
                <w:bCs/>
                <w:sz w:val="16"/>
                <w:szCs w:val="16"/>
              </w:rPr>
            </w:pPr>
          </w:p>
        </w:tc>
        <w:tc>
          <w:tcPr>
            <w:tcW w:w="636" w:type="pct"/>
            <w:tcBorders>
              <w:top w:val="single" w:sz="4" w:space="0" w:color="auto"/>
              <w:left w:val="nil"/>
              <w:bottom w:val="nil"/>
              <w:right w:val="nil"/>
            </w:tcBorders>
            <w:shd w:val="clear" w:color="auto" w:fill="auto"/>
            <w:noWrap/>
            <w:vAlign w:val="bottom"/>
            <w:hideMark/>
          </w:tcPr>
          <w:p w14:paraId="6AB09191" w14:textId="06ED0BE0" w:rsidR="001D4879" w:rsidRPr="007B771F" w:rsidRDefault="001D4879" w:rsidP="001D4879">
            <w:pPr>
              <w:spacing w:after="0" w:line="240" w:lineRule="auto"/>
              <w:jc w:val="right"/>
              <w:rPr>
                <w:rFonts w:ascii="Arial" w:hAnsi="Arial" w:cs="Arial"/>
                <w:b/>
                <w:bCs/>
                <w:sz w:val="16"/>
                <w:szCs w:val="16"/>
              </w:rPr>
            </w:pPr>
          </w:p>
        </w:tc>
        <w:tc>
          <w:tcPr>
            <w:tcW w:w="584" w:type="pct"/>
            <w:tcBorders>
              <w:top w:val="single" w:sz="4" w:space="0" w:color="auto"/>
              <w:left w:val="nil"/>
              <w:bottom w:val="nil"/>
              <w:right w:val="nil"/>
            </w:tcBorders>
            <w:shd w:val="clear" w:color="auto" w:fill="auto"/>
            <w:noWrap/>
            <w:vAlign w:val="bottom"/>
            <w:hideMark/>
          </w:tcPr>
          <w:p w14:paraId="12CD645C" w14:textId="4EED38B0" w:rsidR="001D4879" w:rsidRPr="007B771F" w:rsidRDefault="001D4879" w:rsidP="001D4879">
            <w:pPr>
              <w:spacing w:after="0" w:line="240" w:lineRule="auto"/>
              <w:jc w:val="right"/>
              <w:rPr>
                <w:rFonts w:ascii="Arial" w:hAnsi="Arial" w:cs="Arial"/>
                <w:b/>
                <w:bCs/>
                <w:sz w:val="16"/>
                <w:szCs w:val="16"/>
              </w:rPr>
            </w:pPr>
          </w:p>
        </w:tc>
      </w:tr>
      <w:tr w:rsidR="001D4879" w:rsidRPr="007B771F" w14:paraId="2BF4CFDA" w14:textId="77777777" w:rsidTr="004A4970">
        <w:trPr>
          <w:trHeight w:val="204"/>
        </w:trPr>
        <w:tc>
          <w:tcPr>
            <w:tcW w:w="2038" w:type="pct"/>
            <w:tcBorders>
              <w:top w:val="nil"/>
              <w:left w:val="nil"/>
              <w:bottom w:val="nil"/>
              <w:right w:val="nil"/>
            </w:tcBorders>
            <w:shd w:val="clear" w:color="auto" w:fill="auto"/>
            <w:vAlign w:val="bottom"/>
            <w:hideMark/>
          </w:tcPr>
          <w:p w14:paraId="437BEEF9" w14:textId="77777777" w:rsidR="001D4879" w:rsidRPr="007B771F" w:rsidRDefault="001D4879" w:rsidP="001D4879">
            <w:pPr>
              <w:spacing w:after="0" w:line="240" w:lineRule="auto"/>
              <w:ind w:left="227"/>
              <w:rPr>
                <w:rFonts w:ascii="Arial" w:hAnsi="Arial" w:cs="Arial"/>
                <w:sz w:val="16"/>
                <w:szCs w:val="16"/>
              </w:rPr>
            </w:pPr>
            <w:r w:rsidRPr="007B771F">
              <w:rPr>
                <w:rFonts w:ascii="Arial" w:hAnsi="Arial" w:cs="Arial"/>
                <w:sz w:val="16"/>
                <w:szCs w:val="16"/>
              </w:rPr>
              <w:t>Depreciation/amortisation expense</w:t>
            </w:r>
          </w:p>
        </w:tc>
        <w:tc>
          <w:tcPr>
            <w:tcW w:w="584" w:type="pct"/>
            <w:tcBorders>
              <w:top w:val="nil"/>
              <w:left w:val="nil"/>
              <w:bottom w:val="nil"/>
              <w:right w:val="nil"/>
            </w:tcBorders>
            <w:shd w:val="clear" w:color="auto" w:fill="auto"/>
            <w:noWrap/>
            <w:vAlign w:val="bottom"/>
            <w:hideMark/>
          </w:tcPr>
          <w:p w14:paraId="048B949C" w14:textId="48691CBB"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(3,690)</w:t>
            </w:r>
          </w:p>
        </w:tc>
        <w:tc>
          <w:tcPr>
            <w:tcW w:w="625" w:type="pct"/>
            <w:tcBorders>
              <w:top w:val="nil"/>
              <w:left w:val="nil"/>
              <w:bottom w:val="nil"/>
              <w:right w:val="nil"/>
            </w:tcBorders>
            <w:shd w:val="clear" w:color="auto" w:fill="auto"/>
            <w:noWrap/>
            <w:vAlign w:val="bottom"/>
            <w:hideMark/>
          </w:tcPr>
          <w:p w14:paraId="79D0E974" w14:textId="63B20CB1"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(4,354)</w:t>
            </w:r>
          </w:p>
        </w:tc>
        <w:tc>
          <w:tcPr>
            <w:tcW w:w="532" w:type="pct"/>
            <w:tcBorders>
              <w:top w:val="nil"/>
              <w:left w:val="nil"/>
              <w:bottom w:val="nil"/>
              <w:right w:val="nil"/>
            </w:tcBorders>
            <w:shd w:val="clear" w:color="auto" w:fill="auto"/>
            <w:noWrap/>
            <w:vAlign w:val="bottom"/>
            <w:hideMark/>
          </w:tcPr>
          <w:p w14:paraId="5E98FD9A" w14:textId="02BCAF69"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(142)</w:t>
            </w:r>
          </w:p>
        </w:tc>
        <w:tc>
          <w:tcPr>
            <w:tcW w:w="636" w:type="pct"/>
            <w:tcBorders>
              <w:top w:val="nil"/>
              <w:left w:val="nil"/>
              <w:bottom w:val="nil"/>
              <w:right w:val="nil"/>
            </w:tcBorders>
            <w:shd w:val="clear" w:color="auto" w:fill="auto"/>
            <w:noWrap/>
            <w:vAlign w:val="bottom"/>
            <w:hideMark/>
          </w:tcPr>
          <w:p w14:paraId="2E45DD87" w14:textId="334268CE"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(8,492)</w:t>
            </w:r>
          </w:p>
        </w:tc>
        <w:tc>
          <w:tcPr>
            <w:tcW w:w="584" w:type="pct"/>
            <w:tcBorders>
              <w:top w:val="nil"/>
              <w:left w:val="nil"/>
              <w:bottom w:val="nil"/>
              <w:right w:val="nil"/>
            </w:tcBorders>
            <w:shd w:val="clear" w:color="auto" w:fill="auto"/>
            <w:noWrap/>
            <w:vAlign w:val="bottom"/>
            <w:hideMark/>
          </w:tcPr>
          <w:p w14:paraId="4950630D" w14:textId="540DCC7C"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(16,678)</w:t>
            </w:r>
          </w:p>
        </w:tc>
      </w:tr>
      <w:tr w:rsidR="001D4879" w:rsidRPr="007B771F" w14:paraId="59B1B95E" w14:textId="77777777" w:rsidTr="004A4970">
        <w:trPr>
          <w:trHeight w:val="204"/>
        </w:trPr>
        <w:tc>
          <w:tcPr>
            <w:tcW w:w="2038" w:type="pct"/>
            <w:tcBorders>
              <w:top w:val="nil"/>
              <w:left w:val="nil"/>
              <w:bottom w:val="nil"/>
              <w:right w:val="nil"/>
            </w:tcBorders>
            <w:shd w:val="clear" w:color="auto" w:fill="auto"/>
            <w:vAlign w:val="bottom"/>
            <w:hideMark/>
          </w:tcPr>
          <w:p w14:paraId="69D6A7C6" w14:textId="5E8D6BE7" w:rsidR="001D4879" w:rsidRPr="007B771F" w:rsidRDefault="001D4879" w:rsidP="001D4879">
            <w:pPr>
              <w:spacing w:after="0" w:line="240" w:lineRule="auto"/>
              <w:ind w:left="227"/>
              <w:rPr>
                <w:rFonts w:ascii="Arial" w:hAnsi="Arial" w:cs="Arial"/>
                <w:sz w:val="16"/>
                <w:szCs w:val="16"/>
              </w:rPr>
            </w:pPr>
            <w:r w:rsidRPr="007B771F">
              <w:rPr>
                <w:rFonts w:ascii="Arial" w:hAnsi="Arial" w:cs="Arial"/>
                <w:sz w:val="16"/>
                <w:szCs w:val="16"/>
              </w:rPr>
              <w:t>Depreciation/amortisation on ROU assets</w:t>
            </w:r>
          </w:p>
        </w:tc>
        <w:tc>
          <w:tcPr>
            <w:tcW w:w="584" w:type="pct"/>
            <w:tcBorders>
              <w:top w:val="nil"/>
              <w:left w:val="nil"/>
              <w:bottom w:val="nil"/>
              <w:right w:val="nil"/>
            </w:tcBorders>
            <w:shd w:val="clear" w:color="auto" w:fill="auto"/>
            <w:noWrap/>
            <w:vAlign w:val="bottom"/>
            <w:hideMark/>
          </w:tcPr>
          <w:p w14:paraId="6AEF3F01" w14:textId="05C31116"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(20,217)</w:t>
            </w:r>
          </w:p>
        </w:tc>
        <w:tc>
          <w:tcPr>
            <w:tcW w:w="625" w:type="pct"/>
            <w:tcBorders>
              <w:top w:val="nil"/>
              <w:left w:val="nil"/>
              <w:bottom w:val="nil"/>
              <w:right w:val="nil"/>
            </w:tcBorders>
            <w:shd w:val="clear" w:color="auto" w:fill="auto"/>
            <w:noWrap/>
            <w:vAlign w:val="bottom"/>
            <w:hideMark/>
          </w:tcPr>
          <w:p w14:paraId="7750EEAA" w14:textId="05E2E746"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(15)</w:t>
            </w:r>
          </w:p>
        </w:tc>
        <w:tc>
          <w:tcPr>
            <w:tcW w:w="532" w:type="pct"/>
            <w:tcBorders>
              <w:top w:val="nil"/>
              <w:left w:val="nil"/>
              <w:bottom w:val="nil"/>
              <w:right w:val="nil"/>
            </w:tcBorders>
            <w:shd w:val="clear" w:color="auto" w:fill="auto"/>
            <w:noWrap/>
            <w:vAlign w:val="bottom"/>
            <w:hideMark/>
          </w:tcPr>
          <w:p w14:paraId="76E0DFC6" w14:textId="7DA48722"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2BF59E0D" w14:textId="2BE12355"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w:t>
            </w:r>
          </w:p>
        </w:tc>
        <w:tc>
          <w:tcPr>
            <w:tcW w:w="584" w:type="pct"/>
            <w:tcBorders>
              <w:top w:val="nil"/>
              <w:left w:val="nil"/>
              <w:bottom w:val="nil"/>
              <w:right w:val="nil"/>
            </w:tcBorders>
            <w:shd w:val="clear" w:color="auto" w:fill="auto"/>
            <w:noWrap/>
            <w:vAlign w:val="bottom"/>
            <w:hideMark/>
          </w:tcPr>
          <w:p w14:paraId="08BD1A97" w14:textId="0EE72518"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(20,232)</w:t>
            </w:r>
          </w:p>
        </w:tc>
      </w:tr>
      <w:tr w:rsidR="001D4879" w:rsidRPr="007B771F" w14:paraId="1FA1D1AF" w14:textId="77777777" w:rsidTr="004A4970">
        <w:trPr>
          <w:trHeight w:val="204"/>
        </w:trPr>
        <w:tc>
          <w:tcPr>
            <w:tcW w:w="2038" w:type="pct"/>
            <w:tcBorders>
              <w:top w:val="nil"/>
              <w:left w:val="nil"/>
              <w:bottom w:val="nil"/>
              <w:right w:val="nil"/>
            </w:tcBorders>
            <w:shd w:val="clear" w:color="auto" w:fill="auto"/>
            <w:vAlign w:val="bottom"/>
            <w:hideMark/>
          </w:tcPr>
          <w:p w14:paraId="122132ED" w14:textId="77777777" w:rsidR="001D4879" w:rsidRPr="007B771F" w:rsidRDefault="001D4879" w:rsidP="001D4879">
            <w:pPr>
              <w:spacing w:after="0" w:line="240" w:lineRule="auto"/>
              <w:ind w:left="113"/>
              <w:rPr>
                <w:rFonts w:ascii="Arial" w:hAnsi="Arial" w:cs="Arial"/>
                <w:b/>
                <w:bCs/>
                <w:sz w:val="16"/>
                <w:szCs w:val="16"/>
              </w:rPr>
            </w:pPr>
            <w:r w:rsidRPr="007B771F">
              <w:rPr>
                <w:rFonts w:ascii="Arial" w:hAnsi="Arial" w:cs="Arial"/>
                <w:b/>
                <w:bCs/>
                <w:sz w:val="16"/>
                <w:szCs w:val="16"/>
              </w:rPr>
              <w:t>Total other movements</w:t>
            </w:r>
          </w:p>
        </w:tc>
        <w:tc>
          <w:tcPr>
            <w:tcW w:w="584" w:type="pct"/>
            <w:tcBorders>
              <w:top w:val="single" w:sz="4" w:space="0" w:color="auto"/>
              <w:left w:val="nil"/>
              <w:bottom w:val="single" w:sz="4" w:space="0" w:color="auto"/>
              <w:right w:val="nil"/>
            </w:tcBorders>
            <w:shd w:val="clear" w:color="auto" w:fill="auto"/>
            <w:noWrap/>
            <w:vAlign w:val="bottom"/>
            <w:hideMark/>
          </w:tcPr>
          <w:p w14:paraId="1EAB7788" w14:textId="4FB8FCF9" w:rsidR="001D4879" w:rsidRPr="007B771F" w:rsidRDefault="001D4879" w:rsidP="001D4879">
            <w:pPr>
              <w:spacing w:after="0" w:line="240" w:lineRule="auto"/>
              <w:jc w:val="right"/>
              <w:rPr>
                <w:rFonts w:ascii="Arial" w:hAnsi="Arial" w:cs="Arial"/>
                <w:b/>
                <w:bCs/>
                <w:sz w:val="16"/>
                <w:szCs w:val="16"/>
              </w:rPr>
            </w:pPr>
            <w:r>
              <w:rPr>
                <w:rFonts w:ascii="Arial" w:hAnsi="Arial" w:cs="Arial"/>
                <w:b/>
                <w:bCs/>
                <w:sz w:val="16"/>
                <w:szCs w:val="16"/>
              </w:rPr>
              <w:t>(23,907)</w:t>
            </w:r>
          </w:p>
        </w:tc>
        <w:tc>
          <w:tcPr>
            <w:tcW w:w="625" w:type="pct"/>
            <w:tcBorders>
              <w:top w:val="single" w:sz="4" w:space="0" w:color="auto"/>
              <w:left w:val="nil"/>
              <w:bottom w:val="single" w:sz="4" w:space="0" w:color="auto"/>
              <w:right w:val="nil"/>
            </w:tcBorders>
            <w:shd w:val="clear" w:color="auto" w:fill="auto"/>
            <w:noWrap/>
            <w:vAlign w:val="bottom"/>
            <w:hideMark/>
          </w:tcPr>
          <w:p w14:paraId="3315502F" w14:textId="1F49F717" w:rsidR="001D4879" w:rsidRPr="007B771F" w:rsidRDefault="001D4879" w:rsidP="001D4879">
            <w:pPr>
              <w:spacing w:after="0" w:line="240" w:lineRule="auto"/>
              <w:jc w:val="right"/>
              <w:rPr>
                <w:rFonts w:ascii="Arial" w:hAnsi="Arial" w:cs="Arial"/>
                <w:b/>
                <w:bCs/>
                <w:sz w:val="16"/>
                <w:szCs w:val="16"/>
              </w:rPr>
            </w:pPr>
            <w:r>
              <w:rPr>
                <w:rFonts w:ascii="Arial" w:hAnsi="Arial" w:cs="Arial"/>
                <w:b/>
                <w:bCs/>
                <w:sz w:val="16"/>
                <w:szCs w:val="16"/>
              </w:rPr>
              <w:t>(4,369)</w:t>
            </w:r>
          </w:p>
        </w:tc>
        <w:tc>
          <w:tcPr>
            <w:tcW w:w="532" w:type="pct"/>
            <w:tcBorders>
              <w:top w:val="single" w:sz="4" w:space="0" w:color="auto"/>
              <w:left w:val="nil"/>
              <w:bottom w:val="single" w:sz="4" w:space="0" w:color="auto"/>
              <w:right w:val="nil"/>
            </w:tcBorders>
            <w:shd w:val="clear" w:color="auto" w:fill="auto"/>
            <w:noWrap/>
            <w:vAlign w:val="bottom"/>
            <w:hideMark/>
          </w:tcPr>
          <w:p w14:paraId="53B1E241" w14:textId="4E3D7749" w:rsidR="001D4879" w:rsidRPr="007B771F" w:rsidRDefault="001D4879" w:rsidP="001D4879">
            <w:pPr>
              <w:spacing w:after="0" w:line="240" w:lineRule="auto"/>
              <w:jc w:val="right"/>
              <w:rPr>
                <w:rFonts w:ascii="Arial" w:hAnsi="Arial" w:cs="Arial"/>
                <w:b/>
                <w:bCs/>
                <w:sz w:val="16"/>
                <w:szCs w:val="16"/>
              </w:rPr>
            </w:pPr>
            <w:r>
              <w:rPr>
                <w:rFonts w:ascii="Arial" w:hAnsi="Arial" w:cs="Arial"/>
                <w:b/>
                <w:bCs/>
                <w:sz w:val="16"/>
                <w:szCs w:val="16"/>
              </w:rPr>
              <w:t>(142)</w:t>
            </w:r>
          </w:p>
        </w:tc>
        <w:tc>
          <w:tcPr>
            <w:tcW w:w="636" w:type="pct"/>
            <w:tcBorders>
              <w:top w:val="single" w:sz="4" w:space="0" w:color="auto"/>
              <w:left w:val="nil"/>
              <w:bottom w:val="single" w:sz="4" w:space="0" w:color="auto"/>
              <w:right w:val="nil"/>
            </w:tcBorders>
            <w:shd w:val="clear" w:color="auto" w:fill="auto"/>
            <w:noWrap/>
            <w:vAlign w:val="bottom"/>
            <w:hideMark/>
          </w:tcPr>
          <w:p w14:paraId="6A41C6E1" w14:textId="167042B6" w:rsidR="001D4879" w:rsidRPr="007B771F" w:rsidRDefault="001D4879" w:rsidP="001D4879">
            <w:pPr>
              <w:spacing w:after="0" w:line="240" w:lineRule="auto"/>
              <w:jc w:val="right"/>
              <w:rPr>
                <w:rFonts w:ascii="Arial" w:hAnsi="Arial" w:cs="Arial"/>
                <w:b/>
                <w:bCs/>
                <w:sz w:val="16"/>
                <w:szCs w:val="16"/>
              </w:rPr>
            </w:pPr>
            <w:r>
              <w:rPr>
                <w:rFonts w:ascii="Arial" w:hAnsi="Arial" w:cs="Arial"/>
                <w:b/>
                <w:bCs/>
                <w:sz w:val="16"/>
                <w:szCs w:val="16"/>
              </w:rPr>
              <w:t>(8,492)</w:t>
            </w:r>
          </w:p>
        </w:tc>
        <w:tc>
          <w:tcPr>
            <w:tcW w:w="584" w:type="pct"/>
            <w:tcBorders>
              <w:top w:val="single" w:sz="4" w:space="0" w:color="auto"/>
              <w:left w:val="nil"/>
              <w:bottom w:val="single" w:sz="4" w:space="0" w:color="auto"/>
              <w:right w:val="nil"/>
            </w:tcBorders>
            <w:shd w:val="clear" w:color="auto" w:fill="auto"/>
            <w:noWrap/>
            <w:vAlign w:val="bottom"/>
            <w:hideMark/>
          </w:tcPr>
          <w:p w14:paraId="78779BD2" w14:textId="28037749" w:rsidR="001D4879" w:rsidRPr="007B771F" w:rsidRDefault="001D4879" w:rsidP="001D4879">
            <w:pPr>
              <w:spacing w:after="0" w:line="240" w:lineRule="auto"/>
              <w:jc w:val="right"/>
              <w:rPr>
                <w:rFonts w:ascii="Arial" w:hAnsi="Arial" w:cs="Arial"/>
                <w:b/>
                <w:bCs/>
                <w:sz w:val="16"/>
                <w:szCs w:val="16"/>
              </w:rPr>
            </w:pPr>
            <w:r>
              <w:rPr>
                <w:rFonts w:ascii="Arial" w:hAnsi="Arial" w:cs="Arial"/>
                <w:b/>
                <w:bCs/>
                <w:sz w:val="16"/>
                <w:szCs w:val="16"/>
              </w:rPr>
              <w:t>(36,910)</w:t>
            </w:r>
          </w:p>
        </w:tc>
      </w:tr>
      <w:tr w:rsidR="001D4879" w:rsidRPr="007B771F" w14:paraId="2A7A5AA5" w14:textId="77777777" w:rsidTr="004A4970">
        <w:trPr>
          <w:trHeight w:val="204"/>
        </w:trPr>
        <w:tc>
          <w:tcPr>
            <w:tcW w:w="2038" w:type="pct"/>
            <w:tcBorders>
              <w:top w:val="nil"/>
              <w:left w:val="nil"/>
              <w:bottom w:val="nil"/>
              <w:right w:val="nil"/>
            </w:tcBorders>
            <w:shd w:val="clear" w:color="auto" w:fill="auto"/>
            <w:vAlign w:val="bottom"/>
            <w:hideMark/>
          </w:tcPr>
          <w:p w14:paraId="1DF5ECEF" w14:textId="77777777" w:rsidR="001D4879" w:rsidRPr="007B771F" w:rsidRDefault="001D4879" w:rsidP="001D4879">
            <w:pPr>
              <w:spacing w:after="0" w:line="240" w:lineRule="auto"/>
              <w:rPr>
                <w:rFonts w:ascii="Arial" w:hAnsi="Arial" w:cs="Arial"/>
                <w:b/>
                <w:bCs/>
                <w:sz w:val="16"/>
                <w:szCs w:val="16"/>
              </w:rPr>
            </w:pPr>
            <w:r w:rsidRPr="007B771F">
              <w:rPr>
                <w:rFonts w:ascii="Arial" w:hAnsi="Arial" w:cs="Arial"/>
                <w:b/>
                <w:bCs/>
                <w:sz w:val="16"/>
                <w:szCs w:val="16"/>
              </w:rPr>
              <w:t>As at 30 June 2024</w:t>
            </w:r>
          </w:p>
        </w:tc>
        <w:tc>
          <w:tcPr>
            <w:tcW w:w="584" w:type="pct"/>
            <w:tcBorders>
              <w:top w:val="nil"/>
              <w:left w:val="nil"/>
              <w:bottom w:val="nil"/>
              <w:right w:val="nil"/>
            </w:tcBorders>
            <w:shd w:val="clear" w:color="auto" w:fill="auto"/>
            <w:noWrap/>
            <w:vAlign w:val="bottom"/>
            <w:hideMark/>
          </w:tcPr>
          <w:p w14:paraId="7E8F55CD" w14:textId="77777777" w:rsidR="001D4879" w:rsidRPr="007B771F" w:rsidRDefault="001D4879" w:rsidP="001D4879">
            <w:pPr>
              <w:spacing w:after="0" w:line="240" w:lineRule="auto"/>
              <w:jc w:val="right"/>
              <w:rPr>
                <w:rFonts w:ascii="Arial" w:hAnsi="Arial" w:cs="Arial"/>
                <w:b/>
                <w:bCs/>
                <w:sz w:val="16"/>
                <w:szCs w:val="16"/>
              </w:rPr>
            </w:pPr>
          </w:p>
        </w:tc>
        <w:tc>
          <w:tcPr>
            <w:tcW w:w="625" w:type="pct"/>
            <w:tcBorders>
              <w:top w:val="nil"/>
              <w:left w:val="nil"/>
              <w:bottom w:val="nil"/>
              <w:right w:val="nil"/>
            </w:tcBorders>
            <w:shd w:val="clear" w:color="auto" w:fill="auto"/>
            <w:noWrap/>
            <w:vAlign w:val="bottom"/>
            <w:hideMark/>
          </w:tcPr>
          <w:p w14:paraId="5BDB9687" w14:textId="77777777" w:rsidR="001D4879" w:rsidRPr="007B771F" w:rsidRDefault="001D4879" w:rsidP="001D4879">
            <w:pPr>
              <w:spacing w:after="0" w:line="240" w:lineRule="auto"/>
              <w:jc w:val="right"/>
              <w:rPr>
                <w:rFonts w:ascii="Times New Roman" w:hAnsi="Times New Roman"/>
              </w:rPr>
            </w:pPr>
          </w:p>
        </w:tc>
        <w:tc>
          <w:tcPr>
            <w:tcW w:w="532" w:type="pct"/>
            <w:tcBorders>
              <w:top w:val="nil"/>
              <w:left w:val="nil"/>
              <w:bottom w:val="nil"/>
              <w:right w:val="nil"/>
            </w:tcBorders>
            <w:shd w:val="clear" w:color="auto" w:fill="auto"/>
            <w:noWrap/>
            <w:vAlign w:val="bottom"/>
            <w:hideMark/>
          </w:tcPr>
          <w:p w14:paraId="122A9907" w14:textId="77777777" w:rsidR="001D4879" w:rsidRPr="007B771F" w:rsidRDefault="001D4879" w:rsidP="001D4879">
            <w:pPr>
              <w:spacing w:after="0" w:line="240" w:lineRule="auto"/>
              <w:jc w:val="right"/>
              <w:rPr>
                <w:rFonts w:ascii="Times New Roman" w:hAnsi="Times New Roman"/>
              </w:rPr>
            </w:pPr>
          </w:p>
        </w:tc>
        <w:tc>
          <w:tcPr>
            <w:tcW w:w="636" w:type="pct"/>
            <w:tcBorders>
              <w:top w:val="nil"/>
              <w:left w:val="nil"/>
              <w:bottom w:val="nil"/>
              <w:right w:val="nil"/>
            </w:tcBorders>
            <w:shd w:val="clear" w:color="auto" w:fill="auto"/>
            <w:noWrap/>
            <w:vAlign w:val="bottom"/>
            <w:hideMark/>
          </w:tcPr>
          <w:p w14:paraId="073D6F2C" w14:textId="77777777" w:rsidR="001D4879" w:rsidRPr="007B771F" w:rsidRDefault="001D4879" w:rsidP="001D4879">
            <w:pPr>
              <w:spacing w:after="0" w:line="240" w:lineRule="auto"/>
              <w:jc w:val="right"/>
              <w:rPr>
                <w:rFonts w:ascii="Times New Roman" w:hAnsi="Times New Roman"/>
              </w:rPr>
            </w:pPr>
          </w:p>
        </w:tc>
        <w:tc>
          <w:tcPr>
            <w:tcW w:w="584" w:type="pct"/>
            <w:tcBorders>
              <w:top w:val="nil"/>
              <w:left w:val="nil"/>
              <w:bottom w:val="nil"/>
              <w:right w:val="nil"/>
            </w:tcBorders>
            <w:shd w:val="clear" w:color="auto" w:fill="auto"/>
            <w:noWrap/>
            <w:vAlign w:val="bottom"/>
            <w:hideMark/>
          </w:tcPr>
          <w:p w14:paraId="5ADEA55A" w14:textId="77777777" w:rsidR="001D4879" w:rsidRPr="007B771F" w:rsidRDefault="001D4879" w:rsidP="001D4879">
            <w:pPr>
              <w:spacing w:after="0" w:line="240" w:lineRule="auto"/>
              <w:jc w:val="right"/>
              <w:rPr>
                <w:rFonts w:ascii="Times New Roman" w:hAnsi="Times New Roman"/>
              </w:rPr>
            </w:pPr>
          </w:p>
        </w:tc>
      </w:tr>
      <w:tr w:rsidR="001D4879" w:rsidRPr="007B771F" w14:paraId="0C28920B" w14:textId="77777777" w:rsidTr="004A4970">
        <w:trPr>
          <w:trHeight w:val="204"/>
        </w:trPr>
        <w:tc>
          <w:tcPr>
            <w:tcW w:w="2038" w:type="pct"/>
            <w:tcBorders>
              <w:top w:val="nil"/>
              <w:left w:val="nil"/>
              <w:bottom w:val="nil"/>
              <w:right w:val="nil"/>
            </w:tcBorders>
            <w:shd w:val="clear" w:color="auto" w:fill="auto"/>
            <w:vAlign w:val="bottom"/>
            <w:hideMark/>
          </w:tcPr>
          <w:p w14:paraId="32F42377" w14:textId="77777777" w:rsidR="001D4879" w:rsidRPr="007B771F" w:rsidRDefault="001D4879" w:rsidP="001D4879">
            <w:pPr>
              <w:spacing w:after="0" w:line="240" w:lineRule="auto"/>
              <w:ind w:left="113"/>
              <w:rPr>
                <w:rFonts w:ascii="Arial" w:hAnsi="Arial" w:cs="Arial"/>
                <w:sz w:val="16"/>
                <w:szCs w:val="16"/>
              </w:rPr>
            </w:pPr>
            <w:r w:rsidRPr="007B771F">
              <w:rPr>
                <w:rFonts w:ascii="Arial" w:hAnsi="Arial" w:cs="Arial"/>
                <w:sz w:val="16"/>
                <w:szCs w:val="16"/>
              </w:rPr>
              <w:t>Gross book value</w:t>
            </w:r>
          </w:p>
        </w:tc>
        <w:tc>
          <w:tcPr>
            <w:tcW w:w="584" w:type="pct"/>
            <w:tcBorders>
              <w:top w:val="nil"/>
              <w:left w:val="nil"/>
              <w:bottom w:val="nil"/>
              <w:right w:val="nil"/>
            </w:tcBorders>
            <w:shd w:val="clear" w:color="auto" w:fill="auto"/>
            <w:noWrap/>
            <w:vAlign w:val="bottom"/>
            <w:hideMark/>
          </w:tcPr>
          <w:p w14:paraId="5B01568F" w14:textId="771530A5"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35,844</w:t>
            </w:r>
          </w:p>
        </w:tc>
        <w:tc>
          <w:tcPr>
            <w:tcW w:w="625" w:type="pct"/>
            <w:tcBorders>
              <w:top w:val="nil"/>
              <w:left w:val="nil"/>
              <w:bottom w:val="nil"/>
              <w:right w:val="nil"/>
            </w:tcBorders>
            <w:shd w:val="clear" w:color="auto" w:fill="auto"/>
            <w:noWrap/>
            <w:vAlign w:val="bottom"/>
            <w:hideMark/>
          </w:tcPr>
          <w:p w14:paraId="5D628CFB" w14:textId="02F80FB3"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38,499</w:t>
            </w:r>
          </w:p>
        </w:tc>
        <w:tc>
          <w:tcPr>
            <w:tcW w:w="532" w:type="pct"/>
            <w:tcBorders>
              <w:top w:val="nil"/>
              <w:left w:val="nil"/>
              <w:bottom w:val="nil"/>
              <w:right w:val="nil"/>
            </w:tcBorders>
            <w:shd w:val="clear" w:color="auto" w:fill="auto"/>
            <w:noWrap/>
            <w:vAlign w:val="bottom"/>
            <w:hideMark/>
          </w:tcPr>
          <w:p w14:paraId="28C75BA4" w14:textId="017EECEB"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43,038</w:t>
            </w:r>
          </w:p>
        </w:tc>
        <w:tc>
          <w:tcPr>
            <w:tcW w:w="636" w:type="pct"/>
            <w:tcBorders>
              <w:top w:val="nil"/>
              <w:left w:val="nil"/>
              <w:bottom w:val="nil"/>
              <w:right w:val="nil"/>
            </w:tcBorders>
            <w:shd w:val="clear" w:color="auto" w:fill="auto"/>
            <w:noWrap/>
            <w:vAlign w:val="bottom"/>
            <w:hideMark/>
          </w:tcPr>
          <w:p w14:paraId="03136FFC" w14:textId="7D53B143"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150,681</w:t>
            </w:r>
          </w:p>
        </w:tc>
        <w:tc>
          <w:tcPr>
            <w:tcW w:w="584" w:type="pct"/>
            <w:tcBorders>
              <w:top w:val="nil"/>
              <w:left w:val="nil"/>
              <w:bottom w:val="nil"/>
              <w:right w:val="nil"/>
            </w:tcBorders>
            <w:shd w:val="clear" w:color="auto" w:fill="auto"/>
            <w:noWrap/>
            <w:vAlign w:val="bottom"/>
            <w:hideMark/>
          </w:tcPr>
          <w:p w14:paraId="1BBBBC03" w14:textId="0EC44987"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268,062</w:t>
            </w:r>
          </w:p>
        </w:tc>
      </w:tr>
      <w:tr w:rsidR="001D4879" w:rsidRPr="007B771F" w14:paraId="1902C5A1" w14:textId="77777777" w:rsidTr="004A4970">
        <w:trPr>
          <w:trHeight w:val="204"/>
        </w:trPr>
        <w:tc>
          <w:tcPr>
            <w:tcW w:w="2038" w:type="pct"/>
            <w:tcBorders>
              <w:top w:val="nil"/>
              <w:left w:val="nil"/>
              <w:bottom w:val="nil"/>
              <w:right w:val="nil"/>
            </w:tcBorders>
            <w:shd w:val="clear" w:color="auto" w:fill="auto"/>
            <w:vAlign w:val="bottom"/>
            <w:hideMark/>
          </w:tcPr>
          <w:p w14:paraId="0B77570A" w14:textId="77777777" w:rsidR="001D4879" w:rsidRPr="007B771F" w:rsidRDefault="001D4879" w:rsidP="001D4879">
            <w:pPr>
              <w:spacing w:after="0" w:line="240" w:lineRule="auto"/>
              <w:ind w:left="113"/>
              <w:rPr>
                <w:rFonts w:ascii="Arial" w:hAnsi="Arial" w:cs="Arial"/>
                <w:sz w:val="16"/>
                <w:szCs w:val="16"/>
              </w:rPr>
            </w:pPr>
            <w:r w:rsidRPr="007B771F">
              <w:rPr>
                <w:rFonts w:ascii="Arial" w:hAnsi="Arial" w:cs="Arial"/>
                <w:sz w:val="16"/>
                <w:szCs w:val="16"/>
              </w:rPr>
              <w:t>Gross book value - ROU assets</w:t>
            </w:r>
          </w:p>
        </w:tc>
        <w:tc>
          <w:tcPr>
            <w:tcW w:w="584" w:type="pct"/>
            <w:tcBorders>
              <w:top w:val="nil"/>
              <w:left w:val="nil"/>
              <w:bottom w:val="nil"/>
              <w:right w:val="nil"/>
            </w:tcBorders>
            <w:shd w:val="clear" w:color="auto" w:fill="auto"/>
            <w:noWrap/>
            <w:vAlign w:val="bottom"/>
            <w:hideMark/>
          </w:tcPr>
          <w:p w14:paraId="7C52C018" w14:textId="1B457FF6"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160,948</w:t>
            </w:r>
          </w:p>
        </w:tc>
        <w:tc>
          <w:tcPr>
            <w:tcW w:w="625" w:type="pct"/>
            <w:tcBorders>
              <w:top w:val="nil"/>
              <w:left w:val="nil"/>
              <w:bottom w:val="nil"/>
              <w:right w:val="nil"/>
            </w:tcBorders>
            <w:shd w:val="clear" w:color="auto" w:fill="auto"/>
            <w:noWrap/>
            <w:vAlign w:val="bottom"/>
            <w:hideMark/>
          </w:tcPr>
          <w:p w14:paraId="0DA05208" w14:textId="544AB185"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199</w:t>
            </w:r>
          </w:p>
        </w:tc>
        <w:tc>
          <w:tcPr>
            <w:tcW w:w="532" w:type="pct"/>
            <w:tcBorders>
              <w:top w:val="nil"/>
              <w:left w:val="nil"/>
              <w:bottom w:val="nil"/>
              <w:right w:val="nil"/>
            </w:tcBorders>
            <w:shd w:val="clear" w:color="auto" w:fill="auto"/>
            <w:noWrap/>
            <w:vAlign w:val="bottom"/>
            <w:hideMark/>
          </w:tcPr>
          <w:p w14:paraId="5A77B361" w14:textId="50891B26"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3D296C1A" w14:textId="36E366DC"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w:t>
            </w:r>
          </w:p>
        </w:tc>
        <w:tc>
          <w:tcPr>
            <w:tcW w:w="584" w:type="pct"/>
            <w:tcBorders>
              <w:top w:val="nil"/>
              <w:left w:val="nil"/>
              <w:bottom w:val="nil"/>
              <w:right w:val="nil"/>
            </w:tcBorders>
            <w:shd w:val="clear" w:color="auto" w:fill="auto"/>
            <w:noWrap/>
            <w:vAlign w:val="bottom"/>
            <w:hideMark/>
          </w:tcPr>
          <w:p w14:paraId="7924EF71" w14:textId="4CEDC888"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161,147</w:t>
            </w:r>
          </w:p>
        </w:tc>
      </w:tr>
      <w:tr w:rsidR="001D4879" w:rsidRPr="007B771F" w14:paraId="7C5D9146" w14:textId="77777777" w:rsidTr="004A4970">
        <w:trPr>
          <w:trHeight w:val="204"/>
        </w:trPr>
        <w:tc>
          <w:tcPr>
            <w:tcW w:w="2038" w:type="pct"/>
            <w:tcBorders>
              <w:top w:val="nil"/>
              <w:left w:val="nil"/>
              <w:bottom w:val="nil"/>
              <w:right w:val="nil"/>
            </w:tcBorders>
            <w:shd w:val="clear" w:color="auto" w:fill="auto"/>
            <w:vAlign w:val="bottom"/>
            <w:hideMark/>
          </w:tcPr>
          <w:p w14:paraId="1A646378" w14:textId="3196C546" w:rsidR="001D4879" w:rsidRPr="007B771F" w:rsidRDefault="001D4879" w:rsidP="001D4879">
            <w:pPr>
              <w:spacing w:after="0" w:line="240" w:lineRule="auto"/>
              <w:ind w:left="113"/>
              <w:rPr>
                <w:rFonts w:ascii="Arial" w:hAnsi="Arial" w:cs="Arial"/>
                <w:sz w:val="16"/>
                <w:szCs w:val="16"/>
              </w:rPr>
            </w:pPr>
            <w:r w:rsidRPr="007B771F">
              <w:rPr>
                <w:rFonts w:ascii="Arial" w:hAnsi="Arial" w:cs="Arial"/>
                <w:sz w:val="16"/>
                <w:szCs w:val="16"/>
              </w:rPr>
              <w:t>Accumulated depreciation/amortisation and impairment</w:t>
            </w:r>
          </w:p>
        </w:tc>
        <w:tc>
          <w:tcPr>
            <w:tcW w:w="584" w:type="pct"/>
            <w:tcBorders>
              <w:top w:val="nil"/>
              <w:left w:val="nil"/>
              <w:bottom w:val="nil"/>
              <w:right w:val="nil"/>
            </w:tcBorders>
            <w:shd w:val="clear" w:color="auto" w:fill="auto"/>
            <w:noWrap/>
            <w:vAlign w:val="bottom"/>
            <w:hideMark/>
          </w:tcPr>
          <w:p w14:paraId="1848ABFE" w14:textId="16D40FDD"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(22,259)</w:t>
            </w:r>
          </w:p>
        </w:tc>
        <w:tc>
          <w:tcPr>
            <w:tcW w:w="625" w:type="pct"/>
            <w:tcBorders>
              <w:top w:val="nil"/>
              <w:left w:val="nil"/>
              <w:bottom w:val="nil"/>
              <w:right w:val="nil"/>
            </w:tcBorders>
            <w:shd w:val="clear" w:color="auto" w:fill="auto"/>
            <w:noWrap/>
            <w:vAlign w:val="bottom"/>
            <w:hideMark/>
          </w:tcPr>
          <w:p w14:paraId="36FAE7FF" w14:textId="755373E7"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(23,175)</w:t>
            </w:r>
          </w:p>
        </w:tc>
        <w:tc>
          <w:tcPr>
            <w:tcW w:w="532" w:type="pct"/>
            <w:tcBorders>
              <w:top w:val="nil"/>
              <w:left w:val="nil"/>
              <w:bottom w:val="nil"/>
              <w:right w:val="nil"/>
            </w:tcBorders>
            <w:shd w:val="clear" w:color="auto" w:fill="auto"/>
            <w:noWrap/>
            <w:vAlign w:val="bottom"/>
            <w:hideMark/>
          </w:tcPr>
          <w:p w14:paraId="52A2E85E" w14:textId="15469C1D"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(806)</w:t>
            </w:r>
          </w:p>
        </w:tc>
        <w:tc>
          <w:tcPr>
            <w:tcW w:w="636" w:type="pct"/>
            <w:tcBorders>
              <w:top w:val="nil"/>
              <w:left w:val="nil"/>
              <w:bottom w:val="nil"/>
              <w:right w:val="nil"/>
            </w:tcBorders>
            <w:shd w:val="clear" w:color="auto" w:fill="auto"/>
            <w:noWrap/>
            <w:vAlign w:val="bottom"/>
            <w:hideMark/>
          </w:tcPr>
          <w:p w14:paraId="4EB949F8" w14:textId="3349A9C0"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(64,619)</w:t>
            </w:r>
          </w:p>
        </w:tc>
        <w:tc>
          <w:tcPr>
            <w:tcW w:w="584" w:type="pct"/>
            <w:tcBorders>
              <w:top w:val="nil"/>
              <w:left w:val="nil"/>
              <w:bottom w:val="nil"/>
              <w:right w:val="nil"/>
            </w:tcBorders>
            <w:shd w:val="clear" w:color="auto" w:fill="auto"/>
            <w:noWrap/>
            <w:vAlign w:val="bottom"/>
            <w:hideMark/>
          </w:tcPr>
          <w:p w14:paraId="3557978B" w14:textId="65993977"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(110,859)</w:t>
            </w:r>
          </w:p>
        </w:tc>
      </w:tr>
      <w:tr w:rsidR="001D4879" w:rsidRPr="007B771F" w14:paraId="5EC4DF12" w14:textId="77777777" w:rsidTr="004A4970">
        <w:trPr>
          <w:trHeight w:val="204"/>
        </w:trPr>
        <w:tc>
          <w:tcPr>
            <w:tcW w:w="2038" w:type="pct"/>
            <w:tcBorders>
              <w:top w:val="nil"/>
              <w:left w:val="nil"/>
              <w:bottom w:val="nil"/>
              <w:right w:val="nil"/>
            </w:tcBorders>
            <w:shd w:val="clear" w:color="auto" w:fill="auto"/>
            <w:vAlign w:val="bottom"/>
            <w:hideMark/>
          </w:tcPr>
          <w:p w14:paraId="2C9B2C35" w14:textId="77777777" w:rsidR="001D4879" w:rsidRPr="007B771F" w:rsidRDefault="001D4879" w:rsidP="001D4879">
            <w:pPr>
              <w:spacing w:after="0" w:line="240" w:lineRule="auto"/>
              <w:ind w:left="113"/>
              <w:rPr>
                <w:rFonts w:ascii="Arial" w:hAnsi="Arial" w:cs="Arial"/>
                <w:sz w:val="16"/>
                <w:szCs w:val="16"/>
              </w:rPr>
            </w:pPr>
            <w:r w:rsidRPr="007B771F">
              <w:rPr>
                <w:rFonts w:ascii="Arial" w:hAnsi="Arial" w:cs="Arial"/>
                <w:sz w:val="16"/>
                <w:szCs w:val="16"/>
              </w:rPr>
              <w:t>Accumulated depreciation/amortisation and impairment - ROU assets</w:t>
            </w:r>
          </w:p>
        </w:tc>
        <w:tc>
          <w:tcPr>
            <w:tcW w:w="584" w:type="pct"/>
            <w:tcBorders>
              <w:top w:val="nil"/>
              <w:left w:val="nil"/>
              <w:bottom w:val="nil"/>
              <w:right w:val="nil"/>
            </w:tcBorders>
            <w:shd w:val="clear" w:color="auto" w:fill="auto"/>
            <w:noWrap/>
            <w:vAlign w:val="bottom"/>
            <w:hideMark/>
          </w:tcPr>
          <w:p w14:paraId="57FBB7CE" w14:textId="6F5DEF07"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(105,592)</w:t>
            </w:r>
          </w:p>
        </w:tc>
        <w:tc>
          <w:tcPr>
            <w:tcW w:w="625" w:type="pct"/>
            <w:tcBorders>
              <w:top w:val="nil"/>
              <w:left w:val="nil"/>
              <w:bottom w:val="nil"/>
              <w:right w:val="nil"/>
            </w:tcBorders>
            <w:shd w:val="clear" w:color="auto" w:fill="auto"/>
            <w:noWrap/>
            <w:vAlign w:val="bottom"/>
            <w:hideMark/>
          </w:tcPr>
          <w:p w14:paraId="6EC74FC5" w14:textId="1C937E5A"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(147)</w:t>
            </w:r>
          </w:p>
        </w:tc>
        <w:tc>
          <w:tcPr>
            <w:tcW w:w="532" w:type="pct"/>
            <w:tcBorders>
              <w:top w:val="nil"/>
              <w:left w:val="nil"/>
              <w:bottom w:val="nil"/>
              <w:right w:val="nil"/>
            </w:tcBorders>
            <w:shd w:val="clear" w:color="auto" w:fill="auto"/>
            <w:noWrap/>
            <w:vAlign w:val="bottom"/>
            <w:hideMark/>
          </w:tcPr>
          <w:p w14:paraId="6F4C3505" w14:textId="5932F59A"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599AF5C7" w14:textId="1304F9E0"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w:t>
            </w:r>
          </w:p>
        </w:tc>
        <w:tc>
          <w:tcPr>
            <w:tcW w:w="584" w:type="pct"/>
            <w:tcBorders>
              <w:top w:val="nil"/>
              <w:left w:val="nil"/>
              <w:bottom w:val="nil"/>
              <w:right w:val="nil"/>
            </w:tcBorders>
            <w:shd w:val="clear" w:color="auto" w:fill="auto"/>
            <w:noWrap/>
            <w:vAlign w:val="bottom"/>
            <w:hideMark/>
          </w:tcPr>
          <w:p w14:paraId="28D3C1F7" w14:textId="1B52E277" w:rsidR="001D4879" w:rsidRPr="007B771F" w:rsidRDefault="001D4879" w:rsidP="001D4879">
            <w:pPr>
              <w:spacing w:after="0" w:line="240" w:lineRule="auto"/>
              <w:jc w:val="right"/>
              <w:rPr>
                <w:rFonts w:ascii="Arial" w:hAnsi="Arial" w:cs="Arial"/>
                <w:sz w:val="16"/>
                <w:szCs w:val="16"/>
              </w:rPr>
            </w:pPr>
            <w:r>
              <w:rPr>
                <w:rFonts w:ascii="Arial" w:hAnsi="Arial" w:cs="Arial"/>
                <w:sz w:val="16"/>
                <w:szCs w:val="16"/>
              </w:rPr>
              <w:t>(105,739)</w:t>
            </w:r>
          </w:p>
        </w:tc>
      </w:tr>
      <w:tr w:rsidR="001D4879" w:rsidRPr="007B771F" w14:paraId="78F2E29A" w14:textId="77777777" w:rsidTr="004A4970">
        <w:trPr>
          <w:trHeight w:val="204"/>
        </w:trPr>
        <w:tc>
          <w:tcPr>
            <w:tcW w:w="2038" w:type="pct"/>
            <w:tcBorders>
              <w:top w:val="nil"/>
              <w:left w:val="nil"/>
              <w:bottom w:val="single" w:sz="4" w:space="0" w:color="auto"/>
              <w:right w:val="nil"/>
            </w:tcBorders>
            <w:shd w:val="clear" w:color="auto" w:fill="auto"/>
            <w:noWrap/>
            <w:vAlign w:val="bottom"/>
            <w:hideMark/>
          </w:tcPr>
          <w:p w14:paraId="41AE942C" w14:textId="77777777" w:rsidR="001D4879" w:rsidRPr="007B771F" w:rsidRDefault="001D4879" w:rsidP="001D4879">
            <w:pPr>
              <w:spacing w:after="0" w:line="240" w:lineRule="auto"/>
              <w:rPr>
                <w:rFonts w:ascii="Arial" w:hAnsi="Arial" w:cs="Arial"/>
                <w:b/>
                <w:bCs/>
                <w:sz w:val="16"/>
                <w:szCs w:val="16"/>
              </w:rPr>
            </w:pPr>
            <w:r w:rsidRPr="007B771F">
              <w:rPr>
                <w:rFonts w:ascii="Arial" w:hAnsi="Arial" w:cs="Arial"/>
                <w:b/>
                <w:bCs/>
                <w:sz w:val="16"/>
                <w:szCs w:val="16"/>
              </w:rPr>
              <w:t>Closing net book balance</w:t>
            </w:r>
          </w:p>
        </w:tc>
        <w:tc>
          <w:tcPr>
            <w:tcW w:w="584" w:type="pct"/>
            <w:tcBorders>
              <w:top w:val="single" w:sz="4" w:space="0" w:color="auto"/>
              <w:left w:val="nil"/>
              <w:bottom w:val="single" w:sz="4" w:space="0" w:color="auto"/>
              <w:right w:val="nil"/>
            </w:tcBorders>
            <w:shd w:val="clear" w:color="auto" w:fill="auto"/>
            <w:noWrap/>
            <w:vAlign w:val="bottom"/>
            <w:hideMark/>
          </w:tcPr>
          <w:p w14:paraId="617745A2" w14:textId="40F2D38D" w:rsidR="001D4879" w:rsidRPr="007B771F" w:rsidRDefault="001D4879" w:rsidP="001D4879">
            <w:pPr>
              <w:spacing w:after="0" w:line="240" w:lineRule="auto"/>
              <w:jc w:val="right"/>
              <w:rPr>
                <w:rFonts w:ascii="Arial" w:hAnsi="Arial" w:cs="Arial"/>
                <w:b/>
                <w:bCs/>
                <w:sz w:val="16"/>
                <w:szCs w:val="16"/>
              </w:rPr>
            </w:pPr>
            <w:r>
              <w:rPr>
                <w:rFonts w:ascii="Arial" w:hAnsi="Arial" w:cs="Arial"/>
                <w:b/>
                <w:bCs/>
                <w:sz w:val="16"/>
                <w:szCs w:val="16"/>
              </w:rPr>
              <w:t>68,941</w:t>
            </w:r>
          </w:p>
        </w:tc>
        <w:tc>
          <w:tcPr>
            <w:tcW w:w="625" w:type="pct"/>
            <w:tcBorders>
              <w:top w:val="single" w:sz="4" w:space="0" w:color="auto"/>
              <w:left w:val="nil"/>
              <w:bottom w:val="single" w:sz="4" w:space="0" w:color="auto"/>
              <w:right w:val="nil"/>
            </w:tcBorders>
            <w:shd w:val="clear" w:color="auto" w:fill="auto"/>
            <w:noWrap/>
            <w:vAlign w:val="bottom"/>
            <w:hideMark/>
          </w:tcPr>
          <w:p w14:paraId="37B7360A" w14:textId="3EAAA582" w:rsidR="001D4879" w:rsidRPr="007B771F" w:rsidRDefault="001D4879" w:rsidP="001D4879">
            <w:pPr>
              <w:spacing w:after="0" w:line="240" w:lineRule="auto"/>
              <w:jc w:val="right"/>
              <w:rPr>
                <w:rFonts w:ascii="Arial" w:hAnsi="Arial" w:cs="Arial"/>
                <w:b/>
                <w:bCs/>
                <w:sz w:val="16"/>
                <w:szCs w:val="16"/>
              </w:rPr>
            </w:pPr>
            <w:r>
              <w:rPr>
                <w:rFonts w:ascii="Arial" w:hAnsi="Arial" w:cs="Arial"/>
                <w:b/>
                <w:bCs/>
                <w:sz w:val="16"/>
                <w:szCs w:val="16"/>
              </w:rPr>
              <w:t>15,376</w:t>
            </w:r>
          </w:p>
        </w:tc>
        <w:tc>
          <w:tcPr>
            <w:tcW w:w="532" w:type="pct"/>
            <w:tcBorders>
              <w:top w:val="single" w:sz="4" w:space="0" w:color="auto"/>
              <w:left w:val="nil"/>
              <w:bottom w:val="single" w:sz="4" w:space="0" w:color="auto"/>
              <w:right w:val="nil"/>
            </w:tcBorders>
            <w:shd w:val="clear" w:color="auto" w:fill="auto"/>
            <w:noWrap/>
            <w:vAlign w:val="bottom"/>
            <w:hideMark/>
          </w:tcPr>
          <w:p w14:paraId="0AA0DD7A" w14:textId="339C4B89" w:rsidR="001D4879" w:rsidRPr="007B771F" w:rsidRDefault="001D4879" w:rsidP="001D4879">
            <w:pPr>
              <w:spacing w:after="0" w:line="240" w:lineRule="auto"/>
              <w:jc w:val="right"/>
              <w:rPr>
                <w:rFonts w:ascii="Arial" w:hAnsi="Arial" w:cs="Arial"/>
                <w:b/>
                <w:bCs/>
                <w:sz w:val="16"/>
                <w:szCs w:val="16"/>
              </w:rPr>
            </w:pPr>
            <w:r>
              <w:rPr>
                <w:rFonts w:ascii="Arial" w:hAnsi="Arial" w:cs="Arial"/>
                <w:b/>
                <w:bCs/>
                <w:sz w:val="16"/>
                <w:szCs w:val="16"/>
              </w:rPr>
              <w:t>42,232</w:t>
            </w:r>
          </w:p>
        </w:tc>
        <w:tc>
          <w:tcPr>
            <w:tcW w:w="636" w:type="pct"/>
            <w:tcBorders>
              <w:top w:val="single" w:sz="4" w:space="0" w:color="auto"/>
              <w:left w:val="nil"/>
              <w:bottom w:val="single" w:sz="4" w:space="0" w:color="auto"/>
              <w:right w:val="nil"/>
            </w:tcBorders>
            <w:shd w:val="clear" w:color="auto" w:fill="auto"/>
            <w:noWrap/>
            <w:vAlign w:val="bottom"/>
            <w:hideMark/>
          </w:tcPr>
          <w:p w14:paraId="585D3B81" w14:textId="0E0AA269" w:rsidR="001D4879" w:rsidRPr="007B771F" w:rsidRDefault="001D4879" w:rsidP="001D4879">
            <w:pPr>
              <w:spacing w:after="0" w:line="240" w:lineRule="auto"/>
              <w:jc w:val="right"/>
              <w:rPr>
                <w:rFonts w:ascii="Arial" w:hAnsi="Arial" w:cs="Arial"/>
                <w:b/>
                <w:bCs/>
                <w:sz w:val="16"/>
                <w:szCs w:val="16"/>
              </w:rPr>
            </w:pPr>
            <w:r>
              <w:rPr>
                <w:rFonts w:ascii="Arial" w:hAnsi="Arial" w:cs="Arial"/>
                <w:b/>
                <w:bCs/>
                <w:sz w:val="16"/>
                <w:szCs w:val="16"/>
              </w:rPr>
              <w:t>86,062</w:t>
            </w:r>
          </w:p>
        </w:tc>
        <w:tc>
          <w:tcPr>
            <w:tcW w:w="584" w:type="pct"/>
            <w:tcBorders>
              <w:top w:val="single" w:sz="4" w:space="0" w:color="auto"/>
              <w:left w:val="nil"/>
              <w:bottom w:val="single" w:sz="4" w:space="0" w:color="auto"/>
              <w:right w:val="nil"/>
            </w:tcBorders>
            <w:shd w:val="clear" w:color="auto" w:fill="auto"/>
            <w:noWrap/>
            <w:vAlign w:val="bottom"/>
            <w:hideMark/>
          </w:tcPr>
          <w:p w14:paraId="0BC0A7D2" w14:textId="49054F3D" w:rsidR="001D4879" w:rsidRPr="007B771F" w:rsidRDefault="001D4879" w:rsidP="001D4879">
            <w:pPr>
              <w:spacing w:after="0" w:line="240" w:lineRule="auto"/>
              <w:jc w:val="right"/>
              <w:rPr>
                <w:rFonts w:ascii="Arial" w:hAnsi="Arial" w:cs="Arial"/>
                <w:b/>
                <w:bCs/>
                <w:sz w:val="16"/>
                <w:szCs w:val="16"/>
              </w:rPr>
            </w:pPr>
            <w:r>
              <w:rPr>
                <w:rFonts w:ascii="Arial" w:hAnsi="Arial" w:cs="Arial"/>
                <w:b/>
                <w:bCs/>
                <w:sz w:val="16"/>
                <w:szCs w:val="16"/>
              </w:rPr>
              <w:t>212,611</w:t>
            </w:r>
          </w:p>
        </w:tc>
      </w:tr>
    </w:tbl>
    <w:p w14:paraId="3CA02729" w14:textId="77777777" w:rsidR="00DC13E4" w:rsidRDefault="00115843" w:rsidP="00DC13E4">
      <w:pPr>
        <w:pStyle w:val="TableGraphic"/>
        <w:spacing w:before="60"/>
        <w:rPr>
          <w:rFonts w:ascii="Arial" w:hAnsi="Arial" w:cs="Arial"/>
          <w:sz w:val="16"/>
          <w:szCs w:val="16"/>
        </w:rPr>
      </w:pPr>
      <w:r w:rsidRPr="00DC13E4">
        <w:rPr>
          <w:rFonts w:ascii="Arial" w:hAnsi="Arial" w:cs="Arial"/>
          <w:sz w:val="16"/>
          <w:szCs w:val="16"/>
        </w:rPr>
        <w:t>Prepared on Australian Accounting Standards basis.</w:t>
      </w:r>
    </w:p>
    <w:p w14:paraId="1AEFE347" w14:textId="7175508D" w:rsidR="00DC13E4" w:rsidRPr="00DC13E4" w:rsidRDefault="00DC13E4" w:rsidP="00DC13E4">
      <w:pPr>
        <w:pStyle w:val="TableGraphic"/>
        <w:spacing w:before="60"/>
        <w:rPr>
          <w:rFonts w:ascii="Arial" w:hAnsi="Arial" w:cs="Arial"/>
          <w:sz w:val="16"/>
          <w:szCs w:val="16"/>
        </w:rPr>
      </w:pPr>
      <w:r w:rsidRPr="00DC13E4">
        <w:rPr>
          <w:rFonts w:ascii="Arial" w:hAnsi="Arial" w:cs="Arial"/>
          <w:sz w:val="16"/>
          <w:szCs w:val="16"/>
        </w:rPr>
        <w:t>Table has been prepared inclusive of 2022-23 Additional Estimates figures.</w:t>
      </w:r>
    </w:p>
    <w:p w14:paraId="00781FC5" w14:textId="170D4284" w:rsidR="00115843" w:rsidRPr="00D61C0E" w:rsidRDefault="00115843" w:rsidP="00977C28">
      <w:pPr>
        <w:pStyle w:val="TableGraphic"/>
        <w:numPr>
          <w:ilvl w:val="4"/>
          <w:numId w:val="122"/>
        </w:numPr>
        <w:ind w:left="426" w:hanging="426"/>
        <w:rPr>
          <w:rFonts w:ascii="Arial" w:hAnsi="Arial" w:cs="Arial"/>
          <w:sz w:val="16"/>
        </w:rPr>
      </w:pPr>
      <w:r w:rsidRPr="00DC13E4">
        <w:rPr>
          <w:rFonts w:ascii="Arial" w:hAnsi="Arial" w:cs="Arial"/>
          <w:sz w:val="16"/>
          <w:szCs w:val="16"/>
        </w:rPr>
        <w:t>'Appropriation ordinary annual services' refers to funding provided through Appropriation Bill (No. 1)</w:t>
      </w:r>
      <w:r w:rsidRPr="00D61C0E">
        <w:rPr>
          <w:rFonts w:ascii="Arial" w:hAnsi="Arial" w:cs="Arial"/>
          <w:sz w:val="16"/>
        </w:rPr>
        <w:t xml:space="preserve"> 2022</w:t>
      </w:r>
      <w:r>
        <w:rPr>
          <w:rFonts w:ascii="Arial" w:hAnsi="Arial" w:cs="Arial"/>
          <w:sz w:val="16"/>
        </w:rPr>
        <w:noBreakHyphen/>
      </w:r>
      <w:r w:rsidRPr="00D61C0E">
        <w:rPr>
          <w:rFonts w:ascii="Arial" w:hAnsi="Arial" w:cs="Arial"/>
          <w:sz w:val="16"/>
        </w:rPr>
        <w:t xml:space="preserve">23 for depreciation/amortisation expenses, </w:t>
      </w:r>
      <w:r w:rsidR="00BC6931">
        <w:rPr>
          <w:rFonts w:ascii="Arial" w:hAnsi="Arial" w:cs="Arial"/>
          <w:sz w:val="16"/>
        </w:rPr>
        <w:t>D</w:t>
      </w:r>
      <w:r>
        <w:rPr>
          <w:rFonts w:ascii="Arial" w:hAnsi="Arial" w:cs="Arial"/>
          <w:sz w:val="16"/>
        </w:rPr>
        <w:t xml:space="preserve">epartmental </w:t>
      </w:r>
      <w:r w:rsidR="00BC6931">
        <w:rPr>
          <w:rFonts w:ascii="Arial" w:hAnsi="Arial" w:cs="Arial"/>
          <w:sz w:val="16"/>
        </w:rPr>
        <w:t>C</w:t>
      </w:r>
      <w:r>
        <w:rPr>
          <w:rFonts w:ascii="Arial" w:hAnsi="Arial" w:cs="Arial"/>
          <w:sz w:val="16"/>
        </w:rPr>
        <w:t xml:space="preserve">apital </w:t>
      </w:r>
      <w:r w:rsidR="00BC6931">
        <w:rPr>
          <w:rFonts w:ascii="Arial" w:hAnsi="Arial" w:cs="Arial"/>
          <w:sz w:val="16"/>
        </w:rPr>
        <w:t>B</w:t>
      </w:r>
      <w:r>
        <w:rPr>
          <w:rFonts w:ascii="Arial" w:hAnsi="Arial" w:cs="Arial"/>
          <w:sz w:val="16"/>
        </w:rPr>
        <w:t xml:space="preserve">udget </w:t>
      </w:r>
      <w:r w:rsidRPr="00D61C0E">
        <w:rPr>
          <w:rFonts w:ascii="Arial" w:hAnsi="Arial" w:cs="Arial"/>
          <w:sz w:val="16"/>
        </w:rPr>
        <w:t>or other operational expenses.</w:t>
      </w:r>
    </w:p>
    <w:p w14:paraId="1B6780C4" w14:textId="77777777" w:rsidR="00115843" w:rsidRPr="00152B2B" w:rsidRDefault="00115843" w:rsidP="00115843">
      <w:pPr>
        <w:pStyle w:val="ChartandTableFootnote"/>
        <w:sectPr w:rsidR="00115843" w:rsidRPr="00152B2B" w:rsidSect="009D1D35">
          <w:footerReference w:type="even" r:id="rId24"/>
          <w:headerReference w:type="first" r:id="rId25"/>
          <w:footerReference w:type="first" r:id="rId26"/>
          <w:type w:val="oddPage"/>
          <w:pgSz w:w="11906" w:h="16838" w:code="9"/>
          <w:pgMar w:top="2438" w:right="2098" w:bottom="2438" w:left="2098" w:header="1757" w:footer="2041" w:gutter="0"/>
          <w:cols w:space="708"/>
          <w:titlePg/>
          <w:docGrid w:linePitch="360"/>
        </w:sectPr>
      </w:pPr>
      <w:r>
        <w:br w:type="page"/>
      </w:r>
    </w:p>
    <w:p w14:paraId="6CC39B85" w14:textId="77777777" w:rsidR="00115843" w:rsidRDefault="00115843" w:rsidP="00115843">
      <w:pPr>
        <w:pStyle w:val="TableHeading"/>
      </w:pPr>
      <w:r w:rsidRPr="00D30CBA">
        <w:lastRenderedPageBreak/>
        <w:t>Table</w:t>
      </w:r>
      <w:r>
        <w:t xml:space="preserve"> 3.7</w:t>
      </w:r>
      <w:r w:rsidRPr="00D30CBA">
        <w:t xml:space="preserve">: Schedule of </w:t>
      </w:r>
      <w:r>
        <w:t>b</w:t>
      </w:r>
      <w:r w:rsidRPr="00D30CBA">
        <w:t xml:space="preserve">udgeted </w:t>
      </w:r>
      <w:r>
        <w:t>i</w:t>
      </w:r>
      <w:r w:rsidRPr="00D30CBA">
        <w:t xml:space="preserve">ncome and </w:t>
      </w:r>
      <w:r>
        <w:t>e</w:t>
      </w:r>
      <w:r w:rsidRPr="00D30CBA">
        <w:t>xpe</w:t>
      </w:r>
      <w:r>
        <w:t>nses administered on behalf of G</w:t>
      </w:r>
      <w:r w:rsidRPr="00D30CBA">
        <w:t>ove</w:t>
      </w:r>
      <w:r>
        <w:t>rnment (for the period ended 30 </w:t>
      </w:r>
      <w:r w:rsidRPr="00D30CBA">
        <w:t>June)</w:t>
      </w:r>
    </w:p>
    <w:tbl>
      <w:tblPr>
        <w:tblW w:w="5029" w:type="pct"/>
        <w:tblLayout w:type="fixed"/>
        <w:tblLook w:val="04A0" w:firstRow="1" w:lastRow="0" w:firstColumn="1" w:lastColumn="0" w:noHBand="0" w:noVBand="1"/>
      </w:tblPr>
      <w:tblGrid>
        <w:gridCol w:w="2317"/>
        <w:gridCol w:w="1039"/>
        <w:gridCol w:w="1109"/>
        <w:gridCol w:w="26"/>
        <w:gridCol w:w="1067"/>
        <w:gridCol w:w="12"/>
        <w:gridCol w:w="1081"/>
        <w:gridCol w:w="68"/>
        <w:gridCol w:w="1036"/>
      </w:tblGrid>
      <w:tr w:rsidR="00173CD7" w:rsidRPr="00173CD7" w14:paraId="6469C17F" w14:textId="77777777" w:rsidTr="007B5C33">
        <w:trPr>
          <w:trHeight w:val="204"/>
        </w:trPr>
        <w:tc>
          <w:tcPr>
            <w:tcW w:w="1493" w:type="pct"/>
            <w:tcBorders>
              <w:top w:val="single" w:sz="4" w:space="0" w:color="auto"/>
              <w:left w:val="nil"/>
              <w:bottom w:val="nil"/>
              <w:right w:val="nil"/>
            </w:tcBorders>
            <w:shd w:val="clear" w:color="auto" w:fill="auto"/>
            <w:noWrap/>
            <w:vAlign w:val="bottom"/>
            <w:hideMark/>
          </w:tcPr>
          <w:p w14:paraId="5A6A4FBB" w14:textId="77777777" w:rsidR="00173CD7" w:rsidRPr="00173CD7" w:rsidRDefault="00173CD7" w:rsidP="00173CD7">
            <w:pPr>
              <w:spacing w:after="0" w:line="240" w:lineRule="auto"/>
              <w:rPr>
                <w:rFonts w:ascii="Arial" w:hAnsi="Arial" w:cs="Arial"/>
                <w:b/>
                <w:bCs/>
                <w:sz w:val="16"/>
                <w:szCs w:val="16"/>
              </w:rPr>
            </w:pPr>
            <w:r w:rsidRPr="00173CD7">
              <w:rPr>
                <w:rFonts w:ascii="Arial" w:hAnsi="Arial" w:cs="Arial"/>
                <w:b/>
                <w:bCs/>
                <w:sz w:val="16"/>
                <w:szCs w:val="16"/>
              </w:rPr>
              <w:t> </w:t>
            </w:r>
          </w:p>
        </w:tc>
        <w:tc>
          <w:tcPr>
            <w:tcW w:w="670" w:type="pct"/>
            <w:tcBorders>
              <w:top w:val="single" w:sz="4" w:space="0" w:color="auto"/>
              <w:left w:val="nil"/>
              <w:bottom w:val="single" w:sz="4" w:space="0" w:color="auto"/>
              <w:right w:val="nil"/>
            </w:tcBorders>
            <w:shd w:val="clear" w:color="auto" w:fill="auto"/>
            <w:vAlign w:val="bottom"/>
            <w:hideMark/>
          </w:tcPr>
          <w:p w14:paraId="3B81A80E" w14:textId="77777777" w:rsidR="00173CD7" w:rsidRPr="00173CD7" w:rsidRDefault="00173CD7" w:rsidP="00173CD7">
            <w:pPr>
              <w:spacing w:after="0" w:line="240" w:lineRule="auto"/>
              <w:jc w:val="right"/>
              <w:rPr>
                <w:rFonts w:ascii="Arial" w:hAnsi="Arial" w:cs="Arial"/>
                <w:sz w:val="16"/>
                <w:szCs w:val="16"/>
              </w:rPr>
            </w:pPr>
            <w:r w:rsidRPr="00173CD7">
              <w:rPr>
                <w:rFonts w:ascii="Arial" w:hAnsi="Arial" w:cs="Arial"/>
                <w:sz w:val="16"/>
                <w:szCs w:val="16"/>
              </w:rPr>
              <w:t>2022-23 Estimated actual</w:t>
            </w:r>
            <w:r w:rsidRPr="00173CD7">
              <w:rPr>
                <w:rFonts w:ascii="Arial" w:hAnsi="Arial" w:cs="Arial"/>
                <w:sz w:val="16"/>
                <w:szCs w:val="16"/>
              </w:rPr>
              <w:br/>
              <w:t>$'000</w:t>
            </w:r>
          </w:p>
        </w:tc>
        <w:tc>
          <w:tcPr>
            <w:tcW w:w="715" w:type="pct"/>
            <w:tcBorders>
              <w:top w:val="single" w:sz="4" w:space="0" w:color="auto"/>
              <w:left w:val="nil"/>
              <w:bottom w:val="single" w:sz="4" w:space="0" w:color="auto"/>
              <w:right w:val="nil"/>
            </w:tcBorders>
            <w:shd w:val="clear" w:color="000000" w:fill="E6E6E6"/>
            <w:vAlign w:val="bottom"/>
            <w:hideMark/>
          </w:tcPr>
          <w:p w14:paraId="7818E2DF" w14:textId="77777777" w:rsidR="00173CD7" w:rsidRPr="00173CD7" w:rsidRDefault="00173CD7" w:rsidP="00173CD7">
            <w:pPr>
              <w:spacing w:after="0" w:line="240" w:lineRule="auto"/>
              <w:jc w:val="right"/>
              <w:rPr>
                <w:rFonts w:ascii="Arial" w:hAnsi="Arial" w:cs="Arial"/>
                <w:sz w:val="16"/>
                <w:szCs w:val="16"/>
              </w:rPr>
            </w:pPr>
            <w:r w:rsidRPr="00173CD7">
              <w:rPr>
                <w:rFonts w:ascii="Arial" w:hAnsi="Arial" w:cs="Arial"/>
                <w:sz w:val="16"/>
                <w:szCs w:val="16"/>
              </w:rPr>
              <w:t>2024-25</w:t>
            </w:r>
            <w:r w:rsidRPr="00173CD7">
              <w:rPr>
                <w:rFonts w:ascii="Arial" w:hAnsi="Arial" w:cs="Arial"/>
                <w:sz w:val="16"/>
                <w:szCs w:val="16"/>
              </w:rPr>
              <w:br/>
              <w:t>Budget</w:t>
            </w:r>
            <w:r w:rsidRPr="00173CD7">
              <w:rPr>
                <w:rFonts w:ascii="Arial" w:hAnsi="Arial" w:cs="Arial"/>
                <w:sz w:val="16"/>
                <w:szCs w:val="16"/>
              </w:rPr>
              <w:br/>
            </w:r>
            <w:r w:rsidRPr="00173CD7">
              <w:rPr>
                <w:rFonts w:ascii="Arial" w:hAnsi="Arial" w:cs="Arial"/>
                <w:sz w:val="16"/>
                <w:szCs w:val="16"/>
              </w:rPr>
              <w:br/>
              <w:t>$'000</w:t>
            </w:r>
          </w:p>
        </w:tc>
        <w:tc>
          <w:tcPr>
            <w:tcW w:w="705" w:type="pct"/>
            <w:gridSpan w:val="2"/>
            <w:tcBorders>
              <w:top w:val="single" w:sz="4" w:space="0" w:color="auto"/>
              <w:left w:val="nil"/>
              <w:bottom w:val="single" w:sz="4" w:space="0" w:color="auto"/>
              <w:right w:val="nil"/>
            </w:tcBorders>
            <w:shd w:val="clear" w:color="auto" w:fill="auto"/>
            <w:vAlign w:val="bottom"/>
            <w:hideMark/>
          </w:tcPr>
          <w:p w14:paraId="6DC47148" w14:textId="77777777" w:rsidR="00173CD7" w:rsidRPr="00173CD7" w:rsidRDefault="00173CD7" w:rsidP="00173CD7">
            <w:pPr>
              <w:spacing w:after="0" w:line="240" w:lineRule="auto"/>
              <w:jc w:val="right"/>
              <w:rPr>
                <w:rFonts w:ascii="Arial" w:hAnsi="Arial" w:cs="Arial"/>
                <w:sz w:val="16"/>
                <w:szCs w:val="16"/>
              </w:rPr>
            </w:pPr>
            <w:r w:rsidRPr="00173CD7">
              <w:rPr>
                <w:rFonts w:ascii="Arial" w:hAnsi="Arial" w:cs="Arial"/>
                <w:sz w:val="16"/>
                <w:szCs w:val="16"/>
              </w:rPr>
              <w:t>2024-25 Forward estimate</w:t>
            </w:r>
            <w:r w:rsidRPr="00173CD7">
              <w:rPr>
                <w:rFonts w:ascii="Arial" w:hAnsi="Arial" w:cs="Arial"/>
                <w:sz w:val="16"/>
                <w:szCs w:val="16"/>
              </w:rPr>
              <w:br/>
              <w:t>$'000</w:t>
            </w:r>
          </w:p>
        </w:tc>
        <w:tc>
          <w:tcPr>
            <w:tcW w:w="705" w:type="pct"/>
            <w:gridSpan w:val="2"/>
            <w:tcBorders>
              <w:top w:val="single" w:sz="4" w:space="0" w:color="auto"/>
              <w:left w:val="nil"/>
              <w:bottom w:val="single" w:sz="4" w:space="0" w:color="auto"/>
              <w:right w:val="nil"/>
            </w:tcBorders>
            <w:shd w:val="clear" w:color="auto" w:fill="auto"/>
            <w:vAlign w:val="bottom"/>
            <w:hideMark/>
          </w:tcPr>
          <w:p w14:paraId="243AC321" w14:textId="77777777" w:rsidR="00173CD7" w:rsidRPr="00173CD7" w:rsidRDefault="00173CD7" w:rsidP="00173CD7">
            <w:pPr>
              <w:spacing w:after="0" w:line="240" w:lineRule="auto"/>
              <w:jc w:val="right"/>
              <w:rPr>
                <w:rFonts w:ascii="Arial" w:hAnsi="Arial" w:cs="Arial"/>
                <w:sz w:val="16"/>
                <w:szCs w:val="16"/>
              </w:rPr>
            </w:pPr>
            <w:r w:rsidRPr="00173CD7">
              <w:rPr>
                <w:rFonts w:ascii="Arial" w:hAnsi="Arial" w:cs="Arial"/>
                <w:sz w:val="16"/>
                <w:szCs w:val="16"/>
              </w:rPr>
              <w:t>2025-26 Forward estimate</w:t>
            </w:r>
            <w:r w:rsidRPr="00173CD7">
              <w:rPr>
                <w:rFonts w:ascii="Arial" w:hAnsi="Arial" w:cs="Arial"/>
                <w:sz w:val="16"/>
                <w:szCs w:val="16"/>
              </w:rPr>
              <w:br/>
              <w:t>$'000</w:t>
            </w:r>
          </w:p>
        </w:tc>
        <w:tc>
          <w:tcPr>
            <w:tcW w:w="713" w:type="pct"/>
            <w:gridSpan w:val="2"/>
            <w:tcBorders>
              <w:top w:val="single" w:sz="4" w:space="0" w:color="auto"/>
              <w:left w:val="nil"/>
              <w:bottom w:val="single" w:sz="4" w:space="0" w:color="auto"/>
              <w:right w:val="nil"/>
            </w:tcBorders>
            <w:shd w:val="clear" w:color="auto" w:fill="auto"/>
            <w:vAlign w:val="bottom"/>
            <w:hideMark/>
          </w:tcPr>
          <w:p w14:paraId="7D5C9915" w14:textId="77777777" w:rsidR="00173CD7" w:rsidRPr="00173CD7" w:rsidRDefault="00173CD7" w:rsidP="00173CD7">
            <w:pPr>
              <w:spacing w:after="0" w:line="240" w:lineRule="auto"/>
              <w:jc w:val="right"/>
              <w:rPr>
                <w:rFonts w:ascii="Arial" w:hAnsi="Arial" w:cs="Arial"/>
                <w:sz w:val="16"/>
                <w:szCs w:val="16"/>
              </w:rPr>
            </w:pPr>
            <w:r w:rsidRPr="00173CD7">
              <w:rPr>
                <w:rFonts w:ascii="Arial" w:hAnsi="Arial" w:cs="Arial"/>
                <w:sz w:val="16"/>
                <w:szCs w:val="16"/>
              </w:rPr>
              <w:t>2026-27</w:t>
            </w:r>
            <w:r w:rsidRPr="00173CD7">
              <w:rPr>
                <w:rFonts w:ascii="Arial" w:hAnsi="Arial" w:cs="Arial"/>
                <w:sz w:val="16"/>
                <w:szCs w:val="16"/>
              </w:rPr>
              <w:br/>
              <w:t>Forward estimate</w:t>
            </w:r>
            <w:r w:rsidRPr="00173CD7">
              <w:rPr>
                <w:rFonts w:ascii="Arial" w:hAnsi="Arial" w:cs="Arial"/>
                <w:sz w:val="16"/>
                <w:szCs w:val="16"/>
              </w:rPr>
              <w:br/>
              <w:t>$'000</w:t>
            </w:r>
          </w:p>
        </w:tc>
      </w:tr>
      <w:tr w:rsidR="00173CD7" w:rsidRPr="00173CD7" w14:paraId="57375A09" w14:textId="77777777" w:rsidTr="007B5C33">
        <w:trPr>
          <w:trHeight w:val="204"/>
        </w:trPr>
        <w:tc>
          <w:tcPr>
            <w:tcW w:w="1493" w:type="pct"/>
            <w:tcBorders>
              <w:top w:val="nil"/>
              <w:left w:val="nil"/>
              <w:bottom w:val="nil"/>
              <w:right w:val="nil"/>
            </w:tcBorders>
            <w:shd w:val="clear" w:color="auto" w:fill="auto"/>
            <w:noWrap/>
            <w:vAlign w:val="bottom"/>
            <w:hideMark/>
          </w:tcPr>
          <w:p w14:paraId="4831238A" w14:textId="77777777" w:rsidR="00173CD7" w:rsidRPr="00173CD7" w:rsidRDefault="00173CD7" w:rsidP="00173CD7">
            <w:pPr>
              <w:spacing w:after="0" w:line="240" w:lineRule="auto"/>
              <w:rPr>
                <w:rFonts w:ascii="Arial" w:hAnsi="Arial" w:cs="Arial"/>
                <w:b/>
                <w:bCs/>
                <w:color w:val="000000"/>
                <w:sz w:val="16"/>
                <w:szCs w:val="16"/>
              </w:rPr>
            </w:pPr>
            <w:r w:rsidRPr="00173CD7">
              <w:rPr>
                <w:rFonts w:ascii="Arial" w:hAnsi="Arial" w:cs="Arial"/>
                <w:b/>
                <w:bCs/>
                <w:color w:val="000000"/>
                <w:sz w:val="16"/>
                <w:szCs w:val="16"/>
              </w:rPr>
              <w:t>EXPENSES</w:t>
            </w:r>
          </w:p>
        </w:tc>
        <w:tc>
          <w:tcPr>
            <w:tcW w:w="670" w:type="pct"/>
            <w:tcBorders>
              <w:top w:val="nil"/>
              <w:left w:val="nil"/>
              <w:bottom w:val="nil"/>
              <w:right w:val="nil"/>
            </w:tcBorders>
            <w:shd w:val="clear" w:color="auto" w:fill="auto"/>
            <w:noWrap/>
            <w:vAlign w:val="bottom"/>
            <w:hideMark/>
          </w:tcPr>
          <w:p w14:paraId="202D4F62" w14:textId="77777777" w:rsidR="00173CD7" w:rsidRPr="00173CD7" w:rsidRDefault="00173CD7" w:rsidP="00173CD7">
            <w:pPr>
              <w:spacing w:after="0" w:line="240" w:lineRule="auto"/>
              <w:jc w:val="right"/>
              <w:rPr>
                <w:rFonts w:ascii="Arial" w:hAnsi="Arial" w:cs="Arial"/>
                <w:b/>
                <w:bCs/>
                <w:color w:val="000000"/>
                <w:sz w:val="16"/>
                <w:szCs w:val="16"/>
              </w:rPr>
            </w:pPr>
          </w:p>
        </w:tc>
        <w:tc>
          <w:tcPr>
            <w:tcW w:w="715" w:type="pct"/>
            <w:tcBorders>
              <w:top w:val="nil"/>
              <w:left w:val="nil"/>
              <w:bottom w:val="nil"/>
              <w:right w:val="nil"/>
            </w:tcBorders>
            <w:shd w:val="clear" w:color="000000" w:fill="E6E6E6"/>
            <w:noWrap/>
            <w:vAlign w:val="bottom"/>
            <w:hideMark/>
          </w:tcPr>
          <w:p w14:paraId="054B2BCF" w14:textId="469EAC42" w:rsidR="00173CD7" w:rsidRPr="00173CD7" w:rsidRDefault="00173CD7" w:rsidP="00173CD7">
            <w:pPr>
              <w:spacing w:after="0" w:line="240" w:lineRule="auto"/>
              <w:jc w:val="right"/>
              <w:rPr>
                <w:rFonts w:ascii="Arial" w:hAnsi="Arial" w:cs="Arial"/>
                <w:color w:val="000000"/>
                <w:sz w:val="16"/>
                <w:szCs w:val="16"/>
              </w:rPr>
            </w:pPr>
          </w:p>
        </w:tc>
        <w:tc>
          <w:tcPr>
            <w:tcW w:w="705" w:type="pct"/>
            <w:gridSpan w:val="2"/>
            <w:tcBorders>
              <w:top w:val="nil"/>
              <w:left w:val="nil"/>
              <w:bottom w:val="nil"/>
              <w:right w:val="nil"/>
            </w:tcBorders>
            <w:shd w:val="clear" w:color="auto" w:fill="auto"/>
            <w:noWrap/>
            <w:vAlign w:val="bottom"/>
            <w:hideMark/>
          </w:tcPr>
          <w:p w14:paraId="2FDC696F" w14:textId="77777777" w:rsidR="00173CD7" w:rsidRPr="00173CD7" w:rsidRDefault="00173CD7" w:rsidP="00173CD7">
            <w:pPr>
              <w:spacing w:after="0" w:line="240" w:lineRule="auto"/>
              <w:jc w:val="right"/>
              <w:rPr>
                <w:rFonts w:ascii="Arial" w:hAnsi="Arial" w:cs="Arial"/>
                <w:color w:val="000000"/>
                <w:sz w:val="16"/>
                <w:szCs w:val="16"/>
              </w:rPr>
            </w:pPr>
          </w:p>
        </w:tc>
        <w:tc>
          <w:tcPr>
            <w:tcW w:w="705" w:type="pct"/>
            <w:gridSpan w:val="2"/>
            <w:tcBorders>
              <w:top w:val="nil"/>
              <w:left w:val="nil"/>
              <w:bottom w:val="nil"/>
              <w:right w:val="nil"/>
            </w:tcBorders>
            <w:shd w:val="clear" w:color="auto" w:fill="auto"/>
            <w:noWrap/>
            <w:vAlign w:val="bottom"/>
            <w:hideMark/>
          </w:tcPr>
          <w:p w14:paraId="35C59ADF" w14:textId="77777777" w:rsidR="00173CD7" w:rsidRPr="00173CD7" w:rsidRDefault="00173CD7" w:rsidP="00173CD7">
            <w:pPr>
              <w:spacing w:after="0" w:line="240" w:lineRule="auto"/>
              <w:jc w:val="right"/>
              <w:rPr>
                <w:rFonts w:ascii="Times New Roman" w:hAnsi="Times New Roman"/>
              </w:rPr>
            </w:pPr>
          </w:p>
        </w:tc>
        <w:tc>
          <w:tcPr>
            <w:tcW w:w="713" w:type="pct"/>
            <w:gridSpan w:val="2"/>
            <w:tcBorders>
              <w:top w:val="nil"/>
              <w:left w:val="nil"/>
              <w:bottom w:val="nil"/>
              <w:right w:val="nil"/>
            </w:tcBorders>
            <w:shd w:val="clear" w:color="auto" w:fill="auto"/>
            <w:noWrap/>
            <w:vAlign w:val="bottom"/>
            <w:hideMark/>
          </w:tcPr>
          <w:p w14:paraId="78D324CA" w14:textId="77777777" w:rsidR="00173CD7" w:rsidRPr="00173CD7" w:rsidRDefault="00173CD7" w:rsidP="00173CD7">
            <w:pPr>
              <w:spacing w:after="0" w:line="240" w:lineRule="auto"/>
              <w:jc w:val="right"/>
              <w:rPr>
                <w:rFonts w:ascii="Times New Roman" w:hAnsi="Times New Roman"/>
              </w:rPr>
            </w:pPr>
          </w:p>
        </w:tc>
      </w:tr>
      <w:tr w:rsidR="00173CD7" w:rsidRPr="00173CD7" w14:paraId="5ED6259D" w14:textId="77777777" w:rsidTr="007B5C33">
        <w:trPr>
          <w:trHeight w:val="204"/>
        </w:trPr>
        <w:tc>
          <w:tcPr>
            <w:tcW w:w="1493" w:type="pct"/>
            <w:tcBorders>
              <w:top w:val="nil"/>
              <w:left w:val="nil"/>
              <w:bottom w:val="nil"/>
              <w:right w:val="nil"/>
            </w:tcBorders>
            <w:shd w:val="clear" w:color="auto" w:fill="auto"/>
            <w:noWrap/>
            <w:vAlign w:val="bottom"/>
            <w:hideMark/>
          </w:tcPr>
          <w:p w14:paraId="0185E078" w14:textId="77777777" w:rsidR="00173CD7" w:rsidRPr="00173CD7" w:rsidRDefault="00173CD7" w:rsidP="00173CD7">
            <w:pPr>
              <w:spacing w:after="0" w:line="240" w:lineRule="auto"/>
              <w:ind w:left="113"/>
              <w:rPr>
                <w:rFonts w:ascii="Arial" w:hAnsi="Arial" w:cs="Arial"/>
                <w:color w:val="000000"/>
                <w:sz w:val="16"/>
                <w:szCs w:val="16"/>
              </w:rPr>
            </w:pPr>
            <w:r w:rsidRPr="00173CD7">
              <w:rPr>
                <w:rFonts w:ascii="Arial" w:hAnsi="Arial" w:cs="Arial"/>
                <w:color w:val="000000"/>
                <w:sz w:val="16"/>
                <w:szCs w:val="16"/>
              </w:rPr>
              <w:t>Employee benefits</w:t>
            </w:r>
          </w:p>
        </w:tc>
        <w:tc>
          <w:tcPr>
            <w:tcW w:w="670" w:type="pct"/>
            <w:tcBorders>
              <w:top w:val="nil"/>
              <w:left w:val="nil"/>
              <w:bottom w:val="nil"/>
              <w:right w:val="nil"/>
            </w:tcBorders>
            <w:shd w:val="clear" w:color="auto" w:fill="auto"/>
            <w:noWrap/>
            <w:vAlign w:val="bottom"/>
            <w:hideMark/>
          </w:tcPr>
          <w:p w14:paraId="0800FCDE" w14:textId="504348BA"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16,948</w:t>
            </w:r>
          </w:p>
        </w:tc>
        <w:tc>
          <w:tcPr>
            <w:tcW w:w="715" w:type="pct"/>
            <w:tcBorders>
              <w:top w:val="nil"/>
              <w:left w:val="nil"/>
              <w:bottom w:val="nil"/>
              <w:right w:val="nil"/>
            </w:tcBorders>
            <w:shd w:val="clear" w:color="000000" w:fill="E6E6E6"/>
            <w:noWrap/>
            <w:vAlign w:val="bottom"/>
            <w:hideMark/>
          </w:tcPr>
          <w:p w14:paraId="28F176A4" w14:textId="4049DEDD"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17,284</w:t>
            </w:r>
          </w:p>
        </w:tc>
        <w:tc>
          <w:tcPr>
            <w:tcW w:w="705" w:type="pct"/>
            <w:gridSpan w:val="2"/>
            <w:tcBorders>
              <w:top w:val="nil"/>
              <w:left w:val="nil"/>
              <w:bottom w:val="nil"/>
              <w:right w:val="nil"/>
            </w:tcBorders>
            <w:shd w:val="clear" w:color="auto" w:fill="auto"/>
            <w:noWrap/>
            <w:vAlign w:val="bottom"/>
            <w:hideMark/>
          </w:tcPr>
          <w:p w14:paraId="52613414" w14:textId="6CF78F36"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16,770</w:t>
            </w:r>
          </w:p>
        </w:tc>
        <w:tc>
          <w:tcPr>
            <w:tcW w:w="705" w:type="pct"/>
            <w:gridSpan w:val="2"/>
            <w:tcBorders>
              <w:top w:val="nil"/>
              <w:left w:val="nil"/>
              <w:bottom w:val="nil"/>
              <w:right w:val="nil"/>
            </w:tcBorders>
            <w:shd w:val="clear" w:color="auto" w:fill="auto"/>
            <w:noWrap/>
            <w:vAlign w:val="bottom"/>
            <w:hideMark/>
          </w:tcPr>
          <w:p w14:paraId="7617B1D3" w14:textId="703DFD08"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16,856</w:t>
            </w:r>
          </w:p>
        </w:tc>
        <w:tc>
          <w:tcPr>
            <w:tcW w:w="713" w:type="pct"/>
            <w:gridSpan w:val="2"/>
            <w:tcBorders>
              <w:top w:val="nil"/>
              <w:left w:val="nil"/>
              <w:bottom w:val="nil"/>
              <w:right w:val="nil"/>
            </w:tcBorders>
            <w:shd w:val="clear" w:color="auto" w:fill="auto"/>
            <w:noWrap/>
            <w:vAlign w:val="bottom"/>
            <w:hideMark/>
          </w:tcPr>
          <w:p w14:paraId="060DE9FC" w14:textId="152103D6"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16,887</w:t>
            </w:r>
          </w:p>
        </w:tc>
      </w:tr>
      <w:tr w:rsidR="00173CD7" w:rsidRPr="00173CD7" w14:paraId="234333F3" w14:textId="77777777" w:rsidTr="007B5C33">
        <w:trPr>
          <w:trHeight w:val="204"/>
        </w:trPr>
        <w:tc>
          <w:tcPr>
            <w:tcW w:w="1493" w:type="pct"/>
            <w:tcBorders>
              <w:top w:val="nil"/>
              <w:left w:val="nil"/>
              <w:bottom w:val="nil"/>
              <w:right w:val="nil"/>
            </w:tcBorders>
            <w:shd w:val="clear" w:color="auto" w:fill="auto"/>
            <w:noWrap/>
            <w:vAlign w:val="bottom"/>
            <w:hideMark/>
          </w:tcPr>
          <w:p w14:paraId="586DD34C" w14:textId="77777777" w:rsidR="00173CD7" w:rsidRPr="00173CD7" w:rsidRDefault="00173CD7" w:rsidP="00173CD7">
            <w:pPr>
              <w:spacing w:after="0" w:line="240" w:lineRule="auto"/>
              <w:ind w:left="113"/>
              <w:rPr>
                <w:rFonts w:ascii="Arial" w:hAnsi="Arial" w:cs="Arial"/>
                <w:color w:val="000000"/>
                <w:sz w:val="16"/>
                <w:szCs w:val="16"/>
              </w:rPr>
            </w:pPr>
            <w:r w:rsidRPr="00173CD7">
              <w:rPr>
                <w:rFonts w:ascii="Arial" w:hAnsi="Arial" w:cs="Arial"/>
                <w:color w:val="000000"/>
                <w:sz w:val="16"/>
                <w:szCs w:val="16"/>
              </w:rPr>
              <w:t>Suppliers</w:t>
            </w:r>
          </w:p>
        </w:tc>
        <w:tc>
          <w:tcPr>
            <w:tcW w:w="670" w:type="pct"/>
            <w:tcBorders>
              <w:top w:val="nil"/>
              <w:left w:val="nil"/>
              <w:bottom w:val="nil"/>
              <w:right w:val="nil"/>
            </w:tcBorders>
            <w:shd w:val="clear" w:color="auto" w:fill="auto"/>
            <w:noWrap/>
            <w:vAlign w:val="bottom"/>
            <w:hideMark/>
          </w:tcPr>
          <w:p w14:paraId="084FED98" w14:textId="2E9CD9D2"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696,389</w:t>
            </w:r>
          </w:p>
        </w:tc>
        <w:tc>
          <w:tcPr>
            <w:tcW w:w="715" w:type="pct"/>
            <w:tcBorders>
              <w:top w:val="nil"/>
              <w:left w:val="nil"/>
              <w:bottom w:val="nil"/>
              <w:right w:val="nil"/>
            </w:tcBorders>
            <w:shd w:val="clear" w:color="000000" w:fill="E6E6E6"/>
            <w:noWrap/>
            <w:vAlign w:val="bottom"/>
            <w:hideMark/>
          </w:tcPr>
          <w:p w14:paraId="7D5A91AB" w14:textId="525D2627"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571,567</w:t>
            </w:r>
          </w:p>
        </w:tc>
        <w:tc>
          <w:tcPr>
            <w:tcW w:w="705" w:type="pct"/>
            <w:gridSpan w:val="2"/>
            <w:tcBorders>
              <w:top w:val="nil"/>
              <w:left w:val="nil"/>
              <w:bottom w:val="nil"/>
              <w:right w:val="nil"/>
            </w:tcBorders>
            <w:shd w:val="clear" w:color="auto" w:fill="auto"/>
            <w:noWrap/>
            <w:vAlign w:val="bottom"/>
            <w:hideMark/>
          </w:tcPr>
          <w:p w14:paraId="169348D5" w14:textId="5A8D9057"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579,865</w:t>
            </w:r>
          </w:p>
        </w:tc>
        <w:tc>
          <w:tcPr>
            <w:tcW w:w="705" w:type="pct"/>
            <w:gridSpan w:val="2"/>
            <w:tcBorders>
              <w:top w:val="nil"/>
              <w:left w:val="nil"/>
              <w:bottom w:val="nil"/>
              <w:right w:val="nil"/>
            </w:tcBorders>
            <w:shd w:val="clear" w:color="auto" w:fill="auto"/>
            <w:noWrap/>
            <w:vAlign w:val="bottom"/>
            <w:hideMark/>
          </w:tcPr>
          <w:p w14:paraId="2B5DC2A9" w14:textId="03E74236"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663,383</w:t>
            </w:r>
          </w:p>
        </w:tc>
        <w:tc>
          <w:tcPr>
            <w:tcW w:w="713" w:type="pct"/>
            <w:gridSpan w:val="2"/>
            <w:tcBorders>
              <w:top w:val="nil"/>
              <w:left w:val="nil"/>
              <w:bottom w:val="nil"/>
              <w:right w:val="nil"/>
            </w:tcBorders>
            <w:shd w:val="clear" w:color="auto" w:fill="auto"/>
            <w:noWrap/>
            <w:vAlign w:val="bottom"/>
            <w:hideMark/>
          </w:tcPr>
          <w:p w14:paraId="47019879" w14:textId="59E3B49C"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567,847</w:t>
            </w:r>
          </w:p>
        </w:tc>
      </w:tr>
      <w:tr w:rsidR="00173CD7" w:rsidRPr="00173CD7" w14:paraId="238EC69A" w14:textId="77777777" w:rsidTr="007B5C33">
        <w:trPr>
          <w:trHeight w:val="204"/>
        </w:trPr>
        <w:tc>
          <w:tcPr>
            <w:tcW w:w="1493" w:type="pct"/>
            <w:tcBorders>
              <w:top w:val="nil"/>
              <w:left w:val="nil"/>
              <w:bottom w:val="nil"/>
              <w:right w:val="nil"/>
            </w:tcBorders>
            <w:shd w:val="clear" w:color="auto" w:fill="auto"/>
            <w:noWrap/>
            <w:vAlign w:val="bottom"/>
            <w:hideMark/>
          </w:tcPr>
          <w:p w14:paraId="642CAA85" w14:textId="77777777" w:rsidR="00173CD7" w:rsidRPr="00173CD7" w:rsidRDefault="00173CD7" w:rsidP="00173CD7">
            <w:pPr>
              <w:spacing w:after="0" w:line="240" w:lineRule="auto"/>
              <w:ind w:left="113"/>
              <w:rPr>
                <w:rFonts w:ascii="Arial" w:hAnsi="Arial" w:cs="Arial"/>
                <w:color w:val="000000"/>
                <w:sz w:val="16"/>
                <w:szCs w:val="16"/>
              </w:rPr>
            </w:pPr>
            <w:r w:rsidRPr="00173CD7">
              <w:rPr>
                <w:rFonts w:ascii="Arial" w:hAnsi="Arial" w:cs="Arial"/>
                <w:color w:val="000000"/>
                <w:sz w:val="16"/>
                <w:szCs w:val="16"/>
              </w:rPr>
              <w:t>Subsidies</w:t>
            </w:r>
          </w:p>
        </w:tc>
        <w:tc>
          <w:tcPr>
            <w:tcW w:w="670" w:type="pct"/>
            <w:tcBorders>
              <w:top w:val="nil"/>
              <w:left w:val="nil"/>
              <w:bottom w:val="nil"/>
              <w:right w:val="nil"/>
            </w:tcBorders>
            <w:shd w:val="clear" w:color="auto" w:fill="auto"/>
            <w:noWrap/>
            <w:vAlign w:val="bottom"/>
            <w:hideMark/>
          </w:tcPr>
          <w:p w14:paraId="2096A7D4" w14:textId="0F9497D8"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984,042</w:t>
            </w:r>
          </w:p>
        </w:tc>
        <w:tc>
          <w:tcPr>
            <w:tcW w:w="715" w:type="pct"/>
            <w:tcBorders>
              <w:top w:val="nil"/>
              <w:left w:val="nil"/>
              <w:bottom w:val="nil"/>
              <w:right w:val="nil"/>
            </w:tcBorders>
            <w:shd w:val="clear" w:color="000000" w:fill="E6E6E6"/>
            <w:noWrap/>
            <w:vAlign w:val="bottom"/>
            <w:hideMark/>
          </w:tcPr>
          <w:p w14:paraId="4EB13EFD" w14:textId="529204C5"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1,083,371</w:t>
            </w:r>
          </w:p>
        </w:tc>
        <w:tc>
          <w:tcPr>
            <w:tcW w:w="705" w:type="pct"/>
            <w:gridSpan w:val="2"/>
            <w:tcBorders>
              <w:top w:val="nil"/>
              <w:left w:val="nil"/>
              <w:bottom w:val="nil"/>
              <w:right w:val="nil"/>
            </w:tcBorders>
            <w:shd w:val="clear" w:color="auto" w:fill="auto"/>
            <w:noWrap/>
            <w:vAlign w:val="bottom"/>
            <w:hideMark/>
          </w:tcPr>
          <w:p w14:paraId="00CA5AFD" w14:textId="46CDE876"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1,094,122</w:t>
            </w:r>
          </w:p>
        </w:tc>
        <w:tc>
          <w:tcPr>
            <w:tcW w:w="705" w:type="pct"/>
            <w:gridSpan w:val="2"/>
            <w:tcBorders>
              <w:top w:val="nil"/>
              <w:left w:val="nil"/>
              <w:bottom w:val="nil"/>
              <w:right w:val="nil"/>
            </w:tcBorders>
            <w:shd w:val="clear" w:color="auto" w:fill="auto"/>
            <w:noWrap/>
            <w:vAlign w:val="bottom"/>
            <w:hideMark/>
          </w:tcPr>
          <w:p w14:paraId="6E113EAD" w14:textId="645BCA1C"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1,143,020</w:t>
            </w:r>
          </w:p>
        </w:tc>
        <w:tc>
          <w:tcPr>
            <w:tcW w:w="713" w:type="pct"/>
            <w:gridSpan w:val="2"/>
            <w:tcBorders>
              <w:top w:val="nil"/>
              <w:left w:val="nil"/>
              <w:bottom w:val="nil"/>
              <w:right w:val="nil"/>
            </w:tcBorders>
            <w:shd w:val="clear" w:color="auto" w:fill="auto"/>
            <w:noWrap/>
            <w:vAlign w:val="bottom"/>
            <w:hideMark/>
          </w:tcPr>
          <w:p w14:paraId="269E577B" w14:textId="30658CCF"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1,143,126</w:t>
            </w:r>
          </w:p>
        </w:tc>
      </w:tr>
      <w:tr w:rsidR="00173CD7" w:rsidRPr="00173CD7" w14:paraId="6A479D8A" w14:textId="77777777" w:rsidTr="007B5C33">
        <w:trPr>
          <w:trHeight w:val="204"/>
        </w:trPr>
        <w:tc>
          <w:tcPr>
            <w:tcW w:w="1493" w:type="pct"/>
            <w:tcBorders>
              <w:top w:val="nil"/>
              <w:left w:val="nil"/>
              <w:bottom w:val="nil"/>
              <w:right w:val="nil"/>
            </w:tcBorders>
            <w:shd w:val="clear" w:color="auto" w:fill="auto"/>
            <w:noWrap/>
            <w:vAlign w:val="bottom"/>
            <w:hideMark/>
          </w:tcPr>
          <w:p w14:paraId="3765CF46" w14:textId="77777777" w:rsidR="00173CD7" w:rsidRPr="00173CD7" w:rsidRDefault="00173CD7" w:rsidP="00173CD7">
            <w:pPr>
              <w:spacing w:after="0" w:line="240" w:lineRule="auto"/>
              <w:ind w:left="113"/>
              <w:rPr>
                <w:rFonts w:ascii="Arial" w:hAnsi="Arial" w:cs="Arial"/>
                <w:color w:val="000000"/>
                <w:sz w:val="16"/>
                <w:szCs w:val="16"/>
              </w:rPr>
            </w:pPr>
            <w:r w:rsidRPr="00173CD7">
              <w:rPr>
                <w:rFonts w:ascii="Arial" w:hAnsi="Arial" w:cs="Arial"/>
                <w:color w:val="000000"/>
                <w:sz w:val="16"/>
                <w:szCs w:val="16"/>
              </w:rPr>
              <w:t>Grants</w:t>
            </w:r>
          </w:p>
        </w:tc>
        <w:tc>
          <w:tcPr>
            <w:tcW w:w="670" w:type="pct"/>
            <w:tcBorders>
              <w:top w:val="nil"/>
              <w:left w:val="nil"/>
              <w:bottom w:val="nil"/>
              <w:right w:val="nil"/>
            </w:tcBorders>
            <w:shd w:val="clear" w:color="auto" w:fill="auto"/>
            <w:noWrap/>
            <w:vAlign w:val="bottom"/>
            <w:hideMark/>
          </w:tcPr>
          <w:p w14:paraId="57CD754A" w14:textId="42D7A59C"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4,428,310</w:t>
            </w:r>
          </w:p>
        </w:tc>
        <w:tc>
          <w:tcPr>
            <w:tcW w:w="715" w:type="pct"/>
            <w:tcBorders>
              <w:top w:val="nil"/>
              <w:left w:val="nil"/>
              <w:bottom w:val="nil"/>
              <w:right w:val="nil"/>
            </w:tcBorders>
            <w:shd w:val="clear" w:color="000000" w:fill="E6E6E6"/>
            <w:noWrap/>
            <w:vAlign w:val="bottom"/>
            <w:hideMark/>
          </w:tcPr>
          <w:p w14:paraId="00196EF4" w14:textId="65F9254A"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6,271,401</w:t>
            </w:r>
          </w:p>
        </w:tc>
        <w:tc>
          <w:tcPr>
            <w:tcW w:w="705" w:type="pct"/>
            <w:gridSpan w:val="2"/>
            <w:tcBorders>
              <w:top w:val="nil"/>
              <w:left w:val="nil"/>
              <w:bottom w:val="nil"/>
              <w:right w:val="nil"/>
            </w:tcBorders>
            <w:shd w:val="clear" w:color="auto" w:fill="auto"/>
            <w:noWrap/>
            <w:vAlign w:val="bottom"/>
            <w:hideMark/>
          </w:tcPr>
          <w:p w14:paraId="6AC23CA9" w14:textId="22187CFF"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6,162,969</w:t>
            </w:r>
          </w:p>
        </w:tc>
        <w:tc>
          <w:tcPr>
            <w:tcW w:w="705" w:type="pct"/>
            <w:gridSpan w:val="2"/>
            <w:tcBorders>
              <w:top w:val="nil"/>
              <w:left w:val="nil"/>
              <w:bottom w:val="nil"/>
              <w:right w:val="nil"/>
            </w:tcBorders>
            <w:shd w:val="clear" w:color="auto" w:fill="auto"/>
            <w:noWrap/>
            <w:vAlign w:val="bottom"/>
            <w:hideMark/>
          </w:tcPr>
          <w:p w14:paraId="389E1E2D" w14:textId="208018CE"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6,177,263</w:t>
            </w:r>
          </w:p>
        </w:tc>
        <w:tc>
          <w:tcPr>
            <w:tcW w:w="713" w:type="pct"/>
            <w:gridSpan w:val="2"/>
            <w:tcBorders>
              <w:top w:val="nil"/>
              <w:left w:val="nil"/>
              <w:bottom w:val="nil"/>
              <w:right w:val="nil"/>
            </w:tcBorders>
            <w:shd w:val="clear" w:color="auto" w:fill="auto"/>
            <w:noWrap/>
            <w:vAlign w:val="bottom"/>
            <w:hideMark/>
          </w:tcPr>
          <w:p w14:paraId="24F8725A" w14:textId="6D446C54"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4,976,758</w:t>
            </w:r>
          </w:p>
        </w:tc>
      </w:tr>
      <w:tr w:rsidR="00173CD7" w:rsidRPr="00173CD7" w14:paraId="7E24CC8D" w14:textId="77777777" w:rsidTr="007B5C33">
        <w:trPr>
          <w:trHeight w:val="204"/>
        </w:trPr>
        <w:tc>
          <w:tcPr>
            <w:tcW w:w="1493" w:type="pct"/>
            <w:tcBorders>
              <w:top w:val="nil"/>
              <w:left w:val="nil"/>
              <w:bottom w:val="nil"/>
              <w:right w:val="nil"/>
            </w:tcBorders>
            <w:shd w:val="clear" w:color="auto" w:fill="auto"/>
            <w:noWrap/>
            <w:vAlign w:val="bottom"/>
            <w:hideMark/>
          </w:tcPr>
          <w:p w14:paraId="5873B5D6" w14:textId="10582395" w:rsidR="00173CD7" w:rsidRPr="00173CD7" w:rsidRDefault="00173CD7" w:rsidP="00173CD7">
            <w:pPr>
              <w:spacing w:after="0" w:line="240" w:lineRule="auto"/>
              <w:ind w:left="113"/>
              <w:rPr>
                <w:rFonts w:ascii="Arial" w:hAnsi="Arial" w:cs="Arial"/>
                <w:color w:val="000000"/>
                <w:sz w:val="16"/>
                <w:szCs w:val="16"/>
              </w:rPr>
            </w:pPr>
            <w:r w:rsidRPr="00173CD7">
              <w:rPr>
                <w:rFonts w:ascii="Arial" w:hAnsi="Arial" w:cs="Arial"/>
                <w:color w:val="000000"/>
                <w:sz w:val="16"/>
                <w:szCs w:val="16"/>
              </w:rPr>
              <w:t>Depreciation and amortisation</w:t>
            </w:r>
          </w:p>
        </w:tc>
        <w:tc>
          <w:tcPr>
            <w:tcW w:w="670" w:type="pct"/>
            <w:tcBorders>
              <w:top w:val="nil"/>
              <w:left w:val="nil"/>
              <w:bottom w:val="nil"/>
              <w:right w:val="nil"/>
            </w:tcBorders>
            <w:shd w:val="clear" w:color="auto" w:fill="auto"/>
            <w:noWrap/>
            <w:vAlign w:val="bottom"/>
            <w:hideMark/>
          </w:tcPr>
          <w:p w14:paraId="6A13B280" w14:textId="74FCB604"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47,619</w:t>
            </w:r>
          </w:p>
        </w:tc>
        <w:tc>
          <w:tcPr>
            <w:tcW w:w="715" w:type="pct"/>
            <w:tcBorders>
              <w:top w:val="nil"/>
              <w:left w:val="nil"/>
              <w:bottom w:val="nil"/>
              <w:right w:val="nil"/>
            </w:tcBorders>
            <w:shd w:val="clear" w:color="000000" w:fill="E6E6E6"/>
            <w:noWrap/>
            <w:vAlign w:val="bottom"/>
            <w:hideMark/>
          </w:tcPr>
          <w:p w14:paraId="10B3B796" w14:textId="1DDFC00D"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47,750</w:t>
            </w:r>
          </w:p>
        </w:tc>
        <w:tc>
          <w:tcPr>
            <w:tcW w:w="705" w:type="pct"/>
            <w:gridSpan w:val="2"/>
            <w:tcBorders>
              <w:top w:val="nil"/>
              <w:left w:val="nil"/>
              <w:bottom w:val="nil"/>
              <w:right w:val="nil"/>
            </w:tcBorders>
            <w:shd w:val="clear" w:color="auto" w:fill="auto"/>
            <w:noWrap/>
            <w:vAlign w:val="bottom"/>
            <w:hideMark/>
          </w:tcPr>
          <w:p w14:paraId="5996BC39" w14:textId="2BD76B4C"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47,173</w:t>
            </w:r>
          </w:p>
        </w:tc>
        <w:tc>
          <w:tcPr>
            <w:tcW w:w="705" w:type="pct"/>
            <w:gridSpan w:val="2"/>
            <w:tcBorders>
              <w:top w:val="nil"/>
              <w:left w:val="nil"/>
              <w:bottom w:val="nil"/>
              <w:right w:val="nil"/>
            </w:tcBorders>
            <w:shd w:val="clear" w:color="auto" w:fill="auto"/>
            <w:noWrap/>
            <w:vAlign w:val="bottom"/>
            <w:hideMark/>
          </w:tcPr>
          <w:p w14:paraId="06BFC288" w14:textId="023BFB69"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47,173</w:t>
            </w:r>
          </w:p>
        </w:tc>
        <w:tc>
          <w:tcPr>
            <w:tcW w:w="713" w:type="pct"/>
            <w:gridSpan w:val="2"/>
            <w:tcBorders>
              <w:top w:val="nil"/>
              <w:left w:val="nil"/>
              <w:bottom w:val="nil"/>
              <w:right w:val="nil"/>
            </w:tcBorders>
            <w:shd w:val="clear" w:color="auto" w:fill="auto"/>
            <w:noWrap/>
            <w:vAlign w:val="bottom"/>
            <w:hideMark/>
          </w:tcPr>
          <w:p w14:paraId="05969D7F" w14:textId="5228927B"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47,173</w:t>
            </w:r>
          </w:p>
        </w:tc>
      </w:tr>
      <w:tr w:rsidR="00173CD7" w:rsidRPr="00173CD7" w14:paraId="1A36FB8B" w14:textId="77777777" w:rsidTr="007B5C33">
        <w:trPr>
          <w:trHeight w:val="204"/>
        </w:trPr>
        <w:tc>
          <w:tcPr>
            <w:tcW w:w="1493" w:type="pct"/>
            <w:tcBorders>
              <w:top w:val="nil"/>
              <w:left w:val="nil"/>
              <w:bottom w:val="nil"/>
              <w:right w:val="nil"/>
            </w:tcBorders>
            <w:shd w:val="clear" w:color="auto" w:fill="auto"/>
            <w:noWrap/>
            <w:vAlign w:val="bottom"/>
            <w:hideMark/>
          </w:tcPr>
          <w:p w14:paraId="64C83EFF" w14:textId="77777777" w:rsidR="00173CD7" w:rsidRPr="00173CD7" w:rsidRDefault="00173CD7" w:rsidP="00173CD7">
            <w:pPr>
              <w:spacing w:after="0" w:line="240" w:lineRule="auto"/>
              <w:ind w:left="113"/>
              <w:rPr>
                <w:rFonts w:ascii="Arial" w:hAnsi="Arial" w:cs="Arial"/>
                <w:color w:val="000000"/>
                <w:sz w:val="16"/>
                <w:szCs w:val="16"/>
              </w:rPr>
            </w:pPr>
            <w:r w:rsidRPr="00173CD7">
              <w:rPr>
                <w:rFonts w:ascii="Arial" w:hAnsi="Arial" w:cs="Arial"/>
                <w:color w:val="000000"/>
                <w:sz w:val="16"/>
                <w:szCs w:val="16"/>
              </w:rPr>
              <w:t>Concessional loan discount</w:t>
            </w:r>
          </w:p>
        </w:tc>
        <w:tc>
          <w:tcPr>
            <w:tcW w:w="670" w:type="pct"/>
            <w:tcBorders>
              <w:top w:val="nil"/>
              <w:left w:val="nil"/>
              <w:bottom w:val="nil"/>
              <w:right w:val="nil"/>
            </w:tcBorders>
            <w:shd w:val="clear" w:color="auto" w:fill="auto"/>
            <w:noWrap/>
            <w:vAlign w:val="bottom"/>
            <w:hideMark/>
          </w:tcPr>
          <w:p w14:paraId="7125AD8D" w14:textId="79886062"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140,235</w:t>
            </w:r>
          </w:p>
        </w:tc>
        <w:tc>
          <w:tcPr>
            <w:tcW w:w="715" w:type="pct"/>
            <w:tcBorders>
              <w:top w:val="nil"/>
              <w:left w:val="nil"/>
              <w:bottom w:val="nil"/>
              <w:right w:val="nil"/>
            </w:tcBorders>
            <w:shd w:val="clear" w:color="000000" w:fill="E6E6E6"/>
            <w:noWrap/>
            <w:vAlign w:val="bottom"/>
            <w:hideMark/>
          </w:tcPr>
          <w:p w14:paraId="4D7FF029" w14:textId="7FE68F6D"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429,702</w:t>
            </w:r>
          </w:p>
        </w:tc>
        <w:tc>
          <w:tcPr>
            <w:tcW w:w="705" w:type="pct"/>
            <w:gridSpan w:val="2"/>
            <w:tcBorders>
              <w:top w:val="nil"/>
              <w:left w:val="nil"/>
              <w:bottom w:val="nil"/>
              <w:right w:val="nil"/>
            </w:tcBorders>
            <w:shd w:val="clear" w:color="auto" w:fill="auto"/>
            <w:noWrap/>
            <w:vAlign w:val="bottom"/>
            <w:hideMark/>
          </w:tcPr>
          <w:p w14:paraId="402D2B23" w14:textId="4B19444E"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245,130</w:t>
            </w:r>
          </w:p>
        </w:tc>
        <w:tc>
          <w:tcPr>
            <w:tcW w:w="705" w:type="pct"/>
            <w:gridSpan w:val="2"/>
            <w:tcBorders>
              <w:top w:val="nil"/>
              <w:left w:val="nil"/>
              <w:bottom w:val="nil"/>
              <w:right w:val="nil"/>
            </w:tcBorders>
            <w:shd w:val="clear" w:color="auto" w:fill="auto"/>
            <w:noWrap/>
            <w:vAlign w:val="bottom"/>
            <w:hideMark/>
          </w:tcPr>
          <w:p w14:paraId="1FDCBA2E" w14:textId="235E39FB"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181,969</w:t>
            </w:r>
          </w:p>
        </w:tc>
        <w:tc>
          <w:tcPr>
            <w:tcW w:w="713" w:type="pct"/>
            <w:gridSpan w:val="2"/>
            <w:tcBorders>
              <w:top w:val="nil"/>
              <w:left w:val="nil"/>
              <w:bottom w:val="nil"/>
              <w:right w:val="nil"/>
            </w:tcBorders>
            <w:shd w:val="clear" w:color="auto" w:fill="auto"/>
            <w:noWrap/>
            <w:vAlign w:val="bottom"/>
            <w:hideMark/>
          </w:tcPr>
          <w:p w14:paraId="71DF2FBB" w14:textId="70E31D42"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182,766</w:t>
            </w:r>
          </w:p>
        </w:tc>
      </w:tr>
      <w:tr w:rsidR="00173CD7" w:rsidRPr="00173CD7" w14:paraId="5C8A1985" w14:textId="77777777" w:rsidTr="007B5C33">
        <w:trPr>
          <w:trHeight w:val="204"/>
        </w:trPr>
        <w:tc>
          <w:tcPr>
            <w:tcW w:w="1493" w:type="pct"/>
            <w:tcBorders>
              <w:top w:val="nil"/>
              <w:left w:val="nil"/>
              <w:bottom w:val="nil"/>
              <w:right w:val="nil"/>
            </w:tcBorders>
            <w:shd w:val="clear" w:color="auto" w:fill="auto"/>
            <w:noWrap/>
            <w:vAlign w:val="bottom"/>
            <w:hideMark/>
          </w:tcPr>
          <w:p w14:paraId="4A5CB878" w14:textId="77777777" w:rsidR="00173CD7" w:rsidRPr="00173CD7" w:rsidRDefault="00173CD7" w:rsidP="00173CD7">
            <w:pPr>
              <w:spacing w:after="0" w:line="240" w:lineRule="auto"/>
              <w:ind w:left="113"/>
              <w:rPr>
                <w:rFonts w:ascii="Arial" w:hAnsi="Arial" w:cs="Arial"/>
                <w:color w:val="000000"/>
                <w:sz w:val="16"/>
                <w:szCs w:val="16"/>
              </w:rPr>
            </w:pPr>
            <w:r w:rsidRPr="00173CD7">
              <w:rPr>
                <w:rFonts w:ascii="Arial" w:hAnsi="Arial" w:cs="Arial"/>
                <w:color w:val="000000"/>
                <w:sz w:val="16"/>
                <w:szCs w:val="16"/>
              </w:rPr>
              <w:t>Write-down and impairment of assets</w:t>
            </w:r>
          </w:p>
        </w:tc>
        <w:tc>
          <w:tcPr>
            <w:tcW w:w="670" w:type="pct"/>
            <w:tcBorders>
              <w:top w:val="nil"/>
              <w:left w:val="nil"/>
              <w:bottom w:val="nil"/>
              <w:right w:val="nil"/>
            </w:tcBorders>
            <w:shd w:val="clear" w:color="auto" w:fill="auto"/>
            <w:noWrap/>
            <w:vAlign w:val="bottom"/>
            <w:hideMark/>
          </w:tcPr>
          <w:p w14:paraId="621DBD8A" w14:textId="53E66D54"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24,559</w:t>
            </w:r>
          </w:p>
        </w:tc>
        <w:tc>
          <w:tcPr>
            <w:tcW w:w="715" w:type="pct"/>
            <w:tcBorders>
              <w:top w:val="nil"/>
              <w:left w:val="nil"/>
              <w:bottom w:val="nil"/>
              <w:right w:val="nil"/>
            </w:tcBorders>
            <w:shd w:val="clear" w:color="000000" w:fill="E6E6E6"/>
            <w:noWrap/>
            <w:vAlign w:val="bottom"/>
            <w:hideMark/>
          </w:tcPr>
          <w:p w14:paraId="29FD5131" w14:textId="49FD0F33"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32,025</w:t>
            </w:r>
          </w:p>
        </w:tc>
        <w:tc>
          <w:tcPr>
            <w:tcW w:w="705" w:type="pct"/>
            <w:gridSpan w:val="2"/>
            <w:tcBorders>
              <w:top w:val="nil"/>
              <w:left w:val="nil"/>
              <w:bottom w:val="nil"/>
              <w:right w:val="nil"/>
            </w:tcBorders>
            <w:shd w:val="clear" w:color="auto" w:fill="auto"/>
            <w:noWrap/>
            <w:vAlign w:val="bottom"/>
            <w:hideMark/>
          </w:tcPr>
          <w:p w14:paraId="76209A84" w14:textId="0C3CEFA6"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33,587</w:t>
            </w:r>
          </w:p>
        </w:tc>
        <w:tc>
          <w:tcPr>
            <w:tcW w:w="705" w:type="pct"/>
            <w:gridSpan w:val="2"/>
            <w:tcBorders>
              <w:top w:val="nil"/>
              <w:left w:val="nil"/>
              <w:bottom w:val="nil"/>
              <w:right w:val="nil"/>
            </w:tcBorders>
            <w:shd w:val="clear" w:color="auto" w:fill="auto"/>
            <w:noWrap/>
            <w:vAlign w:val="bottom"/>
            <w:hideMark/>
          </w:tcPr>
          <w:p w14:paraId="5BD4B25D" w14:textId="18C257CC"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30,381</w:t>
            </w:r>
          </w:p>
        </w:tc>
        <w:tc>
          <w:tcPr>
            <w:tcW w:w="713" w:type="pct"/>
            <w:gridSpan w:val="2"/>
            <w:tcBorders>
              <w:top w:val="nil"/>
              <w:left w:val="nil"/>
              <w:bottom w:val="nil"/>
              <w:right w:val="nil"/>
            </w:tcBorders>
            <w:shd w:val="clear" w:color="auto" w:fill="auto"/>
            <w:noWrap/>
            <w:vAlign w:val="bottom"/>
            <w:hideMark/>
          </w:tcPr>
          <w:p w14:paraId="09CB6FBB" w14:textId="72AEF231"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30,017</w:t>
            </w:r>
          </w:p>
        </w:tc>
      </w:tr>
      <w:tr w:rsidR="00173CD7" w:rsidRPr="00173CD7" w14:paraId="604ECE90" w14:textId="77777777" w:rsidTr="007B5C33">
        <w:trPr>
          <w:trHeight w:val="204"/>
        </w:trPr>
        <w:tc>
          <w:tcPr>
            <w:tcW w:w="1493" w:type="pct"/>
            <w:tcBorders>
              <w:top w:val="nil"/>
              <w:left w:val="nil"/>
              <w:bottom w:val="nil"/>
              <w:right w:val="nil"/>
            </w:tcBorders>
            <w:shd w:val="clear" w:color="auto" w:fill="auto"/>
            <w:noWrap/>
            <w:vAlign w:val="bottom"/>
            <w:hideMark/>
          </w:tcPr>
          <w:p w14:paraId="3901F32F" w14:textId="77777777" w:rsidR="00173CD7" w:rsidRPr="00173CD7" w:rsidRDefault="00173CD7" w:rsidP="00173CD7">
            <w:pPr>
              <w:spacing w:after="0" w:line="240" w:lineRule="auto"/>
              <w:ind w:left="113"/>
              <w:rPr>
                <w:rFonts w:ascii="Arial" w:hAnsi="Arial" w:cs="Arial"/>
                <w:color w:val="000000"/>
                <w:sz w:val="16"/>
                <w:szCs w:val="16"/>
              </w:rPr>
            </w:pPr>
            <w:r w:rsidRPr="00173CD7">
              <w:rPr>
                <w:rFonts w:ascii="Arial" w:hAnsi="Arial" w:cs="Arial"/>
                <w:color w:val="000000"/>
                <w:sz w:val="16"/>
                <w:szCs w:val="16"/>
              </w:rPr>
              <w:t>Payments to corporate entities</w:t>
            </w:r>
          </w:p>
        </w:tc>
        <w:tc>
          <w:tcPr>
            <w:tcW w:w="670" w:type="pct"/>
            <w:tcBorders>
              <w:top w:val="nil"/>
              <w:left w:val="nil"/>
              <w:bottom w:val="nil"/>
              <w:right w:val="nil"/>
            </w:tcBorders>
            <w:shd w:val="clear" w:color="auto" w:fill="auto"/>
            <w:noWrap/>
            <w:vAlign w:val="bottom"/>
            <w:hideMark/>
          </w:tcPr>
          <w:p w14:paraId="1ADB332F" w14:textId="3C8E2DC6"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2,156,760</w:t>
            </w:r>
          </w:p>
        </w:tc>
        <w:tc>
          <w:tcPr>
            <w:tcW w:w="715" w:type="pct"/>
            <w:tcBorders>
              <w:top w:val="nil"/>
              <w:left w:val="nil"/>
              <w:bottom w:val="nil"/>
              <w:right w:val="nil"/>
            </w:tcBorders>
            <w:shd w:val="clear" w:color="000000" w:fill="E6E6E6"/>
            <w:noWrap/>
            <w:vAlign w:val="bottom"/>
            <w:hideMark/>
          </w:tcPr>
          <w:p w14:paraId="66475522" w14:textId="357ED507"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2,318,742</w:t>
            </w:r>
          </w:p>
        </w:tc>
        <w:tc>
          <w:tcPr>
            <w:tcW w:w="705" w:type="pct"/>
            <w:gridSpan w:val="2"/>
            <w:tcBorders>
              <w:top w:val="nil"/>
              <w:left w:val="nil"/>
              <w:bottom w:val="nil"/>
              <w:right w:val="nil"/>
            </w:tcBorders>
            <w:shd w:val="clear" w:color="auto" w:fill="auto"/>
            <w:noWrap/>
            <w:vAlign w:val="bottom"/>
            <w:hideMark/>
          </w:tcPr>
          <w:p w14:paraId="5999E8FE" w14:textId="5DBF4E0D"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2,358,064</w:t>
            </w:r>
          </w:p>
        </w:tc>
        <w:tc>
          <w:tcPr>
            <w:tcW w:w="705" w:type="pct"/>
            <w:gridSpan w:val="2"/>
            <w:tcBorders>
              <w:top w:val="nil"/>
              <w:left w:val="nil"/>
              <w:bottom w:val="nil"/>
              <w:right w:val="nil"/>
            </w:tcBorders>
            <w:shd w:val="clear" w:color="auto" w:fill="auto"/>
            <w:noWrap/>
            <w:vAlign w:val="bottom"/>
            <w:hideMark/>
          </w:tcPr>
          <w:p w14:paraId="008C4AD8" w14:textId="0F2220C4"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2,421,161</w:t>
            </w:r>
          </w:p>
        </w:tc>
        <w:tc>
          <w:tcPr>
            <w:tcW w:w="713" w:type="pct"/>
            <w:gridSpan w:val="2"/>
            <w:tcBorders>
              <w:top w:val="nil"/>
              <w:left w:val="nil"/>
              <w:bottom w:val="nil"/>
              <w:right w:val="nil"/>
            </w:tcBorders>
            <w:shd w:val="clear" w:color="auto" w:fill="auto"/>
            <w:noWrap/>
            <w:vAlign w:val="bottom"/>
            <w:hideMark/>
          </w:tcPr>
          <w:p w14:paraId="211FE988" w14:textId="2B4FC317"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2,450,348</w:t>
            </w:r>
          </w:p>
        </w:tc>
      </w:tr>
      <w:tr w:rsidR="00173CD7" w:rsidRPr="00173CD7" w14:paraId="44698FD9" w14:textId="77777777" w:rsidTr="007B5C33">
        <w:trPr>
          <w:trHeight w:val="204"/>
        </w:trPr>
        <w:tc>
          <w:tcPr>
            <w:tcW w:w="1493" w:type="pct"/>
            <w:tcBorders>
              <w:top w:val="nil"/>
              <w:left w:val="nil"/>
              <w:bottom w:val="nil"/>
              <w:right w:val="nil"/>
            </w:tcBorders>
            <w:shd w:val="clear" w:color="auto" w:fill="auto"/>
            <w:noWrap/>
            <w:vAlign w:val="bottom"/>
            <w:hideMark/>
          </w:tcPr>
          <w:p w14:paraId="4A574C95" w14:textId="77777777" w:rsidR="00173CD7" w:rsidRPr="00173CD7" w:rsidRDefault="00173CD7" w:rsidP="00173CD7">
            <w:pPr>
              <w:spacing w:after="0" w:line="240" w:lineRule="auto"/>
              <w:ind w:left="113"/>
              <w:rPr>
                <w:rFonts w:ascii="Arial" w:hAnsi="Arial" w:cs="Arial"/>
                <w:color w:val="000000"/>
                <w:sz w:val="16"/>
                <w:szCs w:val="16"/>
              </w:rPr>
            </w:pPr>
            <w:r w:rsidRPr="00173CD7">
              <w:rPr>
                <w:rFonts w:ascii="Arial" w:hAnsi="Arial" w:cs="Arial"/>
                <w:color w:val="000000"/>
                <w:sz w:val="16"/>
                <w:szCs w:val="16"/>
              </w:rPr>
              <w:t>Other expenses</w:t>
            </w:r>
          </w:p>
        </w:tc>
        <w:tc>
          <w:tcPr>
            <w:tcW w:w="670" w:type="pct"/>
            <w:tcBorders>
              <w:top w:val="nil"/>
              <w:left w:val="nil"/>
              <w:bottom w:val="nil"/>
              <w:right w:val="nil"/>
            </w:tcBorders>
            <w:shd w:val="clear" w:color="auto" w:fill="auto"/>
            <w:noWrap/>
            <w:vAlign w:val="bottom"/>
            <w:hideMark/>
          </w:tcPr>
          <w:p w14:paraId="1221BF42" w14:textId="2DFC1290"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8,642</w:t>
            </w:r>
          </w:p>
        </w:tc>
        <w:tc>
          <w:tcPr>
            <w:tcW w:w="715" w:type="pct"/>
            <w:tcBorders>
              <w:top w:val="nil"/>
              <w:left w:val="nil"/>
              <w:bottom w:val="nil"/>
              <w:right w:val="nil"/>
            </w:tcBorders>
            <w:shd w:val="clear" w:color="000000" w:fill="E6E6E6"/>
            <w:noWrap/>
            <w:vAlign w:val="bottom"/>
            <w:hideMark/>
          </w:tcPr>
          <w:p w14:paraId="33B2F343" w14:textId="3A60E38C"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8,040</w:t>
            </w:r>
          </w:p>
        </w:tc>
        <w:tc>
          <w:tcPr>
            <w:tcW w:w="705" w:type="pct"/>
            <w:gridSpan w:val="2"/>
            <w:tcBorders>
              <w:top w:val="nil"/>
              <w:left w:val="nil"/>
              <w:bottom w:val="nil"/>
              <w:right w:val="nil"/>
            </w:tcBorders>
            <w:shd w:val="clear" w:color="auto" w:fill="auto"/>
            <w:noWrap/>
            <w:vAlign w:val="bottom"/>
            <w:hideMark/>
          </w:tcPr>
          <w:p w14:paraId="732B123A" w14:textId="32064568"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8,115</w:t>
            </w:r>
          </w:p>
        </w:tc>
        <w:tc>
          <w:tcPr>
            <w:tcW w:w="705" w:type="pct"/>
            <w:gridSpan w:val="2"/>
            <w:tcBorders>
              <w:top w:val="nil"/>
              <w:left w:val="nil"/>
              <w:bottom w:val="nil"/>
              <w:right w:val="nil"/>
            </w:tcBorders>
            <w:shd w:val="clear" w:color="auto" w:fill="auto"/>
            <w:noWrap/>
            <w:vAlign w:val="bottom"/>
            <w:hideMark/>
          </w:tcPr>
          <w:p w14:paraId="56672072" w14:textId="35A16E90"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600</w:t>
            </w:r>
          </w:p>
        </w:tc>
        <w:tc>
          <w:tcPr>
            <w:tcW w:w="713" w:type="pct"/>
            <w:gridSpan w:val="2"/>
            <w:tcBorders>
              <w:top w:val="nil"/>
              <w:left w:val="nil"/>
              <w:bottom w:val="nil"/>
              <w:right w:val="nil"/>
            </w:tcBorders>
            <w:shd w:val="clear" w:color="auto" w:fill="auto"/>
            <w:noWrap/>
            <w:vAlign w:val="bottom"/>
            <w:hideMark/>
          </w:tcPr>
          <w:p w14:paraId="4D54AC7A" w14:textId="0D1B649B"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600</w:t>
            </w:r>
          </w:p>
        </w:tc>
      </w:tr>
      <w:tr w:rsidR="00173CD7" w:rsidRPr="00173CD7" w14:paraId="34EE95AC" w14:textId="77777777" w:rsidTr="007B5C33">
        <w:trPr>
          <w:trHeight w:val="204"/>
        </w:trPr>
        <w:tc>
          <w:tcPr>
            <w:tcW w:w="1493" w:type="pct"/>
            <w:tcBorders>
              <w:top w:val="nil"/>
              <w:left w:val="nil"/>
              <w:bottom w:val="nil"/>
              <w:right w:val="nil"/>
            </w:tcBorders>
            <w:shd w:val="clear" w:color="auto" w:fill="auto"/>
            <w:vAlign w:val="bottom"/>
            <w:hideMark/>
          </w:tcPr>
          <w:p w14:paraId="20C05545" w14:textId="594523A6" w:rsidR="00173CD7" w:rsidRPr="00173CD7" w:rsidRDefault="00173CD7" w:rsidP="00173CD7">
            <w:pPr>
              <w:spacing w:after="0" w:line="240" w:lineRule="auto"/>
              <w:rPr>
                <w:rFonts w:ascii="Arial" w:hAnsi="Arial" w:cs="Arial"/>
                <w:b/>
                <w:bCs/>
                <w:color w:val="000000"/>
                <w:sz w:val="16"/>
                <w:szCs w:val="16"/>
              </w:rPr>
            </w:pPr>
            <w:r w:rsidRPr="00173CD7">
              <w:rPr>
                <w:rFonts w:ascii="Arial" w:hAnsi="Arial" w:cs="Arial"/>
                <w:b/>
                <w:bCs/>
                <w:color w:val="000000"/>
                <w:sz w:val="16"/>
                <w:szCs w:val="16"/>
              </w:rPr>
              <w:t>Total expenses administered on behalf of Government</w:t>
            </w:r>
          </w:p>
        </w:tc>
        <w:tc>
          <w:tcPr>
            <w:tcW w:w="670" w:type="pct"/>
            <w:tcBorders>
              <w:top w:val="single" w:sz="4" w:space="0" w:color="auto"/>
              <w:left w:val="nil"/>
              <w:bottom w:val="single" w:sz="4" w:space="0" w:color="auto"/>
              <w:right w:val="nil"/>
            </w:tcBorders>
            <w:shd w:val="clear" w:color="auto" w:fill="auto"/>
            <w:noWrap/>
            <w:vAlign w:val="bottom"/>
            <w:hideMark/>
          </w:tcPr>
          <w:p w14:paraId="0D93FEF4" w14:textId="6EEF3D10" w:rsidR="00173CD7" w:rsidRPr="00173CD7" w:rsidRDefault="00173CD7" w:rsidP="00173CD7">
            <w:pPr>
              <w:spacing w:after="0" w:line="240" w:lineRule="auto"/>
              <w:jc w:val="right"/>
              <w:rPr>
                <w:rFonts w:ascii="Arial" w:hAnsi="Arial" w:cs="Arial"/>
                <w:b/>
                <w:bCs/>
                <w:color w:val="000000"/>
                <w:sz w:val="16"/>
                <w:szCs w:val="16"/>
              </w:rPr>
            </w:pPr>
            <w:r w:rsidRPr="00173CD7">
              <w:rPr>
                <w:rFonts w:ascii="Arial" w:hAnsi="Arial" w:cs="Arial"/>
                <w:b/>
                <w:bCs/>
                <w:color w:val="000000"/>
                <w:sz w:val="16"/>
                <w:szCs w:val="16"/>
              </w:rPr>
              <w:t>8,503,504</w:t>
            </w:r>
          </w:p>
        </w:tc>
        <w:tc>
          <w:tcPr>
            <w:tcW w:w="715" w:type="pct"/>
            <w:tcBorders>
              <w:top w:val="single" w:sz="4" w:space="0" w:color="auto"/>
              <w:left w:val="nil"/>
              <w:bottom w:val="single" w:sz="4" w:space="0" w:color="auto"/>
              <w:right w:val="nil"/>
            </w:tcBorders>
            <w:shd w:val="clear" w:color="000000" w:fill="E6E6E6"/>
            <w:noWrap/>
            <w:vAlign w:val="bottom"/>
            <w:hideMark/>
          </w:tcPr>
          <w:p w14:paraId="01A883AD" w14:textId="6B0675D6" w:rsidR="00173CD7" w:rsidRPr="00173CD7" w:rsidRDefault="00173CD7" w:rsidP="00173CD7">
            <w:pPr>
              <w:spacing w:after="0" w:line="240" w:lineRule="auto"/>
              <w:jc w:val="right"/>
              <w:rPr>
                <w:rFonts w:ascii="Arial" w:hAnsi="Arial" w:cs="Arial"/>
                <w:b/>
                <w:bCs/>
                <w:color w:val="000000"/>
                <w:sz w:val="16"/>
                <w:szCs w:val="16"/>
              </w:rPr>
            </w:pPr>
            <w:r w:rsidRPr="00173CD7">
              <w:rPr>
                <w:rFonts w:ascii="Arial" w:hAnsi="Arial" w:cs="Arial"/>
                <w:b/>
                <w:bCs/>
                <w:color w:val="000000"/>
                <w:sz w:val="16"/>
                <w:szCs w:val="16"/>
              </w:rPr>
              <w:t>10,779,882</w:t>
            </w:r>
          </w:p>
        </w:tc>
        <w:tc>
          <w:tcPr>
            <w:tcW w:w="705" w:type="pct"/>
            <w:gridSpan w:val="2"/>
            <w:tcBorders>
              <w:top w:val="single" w:sz="4" w:space="0" w:color="auto"/>
              <w:left w:val="nil"/>
              <w:bottom w:val="single" w:sz="4" w:space="0" w:color="auto"/>
              <w:right w:val="nil"/>
            </w:tcBorders>
            <w:shd w:val="clear" w:color="auto" w:fill="auto"/>
            <w:noWrap/>
            <w:vAlign w:val="bottom"/>
            <w:hideMark/>
          </w:tcPr>
          <w:p w14:paraId="38D03DB1" w14:textId="71E389A7" w:rsidR="00173CD7" w:rsidRPr="00173CD7" w:rsidRDefault="00173CD7" w:rsidP="00173CD7">
            <w:pPr>
              <w:spacing w:after="0" w:line="240" w:lineRule="auto"/>
              <w:jc w:val="right"/>
              <w:rPr>
                <w:rFonts w:ascii="Arial" w:hAnsi="Arial" w:cs="Arial"/>
                <w:b/>
                <w:bCs/>
                <w:color w:val="000000"/>
                <w:sz w:val="16"/>
                <w:szCs w:val="16"/>
              </w:rPr>
            </w:pPr>
            <w:r w:rsidRPr="00173CD7">
              <w:rPr>
                <w:rFonts w:ascii="Arial" w:hAnsi="Arial" w:cs="Arial"/>
                <w:b/>
                <w:bCs/>
                <w:color w:val="000000"/>
                <w:sz w:val="16"/>
                <w:szCs w:val="16"/>
              </w:rPr>
              <w:t>10,545,795</w:t>
            </w:r>
          </w:p>
        </w:tc>
        <w:tc>
          <w:tcPr>
            <w:tcW w:w="705" w:type="pct"/>
            <w:gridSpan w:val="2"/>
            <w:tcBorders>
              <w:top w:val="single" w:sz="4" w:space="0" w:color="auto"/>
              <w:left w:val="nil"/>
              <w:bottom w:val="single" w:sz="4" w:space="0" w:color="auto"/>
              <w:right w:val="nil"/>
            </w:tcBorders>
            <w:shd w:val="clear" w:color="auto" w:fill="auto"/>
            <w:noWrap/>
            <w:vAlign w:val="bottom"/>
            <w:hideMark/>
          </w:tcPr>
          <w:p w14:paraId="27DB91D6" w14:textId="4124AFB3" w:rsidR="00173CD7" w:rsidRPr="00173CD7" w:rsidRDefault="00173CD7" w:rsidP="00173CD7">
            <w:pPr>
              <w:spacing w:after="0" w:line="240" w:lineRule="auto"/>
              <w:jc w:val="right"/>
              <w:rPr>
                <w:rFonts w:ascii="Arial" w:hAnsi="Arial" w:cs="Arial"/>
                <w:b/>
                <w:bCs/>
                <w:color w:val="000000"/>
                <w:sz w:val="16"/>
                <w:szCs w:val="16"/>
              </w:rPr>
            </w:pPr>
            <w:r w:rsidRPr="00173CD7">
              <w:rPr>
                <w:rFonts w:ascii="Arial" w:hAnsi="Arial" w:cs="Arial"/>
                <w:b/>
                <w:bCs/>
                <w:color w:val="000000"/>
                <w:sz w:val="16"/>
                <w:szCs w:val="16"/>
              </w:rPr>
              <w:t>10,681,806</w:t>
            </w:r>
          </w:p>
        </w:tc>
        <w:tc>
          <w:tcPr>
            <w:tcW w:w="713" w:type="pct"/>
            <w:gridSpan w:val="2"/>
            <w:tcBorders>
              <w:top w:val="single" w:sz="4" w:space="0" w:color="auto"/>
              <w:left w:val="nil"/>
              <w:bottom w:val="single" w:sz="4" w:space="0" w:color="auto"/>
              <w:right w:val="nil"/>
            </w:tcBorders>
            <w:shd w:val="clear" w:color="auto" w:fill="auto"/>
            <w:noWrap/>
            <w:vAlign w:val="bottom"/>
            <w:hideMark/>
          </w:tcPr>
          <w:p w14:paraId="2D767837" w14:textId="37752C63" w:rsidR="00173CD7" w:rsidRPr="00173CD7" w:rsidRDefault="00173CD7" w:rsidP="00173CD7">
            <w:pPr>
              <w:spacing w:after="0" w:line="240" w:lineRule="auto"/>
              <w:jc w:val="right"/>
              <w:rPr>
                <w:rFonts w:ascii="Arial" w:hAnsi="Arial" w:cs="Arial"/>
                <w:b/>
                <w:bCs/>
                <w:color w:val="000000"/>
                <w:sz w:val="16"/>
                <w:szCs w:val="16"/>
              </w:rPr>
            </w:pPr>
            <w:r w:rsidRPr="00173CD7">
              <w:rPr>
                <w:rFonts w:ascii="Arial" w:hAnsi="Arial" w:cs="Arial"/>
                <w:b/>
                <w:bCs/>
                <w:color w:val="000000"/>
                <w:sz w:val="16"/>
                <w:szCs w:val="16"/>
              </w:rPr>
              <w:t>9,415,522</w:t>
            </w:r>
          </w:p>
        </w:tc>
      </w:tr>
      <w:tr w:rsidR="00173CD7" w:rsidRPr="00173CD7" w14:paraId="1067A979" w14:textId="77777777" w:rsidTr="007B5C33">
        <w:trPr>
          <w:trHeight w:val="204"/>
        </w:trPr>
        <w:tc>
          <w:tcPr>
            <w:tcW w:w="1493" w:type="pct"/>
            <w:tcBorders>
              <w:top w:val="nil"/>
              <w:left w:val="nil"/>
              <w:bottom w:val="nil"/>
              <w:right w:val="nil"/>
            </w:tcBorders>
            <w:shd w:val="clear" w:color="auto" w:fill="auto"/>
            <w:noWrap/>
            <w:vAlign w:val="bottom"/>
            <w:hideMark/>
          </w:tcPr>
          <w:p w14:paraId="3FF0AA19" w14:textId="77777777" w:rsidR="00173CD7" w:rsidRPr="00173CD7" w:rsidRDefault="00173CD7" w:rsidP="00173CD7">
            <w:pPr>
              <w:spacing w:after="0" w:line="240" w:lineRule="auto"/>
              <w:rPr>
                <w:rFonts w:ascii="Arial" w:hAnsi="Arial" w:cs="Arial"/>
                <w:b/>
                <w:bCs/>
                <w:color w:val="000000"/>
                <w:sz w:val="16"/>
                <w:szCs w:val="16"/>
              </w:rPr>
            </w:pPr>
            <w:r w:rsidRPr="00173CD7">
              <w:rPr>
                <w:rFonts w:ascii="Arial" w:hAnsi="Arial" w:cs="Arial"/>
                <w:b/>
                <w:bCs/>
                <w:color w:val="000000"/>
                <w:sz w:val="16"/>
                <w:szCs w:val="16"/>
              </w:rPr>
              <w:t>LESS:</w:t>
            </w:r>
          </w:p>
        </w:tc>
        <w:tc>
          <w:tcPr>
            <w:tcW w:w="670" w:type="pct"/>
            <w:tcBorders>
              <w:top w:val="nil"/>
              <w:left w:val="nil"/>
              <w:bottom w:val="nil"/>
              <w:right w:val="nil"/>
            </w:tcBorders>
            <w:shd w:val="clear" w:color="auto" w:fill="auto"/>
            <w:noWrap/>
            <w:vAlign w:val="bottom"/>
            <w:hideMark/>
          </w:tcPr>
          <w:p w14:paraId="0EBA46EB" w14:textId="77777777" w:rsidR="00173CD7" w:rsidRPr="00173CD7" w:rsidRDefault="00173CD7" w:rsidP="00173CD7">
            <w:pPr>
              <w:spacing w:after="0" w:line="240" w:lineRule="auto"/>
              <w:jc w:val="right"/>
              <w:rPr>
                <w:rFonts w:ascii="Arial" w:hAnsi="Arial" w:cs="Arial"/>
                <w:b/>
                <w:bCs/>
                <w:color w:val="000000"/>
                <w:sz w:val="16"/>
                <w:szCs w:val="16"/>
              </w:rPr>
            </w:pPr>
          </w:p>
        </w:tc>
        <w:tc>
          <w:tcPr>
            <w:tcW w:w="715" w:type="pct"/>
            <w:tcBorders>
              <w:top w:val="nil"/>
              <w:left w:val="nil"/>
              <w:bottom w:val="nil"/>
              <w:right w:val="nil"/>
            </w:tcBorders>
            <w:shd w:val="clear" w:color="000000" w:fill="E6E6E6"/>
            <w:noWrap/>
            <w:vAlign w:val="bottom"/>
            <w:hideMark/>
          </w:tcPr>
          <w:p w14:paraId="1B3F63F0" w14:textId="25349AF2" w:rsidR="00173CD7" w:rsidRPr="00173CD7" w:rsidRDefault="00173CD7" w:rsidP="00173CD7">
            <w:pPr>
              <w:spacing w:after="0" w:line="240" w:lineRule="auto"/>
              <w:jc w:val="right"/>
              <w:rPr>
                <w:rFonts w:ascii="Arial" w:hAnsi="Arial" w:cs="Arial"/>
                <w:color w:val="000000"/>
                <w:sz w:val="16"/>
                <w:szCs w:val="16"/>
              </w:rPr>
            </w:pPr>
          </w:p>
        </w:tc>
        <w:tc>
          <w:tcPr>
            <w:tcW w:w="705" w:type="pct"/>
            <w:gridSpan w:val="2"/>
            <w:tcBorders>
              <w:top w:val="nil"/>
              <w:left w:val="nil"/>
              <w:bottom w:val="nil"/>
              <w:right w:val="nil"/>
            </w:tcBorders>
            <w:shd w:val="clear" w:color="auto" w:fill="auto"/>
            <w:noWrap/>
            <w:vAlign w:val="bottom"/>
            <w:hideMark/>
          </w:tcPr>
          <w:p w14:paraId="69E9BB5D" w14:textId="77777777" w:rsidR="00173CD7" w:rsidRPr="00173CD7" w:rsidRDefault="00173CD7" w:rsidP="00173CD7">
            <w:pPr>
              <w:spacing w:after="0" w:line="240" w:lineRule="auto"/>
              <w:jc w:val="right"/>
              <w:rPr>
                <w:rFonts w:ascii="Arial" w:hAnsi="Arial" w:cs="Arial"/>
                <w:color w:val="000000"/>
                <w:sz w:val="16"/>
                <w:szCs w:val="16"/>
              </w:rPr>
            </w:pPr>
          </w:p>
        </w:tc>
        <w:tc>
          <w:tcPr>
            <w:tcW w:w="705" w:type="pct"/>
            <w:gridSpan w:val="2"/>
            <w:tcBorders>
              <w:top w:val="nil"/>
              <w:left w:val="nil"/>
              <w:bottom w:val="nil"/>
              <w:right w:val="nil"/>
            </w:tcBorders>
            <w:shd w:val="clear" w:color="auto" w:fill="auto"/>
            <w:noWrap/>
            <w:vAlign w:val="bottom"/>
            <w:hideMark/>
          </w:tcPr>
          <w:p w14:paraId="46C5BC12" w14:textId="77777777" w:rsidR="00173CD7" w:rsidRPr="00173CD7" w:rsidRDefault="00173CD7" w:rsidP="00173CD7">
            <w:pPr>
              <w:spacing w:after="0" w:line="240" w:lineRule="auto"/>
              <w:jc w:val="right"/>
              <w:rPr>
                <w:rFonts w:ascii="Times New Roman" w:hAnsi="Times New Roman"/>
              </w:rPr>
            </w:pPr>
          </w:p>
        </w:tc>
        <w:tc>
          <w:tcPr>
            <w:tcW w:w="713" w:type="pct"/>
            <w:gridSpan w:val="2"/>
            <w:tcBorders>
              <w:top w:val="nil"/>
              <w:left w:val="nil"/>
              <w:bottom w:val="nil"/>
              <w:right w:val="nil"/>
            </w:tcBorders>
            <w:shd w:val="clear" w:color="auto" w:fill="auto"/>
            <w:noWrap/>
            <w:vAlign w:val="bottom"/>
            <w:hideMark/>
          </w:tcPr>
          <w:p w14:paraId="2ACCDDD9" w14:textId="77777777" w:rsidR="00173CD7" w:rsidRPr="00173CD7" w:rsidRDefault="00173CD7" w:rsidP="00173CD7">
            <w:pPr>
              <w:spacing w:after="0" w:line="240" w:lineRule="auto"/>
              <w:jc w:val="right"/>
              <w:rPr>
                <w:rFonts w:ascii="Times New Roman" w:hAnsi="Times New Roman"/>
              </w:rPr>
            </w:pPr>
          </w:p>
        </w:tc>
      </w:tr>
      <w:tr w:rsidR="00173CD7" w:rsidRPr="00173CD7" w14:paraId="2148100A" w14:textId="77777777" w:rsidTr="007B5C33">
        <w:trPr>
          <w:trHeight w:val="204"/>
        </w:trPr>
        <w:tc>
          <w:tcPr>
            <w:tcW w:w="1493" w:type="pct"/>
            <w:tcBorders>
              <w:top w:val="nil"/>
              <w:left w:val="nil"/>
              <w:bottom w:val="nil"/>
              <w:right w:val="nil"/>
            </w:tcBorders>
            <w:shd w:val="clear" w:color="auto" w:fill="auto"/>
            <w:noWrap/>
            <w:vAlign w:val="bottom"/>
            <w:hideMark/>
          </w:tcPr>
          <w:p w14:paraId="73DD400D" w14:textId="77777777" w:rsidR="00173CD7" w:rsidRPr="00173CD7" w:rsidRDefault="00173CD7" w:rsidP="00173CD7">
            <w:pPr>
              <w:spacing w:after="0" w:line="240" w:lineRule="auto"/>
              <w:rPr>
                <w:rFonts w:ascii="Arial" w:hAnsi="Arial" w:cs="Arial"/>
                <w:b/>
                <w:bCs/>
                <w:color w:val="000000"/>
                <w:sz w:val="16"/>
                <w:szCs w:val="16"/>
              </w:rPr>
            </w:pPr>
            <w:r w:rsidRPr="00173CD7">
              <w:rPr>
                <w:rFonts w:ascii="Arial" w:hAnsi="Arial" w:cs="Arial"/>
                <w:b/>
                <w:bCs/>
                <w:color w:val="000000"/>
                <w:sz w:val="16"/>
                <w:szCs w:val="16"/>
              </w:rPr>
              <w:t>OWN-SOURCE INCOME</w:t>
            </w:r>
          </w:p>
        </w:tc>
        <w:tc>
          <w:tcPr>
            <w:tcW w:w="670" w:type="pct"/>
            <w:tcBorders>
              <w:top w:val="nil"/>
              <w:left w:val="nil"/>
              <w:bottom w:val="nil"/>
              <w:right w:val="nil"/>
            </w:tcBorders>
            <w:shd w:val="clear" w:color="auto" w:fill="auto"/>
            <w:noWrap/>
            <w:vAlign w:val="bottom"/>
            <w:hideMark/>
          </w:tcPr>
          <w:p w14:paraId="09EF1C4D" w14:textId="77777777" w:rsidR="00173CD7" w:rsidRPr="00173CD7" w:rsidRDefault="00173CD7" w:rsidP="00173CD7">
            <w:pPr>
              <w:spacing w:after="0" w:line="240" w:lineRule="auto"/>
              <w:jc w:val="right"/>
              <w:rPr>
                <w:rFonts w:ascii="Arial" w:hAnsi="Arial" w:cs="Arial"/>
                <w:b/>
                <w:bCs/>
                <w:color w:val="000000"/>
                <w:sz w:val="16"/>
                <w:szCs w:val="16"/>
              </w:rPr>
            </w:pPr>
          </w:p>
        </w:tc>
        <w:tc>
          <w:tcPr>
            <w:tcW w:w="715" w:type="pct"/>
            <w:tcBorders>
              <w:top w:val="nil"/>
              <w:left w:val="nil"/>
              <w:bottom w:val="nil"/>
              <w:right w:val="nil"/>
            </w:tcBorders>
            <w:shd w:val="clear" w:color="000000" w:fill="E6E6E6"/>
            <w:noWrap/>
            <w:vAlign w:val="bottom"/>
            <w:hideMark/>
          </w:tcPr>
          <w:p w14:paraId="351D66E7" w14:textId="6E290C9B" w:rsidR="00173CD7" w:rsidRPr="00173CD7" w:rsidRDefault="00173CD7" w:rsidP="00173CD7">
            <w:pPr>
              <w:spacing w:after="0" w:line="240" w:lineRule="auto"/>
              <w:jc w:val="right"/>
              <w:rPr>
                <w:rFonts w:ascii="Arial" w:hAnsi="Arial" w:cs="Arial"/>
                <w:color w:val="000000"/>
                <w:sz w:val="16"/>
                <w:szCs w:val="16"/>
              </w:rPr>
            </w:pPr>
          </w:p>
        </w:tc>
        <w:tc>
          <w:tcPr>
            <w:tcW w:w="705" w:type="pct"/>
            <w:gridSpan w:val="2"/>
            <w:tcBorders>
              <w:top w:val="nil"/>
              <w:left w:val="nil"/>
              <w:bottom w:val="nil"/>
              <w:right w:val="nil"/>
            </w:tcBorders>
            <w:shd w:val="clear" w:color="auto" w:fill="auto"/>
            <w:noWrap/>
            <w:vAlign w:val="bottom"/>
            <w:hideMark/>
          </w:tcPr>
          <w:p w14:paraId="440176D9" w14:textId="77777777" w:rsidR="00173CD7" w:rsidRPr="00173CD7" w:rsidRDefault="00173CD7" w:rsidP="00173CD7">
            <w:pPr>
              <w:spacing w:after="0" w:line="240" w:lineRule="auto"/>
              <w:jc w:val="right"/>
              <w:rPr>
                <w:rFonts w:ascii="Arial" w:hAnsi="Arial" w:cs="Arial"/>
                <w:color w:val="000000"/>
                <w:sz w:val="16"/>
                <w:szCs w:val="16"/>
              </w:rPr>
            </w:pPr>
          </w:p>
        </w:tc>
        <w:tc>
          <w:tcPr>
            <w:tcW w:w="705" w:type="pct"/>
            <w:gridSpan w:val="2"/>
            <w:tcBorders>
              <w:top w:val="nil"/>
              <w:left w:val="nil"/>
              <w:bottom w:val="nil"/>
              <w:right w:val="nil"/>
            </w:tcBorders>
            <w:shd w:val="clear" w:color="auto" w:fill="auto"/>
            <w:noWrap/>
            <w:vAlign w:val="bottom"/>
            <w:hideMark/>
          </w:tcPr>
          <w:p w14:paraId="07392EE3" w14:textId="77777777" w:rsidR="00173CD7" w:rsidRPr="00173CD7" w:rsidRDefault="00173CD7" w:rsidP="00173CD7">
            <w:pPr>
              <w:spacing w:after="0" w:line="240" w:lineRule="auto"/>
              <w:jc w:val="right"/>
              <w:rPr>
                <w:rFonts w:ascii="Times New Roman" w:hAnsi="Times New Roman"/>
              </w:rPr>
            </w:pPr>
          </w:p>
        </w:tc>
        <w:tc>
          <w:tcPr>
            <w:tcW w:w="713" w:type="pct"/>
            <w:gridSpan w:val="2"/>
            <w:tcBorders>
              <w:top w:val="nil"/>
              <w:left w:val="nil"/>
              <w:bottom w:val="nil"/>
              <w:right w:val="nil"/>
            </w:tcBorders>
            <w:shd w:val="clear" w:color="auto" w:fill="auto"/>
            <w:noWrap/>
            <w:vAlign w:val="bottom"/>
            <w:hideMark/>
          </w:tcPr>
          <w:p w14:paraId="37C87BF4" w14:textId="77777777" w:rsidR="00173CD7" w:rsidRPr="00173CD7" w:rsidRDefault="00173CD7" w:rsidP="00173CD7">
            <w:pPr>
              <w:spacing w:after="0" w:line="240" w:lineRule="auto"/>
              <w:jc w:val="right"/>
              <w:rPr>
                <w:rFonts w:ascii="Times New Roman" w:hAnsi="Times New Roman"/>
              </w:rPr>
            </w:pPr>
          </w:p>
        </w:tc>
      </w:tr>
      <w:tr w:rsidR="00173CD7" w:rsidRPr="00173CD7" w14:paraId="41C69574" w14:textId="77777777" w:rsidTr="007B5C33">
        <w:trPr>
          <w:trHeight w:val="204"/>
        </w:trPr>
        <w:tc>
          <w:tcPr>
            <w:tcW w:w="1493" w:type="pct"/>
            <w:tcBorders>
              <w:top w:val="nil"/>
              <w:left w:val="nil"/>
              <w:bottom w:val="nil"/>
              <w:right w:val="nil"/>
            </w:tcBorders>
            <w:shd w:val="clear" w:color="auto" w:fill="auto"/>
            <w:noWrap/>
            <w:vAlign w:val="bottom"/>
            <w:hideMark/>
          </w:tcPr>
          <w:p w14:paraId="649C25A6" w14:textId="77777777" w:rsidR="00173CD7" w:rsidRPr="00173CD7" w:rsidRDefault="00173CD7" w:rsidP="00173CD7">
            <w:pPr>
              <w:spacing w:after="0" w:line="240" w:lineRule="auto"/>
              <w:ind w:left="113"/>
              <w:rPr>
                <w:rFonts w:ascii="Arial" w:hAnsi="Arial" w:cs="Arial"/>
                <w:b/>
                <w:bCs/>
                <w:color w:val="000000"/>
                <w:sz w:val="16"/>
                <w:szCs w:val="16"/>
              </w:rPr>
            </w:pPr>
            <w:r w:rsidRPr="00173CD7">
              <w:rPr>
                <w:rFonts w:ascii="Arial" w:hAnsi="Arial" w:cs="Arial"/>
                <w:b/>
                <w:bCs/>
                <w:color w:val="000000"/>
                <w:sz w:val="16"/>
                <w:szCs w:val="16"/>
              </w:rPr>
              <w:t>Own-source revenue</w:t>
            </w:r>
          </w:p>
        </w:tc>
        <w:tc>
          <w:tcPr>
            <w:tcW w:w="670" w:type="pct"/>
            <w:tcBorders>
              <w:top w:val="nil"/>
              <w:left w:val="nil"/>
              <w:bottom w:val="nil"/>
              <w:right w:val="nil"/>
            </w:tcBorders>
            <w:shd w:val="clear" w:color="auto" w:fill="auto"/>
            <w:noWrap/>
            <w:vAlign w:val="bottom"/>
            <w:hideMark/>
          </w:tcPr>
          <w:p w14:paraId="555D3F39" w14:textId="77777777" w:rsidR="00173CD7" w:rsidRPr="00173CD7" w:rsidRDefault="00173CD7" w:rsidP="00173CD7">
            <w:pPr>
              <w:spacing w:after="0" w:line="240" w:lineRule="auto"/>
              <w:jc w:val="right"/>
              <w:rPr>
                <w:rFonts w:ascii="Arial" w:hAnsi="Arial" w:cs="Arial"/>
                <w:b/>
                <w:bCs/>
                <w:color w:val="000000"/>
                <w:sz w:val="16"/>
                <w:szCs w:val="16"/>
              </w:rPr>
            </w:pPr>
          </w:p>
        </w:tc>
        <w:tc>
          <w:tcPr>
            <w:tcW w:w="715" w:type="pct"/>
            <w:tcBorders>
              <w:top w:val="nil"/>
              <w:left w:val="nil"/>
              <w:bottom w:val="nil"/>
              <w:right w:val="nil"/>
            </w:tcBorders>
            <w:shd w:val="clear" w:color="000000" w:fill="E6E6E6"/>
            <w:noWrap/>
            <w:vAlign w:val="bottom"/>
            <w:hideMark/>
          </w:tcPr>
          <w:p w14:paraId="754F5973" w14:textId="37D57638" w:rsidR="00173CD7" w:rsidRPr="00173CD7" w:rsidRDefault="00173CD7" w:rsidP="00173CD7">
            <w:pPr>
              <w:spacing w:after="0" w:line="240" w:lineRule="auto"/>
              <w:jc w:val="right"/>
              <w:rPr>
                <w:rFonts w:ascii="Arial" w:hAnsi="Arial" w:cs="Arial"/>
                <w:color w:val="000000"/>
                <w:sz w:val="16"/>
                <w:szCs w:val="16"/>
              </w:rPr>
            </w:pPr>
          </w:p>
        </w:tc>
        <w:tc>
          <w:tcPr>
            <w:tcW w:w="705" w:type="pct"/>
            <w:gridSpan w:val="2"/>
            <w:tcBorders>
              <w:top w:val="nil"/>
              <w:left w:val="nil"/>
              <w:bottom w:val="nil"/>
              <w:right w:val="nil"/>
            </w:tcBorders>
            <w:shd w:val="clear" w:color="auto" w:fill="auto"/>
            <w:noWrap/>
            <w:vAlign w:val="bottom"/>
            <w:hideMark/>
          </w:tcPr>
          <w:p w14:paraId="002798A0" w14:textId="77777777" w:rsidR="00173CD7" w:rsidRPr="00173CD7" w:rsidRDefault="00173CD7" w:rsidP="00173CD7">
            <w:pPr>
              <w:spacing w:after="0" w:line="240" w:lineRule="auto"/>
              <w:jc w:val="right"/>
              <w:rPr>
                <w:rFonts w:ascii="Arial" w:hAnsi="Arial" w:cs="Arial"/>
                <w:color w:val="000000"/>
                <w:sz w:val="16"/>
                <w:szCs w:val="16"/>
              </w:rPr>
            </w:pPr>
          </w:p>
        </w:tc>
        <w:tc>
          <w:tcPr>
            <w:tcW w:w="705" w:type="pct"/>
            <w:gridSpan w:val="2"/>
            <w:tcBorders>
              <w:top w:val="nil"/>
              <w:left w:val="nil"/>
              <w:bottom w:val="nil"/>
              <w:right w:val="nil"/>
            </w:tcBorders>
            <w:shd w:val="clear" w:color="auto" w:fill="auto"/>
            <w:noWrap/>
            <w:vAlign w:val="bottom"/>
            <w:hideMark/>
          </w:tcPr>
          <w:p w14:paraId="0A16F1BE" w14:textId="77777777" w:rsidR="00173CD7" w:rsidRPr="00173CD7" w:rsidRDefault="00173CD7" w:rsidP="00173CD7">
            <w:pPr>
              <w:spacing w:after="0" w:line="240" w:lineRule="auto"/>
              <w:jc w:val="right"/>
              <w:rPr>
                <w:rFonts w:ascii="Times New Roman" w:hAnsi="Times New Roman"/>
              </w:rPr>
            </w:pPr>
          </w:p>
        </w:tc>
        <w:tc>
          <w:tcPr>
            <w:tcW w:w="713" w:type="pct"/>
            <w:gridSpan w:val="2"/>
            <w:tcBorders>
              <w:top w:val="nil"/>
              <w:left w:val="nil"/>
              <w:bottom w:val="nil"/>
              <w:right w:val="nil"/>
            </w:tcBorders>
            <w:shd w:val="clear" w:color="auto" w:fill="auto"/>
            <w:noWrap/>
            <w:vAlign w:val="bottom"/>
            <w:hideMark/>
          </w:tcPr>
          <w:p w14:paraId="2D44C1AB" w14:textId="77777777" w:rsidR="00173CD7" w:rsidRPr="00173CD7" w:rsidRDefault="00173CD7" w:rsidP="00173CD7">
            <w:pPr>
              <w:spacing w:after="0" w:line="240" w:lineRule="auto"/>
              <w:jc w:val="right"/>
              <w:rPr>
                <w:rFonts w:ascii="Times New Roman" w:hAnsi="Times New Roman"/>
              </w:rPr>
            </w:pPr>
          </w:p>
        </w:tc>
      </w:tr>
      <w:tr w:rsidR="00173CD7" w:rsidRPr="00173CD7" w14:paraId="05CABAFC" w14:textId="77777777" w:rsidTr="007B5C33">
        <w:trPr>
          <w:trHeight w:val="204"/>
        </w:trPr>
        <w:tc>
          <w:tcPr>
            <w:tcW w:w="1493" w:type="pct"/>
            <w:tcBorders>
              <w:top w:val="nil"/>
              <w:left w:val="nil"/>
              <w:bottom w:val="nil"/>
              <w:right w:val="nil"/>
            </w:tcBorders>
            <w:shd w:val="clear" w:color="auto" w:fill="auto"/>
            <w:noWrap/>
            <w:vAlign w:val="bottom"/>
            <w:hideMark/>
          </w:tcPr>
          <w:p w14:paraId="7A6053A6" w14:textId="77777777" w:rsidR="00173CD7" w:rsidRPr="00173CD7" w:rsidRDefault="00173CD7" w:rsidP="00173CD7">
            <w:pPr>
              <w:spacing w:after="0" w:line="240" w:lineRule="auto"/>
              <w:ind w:left="227"/>
              <w:rPr>
                <w:rFonts w:ascii="Arial" w:hAnsi="Arial" w:cs="Arial"/>
                <w:b/>
                <w:bCs/>
                <w:color w:val="000000"/>
                <w:sz w:val="16"/>
                <w:szCs w:val="16"/>
              </w:rPr>
            </w:pPr>
            <w:r w:rsidRPr="00173CD7">
              <w:rPr>
                <w:rFonts w:ascii="Arial" w:hAnsi="Arial" w:cs="Arial"/>
                <w:b/>
                <w:bCs/>
                <w:color w:val="000000"/>
                <w:sz w:val="16"/>
                <w:szCs w:val="16"/>
              </w:rPr>
              <w:t>Taxation revenue</w:t>
            </w:r>
          </w:p>
        </w:tc>
        <w:tc>
          <w:tcPr>
            <w:tcW w:w="670" w:type="pct"/>
            <w:tcBorders>
              <w:top w:val="nil"/>
              <w:left w:val="nil"/>
              <w:bottom w:val="nil"/>
              <w:right w:val="nil"/>
            </w:tcBorders>
            <w:shd w:val="clear" w:color="auto" w:fill="auto"/>
            <w:noWrap/>
            <w:vAlign w:val="bottom"/>
            <w:hideMark/>
          </w:tcPr>
          <w:p w14:paraId="5C75FAFE" w14:textId="77777777" w:rsidR="00173CD7" w:rsidRPr="00173CD7" w:rsidRDefault="00173CD7" w:rsidP="00173CD7">
            <w:pPr>
              <w:spacing w:after="0" w:line="240" w:lineRule="auto"/>
              <w:jc w:val="right"/>
              <w:rPr>
                <w:rFonts w:ascii="Arial" w:hAnsi="Arial" w:cs="Arial"/>
                <w:b/>
                <w:bCs/>
                <w:color w:val="000000"/>
                <w:sz w:val="16"/>
                <w:szCs w:val="16"/>
              </w:rPr>
            </w:pPr>
          </w:p>
        </w:tc>
        <w:tc>
          <w:tcPr>
            <w:tcW w:w="715" w:type="pct"/>
            <w:tcBorders>
              <w:top w:val="nil"/>
              <w:left w:val="nil"/>
              <w:bottom w:val="nil"/>
              <w:right w:val="nil"/>
            </w:tcBorders>
            <w:shd w:val="clear" w:color="000000" w:fill="E6E6E6"/>
            <w:noWrap/>
            <w:vAlign w:val="bottom"/>
            <w:hideMark/>
          </w:tcPr>
          <w:p w14:paraId="352ACD7F" w14:textId="13250901" w:rsidR="00173CD7" w:rsidRPr="00173CD7" w:rsidRDefault="00173CD7" w:rsidP="00173CD7">
            <w:pPr>
              <w:spacing w:after="0" w:line="240" w:lineRule="auto"/>
              <w:jc w:val="right"/>
              <w:rPr>
                <w:rFonts w:ascii="Arial" w:hAnsi="Arial" w:cs="Arial"/>
                <w:color w:val="000000"/>
                <w:sz w:val="16"/>
                <w:szCs w:val="16"/>
              </w:rPr>
            </w:pPr>
          </w:p>
        </w:tc>
        <w:tc>
          <w:tcPr>
            <w:tcW w:w="705" w:type="pct"/>
            <w:gridSpan w:val="2"/>
            <w:tcBorders>
              <w:top w:val="nil"/>
              <w:left w:val="nil"/>
              <w:bottom w:val="nil"/>
              <w:right w:val="nil"/>
            </w:tcBorders>
            <w:shd w:val="clear" w:color="auto" w:fill="auto"/>
            <w:noWrap/>
            <w:vAlign w:val="bottom"/>
            <w:hideMark/>
          </w:tcPr>
          <w:p w14:paraId="461A5834" w14:textId="77777777" w:rsidR="00173CD7" w:rsidRPr="00173CD7" w:rsidRDefault="00173CD7" w:rsidP="00173CD7">
            <w:pPr>
              <w:spacing w:after="0" w:line="240" w:lineRule="auto"/>
              <w:jc w:val="right"/>
              <w:rPr>
                <w:rFonts w:ascii="Arial" w:hAnsi="Arial" w:cs="Arial"/>
                <w:color w:val="000000"/>
                <w:sz w:val="16"/>
                <w:szCs w:val="16"/>
              </w:rPr>
            </w:pPr>
          </w:p>
        </w:tc>
        <w:tc>
          <w:tcPr>
            <w:tcW w:w="705" w:type="pct"/>
            <w:gridSpan w:val="2"/>
            <w:tcBorders>
              <w:top w:val="nil"/>
              <w:left w:val="nil"/>
              <w:bottom w:val="nil"/>
              <w:right w:val="nil"/>
            </w:tcBorders>
            <w:shd w:val="clear" w:color="auto" w:fill="auto"/>
            <w:noWrap/>
            <w:vAlign w:val="bottom"/>
            <w:hideMark/>
          </w:tcPr>
          <w:p w14:paraId="7BB69F46" w14:textId="77777777" w:rsidR="00173CD7" w:rsidRPr="00173CD7" w:rsidRDefault="00173CD7" w:rsidP="00173CD7">
            <w:pPr>
              <w:spacing w:after="0" w:line="240" w:lineRule="auto"/>
              <w:jc w:val="right"/>
              <w:rPr>
                <w:rFonts w:ascii="Times New Roman" w:hAnsi="Times New Roman"/>
              </w:rPr>
            </w:pPr>
          </w:p>
        </w:tc>
        <w:tc>
          <w:tcPr>
            <w:tcW w:w="713" w:type="pct"/>
            <w:gridSpan w:val="2"/>
            <w:tcBorders>
              <w:top w:val="nil"/>
              <w:left w:val="nil"/>
              <w:bottom w:val="nil"/>
              <w:right w:val="nil"/>
            </w:tcBorders>
            <w:shd w:val="clear" w:color="auto" w:fill="auto"/>
            <w:noWrap/>
            <w:vAlign w:val="bottom"/>
            <w:hideMark/>
          </w:tcPr>
          <w:p w14:paraId="28093F36" w14:textId="77777777" w:rsidR="00173CD7" w:rsidRPr="00173CD7" w:rsidRDefault="00173CD7" w:rsidP="00173CD7">
            <w:pPr>
              <w:spacing w:after="0" w:line="240" w:lineRule="auto"/>
              <w:jc w:val="right"/>
              <w:rPr>
                <w:rFonts w:ascii="Times New Roman" w:hAnsi="Times New Roman"/>
              </w:rPr>
            </w:pPr>
          </w:p>
        </w:tc>
      </w:tr>
      <w:tr w:rsidR="00173CD7" w:rsidRPr="00173CD7" w14:paraId="31D20C26" w14:textId="77777777" w:rsidTr="007B5C33">
        <w:trPr>
          <w:trHeight w:val="204"/>
        </w:trPr>
        <w:tc>
          <w:tcPr>
            <w:tcW w:w="1493" w:type="pct"/>
            <w:tcBorders>
              <w:top w:val="nil"/>
              <w:left w:val="nil"/>
              <w:bottom w:val="nil"/>
              <w:right w:val="nil"/>
            </w:tcBorders>
            <w:shd w:val="clear" w:color="auto" w:fill="auto"/>
            <w:noWrap/>
            <w:vAlign w:val="bottom"/>
            <w:hideMark/>
          </w:tcPr>
          <w:p w14:paraId="4D740A25" w14:textId="77777777" w:rsidR="00173CD7" w:rsidRPr="00173CD7" w:rsidRDefault="00173CD7" w:rsidP="00173CD7">
            <w:pPr>
              <w:spacing w:after="0" w:line="240" w:lineRule="auto"/>
              <w:ind w:left="340"/>
              <w:rPr>
                <w:rFonts w:ascii="Arial" w:hAnsi="Arial" w:cs="Arial"/>
                <w:color w:val="000000"/>
                <w:sz w:val="16"/>
                <w:szCs w:val="16"/>
              </w:rPr>
            </w:pPr>
            <w:r w:rsidRPr="00173CD7">
              <w:rPr>
                <w:rFonts w:ascii="Arial" w:hAnsi="Arial" w:cs="Arial"/>
                <w:color w:val="000000"/>
                <w:sz w:val="16"/>
                <w:szCs w:val="16"/>
              </w:rPr>
              <w:t>Other taxes</w:t>
            </w:r>
          </w:p>
        </w:tc>
        <w:tc>
          <w:tcPr>
            <w:tcW w:w="670" w:type="pct"/>
            <w:tcBorders>
              <w:top w:val="nil"/>
              <w:left w:val="nil"/>
              <w:bottom w:val="nil"/>
              <w:right w:val="nil"/>
            </w:tcBorders>
            <w:shd w:val="clear" w:color="auto" w:fill="auto"/>
            <w:noWrap/>
            <w:vAlign w:val="bottom"/>
            <w:hideMark/>
          </w:tcPr>
          <w:p w14:paraId="77B61AE9" w14:textId="0ED729DB"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29,872</w:t>
            </w:r>
          </w:p>
        </w:tc>
        <w:tc>
          <w:tcPr>
            <w:tcW w:w="715" w:type="pct"/>
            <w:tcBorders>
              <w:top w:val="nil"/>
              <w:left w:val="nil"/>
              <w:bottom w:val="nil"/>
              <w:right w:val="nil"/>
            </w:tcBorders>
            <w:shd w:val="clear" w:color="000000" w:fill="E6E6E6"/>
            <w:noWrap/>
            <w:vAlign w:val="bottom"/>
            <w:hideMark/>
          </w:tcPr>
          <w:p w14:paraId="203344F2" w14:textId="6F6D7CC4"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27,307</w:t>
            </w:r>
          </w:p>
        </w:tc>
        <w:tc>
          <w:tcPr>
            <w:tcW w:w="705" w:type="pct"/>
            <w:gridSpan w:val="2"/>
            <w:tcBorders>
              <w:top w:val="nil"/>
              <w:left w:val="nil"/>
              <w:bottom w:val="nil"/>
              <w:right w:val="nil"/>
            </w:tcBorders>
            <w:shd w:val="clear" w:color="auto" w:fill="auto"/>
            <w:noWrap/>
            <w:vAlign w:val="bottom"/>
            <w:hideMark/>
          </w:tcPr>
          <w:p w14:paraId="69E8CBC2" w14:textId="56584C9C"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27,307</w:t>
            </w:r>
          </w:p>
        </w:tc>
        <w:tc>
          <w:tcPr>
            <w:tcW w:w="705" w:type="pct"/>
            <w:gridSpan w:val="2"/>
            <w:tcBorders>
              <w:top w:val="nil"/>
              <w:left w:val="nil"/>
              <w:bottom w:val="nil"/>
              <w:right w:val="nil"/>
            </w:tcBorders>
            <w:shd w:val="clear" w:color="auto" w:fill="auto"/>
            <w:noWrap/>
            <w:vAlign w:val="bottom"/>
            <w:hideMark/>
          </w:tcPr>
          <w:p w14:paraId="22DDB522" w14:textId="147FDB9C"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27,307</w:t>
            </w:r>
          </w:p>
        </w:tc>
        <w:tc>
          <w:tcPr>
            <w:tcW w:w="713" w:type="pct"/>
            <w:gridSpan w:val="2"/>
            <w:tcBorders>
              <w:top w:val="nil"/>
              <w:left w:val="nil"/>
              <w:bottom w:val="nil"/>
              <w:right w:val="nil"/>
            </w:tcBorders>
            <w:shd w:val="clear" w:color="auto" w:fill="auto"/>
            <w:noWrap/>
            <w:vAlign w:val="bottom"/>
            <w:hideMark/>
          </w:tcPr>
          <w:p w14:paraId="2E7AA328" w14:textId="0818A879"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27,307</w:t>
            </w:r>
          </w:p>
        </w:tc>
      </w:tr>
      <w:tr w:rsidR="00173CD7" w:rsidRPr="00173CD7" w14:paraId="0DC7B582" w14:textId="77777777" w:rsidTr="007B5C33">
        <w:trPr>
          <w:trHeight w:val="204"/>
        </w:trPr>
        <w:tc>
          <w:tcPr>
            <w:tcW w:w="1493" w:type="pct"/>
            <w:tcBorders>
              <w:top w:val="nil"/>
              <w:left w:val="nil"/>
              <w:bottom w:val="nil"/>
              <w:right w:val="nil"/>
            </w:tcBorders>
            <w:shd w:val="clear" w:color="auto" w:fill="auto"/>
            <w:noWrap/>
            <w:vAlign w:val="bottom"/>
            <w:hideMark/>
          </w:tcPr>
          <w:p w14:paraId="6228E6BE" w14:textId="77777777" w:rsidR="00173CD7" w:rsidRPr="00173CD7" w:rsidRDefault="00173CD7" w:rsidP="00173CD7">
            <w:pPr>
              <w:spacing w:after="0" w:line="240" w:lineRule="auto"/>
              <w:ind w:left="227"/>
              <w:rPr>
                <w:rFonts w:ascii="Arial" w:hAnsi="Arial" w:cs="Arial"/>
                <w:b/>
                <w:bCs/>
                <w:i/>
                <w:iCs/>
                <w:color w:val="000000"/>
                <w:sz w:val="16"/>
                <w:szCs w:val="16"/>
              </w:rPr>
            </w:pPr>
            <w:r w:rsidRPr="00173CD7">
              <w:rPr>
                <w:rFonts w:ascii="Arial" w:hAnsi="Arial" w:cs="Arial"/>
                <w:b/>
                <w:bCs/>
                <w:i/>
                <w:iCs/>
                <w:color w:val="000000"/>
                <w:sz w:val="16"/>
                <w:szCs w:val="16"/>
              </w:rPr>
              <w:t>Total taxation revenue</w:t>
            </w:r>
          </w:p>
        </w:tc>
        <w:tc>
          <w:tcPr>
            <w:tcW w:w="670" w:type="pct"/>
            <w:tcBorders>
              <w:top w:val="single" w:sz="4" w:space="0" w:color="auto"/>
              <w:left w:val="nil"/>
              <w:bottom w:val="single" w:sz="4" w:space="0" w:color="auto"/>
              <w:right w:val="nil"/>
            </w:tcBorders>
            <w:shd w:val="clear" w:color="auto" w:fill="auto"/>
            <w:noWrap/>
            <w:vAlign w:val="bottom"/>
            <w:hideMark/>
          </w:tcPr>
          <w:p w14:paraId="5628F82A" w14:textId="3503D14C" w:rsidR="00173CD7" w:rsidRPr="00173CD7" w:rsidRDefault="00173CD7" w:rsidP="00173CD7">
            <w:pPr>
              <w:spacing w:after="0" w:line="240" w:lineRule="auto"/>
              <w:jc w:val="right"/>
              <w:rPr>
                <w:rFonts w:ascii="Arial" w:hAnsi="Arial" w:cs="Arial"/>
                <w:b/>
                <w:bCs/>
                <w:i/>
                <w:iCs/>
                <w:color w:val="000000"/>
                <w:sz w:val="16"/>
                <w:szCs w:val="16"/>
              </w:rPr>
            </w:pPr>
            <w:r w:rsidRPr="00173CD7">
              <w:rPr>
                <w:rFonts w:ascii="Arial" w:hAnsi="Arial" w:cs="Arial"/>
                <w:b/>
                <w:bCs/>
                <w:i/>
                <w:iCs/>
                <w:color w:val="000000"/>
                <w:sz w:val="16"/>
                <w:szCs w:val="16"/>
              </w:rPr>
              <w:t>29,872</w:t>
            </w:r>
          </w:p>
        </w:tc>
        <w:tc>
          <w:tcPr>
            <w:tcW w:w="715" w:type="pct"/>
            <w:tcBorders>
              <w:top w:val="single" w:sz="4" w:space="0" w:color="auto"/>
              <w:left w:val="nil"/>
              <w:bottom w:val="single" w:sz="4" w:space="0" w:color="auto"/>
              <w:right w:val="nil"/>
            </w:tcBorders>
            <w:shd w:val="clear" w:color="000000" w:fill="E6E6E6"/>
            <w:noWrap/>
            <w:vAlign w:val="bottom"/>
            <w:hideMark/>
          </w:tcPr>
          <w:p w14:paraId="7CC547BC" w14:textId="6E8111F2" w:rsidR="00173CD7" w:rsidRPr="00173CD7" w:rsidRDefault="00173CD7" w:rsidP="00173CD7">
            <w:pPr>
              <w:spacing w:after="0" w:line="240" w:lineRule="auto"/>
              <w:jc w:val="right"/>
              <w:rPr>
                <w:rFonts w:ascii="Arial" w:hAnsi="Arial" w:cs="Arial"/>
                <w:b/>
                <w:bCs/>
                <w:i/>
                <w:iCs/>
                <w:color w:val="000000"/>
                <w:sz w:val="16"/>
                <w:szCs w:val="16"/>
              </w:rPr>
            </w:pPr>
            <w:r w:rsidRPr="00173CD7">
              <w:rPr>
                <w:rFonts w:ascii="Arial" w:hAnsi="Arial" w:cs="Arial"/>
                <w:b/>
                <w:bCs/>
                <w:i/>
                <w:iCs/>
                <w:color w:val="000000"/>
                <w:sz w:val="16"/>
                <w:szCs w:val="16"/>
              </w:rPr>
              <w:t>27,307</w:t>
            </w:r>
          </w:p>
        </w:tc>
        <w:tc>
          <w:tcPr>
            <w:tcW w:w="705" w:type="pct"/>
            <w:gridSpan w:val="2"/>
            <w:tcBorders>
              <w:top w:val="single" w:sz="4" w:space="0" w:color="auto"/>
              <w:left w:val="nil"/>
              <w:bottom w:val="single" w:sz="4" w:space="0" w:color="auto"/>
              <w:right w:val="nil"/>
            </w:tcBorders>
            <w:shd w:val="clear" w:color="auto" w:fill="auto"/>
            <w:noWrap/>
            <w:vAlign w:val="bottom"/>
            <w:hideMark/>
          </w:tcPr>
          <w:p w14:paraId="375DE764" w14:textId="689A59BD" w:rsidR="00173CD7" w:rsidRPr="00173CD7" w:rsidRDefault="00173CD7" w:rsidP="00173CD7">
            <w:pPr>
              <w:spacing w:after="0" w:line="240" w:lineRule="auto"/>
              <w:jc w:val="right"/>
              <w:rPr>
                <w:rFonts w:ascii="Arial" w:hAnsi="Arial" w:cs="Arial"/>
                <w:b/>
                <w:bCs/>
                <w:i/>
                <w:iCs/>
                <w:color w:val="000000"/>
                <w:sz w:val="16"/>
                <w:szCs w:val="16"/>
              </w:rPr>
            </w:pPr>
            <w:r w:rsidRPr="00173CD7">
              <w:rPr>
                <w:rFonts w:ascii="Arial" w:hAnsi="Arial" w:cs="Arial"/>
                <w:b/>
                <w:bCs/>
                <w:i/>
                <w:iCs/>
                <w:color w:val="000000"/>
                <w:sz w:val="16"/>
                <w:szCs w:val="16"/>
              </w:rPr>
              <w:t>27,307</w:t>
            </w:r>
          </w:p>
        </w:tc>
        <w:tc>
          <w:tcPr>
            <w:tcW w:w="705" w:type="pct"/>
            <w:gridSpan w:val="2"/>
            <w:tcBorders>
              <w:top w:val="single" w:sz="4" w:space="0" w:color="auto"/>
              <w:left w:val="nil"/>
              <w:bottom w:val="single" w:sz="4" w:space="0" w:color="auto"/>
              <w:right w:val="nil"/>
            </w:tcBorders>
            <w:shd w:val="clear" w:color="auto" w:fill="auto"/>
            <w:noWrap/>
            <w:vAlign w:val="bottom"/>
            <w:hideMark/>
          </w:tcPr>
          <w:p w14:paraId="2882B6FB" w14:textId="04718600" w:rsidR="00173CD7" w:rsidRPr="00173CD7" w:rsidRDefault="00173CD7" w:rsidP="00173CD7">
            <w:pPr>
              <w:spacing w:after="0" w:line="240" w:lineRule="auto"/>
              <w:jc w:val="right"/>
              <w:rPr>
                <w:rFonts w:ascii="Arial" w:hAnsi="Arial" w:cs="Arial"/>
                <w:b/>
                <w:bCs/>
                <w:i/>
                <w:iCs/>
                <w:color w:val="000000"/>
                <w:sz w:val="16"/>
                <w:szCs w:val="16"/>
              </w:rPr>
            </w:pPr>
            <w:r w:rsidRPr="00173CD7">
              <w:rPr>
                <w:rFonts w:ascii="Arial" w:hAnsi="Arial" w:cs="Arial"/>
                <w:b/>
                <w:bCs/>
                <w:i/>
                <w:iCs/>
                <w:color w:val="000000"/>
                <w:sz w:val="16"/>
                <w:szCs w:val="16"/>
              </w:rPr>
              <w:t>27,307</w:t>
            </w:r>
          </w:p>
        </w:tc>
        <w:tc>
          <w:tcPr>
            <w:tcW w:w="713" w:type="pct"/>
            <w:gridSpan w:val="2"/>
            <w:tcBorders>
              <w:top w:val="single" w:sz="4" w:space="0" w:color="auto"/>
              <w:left w:val="nil"/>
              <w:bottom w:val="single" w:sz="4" w:space="0" w:color="auto"/>
              <w:right w:val="nil"/>
            </w:tcBorders>
            <w:shd w:val="clear" w:color="auto" w:fill="auto"/>
            <w:noWrap/>
            <w:vAlign w:val="bottom"/>
            <w:hideMark/>
          </w:tcPr>
          <w:p w14:paraId="39B271E2" w14:textId="122E556A" w:rsidR="00173CD7" w:rsidRPr="00173CD7" w:rsidRDefault="00173CD7" w:rsidP="00173CD7">
            <w:pPr>
              <w:spacing w:after="0" w:line="240" w:lineRule="auto"/>
              <w:jc w:val="right"/>
              <w:rPr>
                <w:rFonts w:ascii="Arial" w:hAnsi="Arial" w:cs="Arial"/>
                <w:b/>
                <w:bCs/>
                <w:i/>
                <w:iCs/>
                <w:color w:val="000000"/>
                <w:sz w:val="16"/>
                <w:szCs w:val="16"/>
              </w:rPr>
            </w:pPr>
            <w:r w:rsidRPr="00173CD7">
              <w:rPr>
                <w:rFonts w:ascii="Arial" w:hAnsi="Arial" w:cs="Arial"/>
                <w:b/>
                <w:bCs/>
                <w:i/>
                <w:iCs/>
                <w:color w:val="000000"/>
                <w:sz w:val="16"/>
                <w:szCs w:val="16"/>
              </w:rPr>
              <w:t>27,307</w:t>
            </w:r>
          </w:p>
        </w:tc>
      </w:tr>
      <w:tr w:rsidR="00173CD7" w:rsidRPr="00173CD7" w14:paraId="4BFC8E04" w14:textId="77777777" w:rsidTr="007B5C33">
        <w:trPr>
          <w:trHeight w:val="204"/>
        </w:trPr>
        <w:tc>
          <w:tcPr>
            <w:tcW w:w="1493" w:type="pct"/>
            <w:tcBorders>
              <w:top w:val="nil"/>
              <w:left w:val="nil"/>
              <w:bottom w:val="nil"/>
              <w:right w:val="nil"/>
            </w:tcBorders>
            <w:shd w:val="clear" w:color="auto" w:fill="auto"/>
            <w:noWrap/>
            <w:vAlign w:val="bottom"/>
            <w:hideMark/>
          </w:tcPr>
          <w:p w14:paraId="418AFDDD" w14:textId="77777777" w:rsidR="00173CD7" w:rsidRPr="00173CD7" w:rsidRDefault="00173CD7" w:rsidP="00173CD7">
            <w:pPr>
              <w:spacing w:after="0" w:line="240" w:lineRule="auto"/>
              <w:ind w:left="227"/>
              <w:rPr>
                <w:rFonts w:ascii="Arial" w:hAnsi="Arial" w:cs="Arial"/>
                <w:b/>
                <w:bCs/>
                <w:color w:val="000000"/>
                <w:sz w:val="16"/>
                <w:szCs w:val="16"/>
              </w:rPr>
            </w:pPr>
            <w:r w:rsidRPr="00173CD7">
              <w:rPr>
                <w:rFonts w:ascii="Arial" w:hAnsi="Arial" w:cs="Arial"/>
                <w:b/>
                <w:bCs/>
                <w:color w:val="000000"/>
                <w:sz w:val="16"/>
                <w:szCs w:val="16"/>
              </w:rPr>
              <w:t>Non-taxation revenue</w:t>
            </w:r>
          </w:p>
        </w:tc>
        <w:tc>
          <w:tcPr>
            <w:tcW w:w="670" w:type="pct"/>
            <w:tcBorders>
              <w:top w:val="nil"/>
              <w:left w:val="nil"/>
              <w:bottom w:val="nil"/>
              <w:right w:val="nil"/>
            </w:tcBorders>
            <w:shd w:val="clear" w:color="auto" w:fill="auto"/>
            <w:noWrap/>
            <w:vAlign w:val="bottom"/>
            <w:hideMark/>
          </w:tcPr>
          <w:p w14:paraId="0C39E5A0" w14:textId="77777777" w:rsidR="00173CD7" w:rsidRPr="00173CD7" w:rsidRDefault="00173CD7" w:rsidP="00173CD7">
            <w:pPr>
              <w:spacing w:after="0" w:line="240" w:lineRule="auto"/>
              <w:jc w:val="right"/>
              <w:rPr>
                <w:rFonts w:ascii="Arial" w:hAnsi="Arial" w:cs="Arial"/>
                <w:b/>
                <w:bCs/>
                <w:color w:val="000000"/>
                <w:sz w:val="16"/>
                <w:szCs w:val="16"/>
              </w:rPr>
            </w:pPr>
          </w:p>
        </w:tc>
        <w:tc>
          <w:tcPr>
            <w:tcW w:w="715" w:type="pct"/>
            <w:tcBorders>
              <w:top w:val="nil"/>
              <w:left w:val="nil"/>
              <w:bottom w:val="nil"/>
              <w:right w:val="nil"/>
            </w:tcBorders>
            <w:shd w:val="clear" w:color="000000" w:fill="E6E6E6"/>
            <w:noWrap/>
            <w:vAlign w:val="bottom"/>
            <w:hideMark/>
          </w:tcPr>
          <w:p w14:paraId="242AD28A" w14:textId="168F8BD1" w:rsidR="00173CD7" w:rsidRPr="00173CD7" w:rsidRDefault="00173CD7" w:rsidP="00173CD7">
            <w:pPr>
              <w:spacing w:after="0" w:line="240" w:lineRule="auto"/>
              <w:jc w:val="right"/>
              <w:rPr>
                <w:rFonts w:ascii="Arial" w:hAnsi="Arial" w:cs="Arial"/>
                <w:color w:val="000000"/>
                <w:sz w:val="16"/>
                <w:szCs w:val="16"/>
              </w:rPr>
            </w:pPr>
          </w:p>
        </w:tc>
        <w:tc>
          <w:tcPr>
            <w:tcW w:w="705" w:type="pct"/>
            <w:gridSpan w:val="2"/>
            <w:tcBorders>
              <w:top w:val="nil"/>
              <w:left w:val="nil"/>
              <w:bottom w:val="nil"/>
              <w:right w:val="nil"/>
            </w:tcBorders>
            <w:shd w:val="clear" w:color="auto" w:fill="auto"/>
            <w:noWrap/>
            <w:vAlign w:val="bottom"/>
            <w:hideMark/>
          </w:tcPr>
          <w:p w14:paraId="19DBC071" w14:textId="77777777" w:rsidR="00173CD7" w:rsidRPr="00173CD7" w:rsidRDefault="00173CD7" w:rsidP="00173CD7">
            <w:pPr>
              <w:spacing w:after="0" w:line="240" w:lineRule="auto"/>
              <w:jc w:val="right"/>
              <w:rPr>
                <w:rFonts w:ascii="Arial" w:hAnsi="Arial" w:cs="Arial"/>
                <w:color w:val="000000"/>
                <w:sz w:val="16"/>
                <w:szCs w:val="16"/>
              </w:rPr>
            </w:pPr>
          </w:p>
        </w:tc>
        <w:tc>
          <w:tcPr>
            <w:tcW w:w="705" w:type="pct"/>
            <w:gridSpan w:val="2"/>
            <w:tcBorders>
              <w:top w:val="nil"/>
              <w:left w:val="nil"/>
              <w:bottom w:val="nil"/>
              <w:right w:val="nil"/>
            </w:tcBorders>
            <w:shd w:val="clear" w:color="auto" w:fill="auto"/>
            <w:noWrap/>
            <w:vAlign w:val="bottom"/>
            <w:hideMark/>
          </w:tcPr>
          <w:p w14:paraId="1E726D65" w14:textId="77777777" w:rsidR="00173CD7" w:rsidRPr="00173CD7" w:rsidRDefault="00173CD7" w:rsidP="00173CD7">
            <w:pPr>
              <w:spacing w:after="0" w:line="240" w:lineRule="auto"/>
              <w:jc w:val="right"/>
              <w:rPr>
                <w:rFonts w:ascii="Times New Roman" w:hAnsi="Times New Roman"/>
              </w:rPr>
            </w:pPr>
          </w:p>
        </w:tc>
        <w:tc>
          <w:tcPr>
            <w:tcW w:w="713" w:type="pct"/>
            <w:gridSpan w:val="2"/>
            <w:tcBorders>
              <w:top w:val="nil"/>
              <w:left w:val="nil"/>
              <w:bottom w:val="nil"/>
              <w:right w:val="nil"/>
            </w:tcBorders>
            <w:shd w:val="clear" w:color="auto" w:fill="auto"/>
            <w:noWrap/>
            <w:vAlign w:val="bottom"/>
            <w:hideMark/>
          </w:tcPr>
          <w:p w14:paraId="26DB73F7" w14:textId="77777777" w:rsidR="00173CD7" w:rsidRPr="00173CD7" w:rsidRDefault="00173CD7" w:rsidP="00173CD7">
            <w:pPr>
              <w:spacing w:after="0" w:line="240" w:lineRule="auto"/>
              <w:jc w:val="right"/>
              <w:rPr>
                <w:rFonts w:ascii="Times New Roman" w:hAnsi="Times New Roman"/>
              </w:rPr>
            </w:pPr>
          </w:p>
        </w:tc>
      </w:tr>
      <w:tr w:rsidR="00173CD7" w:rsidRPr="00173CD7" w14:paraId="7950B9BA" w14:textId="77777777" w:rsidTr="007B5C33">
        <w:trPr>
          <w:trHeight w:val="204"/>
        </w:trPr>
        <w:tc>
          <w:tcPr>
            <w:tcW w:w="1493" w:type="pct"/>
            <w:tcBorders>
              <w:top w:val="nil"/>
              <w:left w:val="nil"/>
              <w:bottom w:val="nil"/>
              <w:right w:val="nil"/>
            </w:tcBorders>
            <w:shd w:val="clear" w:color="auto" w:fill="auto"/>
            <w:vAlign w:val="bottom"/>
            <w:hideMark/>
          </w:tcPr>
          <w:p w14:paraId="32E10DA4" w14:textId="54F2A036" w:rsidR="00173CD7" w:rsidRPr="00173CD7" w:rsidRDefault="007B5C33" w:rsidP="00173CD7">
            <w:pPr>
              <w:spacing w:after="0" w:line="240" w:lineRule="auto"/>
              <w:ind w:left="340"/>
              <w:rPr>
                <w:rFonts w:ascii="Arial" w:hAnsi="Arial" w:cs="Arial"/>
                <w:color w:val="000000"/>
                <w:sz w:val="16"/>
                <w:szCs w:val="16"/>
              </w:rPr>
            </w:pPr>
            <w:r>
              <w:rPr>
                <w:rFonts w:ascii="Arial" w:hAnsi="Arial" w:cs="Arial"/>
                <w:color w:val="000000"/>
                <w:sz w:val="16"/>
                <w:szCs w:val="16"/>
              </w:rPr>
              <w:t>Revenue from contracts with customers</w:t>
            </w:r>
          </w:p>
        </w:tc>
        <w:tc>
          <w:tcPr>
            <w:tcW w:w="670" w:type="pct"/>
            <w:tcBorders>
              <w:top w:val="nil"/>
              <w:left w:val="nil"/>
              <w:bottom w:val="nil"/>
              <w:right w:val="nil"/>
            </w:tcBorders>
            <w:shd w:val="clear" w:color="auto" w:fill="auto"/>
            <w:noWrap/>
            <w:vAlign w:val="bottom"/>
            <w:hideMark/>
          </w:tcPr>
          <w:p w14:paraId="7ED50C6A" w14:textId="1BF38F45"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52,891</w:t>
            </w:r>
          </w:p>
        </w:tc>
        <w:tc>
          <w:tcPr>
            <w:tcW w:w="715" w:type="pct"/>
            <w:tcBorders>
              <w:top w:val="nil"/>
              <w:left w:val="nil"/>
              <w:bottom w:val="nil"/>
              <w:right w:val="nil"/>
            </w:tcBorders>
            <w:shd w:val="clear" w:color="000000" w:fill="E6E6E6"/>
            <w:noWrap/>
            <w:vAlign w:val="bottom"/>
            <w:hideMark/>
          </w:tcPr>
          <w:p w14:paraId="4E4A356B" w14:textId="69CC0256"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52,995</w:t>
            </w:r>
          </w:p>
        </w:tc>
        <w:tc>
          <w:tcPr>
            <w:tcW w:w="705" w:type="pct"/>
            <w:gridSpan w:val="2"/>
            <w:tcBorders>
              <w:top w:val="nil"/>
              <w:left w:val="nil"/>
              <w:bottom w:val="nil"/>
              <w:right w:val="nil"/>
            </w:tcBorders>
            <w:shd w:val="clear" w:color="auto" w:fill="auto"/>
            <w:noWrap/>
            <w:vAlign w:val="bottom"/>
            <w:hideMark/>
          </w:tcPr>
          <w:p w14:paraId="0FF02DE7" w14:textId="528286E4"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52,975</w:t>
            </w:r>
          </w:p>
        </w:tc>
        <w:tc>
          <w:tcPr>
            <w:tcW w:w="705" w:type="pct"/>
            <w:gridSpan w:val="2"/>
            <w:tcBorders>
              <w:top w:val="nil"/>
              <w:left w:val="nil"/>
              <w:bottom w:val="nil"/>
              <w:right w:val="nil"/>
            </w:tcBorders>
            <w:shd w:val="clear" w:color="auto" w:fill="auto"/>
            <w:noWrap/>
            <w:vAlign w:val="bottom"/>
            <w:hideMark/>
          </w:tcPr>
          <w:p w14:paraId="0C1DBD34" w14:textId="747DB703"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55,234</w:t>
            </w:r>
          </w:p>
        </w:tc>
        <w:tc>
          <w:tcPr>
            <w:tcW w:w="713" w:type="pct"/>
            <w:gridSpan w:val="2"/>
            <w:tcBorders>
              <w:top w:val="nil"/>
              <w:left w:val="nil"/>
              <w:bottom w:val="nil"/>
              <w:right w:val="nil"/>
            </w:tcBorders>
            <w:shd w:val="clear" w:color="auto" w:fill="auto"/>
            <w:noWrap/>
            <w:vAlign w:val="bottom"/>
            <w:hideMark/>
          </w:tcPr>
          <w:p w14:paraId="6BF035E6" w14:textId="15E2D44C"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55,237</w:t>
            </w:r>
          </w:p>
        </w:tc>
      </w:tr>
      <w:tr w:rsidR="00173CD7" w:rsidRPr="00173CD7" w14:paraId="485DDEB5" w14:textId="77777777" w:rsidTr="007B5C33">
        <w:trPr>
          <w:trHeight w:val="204"/>
        </w:trPr>
        <w:tc>
          <w:tcPr>
            <w:tcW w:w="1493" w:type="pct"/>
            <w:tcBorders>
              <w:top w:val="nil"/>
              <w:left w:val="nil"/>
              <w:bottom w:val="nil"/>
              <w:right w:val="nil"/>
            </w:tcBorders>
            <w:shd w:val="clear" w:color="auto" w:fill="auto"/>
            <w:noWrap/>
            <w:vAlign w:val="bottom"/>
            <w:hideMark/>
          </w:tcPr>
          <w:p w14:paraId="28F21A78" w14:textId="77777777" w:rsidR="00173CD7" w:rsidRPr="00173CD7" w:rsidRDefault="00173CD7" w:rsidP="00173CD7">
            <w:pPr>
              <w:spacing w:after="0" w:line="240" w:lineRule="auto"/>
              <w:ind w:left="340"/>
              <w:rPr>
                <w:rFonts w:ascii="Arial" w:hAnsi="Arial" w:cs="Arial"/>
                <w:sz w:val="16"/>
                <w:szCs w:val="16"/>
              </w:rPr>
            </w:pPr>
            <w:r w:rsidRPr="00173CD7">
              <w:rPr>
                <w:rFonts w:ascii="Arial" w:hAnsi="Arial" w:cs="Arial"/>
                <w:sz w:val="16"/>
                <w:szCs w:val="16"/>
              </w:rPr>
              <w:t>Fees and fines</w:t>
            </w:r>
          </w:p>
        </w:tc>
        <w:tc>
          <w:tcPr>
            <w:tcW w:w="670" w:type="pct"/>
            <w:tcBorders>
              <w:top w:val="nil"/>
              <w:left w:val="nil"/>
              <w:bottom w:val="nil"/>
              <w:right w:val="nil"/>
            </w:tcBorders>
            <w:shd w:val="clear" w:color="auto" w:fill="auto"/>
            <w:noWrap/>
            <w:vAlign w:val="bottom"/>
            <w:hideMark/>
          </w:tcPr>
          <w:p w14:paraId="6AEE37D8" w14:textId="39F711CB"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168,335</w:t>
            </w:r>
          </w:p>
        </w:tc>
        <w:tc>
          <w:tcPr>
            <w:tcW w:w="715" w:type="pct"/>
            <w:tcBorders>
              <w:top w:val="nil"/>
              <w:left w:val="nil"/>
              <w:bottom w:val="nil"/>
              <w:right w:val="nil"/>
            </w:tcBorders>
            <w:shd w:val="clear" w:color="000000" w:fill="E6E6E6"/>
            <w:noWrap/>
            <w:vAlign w:val="bottom"/>
            <w:hideMark/>
          </w:tcPr>
          <w:p w14:paraId="4FE159E5" w14:textId="56727CB3"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184,551</w:t>
            </w:r>
          </w:p>
        </w:tc>
        <w:tc>
          <w:tcPr>
            <w:tcW w:w="705" w:type="pct"/>
            <w:gridSpan w:val="2"/>
            <w:tcBorders>
              <w:top w:val="nil"/>
              <w:left w:val="nil"/>
              <w:bottom w:val="nil"/>
              <w:right w:val="nil"/>
            </w:tcBorders>
            <w:shd w:val="clear" w:color="auto" w:fill="auto"/>
            <w:noWrap/>
            <w:vAlign w:val="bottom"/>
            <w:hideMark/>
          </w:tcPr>
          <w:p w14:paraId="13428CEC" w14:textId="0126C4B6"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187,806</w:t>
            </w:r>
          </w:p>
        </w:tc>
        <w:tc>
          <w:tcPr>
            <w:tcW w:w="705" w:type="pct"/>
            <w:gridSpan w:val="2"/>
            <w:tcBorders>
              <w:top w:val="nil"/>
              <w:left w:val="nil"/>
              <w:bottom w:val="nil"/>
              <w:right w:val="nil"/>
            </w:tcBorders>
            <w:shd w:val="clear" w:color="auto" w:fill="auto"/>
            <w:noWrap/>
            <w:vAlign w:val="bottom"/>
            <w:hideMark/>
          </w:tcPr>
          <w:p w14:paraId="7B24EE55" w14:textId="475519E3"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187,314</w:t>
            </w:r>
          </w:p>
        </w:tc>
        <w:tc>
          <w:tcPr>
            <w:tcW w:w="713" w:type="pct"/>
            <w:gridSpan w:val="2"/>
            <w:tcBorders>
              <w:top w:val="nil"/>
              <w:left w:val="nil"/>
              <w:bottom w:val="nil"/>
              <w:right w:val="nil"/>
            </w:tcBorders>
            <w:shd w:val="clear" w:color="auto" w:fill="auto"/>
            <w:noWrap/>
            <w:vAlign w:val="bottom"/>
            <w:hideMark/>
          </w:tcPr>
          <w:p w14:paraId="52D82059" w14:textId="26CEF3E8"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187,314</w:t>
            </w:r>
          </w:p>
        </w:tc>
      </w:tr>
      <w:tr w:rsidR="00173CD7" w:rsidRPr="00173CD7" w14:paraId="40C0E019" w14:textId="77777777" w:rsidTr="007B5C33">
        <w:trPr>
          <w:trHeight w:val="204"/>
        </w:trPr>
        <w:tc>
          <w:tcPr>
            <w:tcW w:w="1493" w:type="pct"/>
            <w:tcBorders>
              <w:top w:val="nil"/>
              <w:left w:val="nil"/>
              <w:bottom w:val="nil"/>
              <w:right w:val="nil"/>
            </w:tcBorders>
            <w:shd w:val="clear" w:color="auto" w:fill="auto"/>
            <w:noWrap/>
            <w:vAlign w:val="bottom"/>
            <w:hideMark/>
          </w:tcPr>
          <w:p w14:paraId="5435A091" w14:textId="77777777" w:rsidR="00173CD7" w:rsidRPr="00173CD7" w:rsidRDefault="00173CD7" w:rsidP="00173CD7">
            <w:pPr>
              <w:spacing w:after="0" w:line="240" w:lineRule="auto"/>
              <w:ind w:left="340"/>
              <w:rPr>
                <w:rFonts w:ascii="Arial" w:hAnsi="Arial" w:cs="Arial"/>
                <w:color w:val="000000"/>
                <w:sz w:val="16"/>
                <w:szCs w:val="16"/>
              </w:rPr>
            </w:pPr>
            <w:r w:rsidRPr="00173CD7">
              <w:rPr>
                <w:rFonts w:ascii="Arial" w:hAnsi="Arial" w:cs="Arial"/>
                <w:color w:val="000000"/>
                <w:sz w:val="16"/>
                <w:szCs w:val="16"/>
              </w:rPr>
              <w:t>Interest</w:t>
            </w:r>
          </w:p>
        </w:tc>
        <w:tc>
          <w:tcPr>
            <w:tcW w:w="670" w:type="pct"/>
            <w:tcBorders>
              <w:top w:val="nil"/>
              <w:left w:val="nil"/>
              <w:bottom w:val="nil"/>
              <w:right w:val="nil"/>
            </w:tcBorders>
            <w:shd w:val="clear" w:color="auto" w:fill="auto"/>
            <w:noWrap/>
            <w:vAlign w:val="bottom"/>
            <w:hideMark/>
          </w:tcPr>
          <w:p w14:paraId="285DBA36" w14:textId="6C6FD36F"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338,055</w:t>
            </w:r>
          </w:p>
        </w:tc>
        <w:tc>
          <w:tcPr>
            <w:tcW w:w="715" w:type="pct"/>
            <w:tcBorders>
              <w:top w:val="nil"/>
              <w:left w:val="nil"/>
              <w:bottom w:val="nil"/>
              <w:right w:val="nil"/>
            </w:tcBorders>
            <w:shd w:val="clear" w:color="000000" w:fill="E6E6E6"/>
            <w:noWrap/>
            <w:vAlign w:val="bottom"/>
            <w:hideMark/>
          </w:tcPr>
          <w:p w14:paraId="2EBD73CC" w14:textId="190F4675"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375,886</w:t>
            </w:r>
          </w:p>
        </w:tc>
        <w:tc>
          <w:tcPr>
            <w:tcW w:w="705" w:type="pct"/>
            <w:gridSpan w:val="2"/>
            <w:tcBorders>
              <w:top w:val="nil"/>
              <w:left w:val="nil"/>
              <w:bottom w:val="nil"/>
              <w:right w:val="nil"/>
            </w:tcBorders>
            <w:shd w:val="clear" w:color="auto" w:fill="auto"/>
            <w:noWrap/>
            <w:vAlign w:val="bottom"/>
            <w:hideMark/>
          </w:tcPr>
          <w:p w14:paraId="35102C35" w14:textId="7A0EB72A"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193,376</w:t>
            </w:r>
          </w:p>
        </w:tc>
        <w:tc>
          <w:tcPr>
            <w:tcW w:w="705" w:type="pct"/>
            <w:gridSpan w:val="2"/>
            <w:tcBorders>
              <w:top w:val="nil"/>
              <w:left w:val="nil"/>
              <w:bottom w:val="nil"/>
              <w:right w:val="nil"/>
            </w:tcBorders>
            <w:shd w:val="clear" w:color="auto" w:fill="auto"/>
            <w:noWrap/>
            <w:vAlign w:val="bottom"/>
            <w:hideMark/>
          </w:tcPr>
          <w:p w14:paraId="487CB197" w14:textId="2195BD19"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220,651</w:t>
            </w:r>
          </w:p>
        </w:tc>
        <w:tc>
          <w:tcPr>
            <w:tcW w:w="713" w:type="pct"/>
            <w:gridSpan w:val="2"/>
            <w:tcBorders>
              <w:top w:val="nil"/>
              <w:left w:val="nil"/>
              <w:bottom w:val="nil"/>
              <w:right w:val="nil"/>
            </w:tcBorders>
            <w:shd w:val="clear" w:color="auto" w:fill="auto"/>
            <w:noWrap/>
            <w:vAlign w:val="bottom"/>
            <w:hideMark/>
          </w:tcPr>
          <w:p w14:paraId="72B5BA81" w14:textId="08841EDC"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249,332</w:t>
            </w:r>
          </w:p>
        </w:tc>
      </w:tr>
      <w:tr w:rsidR="00173CD7" w:rsidRPr="00173CD7" w14:paraId="24090F43" w14:textId="77777777" w:rsidTr="007B5C33">
        <w:trPr>
          <w:trHeight w:val="204"/>
        </w:trPr>
        <w:tc>
          <w:tcPr>
            <w:tcW w:w="1493" w:type="pct"/>
            <w:tcBorders>
              <w:top w:val="nil"/>
              <w:left w:val="nil"/>
              <w:bottom w:val="nil"/>
              <w:right w:val="nil"/>
            </w:tcBorders>
            <w:shd w:val="clear" w:color="auto" w:fill="auto"/>
            <w:noWrap/>
            <w:vAlign w:val="bottom"/>
            <w:hideMark/>
          </w:tcPr>
          <w:p w14:paraId="4261F506" w14:textId="77777777" w:rsidR="00173CD7" w:rsidRPr="00173CD7" w:rsidRDefault="00173CD7" w:rsidP="00173CD7">
            <w:pPr>
              <w:spacing w:after="0" w:line="240" w:lineRule="auto"/>
              <w:ind w:left="340"/>
              <w:rPr>
                <w:rFonts w:ascii="Arial" w:hAnsi="Arial" w:cs="Arial"/>
                <w:color w:val="000000"/>
                <w:sz w:val="16"/>
                <w:szCs w:val="16"/>
              </w:rPr>
            </w:pPr>
            <w:r w:rsidRPr="00173CD7">
              <w:rPr>
                <w:rFonts w:ascii="Arial" w:hAnsi="Arial" w:cs="Arial"/>
                <w:color w:val="000000"/>
                <w:sz w:val="16"/>
                <w:szCs w:val="16"/>
              </w:rPr>
              <w:t>Dividends</w:t>
            </w:r>
          </w:p>
        </w:tc>
        <w:tc>
          <w:tcPr>
            <w:tcW w:w="670" w:type="pct"/>
            <w:tcBorders>
              <w:top w:val="nil"/>
              <w:left w:val="nil"/>
              <w:bottom w:val="nil"/>
              <w:right w:val="nil"/>
            </w:tcBorders>
            <w:shd w:val="clear" w:color="auto" w:fill="auto"/>
            <w:noWrap/>
            <w:vAlign w:val="bottom"/>
            <w:hideMark/>
          </w:tcPr>
          <w:p w14:paraId="4301CE22" w14:textId="4FA088EE"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21,805</w:t>
            </w:r>
          </w:p>
        </w:tc>
        <w:tc>
          <w:tcPr>
            <w:tcW w:w="715" w:type="pct"/>
            <w:tcBorders>
              <w:top w:val="nil"/>
              <w:left w:val="nil"/>
              <w:bottom w:val="nil"/>
              <w:right w:val="nil"/>
            </w:tcBorders>
            <w:shd w:val="clear" w:color="000000" w:fill="E6E6E6"/>
            <w:noWrap/>
            <w:vAlign w:val="bottom"/>
            <w:hideMark/>
          </w:tcPr>
          <w:p w14:paraId="374DB7DB" w14:textId="5CB1F657"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w:t>
            </w:r>
          </w:p>
        </w:tc>
        <w:tc>
          <w:tcPr>
            <w:tcW w:w="705" w:type="pct"/>
            <w:gridSpan w:val="2"/>
            <w:tcBorders>
              <w:top w:val="nil"/>
              <w:left w:val="nil"/>
              <w:bottom w:val="nil"/>
              <w:right w:val="nil"/>
            </w:tcBorders>
            <w:shd w:val="clear" w:color="auto" w:fill="auto"/>
            <w:noWrap/>
            <w:vAlign w:val="bottom"/>
            <w:hideMark/>
          </w:tcPr>
          <w:p w14:paraId="3B932DAB" w14:textId="32444651"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w:t>
            </w:r>
          </w:p>
        </w:tc>
        <w:tc>
          <w:tcPr>
            <w:tcW w:w="705" w:type="pct"/>
            <w:gridSpan w:val="2"/>
            <w:tcBorders>
              <w:top w:val="nil"/>
              <w:left w:val="nil"/>
              <w:bottom w:val="nil"/>
              <w:right w:val="nil"/>
            </w:tcBorders>
            <w:shd w:val="clear" w:color="auto" w:fill="auto"/>
            <w:noWrap/>
            <w:vAlign w:val="bottom"/>
            <w:hideMark/>
          </w:tcPr>
          <w:p w14:paraId="184BBC2F" w14:textId="004A5BAF"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3,000</w:t>
            </w:r>
          </w:p>
        </w:tc>
        <w:tc>
          <w:tcPr>
            <w:tcW w:w="713" w:type="pct"/>
            <w:gridSpan w:val="2"/>
            <w:tcBorders>
              <w:top w:val="nil"/>
              <w:left w:val="nil"/>
              <w:bottom w:val="nil"/>
              <w:right w:val="nil"/>
            </w:tcBorders>
            <w:shd w:val="clear" w:color="auto" w:fill="auto"/>
            <w:noWrap/>
            <w:vAlign w:val="bottom"/>
            <w:hideMark/>
          </w:tcPr>
          <w:p w14:paraId="2C7F205B" w14:textId="3FABFC46"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28,950</w:t>
            </w:r>
          </w:p>
        </w:tc>
      </w:tr>
      <w:tr w:rsidR="00173CD7" w:rsidRPr="00173CD7" w14:paraId="48E692DA" w14:textId="77777777" w:rsidTr="007B5C33">
        <w:trPr>
          <w:trHeight w:val="204"/>
        </w:trPr>
        <w:tc>
          <w:tcPr>
            <w:tcW w:w="1493" w:type="pct"/>
            <w:tcBorders>
              <w:top w:val="nil"/>
              <w:left w:val="nil"/>
              <w:bottom w:val="nil"/>
              <w:right w:val="nil"/>
            </w:tcBorders>
            <w:shd w:val="clear" w:color="auto" w:fill="auto"/>
            <w:noWrap/>
            <w:vAlign w:val="bottom"/>
            <w:hideMark/>
          </w:tcPr>
          <w:p w14:paraId="0A9B4CC4" w14:textId="77777777" w:rsidR="00173CD7" w:rsidRPr="00173CD7" w:rsidRDefault="00173CD7" w:rsidP="00173CD7">
            <w:pPr>
              <w:spacing w:after="0" w:line="240" w:lineRule="auto"/>
              <w:ind w:left="340"/>
              <w:rPr>
                <w:rFonts w:ascii="Arial" w:hAnsi="Arial" w:cs="Arial"/>
                <w:color w:val="000000"/>
                <w:sz w:val="16"/>
                <w:szCs w:val="16"/>
              </w:rPr>
            </w:pPr>
            <w:r w:rsidRPr="00173CD7">
              <w:rPr>
                <w:rFonts w:ascii="Arial" w:hAnsi="Arial" w:cs="Arial"/>
                <w:color w:val="000000"/>
                <w:sz w:val="16"/>
                <w:szCs w:val="16"/>
              </w:rPr>
              <w:t>Rental income</w:t>
            </w:r>
          </w:p>
        </w:tc>
        <w:tc>
          <w:tcPr>
            <w:tcW w:w="670" w:type="pct"/>
            <w:tcBorders>
              <w:top w:val="nil"/>
              <w:left w:val="nil"/>
              <w:bottom w:val="nil"/>
              <w:right w:val="nil"/>
            </w:tcBorders>
            <w:shd w:val="clear" w:color="auto" w:fill="auto"/>
            <w:noWrap/>
            <w:vAlign w:val="bottom"/>
            <w:hideMark/>
          </w:tcPr>
          <w:p w14:paraId="02DCC35D" w14:textId="43F9F002"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4,382</w:t>
            </w:r>
          </w:p>
        </w:tc>
        <w:tc>
          <w:tcPr>
            <w:tcW w:w="715" w:type="pct"/>
            <w:tcBorders>
              <w:top w:val="nil"/>
              <w:left w:val="nil"/>
              <w:bottom w:val="nil"/>
              <w:right w:val="nil"/>
            </w:tcBorders>
            <w:shd w:val="clear" w:color="000000" w:fill="E6E6E6"/>
            <w:noWrap/>
            <w:vAlign w:val="bottom"/>
            <w:hideMark/>
          </w:tcPr>
          <w:p w14:paraId="6A3F7730" w14:textId="66795823"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4,525</w:t>
            </w:r>
          </w:p>
        </w:tc>
        <w:tc>
          <w:tcPr>
            <w:tcW w:w="705" w:type="pct"/>
            <w:gridSpan w:val="2"/>
            <w:tcBorders>
              <w:top w:val="nil"/>
              <w:left w:val="nil"/>
              <w:bottom w:val="nil"/>
              <w:right w:val="nil"/>
            </w:tcBorders>
            <w:shd w:val="clear" w:color="auto" w:fill="auto"/>
            <w:noWrap/>
            <w:vAlign w:val="bottom"/>
            <w:hideMark/>
          </w:tcPr>
          <w:p w14:paraId="1FCC5352" w14:textId="583727A1"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4,657</w:t>
            </w:r>
          </w:p>
        </w:tc>
        <w:tc>
          <w:tcPr>
            <w:tcW w:w="705" w:type="pct"/>
            <w:gridSpan w:val="2"/>
            <w:tcBorders>
              <w:top w:val="nil"/>
              <w:left w:val="nil"/>
              <w:bottom w:val="nil"/>
              <w:right w:val="nil"/>
            </w:tcBorders>
            <w:shd w:val="clear" w:color="auto" w:fill="auto"/>
            <w:noWrap/>
            <w:vAlign w:val="bottom"/>
            <w:hideMark/>
          </w:tcPr>
          <w:p w14:paraId="7CA523F6" w14:textId="56F8416D"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6,186</w:t>
            </w:r>
          </w:p>
        </w:tc>
        <w:tc>
          <w:tcPr>
            <w:tcW w:w="713" w:type="pct"/>
            <w:gridSpan w:val="2"/>
            <w:tcBorders>
              <w:top w:val="nil"/>
              <w:left w:val="nil"/>
              <w:bottom w:val="nil"/>
              <w:right w:val="nil"/>
            </w:tcBorders>
            <w:shd w:val="clear" w:color="auto" w:fill="auto"/>
            <w:noWrap/>
            <w:vAlign w:val="bottom"/>
            <w:hideMark/>
          </w:tcPr>
          <w:p w14:paraId="666196E4" w14:textId="0CF2C8B2"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4,657</w:t>
            </w:r>
          </w:p>
        </w:tc>
      </w:tr>
      <w:tr w:rsidR="00173CD7" w:rsidRPr="00173CD7" w14:paraId="04E591E7" w14:textId="77777777" w:rsidTr="007B5C33">
        <w:trPr>
          <w:trHeight w:val="204"/>
        </w:trPr>
        <w:tc>
          <w:tcPr>
            <w:tcW w:w="1493" w:type="pct"/>
            <w:tcBorders>
              <w:top w:val="nil"/>
              <w:left w:val="nil"/>
              <w:bottom w:val="nil"/>
              <w:right w:val="nil"/>
            </w:tcBorders>
            <w:shd w:val="clear" w:color="auto" w:fill="auto"/>
            <w:noWrap/>
            <w:vAlign w:val="bottom"/>
            <w:hideMark/>
          </w:tcPr>
          <w:p w14:paraId="509C8FDC" w14:textId="77777777" w:rsidR="00173CD7" w:rsidRPr="00173CD7" w:rsidRDefault="00173CD7" w:rsidP="00173CD7">
            <w:pPr>
              <w:spacing w:after="0" w:line="240" w:lineRule="auto"/>
              <w:ind w:left="340"/>
              <w:rPr>
                <w:rFonts w:ascii="Arial" w:hAnsi="Arial" w:cs="Arial"/>
                <w:color w:val="000000"/>
                <w:sz w:val="16"/>
                <w:szCs w:val="16"/>
              </w:rPr>
            </w:pPr>
            <w:r w:rsidRPr="00173CD7">
              <w:rPr>
                <w:rFonts w:ascii="Arial" w:hAnsi="Arial" w:cs="Arial"/>
                <w:color w:val="000000"/>
                <w:sz w:val="16"/>
                <w:szCs w:val="16"/>
              </w:rPr>
              <w:t>Other revenue</w:t>
            </w:r>
          </w:p>
        </w:tc>
        <w:tc>
          <w:tcPr>
            <w:tcW w:w="670" w:type="pct"/>
            <w:tcBorders>
              <w:top w:val="nil"/>
              <w:left w:val="nil"/>
              <w:bottom w:val="nil"/>
              <w:right w:val="nil"/>
            </w:tcBorders>
            <w:shd w:val="clear" w:color="auto" w:fill="auto"/>
            <w:noWrap/>
            <w:vAlign w:val="bottom"/>
            <w:hideMark/>
          </w:tcPr>
          <w:p w14:paraId="2147BC85" w14:textId="5909FCD3"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51,442</w:t>
            </w:r>
          </w:p>
        </w:tc>
        <w:tc>
          <w:tcPr>
            <w:tcW w:w="715" w:type="pct"/>
            <w:tcBorders>
              <w:top w:val="nil"/>
              <w:left w:val="nil"/>
              <w:bottom w:val="nil"/>
              <w:right w:val="nil"/>
            </w:tcBorders>
            <w:shd w:val="clear" w:color="000000" w:fill="E6E6E6"/>
            <w:noWrap/>
            <w:vAlign w:val="bottom"/>
            <w:hideMark/>
          </w:tcPr>
          <w:p w14:paraId="58180CBD" w14:textId="6F351247"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96,881</w:t>
            </w:r>
          </w:p>
        </w:tc>
        <w:tc>
          <w:tcPr>
            <w:tcW w:w="705" w:type="pct"/>
            <w:gridSpan w:val="2"/>
            <w:tcBorders>
              <w:top w:val="nil"/>
              <w:left w:val="nil"/>
              <w:bottom w:val="nil"/>
              <w:right w:val="nil"/>
            </w:tcBorders>
            <w:shd w:val="clear" w:color="auto" w:fill="auto"/>
            <w:noWrap/>
            <w:vAlign w:val="bottom"/>
            <w:hideMark/>
          </w:tcPr>
          <w:p w14:paraId="2DAD8102" w14:textId="620B0FA6"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129,677</w:t>
            </w:r>
          </w:p>
        </w:tc>
        <w:tc>
          <w:tcPr>
            <w:tcW w:w="705" w:type="pct"/>
            <w:gridSpan w:val="2"/>
            <w:tcBorders>
              <w:top w:val="nil"/>
              <w:left w:val="nil"/>
              <w:bottom w:val="nil"/>
              <w:right w:val="nil"/>
            </w:tcBorders>
            <w:shd w:val="clear" w:color="auto" w:fill="auto"/>
            <w:noWrap/>
            <w:vAlign w:val="bottom"/>
            <w:hideMark/>
          </w:tcPr>
          <w:p w14:paraId="743AF51A" w14:textId="5D6435D5"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163,299</w:t>
            </w:r>
          </w:p>
        </w:tc>
        <w:tc>
          <w:tcPr>
            <w:tcW w:w="713" w:type="pct"/>
            <w:gridSpan w:val="2"/>
            <w:tcBorders>
              <w:top w:val="nil"/>
              <w:left w:val="nil"/>
              <w:bottom w:val="nil"/>
              <w:right w:val="nil"/>
            </w:tcBorders>
            <w:shd w:val="clear" w:color="auto" w:fill="auto"/>
            <w:noWrap/>
            <w:vAlign w:val="bottom"/>
            <w:hideMark/>
          </w:tcPr>
          <w:p w14:paraId="14D9DC4F" w14:textId="6872271C" w:rsidR="00173CD7" w:rsidRPr="00173CD7" w:rsidRDefault="00173CD7" w:rsidP="00173CD7">
            <w:pPr>
              <w:spacing w:after="0" w:line="240" w:lineRule="auto"/>
              <w:jc w:val="right"/>
              <w:rPr>
                <w:rFonts w:ascii="Arial" w:hAnsi="Arial" w:cs="Arial"/>
                <w:color w:val="000000"/>
                <w:sz w:val="16"/>
                <w:szCs w:val="16"/>
              </w:rPr>
            </w:pPr>
            <w:r w:rsidRPr="00173CD7">
              <w:rPr>
                <w:rFonts w:ascii="Arial" w:hAnsi="Arial" w:cs="Arial"/>
                <w:color w:val="000000"/>
                <w:sz w:val="16"/>
                <w:szCs w:val="16"/>
              </w:rPr>
              <w:t>182,694</w:t>
            </w:r>
          </w:p>
        </w:tc>
      </w:tr>
      <w:tr w:rsidR="00173CD7" w:rsidRPr="00173CD7" w14:paraId="3B905ACC" w14:textId="77777777" w:rsidTr="007B5C33">
        <w:trPr>
          <w:trHeight w:val="204"/>
        </w:trPr>
        <w:tc>
          <w:tcPr>
            <w:tcW w:w="1493" w:type="pct"/>
            <w:tcBorders>
              <w:top w:val="nil"/>
              <w:left w:val="nil"/>
              <w:bottom w:val="nil"/>
              <w:right w:val="nil"/>
            </w:tcBorders>
            <w:shd w:val="clear" w:color="auto" w:fill="auto"/>
            <w:noWrap/>
            <w:vAlign w:val="bottom"/>
            <w:hideMark/>
          </w:tcPr>
          <w:p w14:paraId="761AFE2A" w14:textId="77777777" w:rsidR="00173CD7" w:rsidRPr="00173CD7" w:rsidRDefault="00173CD7" w:rsidP="00173CD7">
            <w:pPr>
              <w:spacing w:after="0" w:line="240" w:lineRule="auto"/>
              <w:rPr>
                <w:rFonts w:ascii="Arial" w:hAnsi="Arial" w:cs="Arial"/>
                <w:b/>
                <w:bCs/>
                <w:i/>
                <w:iCs/>
                <w:color w:val="000000"/>
                <w:sz w:val="16"/>
                <w:szCs w:val="16"/>
              </w:rPr>
            </w:pPr>
            <w:r w:rsidRPr="00173CD7">
              <w:rPr>
                <w:rFonts w:ascii="Arial" w:hAnsi="Arial" w:cs="Arial"/>
                <w:b/>
                <w:bCs/>
                <w:i/>
                <w:iCs/>
                <w:color w:val="000000"/>
                <w:sz w:val="16"/>
                <w:szCs w:val="16"/>
              </w:rPr>
              <w:t>Total non-taxation revenue</w:t>
            </w:r>
          </w:p>
        </w:tc>
        <w:tc>
          <w:tcPr>
            <w:tcW w:w="670" w:type="pct"/>
            <w:tcBorders>
              <w:top w:val="single" w:sz="4" w:space="0" w:color="auto"/>
              <w:left w:val="nil"/>
              <w:bottom w:val="single" w:sz="4" w:space="0" w:color="auto"/>
              <w:right w:val="nil"/>
            </w:tcBorders>
            <w:shd w:val="clear" w:color="auto" w:fill="auto"/>
            <w:noWrap/>
            <w:vAlign w:val="bottom"/>
            <w:hideMark/>
          </w:tcPr>
          <w:p w14:paraId="04959AC1" w14:textId="7E534B3D" w:rsidR="00173CD7" w:rsidRPr="00173CD7" w:rsidRDefault="00173CD7" w:rsidP="00173CD7">
            <w:pPr>
              <w:spacing w:after="0" w:line="240" w:lineRule="auto"/>
              <w:jc w:val="right"/>
              <w:rPr>
                <w:rFonts w:ascii="Arial" w:hAnsi="Arial" w:cs="Arial"/>
                <w:b/>
                <w:bCs/>
                <w:i/>
                <w:iCs/>
                <w:color w:val="000000"/>
                <w:sz w:val="16"/>
                <w:szCs w:val="16"/>
              </w:rPr>
            </w:pPr>
            <w:r w:rsidRPr="00173CD7">
              <w:rPr>
                <w:rFonts w:ascii="Arial" w:hAnsi="Arial" w:cs="Arial"/>
                <w:b/>
                <w:bCs/>
                <w:i/>
                <w:iCs/>
                <w:color w:val="000000"/>
                <w:sz w:val="16"/>
                <w:szCs w:val="16"/>
              </w:rPr>
              <w:t>636,910</w:t>
            </w:r>
          </w:p>
        </w:tc>
        <w:tc>
          <w:tcPr>
            <w:tcW w:w="715" w:type="pct"/>
            <w:tcBorders>
              <w:top w:val="single" w:sz="4" w:space="0" w:color="auto"/>
              <w:left w:val="nil"/>
              <w:bottom w:val="single" w:sz="4" w:space="0" w:color="auto"/>
              <w:right w:val="nil"/>
            </w:tcBorders>
            <w:shd w:val="clear" w:color="000000" w:fill="E6E6E6"/>
            <w:noWrap/>
            <w:vAlign w:val="bottom"/>
            <w:hideMark/>
          </w:tcPr>
          <w:p w14:paraId="7A5E9D93" w14:textId="5C7A5CD8" w:rsidR="00173CD7" w:rsidRPr="00173CD7" w:rsidRDefault="00173CD7" w:rsidP="00173CD7">
            <w:pPr>
              <w:spacing w:after="0" w:line="240" w:lineRule="auto"/>
              <w:jc w:val="right"/>
              <w:rPr>
                <w:rFonts w:ascii="Arial" w:hAnsi="Arial" w:cs="Arial"/>
                <w:b/>
                <w:bCs/>
                <w:i/>
                <w:iCs/>
                <w:color w:val="000000"/>
                <w:sz w:val="16"/>
                <w:szCs w:val="16"/>
              </w:rPr>
            </w:pPr>
            <w:r w:rsidRPr="00173CD7">
              <w:rPr>
                <w:rFonts w:ascii="Arial" w:hAnsi="Arial" w:cs="Arial"/>
                <w:b/>
                <w:bCs/>
                <w:i/>
                <w:iCs/>
                <w:color w:val="000000"/>
                <w:sz w:val="16"/>
                <w:szCs w:val="16"/>
              </w:rPr>
              <w:t>714,838</w:t>
            </w:r>
          </w:p>
        </w:tc>
        <w:tc>
          <w:tcPr>
            <w:tcW w:w="705" w:type="pct"/>
            <w:gridSpan w:val="2"/>
            <w:tcBorders>
              <w:top w:val="single" w:sz="4" w:space="0" w:color="auto"/>
              <w:left w:val="nil"/>
              <w:bottom w:val="single" w:sz="4" w:space="0" w:color="auto"/>
              <w:right w:val="nil"/>
            </w:tcBorders>
            <w:shd w:val="clear" w:color="auto" w:fill="auto"/>
            <w:noWrap/>
            <w:vAlign w:val="bottom"/>
            <w:hideMark/>
          </w:tcPr>
          <w:p w14:paraId="1AD00AD6" w14:textId="5D48A3B5" w:rsidR="00173CD7" w:rsidRPr="00173CD7" w:rsidRDefault="00173CD7" w:rsidP="00173CD7">
            <w:pPr>
              <w:spacing w:after="0" w:line="240" w:lineRule="auto"/>
              <w:jc w:val="right"/>
              <w:rPr>
                <w:rFonts w:ascii="Arial" w:hAnsi="Arial" w:cs="Arial"/>
                <w:b/>
                <w:bCs/>
                <w:i/>
                <w:iCs/>
                <w:color w:val="000000"/>
                <w:sz w:val="16"/>
                <w:szCs w:val="16"/>
              </w:rPr>
            </w:pPr>
            <w:r w:rsidRPr="00173CD7">
              <w:rPr>
                <w:rFonts w:ascii="Arial" w:hAnsi="Arial" w:cs="Arial"/>
                <w:b/>
                <w:bCs/>
                <w:i/>
                <w:iCs/>
                <w:color w:val="000000"/>
                <w:sz w:val="16"/>
                <w:szCs w:val="16"/>
              </w:rPr>
              <w:t>568,491</w:t>
            </w:r>
          </w:p>
        </w:tc>
        <w:tc>
          <w:tcPr>
            <w:tcW w:w="705" w:type="pct"/>
            <w:gridSpan w:val="2"/>
            <w:tcBorders>
              <w:top w:val="single" w:sz="4" w:space="0" w:color="auto"/>
              <w:left w:val="nil"/>
              <w:bottom w:val="single" w:sz="4" w:space="0" w:color="auto"/>
              <w:right w:val="nil"/>
            </w:tcBorders>
            <w:shd w:val="clear" w:color="auto" w:fill="auto"/>
            <w:noWrap/>
            <w:vAlign w:val="bottom"/>
            <w:hideMark/>
          </w:tcPr>
          <w:p w14:paraId="3A3C8617" w14:textId="46BD3D68" w:rsidR="00173CD7" w:rsidRPr="00173CD7" w:rsidRDefault="00173CD7" w:rsidP="00173CD7">
            <w:pPr>
              <w:spacing w:after="0" w:line="240" w:lineRule="auto"/>
              <w:jc w:val="right"/>
              <w:rPr>
                <w:rFonts w:ascii="Arial" w:hAnsi="Arial" w:cs="Arial"/>
                <w:b/>
                <w:bCs/>
                <w:i/>
                <w:iCs/>
                <w:color w:val="000000"/>
                <w:sz w:val="16"/>
                <w:szCs w:val="16"/>
              </w:rPr>
            </w:pPr>
            <w:r w:rsidRPr="00173CD7">
              <w:rPr>
                <w:rFonts w:ascii="Arial" w:hAnsi="Arial" w:cs="Arial"/>
                <w:b/>
                <w:bCs/>
                <w:i/>
                <w:iCs/>
                <w:color w:val="000000"/>
                <w:sz w:val="16"/>
                <w:szCs w:val="16"/>
              </w:rPr>
              <w:t>635,684</w:t>
            </w:r>
          </w:p>
        </w:tc>
        <w:tc>
          <w:tcPr>
            <w:tcW w:w="713" w:type="pct"/>
            <w:gridSpan w:val="2"/>
            <w:tcBorders>
              <w:top w:val="single" w:sz="4" w:space="0" w:color="auto"/>
              <w:left w:val="nil"/>
              <w:bottom w:val="single" w:sz="4" w:space="0" w:color="auto"/>
              <w:right w:val="nil"/>
            </w:tcBorders>
            <w:shd w:val="clear" w:color="auto" w:fill="auto"/>
            <w:noWrap/>
            <w:vAlign w:val="bottom"/>
            <w:hideMark/>
          </w:tcPr>
          <w:p w14:paraId="3EF0EBBC" w14:textId="64E992C6" w:rsidR="00173CD7" w:rsidRPr="00173CD7" w:rsidRDefault="00173CD7" w:rsidP="00173CD7">
            <w:pPr>
              <w:spacing w:after="0" w:line="240" w:lineRule="auto"/>
              <w:jc w:val="right"/>
              <w:rPr>
                <w:rFonts w:ascii="Arial" w:hAnsi="Arial" w:cs="Arial"/>
                <w:b/>
                <w:bCs/>
                <w:i/>
                <w:iCs/>
                <w:color w:val="000000"/>
                <w:sz w:val="16"/>
                <w:szCs w:val="16"/>
              </w:rPr>
            </w:pPr>
            <w:r w:rsidRPr="00173CD7">
              <w:rPr>
                <w:rFonts w:ascii="Arial" w:hAnsi="Arial" w:cs="Arial"/>
                <w:b/>
                <w:bCs/>
                <w:i/>
                <w:iCs/>
                <w:color w:val="000000"/>
                <w:sz w:val="16"/>
                <w:szCs w:val="16"/>
              </w:rPr>
              <w:t>708,184</w:t>
            </w:r>
          </w:p>
        </w:tc>
      </w:tr>
      <w:tr w:rsidR="00173CD7" w:rsidRPr="00173CD7" w14:paraId="020B0EE5" w14:textId="77777777" w:rsidTr="007B5C33">
        <w:trPr>
          <w:trHeight w:val="204"/>
        </w:trPr>
        <w:tc>
          <w:tcPr>
            <w:tcW w:w="1493" w:type="pct"/>
            <w:tcBorders>
              <w:top w:val="nil"/>
              <w:left w:val="nil"/>
              <w:bottom w:val="nil"/>
              <w:right w:val="nil"/>
            </w:tcBorders>
            <w:shd w:val="clear" w:color="auto" w:fill="auto"/>
            <w:vAlign w:val="bottom"/>
            <w:hideMark/>
          </w:tcPr>
          <w:p w14:paraId="2BF8133C" w14:textId="5C4F0A6F" w:rsidR="00173CD7" w:rsidRPr="00173CD7" w:rsidRDefault="00173CD7" w:rsidP="00173CD7">
            <w:pPr>
              <w:spacing w:after="0" w:line="240" w:lineRule="auto"/>
              <w:rPr>
                <w:rFonts w:ascii="Arial" w:hAnsi="Arial" w:cs="Arial"/>
                <w:b/>
                <w:bCs/>
                <w:color w:val="000000"/>
                <w:sz w:val="16"/>
                <w:szCs w:val="16"/>
              </w:rPr>
            </w:pPr>
            <w:r w:rsidRPr="00173CD7">
              <w:rPr>
                <w:rFonts w:ascii="Arial" w:hAnsi="Arial" w:cs="Arial"/>
                <w:b/>
                <w:bCs/>
                <w:color w:val="000000"/>
                <w:sz w:val="16"/>
                <w:szCs w:val="16"/>
              </w:rPr>
              <w:t>Total own-source revenue administered on behalf of Government</w:t>
            </w:r>
          </w:p>
        </w:tc>
        <w:tc>
          <w:tcPr>
            <w:tcW w:w="670" w:type="pct"/>
            <w:tcBorders>
              <w:top w:val="nil"/>
              <w:left w:val="nil"/>
              <w:bottom w:val="single" w:sz="4" w:space="0" w:color="auto"/>
              <w:right w:val="nil"/>
            </w:tcBorders>
            <w:shd w:val="clear" w:color="auto" w:fill="auto"/>
            <w:noWrap/>
            <w:vAlign w:val="bottom"/>
            <w:hideMark/>
          </w:tcPr>
          <w:p w14:paraId="6706B771" w14:textId="6FB0A785" w:rsidR="00173CD7" w:rsidRPr="00173CD7" w:rsidRDefault="00173CD7" w:rsidP="00173CD7">
            <w:pPr>
              <w:spacing w:after="0" w:line="240" w:lineRule="auto"/>
              <w:jc w:val="right"/>
              <w:rPr>
                <w:rFonts w:ascii="Arial" w:hAnsi="Arial" w:cs="Arial"/>
                <w:b/>
                <w:bCs/>
                <w:color w:val="000000"/>
                <w:sz w:val="16"/>
                <w:szCs w:val="16"/>
              </w:rPr>
            </w:pPr>
            <w:r w:rsidRPr="00173CD7">
              <w:rPr>
                <w:rFonts w:ascii="Arial" w:hAnsi="Arial" w:cs="Arial"/>
                <w:b/>
                <w:bCs/>
                <w:color w:val="000000"/>
                <w:sz w:val="16"/>
                <w:szCs w:val="16"/>
              </w:rPr>
              <w:t>666,782</w:t>
            </w:r>
          </w:p>
        </w:tc>
        <w:tc>
          <w:tcPr>
            <w:tcW w:w="715" w:type="pct"/>
            <w:tcBorders>
              <w:top w:val="nil"/>
              <w:left w:val="nil"/>
              <w:bottom w:val="single" w:sz="4" w:space="0" w:color="auto"/>
              <w:right w:val="nil"/>
            </w:tcBorders>
            <w:shd w:val="clear" w:color="000000" w:fill="E6E6E6"/>
            <w:noWrap/>
            <w:vAlign w:val="bottom"/>
            <w:hideMark/>
          </w:tcPr>
          <w:p w14:paraId="07B8514E" w14:textId="6717813D" w:rsidR="00173CD7" w:rsidRPr="00173CD7" w:rsidRDefault="00173CD7" w:rsidP="00173CD7">
            <w:pPr>
              <w:spacing w:after="0" w:line="240" w:lineRule="auto"/>
              <w:jc w:val="right"/>
              <w:rPr>
                <w:rFonts w:ascii="Arial" w:hAnsi="Arial" w:cs="Arial"/>
                <w:b/>
                <w:bCs/>
                <w:color w:val="000000"/>
                <w:sz w:val="16"/>
                <w:szCs w:val="16"/>
              </w:rPr>
            </w:pPr>
            <w:r w:rsidRPr="00173CD7">
              <w:rPr>
                <w:rFonts w:ascii="Arial" w:hAnsi="Arial" w:cs="Arial"/>
                <w:b/>
                <w:bCs/>
                <w:color w:val="000000"/>
                <w:sz w:val="16"/>
                <w:szCs w:val="16"/>
              </w:rPr>
              <w:t>742,145</w:t>
            </w:r>
          </w:p>
        </w:tc>
        <w:tc>
          <w:tcPr>
            <w:tcW w:w="705" w:type="pct"/>
            <w:gridSpan w:val="2"/>
            <w:tcBorders>
              <w:top w:val="nil"/>
              <w:left w:val="nil"/>
              <w:bottom w:val="single" w:sz="4" w:space="0" w:color="auto"/>
              <w:right w:val="nil"/>
            </w:tcBorders>
            <w:shd w:val="clear" w:color="auto" w:fill="auto"/>
            <w:noWrap/>
            <w:vAlign w:val="bottom"/>
            <w:hideMark/>
          </w:tcPr>
          <w:p w14:paraId="4513DC5A" w14:textId="0BC5FEF8" w:rsidR="00173CD7" w:rsidRPr="00173CD7" w:rsidRDefault="00173CD7" w:rsidP="00173CD7">
            <w:pPr>
              <w:spacing w:after="0" w:line="240" w:lineRule="auto"/>
              <w:jc w:val="right"/>
              <w:rPr>
                <w:rFonts w:ascii="Arial" w:hAnsi="Arial" w:cs="Arial"/>
                <w:b/>
                <w:bCs/>
                <w:color w:val="000000"/>
                <w:sz w:val="16"/>
                <w:szCs w:val="16"/>
              </w:rPr>
            </w:pPr>
            <w:r w:rsidRPr="00173CD7">
              <w:rPr>
                <w:rFonts w:ascii="Arial" w:hAnsi="Arial" w:cs="Arial"/>
                <w:b/>
                <w:bCs/>
                <w:color w:val="000000"/>
                <w:sz w:val="16"/>
                <w:szCs w:val="16"/>
              </w:rPr>
              <w:t>595,798</w:t>
            </w:r>
          </w:p>
        </w:tc>
        <w:tc>
          <w:tcPr>
            <w:tcW w:w="705" w:type="pct"/>
            <w:gridSpan w:val="2"/>
            <w:tcBorders>
              <w:top w:val="nil"/>
              <w:left w:val="nil"/>
              <w:bottom w:val="single" w:sz="4" w:space="0" w:color="auto"/>
              <w:right w:val="nil"/>
            </w:tcBorders>
            <w:shd w:val="clear" w:color="auto" w:fill="auto"/>
            <w:noWrap/>
            <w:vAlign w:val="bottom"/>
            <w:hideMark/>
          </w:tcPr>
          <w:p w14:paraId="25F93952" w14:textId="45D32298" w:rsidR="00173CD7" w:rsidRPr="00173CD7" w:rsidRDefault="00173CD7" w:rsidP="00173CD7">
            <w:pPr>
              <w:spacing w:after="0" w:line="240" w:lineRule="auto"/>
              <w:jc w:val="right"/>
              <w:rPr>
                <w:rFonts w:ascii="Arial" w:hAnsi="Arial" w:cs="Arial"/>
                <w:b/>
                <w:bCs/>
                <w:color w:val="000000"/>
                <w:sz w:val="16"/>
                <w:szCs w:val="16"/>
              </w:rPr>
            </w:pPr>
            <w:r w:rsidRPr="00173CD7">
              <w:rPr>
                <w:rFonts w:ascii="Arial" w:hAnsi="Arial" w:cs="Arial"/>
                <w:b/>
                <w:bCs/>
                <w:color w:val="000000"/>
                <w:sz w:val="16"/>
                <w:szCs w:val="16"/>
              </w:rPr>
              <w:t>662,991</w:t>
            </w:r>
          </w:p>
        </w:tc>
        <w:tc>
          <w:tcPr>
            <w:tcW w:w="713" w:type="pct"/>
            <w:gridSpan w:val="2"/>
            <w:tcBorders>
              <w:top w:val="nil"/>
              <w:left w:val="nil"/>
              <w:bottom w:val="single" w:sz="4" w:space="0" w:color="auto"/>
              <w:right w:val="nil"/>
            </w:tcBorders>
            <w:shd w:val="clear" w:color="auto" w:fill="auto"/>
            <w:noWrap/>
            <w:vAlign w:val="bottom"/>
            <w:hideMark/>
          </w:tcPr>
          <w:p w14:paraId="6518C359" w14:textId="4FE30B64" w:rsidR="00173CD7" w:rsidRPr="00173CD7" w:rsidRDefault="00173CD7" w:rsidP="00173CD7">
            <w:pPr>
              <w:spacing w:after="0" w:line="240" w:lineRule="auto"/>
              <w:jc w:val="right"/>
              <w:rPr>
                <w:rFonts w:ascii="Arial" w:hAnsi="Arial" w:cs="Arial"/>
                <w:b/>
                <w:bCs/>
                <w:color w:val="000000"/>
                <w:sz w:val="16"/>
                <w:szCs w:val="16"/>
              </w:rPr>
            </w:pPr>
            <w:r w:rsidRPr="00173CD7">
              <w:rPr>
                <w:rFonts w:ascii="Arial" w:hAnsi="Arial" w:cs="Arial"/>
                <w:b/>
                <w:bCs/>
                <w:color w:val="000000"/>
                <w:sz w:val="16"/>
                <w:szCs w:val="16"/>
              </w:rPr>
              <w:t>735,491</w:t>
            </w:r>
          </w:p>
        </w:tc>
      </w:tr>
      <w:tr w:rsidR="00173CD7" w:rsidRPr="00173CD7" w14:paraId="20DF69D1" w14:textId="77777777" w:rsidTr="007B5C33">
        <w:trPr>
          <w:trHeight w:val="204"/>
        </w:trPr>
        <w:tc>
          <w:tcPr>
            <w:tcW w:w="1493" w:type="pct"/>
            <w:tcBorders>
              <w:top w:val="nil"/>
              <w:left w:val="nil"/>
              <w:bottom w:val="nil"/>
              <w:right w:val="nil"/>
            </w:tcBorders>
            <w:shd w:val="clear" w:color="auto" w:fill="auto"/>
            <w:vAlign w:val="bottom"/>
            <w:hideMark/>
          </w:tcPr>
          <w:p w14:paraId="0D55C125" w14:textId="49500002" w:rsidR="00173CD7" w:rsidRPr="00173CD7" w:rsidRDefault="00173CD7" w:rsidP="00173CD7">
            <w:pPr>
              <w:spacing w:after="0" w:line="240" w:lineRule="auto"/>
              <w:rPr>
                <w:rFonts w:ascii="Arial" w:hAnsi="Arial" w:cs="Arial"/>
                <w:b/>
                <w:bCs/>
                <w:color w:val="000000"/>
                <w:sz w:val="16"/>
                <w:szCs w:val="16"/>
              </w:rPr>
            </w:pPr>
            <w:r w:rsidRPr="00173CD7">
              <w:rPr>
                <w:rFonts w:ascii="Arial" w:hAnsi="Arial" w:cs="Arial"/>
                <w:b/>
                <w:bCs/>
                <w:color w:val="000000"/>
                <w:sz w:val="16"/>
                <w:szCs w:val="16"/>
              </w:rPr>
              <w:t>Total own-sourced income administered on behalf of Government</w:t>
            </w:r>
          </w:p>
        </w:tc>
        <w:tc>
          <w:tcPr>
            <w:tcW w:w="670" w:type="pct"/>
            <w:tcBorders>
              <w:top w:val="single" w:sz="4" w:space="0" w:color="auto"/>
              <w:left w:val="nil"/>
              <w:bottom w:val="single" w:sz="4" w:space="0" w:color="auto"/>
              <w:right w:val="nil"/>
            </w:tcBorders>
            <w:shd w:val="clear" w:color="auto" w:fill="auto"/>
            <w:noWrap/>
            <w:vAlign w:val="bottom"/>
            <w:hideMark/>
          </w:tcPr>
          <w:p w14:paraId="2DDF6955" w14:textId="5438E3ED" w:rsidR="00173CD7" w:rsidRPr="00173CD7" w:rsidRDefault="00173CD7" w:rsidP="00173CD7">
            <w:pPr>
              <w:spacing w:after="0" w:line="240" w:lineRule="auto"/>
              <w:jc w:val="right"/>
              <w:rPr>
                <w:rFonts w:ascii="Arial" w:hAnsi="Arial" w:cs="Arial"/>
                <w:b/>
                <w:bCs/>
                <w:color w:val="000000"/>
                <w:sz w:val="16"/>
                <w:szCs w:val="16"/>
              </w:rPr>
            </w:pPr>
            <w:r w:rsidRPr="00173CD7">
              <w:rPr>
                <w:rFonts w:ascii="Arial" w:hAnsi="Arial" w:cs="Arial"/>
                <w:b/>
                <w:bCs/>
                <w:color w:val="000000"/>
                <w:sz w:val="16"/>
                <w:szCs w:val="16"/>
              </w:rPr>
              <w:t>666,782</w:t>
            </w:r>
          </w:p>
        </w:tc>
        <w:tc>
          <w:tcPr>
            <w:tcW w:w="732" w:type="pct"/>
            <w:gridSpan w:val="2"/>
            <w:tcBorders>
              <w:top w:val="single" w:sz="4" w:space="0" w:color="auto"/>
              <w:left w:val="nil"/>
              <w:bottom w:val="single" w:sz="4" w:space="0" w:color="auto"/>
              <w:right w:val="nil"/>
            </w:tcBorders>
            <w:shd w:val="clear" w:color="000000" w:fill="E6E6E6"/>
            <w:noWrap/>
            <w:vAlign w:val="bottom"/>
            <w:hideMark/>
          </w:tcPr>
          <w:p w14:paraId="6ED8A0E4" w14:textId="258CEAD1" w:rsidR="00173CD7" w:rsidRPr="00173CD7" w:rsidRDefault="00173CD7" w:rsidP="00173CD7">
            <w:pPr>
              <w:spacing w:after="0" w:line="240" w:lineRule="auto"/>
              <w:jc w:val="right"/>
              <w:rPr>
                <w:rFonts w:ascii="Arial" w:hAnsi="Arial" w:cs="Arial"/>
                <w:b/>
                <w:bCs/>
                <w:color w:val="000000"/>
                <w:sz w:val="16"/>
                <w:szCs w:val="16"/>
              </w:rPr>
            </w:pPr>
            <w:r w:rsidRPr="00173CD7">
              <w:rPr>
                <w:rFonts w:ascii="Arial" w:hAnsi="Arial" w:cs="Arial"/>
                <w:b/>
                <w:bCs/>
                <w:color w:val="000000"/>
                <w:sz w:val="16"/>
                <w:szCs w:val="16"/>
              </w:rPr>
              <w:t>742,145</w:t>
            </w:r>
          </w:p>
        </w:tc>
        <w:tc>
          <w:tcPr>
            <w:tcW w:w="696" w:type="pct"/>
            <w:gridSpan w:val="2"/>
            <w:tcBorders>
              <w:top w:val="single" w:sz="4" w:space="0" w:color="auto"/>
              <w:left w:val="nil"/>
              <w:bottom w:val="single" w:sz="4" w:space="0" w:color="auto"/>
              <w:right w:val="nil"/>
            </w:tcBorders>
            <w:shd w:val="clear" w:color="auto" w:fill="auto"/>
            <w:noWrap/>
            <w:vAlign w:val="bottom"/>
            <w:hideMark/>
          </w:tcPr>
          <w:p w14:paraId="07A141D1" w14:textId="2A192719" w:rsidR="00173CD7" w:rsidRPr="00173CD7" w:rsidRDefault="00173CD7" w:rsidP="00173CD7">
            <w:pPr>
              <w:spacing w:after="0" w:line="240" w:lineRule="auto"/>
              <w:jc w:val="right"/>
              <w:rPr>
                <w:rFonts w:ascii="Arial" w:hAnsi="Arial" w:cs="Arial"/>
                <w:b/>
                <w:bCs/>
                <w:color w:val="000000"/>
                <w:sz w:val="16"/>
                <w:szCs w:val="16"/>
              </w:rPr>
            </w:pPr>
            <w:r w:rsidRPr="00173CD7">
              <w:rPr>
                <w:rFonts w:ascii="Arial" w:hAnsi="Arial" w:cs="Arial"/>
                <w:b/>
                <w:bCs/>
                <w:color w:val="000000"/>
                <w:sz w:val="16"/>
                <w:szCs w:val="16"/>
              </w:rPr>
              <w:t>595,798</w:t>
            </w:r>
          </w:p>
        </w:tc>
        <w:tc>
          <w:tcPr>
            <w:tcW w:w="741" w:type="pct"/>
            <w:gridSpan w:val="2"/>
            <w:tcBorders>
              <w:top w:val="single" w:sz="4" w:space="0" w:color="auto"/>
              <w:left w:val="nil"/>
              <w:bottom w:val="single" w:sz="4" w:space="0" w:color="auto"/>
              <w:right w:val="nil"/>
            </w:tcBorders>
            <w:shd w:val="clear" w:color="auto" w:fill="auto"/>
            <w:noWrap/>
            <w:vAlign w:val="bottom"/>
            <w:hideMark/>
          </w:tcPr>
          <w:p w14:paraId="5066B37C" w14:textId="21FDB563" w:rsidR="00173CD7" w:rsidRPr="00173CD7" w:rsidRDefault="00173CD7" w:rsidP="00173CD7">
            <w:pPr>
              <w:spacing w:after="0" w:line="240" w:lineRule="auto"/>
              <w:jc w:val="right"/>
              <w:rPr>
                <w:rFonts w:ascii="Arial" w:hAnsi="Arial" w:cs="Arial"/>
                <w:b/>
                <w:bCs/>
                <w:color w:val="000000"/>
                <w:sz w:val="16"/>
                <w:szCs w:val="16"/>
              </w:rPr>
            </w:pPr>
            <w:r w:rsidRPr="00173CD7">
              <w:rPr>
                <w:rFonts w:ascii="Arial" w:hAnsi="Arial" w:cs="Arial"/>
                <w:b/>
                <w:bCs/>
                <w:color w:val="000000"/>
                <w:sz w:val="16"/>
                <w:szCs w:val="16"/>
              </w:rPr>
              <w:t>662,991</w:t>
            </w:r>
          </w:p>
        </w:tc>
        <w:tc>
          <w:tcPr>
            <w:tcW w:w="669" w:type="pct"/>
            <w:tcBorders>
              <w:top w:val="single" w:sz="4" w:space="0" w:color="auto"/>
              <w:left w:val="nil"/>
              <w:bottom w:val="single" w:sz="4" w:space="0" w:color="auto"/>
              <w:right w:val="nil"/>
            </w:tcBorders>
            <w:shd w:val="clear" w:color="auto" w:fill="auto"/>
            <w:noWrap/>
            <w:vAlign w:val="bottom"/>
            <w:hideMark/>
          </w:tcPr>
          <w:p w14:paraId="0F007D9B" w14:textId="1D245F7F" w:rsidR="00173CD7" w:rsidRPr="00173CD7" w:rsidRDefault="00173CD7" w:rsidP="00173CD7">
            <w:pPr>
              <w:spacing w:after="0" w:line="240" w:lineRule="auto"/>
              <w:jc w:val="right"/>
              <w:rPr>
                <w:rFonts w:ascii="Arial" w:hAnsi="Arial" w:cs="Arial"/>
                <w:b/>
                <w:bCs/>
                <w:color w:val="000000"/>
                <w:sz w:val="16"/>
                <w:szCs w:val="16"/>
              </w:rPr>
            </w:pPr>
            <w:r w:rsidRPr="00173CD7">
              <w:rPr>
                <w:rFonts w:ascii="Arial" w:hAnsi="Arial" w:cs="Arial"/>
                <w:b/>
                <w:bCs/>
                <w:color w:val="000000"/>
                <w:sz w:val="16"/>
                <w:szCs w:val="16"/>
              </w:rPr>
              <w:t>735,491</w:t>
            </w:r>
          </w:p>
        </w:tc>
      </w:tr>
      <w:tr w:rsidR="00173CD7" w:rsidRPr="00173CD7" w14:paraId="0717E55E" w14:textId="77777777" w:rsidTr="007B5C33">
        <w:trPr>
          <w:trHeight w:val="204"/>
        </w:trPr>
        <w:tc>
          <w:tcPr>
            <w:tcW w:w="1493" w:type="pct"/>
            <w:tcBorders>
              <w:top w:val="nil"/>
              <w:left w:val="nil"/>
              <w:bottom w:val="nil"/>
              <w:right w:val="nil"/>
            </w:tcBorders>
            <w:shd w:val="clear" w:color="auto" w:fill="auto"/>
            <w:vAlign w:val="bottom"/>
            <w:hideMark/>
          </w:tcPr>
          <w:p w14:paraId="35EB4DD8" w14:textId="2DA2817C" w:rsidR="00173CD7" w:rsidRPr="00173CD7" w:rsidRDefault="00173CD7" w:rsidP="00173CD7">
            <w:pPr>
              <w:spacing w:after="0" w:line="240" w:lineRule="auto"/>
              <w:rPr>
                <w:rFonts w:ascii="Arial" w:hAnsi="Arial" w:cs="Arial"/>
                <w:b/>
                <w:bCs/>
                <w:color w:val="000000"/>
                <w:sz w:val="16"/>
                <w:szCs w:val="16"/>
              </w:rPr>
            </w:pPr>
            <w:r w:rsidRPr="00173CD7">
              <w:rPr>
                <w:rFonts w:ascii="Arial" w:hAnsi="Arial" w:cs="Arial"/>
                <w:b/>
                <w:bCs/>
                <w:color w:val="000000"/>
                <w:sz w:val="16"/>
                <w:szCs w:val="16"/>
              </w:rPr>
              <w:t>Net (cost of)/contribution by services</w:t>
            </w:r>
          </w:p>
        </w:tc>
        <w:tc>
          <w:tcPr>
            <w:tcW w:w="670" w:type="pct"/>
            <w:tcBorders>
              <w:top w:val="nil"/>
              <w:left w:val="nil"/>
              <w:bottom w:val="single" w:sz="4" w:space="0" w:color="auto"/>
              <w:right w:val="nil"/>
            </w:tcBorders>
            <w:shd w:val="clear" w:color="auto" w:fill="auto"/>
            <w:noWrap/>
            <w:vAlign w:val="bottom"/>
            <w:hideMark/>
          </w:tcPr>
          <w:p w14:paraId="1F1625EC" w14:textId="17705E63" w:rsidR="00173CD7" w:rsidRPr="00173CD7" w:rsidRDefault="00173CD7" w:rsidP="00173CD7">
            <w:pPr>
              <w:spacing w:after="0" w:line="240" w:lineRule="auto"/>
              <w:jc w:val="right"/>
              <w:rPr>
                <w:rFonts w:ascii="Arial" w:hAnsi="Arial" w:cs="Arial"/>
                <w:b/>
                <w:bCs/>
                <w:color w:val="000000"/>
                <w:sz w:val="16"/>
                <w:szCs w:val="16"/>
              </w:rPr>
            </w:pPr>
            <w:r w:rsidRPr="00173CD7">
              <w:rPr>
                <w:rFonts w:ascii="Arial" w:hAnsi="Arial" w:cs="Arial"/>
                <w:b/>
                <w:bCs/>
                <w:color w:val="000000"/>
                <w:sz w:val="16"/>
                <w:szCs w:val="16"/>
              </w:rPr>
              <w:t>7,836,722</w:t>
            </w:r>
          </w:p>
        </w:tc>
        <w:tc>
          <w:tcPr>
            <w:tcW w:w="732" w:type="pct"/>
            <w:gridSpan w:val="2"/>
            <w:tcBorders>
              <w:top w:val="nil"/>
              <w:left w:val="nil"/>
              <w:bottom w:val="single" w:sz="4" w:space="0" w:color="auto"/>
              <w:right w:val="nil"/>
            </w:tcBorders>
            <w:shd w:val="clear" w:color="000000" w:fill="E6E6E6"/>
            <w:noWrap/>
            <w:vAlign w:val="bottom"/>
            <w:hideMark/>
          </w:tcPr>
          <w:p w14:paraId="2FB98908" w14:textId="4CE1A7DF" w:rsidR="00173CD7" w:rsidRPr="00173CD7" w:rsidRDefault="00173CD7" w:rsidP="00173CD7">
            <w:pPr>
              <w:spacing w:after="0" w:line="240" w:lineRule="auto"/>
              <w:jc w:val="right"/>
              <w:rPr>
                <w:rFonts w:ascii="Arial" w:hAnsi="Arial" w:cs="Arial"/>
                <w:b/>
                <w:bCs/>
                <w:color w:val="000000"/>
                <w:sz w:val="16"/>
                <w:szCs w:val="16"/>
              </w:rPr>
            </w:pPr>
            <w:r w:rsidRPr="00173CD7">
              <w:rPr>
                <w:rFonts w:ascii="Arial" w:hAnsi="Arial" w:cs="Arial"/>
                <w:b/>
                <w:bCs/>
                <w:color w:val="000000"/>
                <w:sz w:val="16"/>
                <w:szCs w:val="16"/>
              </w:rPr>
              <w:t>10,037,737</w:t>
            </w:r>
          </w:p>
        </w:tc>
        <w:tc>
          <w:tcPr>
            <w:tcW w:w="696" w:type="pct"/>
            <w:gridSpan w:val="2"/>
            <w:tcBorders>
              <w:top w:val="nil"/>
              <w:left w:val="nil"/>
              <w:bottom w:val="single" w:sz="4" w:space="0" w:color="auto"/>
              <w:right w:val="nil"/>
            </w:tcBorders>
            <w:shd w:val="clear" w:color="auto" w:fill="auto"/>
            <w:noWrap/>
            <w:vAlign w:val="bottom"/>
            <w:hideMark/>
          </w:tcPr>
          <w:p w14:paraId="7BCAB784" w14:textId="07F200CA" w:rsidR="00173CD7" w:rsidRPr="00173CD7" w:rsidRDefault="00173CD7" w:rsidP="00173CD7">
            <w:pPr>
              <w:spacing w:after="0" w:line="240" w:lineRule="auto"/>
              <w:jc w:val="right"/>
              <w:rPr>
                <w:rFonts w:ascii="Arial" w:hAnsi="Arial" w:cs="Arial"/>
                <w:b/>
                <w:bCs/>
                <w:color w:val="000000"/>
                <w:sz w:val="16"/>
                <w:szCs w:val="16"/>
              </w:rPr>
            </w:pPr>
            <w:r w:rsidRPr="00173CD7">
              <w:rPr>
                <w:rFonts w:ascii="Arial" w:hAnsi="Arial" w:cs="Arial"/>
                <w:b/>
                <w:bCs/>
                <w:color w:val="000000"/>
                <w:sz w:val="16"/>
                <w:szCs w:val="16"/>
              </w:rPr>
              <w:t>9,949,997</w:t>
            </w:r>
          </w:p>
        </w:tc>
        <w:tc>
          <w:tcPr>
            <w:tcW w:w="741" w:type="pct"/>
            <w:gridSpan w:val="2"/>
            <w:tcBorders>
              <w:top w:val="nil"/>
              <w:left w:val="nil"/>
              <w:bottom w:val="single" w:sz="4" w:space="0" w:color="auto"/>
              <w:right w:val="nil"/>
            </w:tcBorders>
            <w:shd w:val="clear" w:color="auto" w:fill="auto"/>
            <w:noWrap/>
            <w:vAlign w:val="bottom"/>
            <w:hideMark/>
          </w:tcPr>
          <w:p w14:paraId="2AEF4B53" w14:textId="6A14F2A3" w:rsidR="00173CD7" w:rsidRPr="00173CD7" w:rsidRDefault="00173CD7" w:rsidP="00173CD7">
            <w:pPr>
              <w:spacing w:after="0" w:line="240" w:lineRule="auto"/>
              <w:jc w:val="right"/>
              <w:rPr>
                <w:rFonts w:ascii="Arial" w:hAnsi="Arial" w:cs="Arial"/>
                <w:b/>
                <w:bCs/>
                <w:color w:val="000000"/>
                <w:sz w:val="16"/>
                <w:szCs w:val="16"/>
              </w:rPr>
            </w:pPr>
            <w:r w:rsidRPr="00173CD7">
              <w:rPr>
                <w:rFonts w:ascii="Arial" w:hAnsi="Arial" w:cs="Arial"/>
                <w:b/>
                <w:bCs/>
                <w:color w:val="000000"/>
                <w:sz w:val="16"/>
                <w:szCs w:val="16"/>
              </w:rPr>
              <w:t>10,018,815</w:t>
            </w:r>
          </w:p>
        </w:tc>
        <w:tc>
          <w:tcPr>
            <w:tcW w:w="669" w:type="pct"/>
            <w:tcBorders>
              <w:top w:val="nil"/>
              <w:left w:val="nil"/>
              <w:bottom w:val="single" w:sz="4" w:space="0" w:color="auto"/>
              <w:right w:val="nil"/>
            </w:tcBorders>
            <w:shd w:val="clear" w:color="auto" w:fill="auto"/>
            <w:noWrap/>
            <w:vAlign w:val="bottom"/>
            <w:hideMark/>
          </w:tcPr>
          <w:p w14:paraId="3929791B" w14:textId="40AD4C54" w:rsidR="00173CD7" w:rsidRPr="00173CD7" w:rsidRDefault="00173CD7" w:rsidP="00173CD7">
            <w:pPr>
              <w:spacing w:after="0" w:line="240" w:lineRule="auto"/>
              <w:jc w:val="right"/>
              <w:rPr>
                <w:rFonts w:ascii="Arial" w:hAnsi="Arial" w:cs="Arial"/>
                <w:b/>
                <w:bCs/>
                <w:color w:val="000000"/>
                <w:sz w:val="16"/>
                <w:szCs w:val="16"/>
              </w:rPr>
            </w:pPr>
            <w:r w:rsidRPr="00173CD7">
              <w:rPr>
                <w:rFonts w:ascii="Arial" w:hAnsi="Arial" w:cs="Arial"/>
                <w:b/>
                <w:bCs/>
                <w:color w:val="000000"/>
                <w:sz w:val="16"/>
                <w:szCs w:val="16"/>
              </w:rPr>
              <w:t>8,680,031</w:t>
            </w:r>
          </w:p>
        </w:tc>
      </w:tr>
      <w:tr w:rsidR="00173CD7" w:rsidRPr="00173CD7" w14:paraId="758867A0" w14:textId="77777777" w:rsidTr="007B5C33">
        <w:trPr>
          <w:trHeight w:val="204"/>
        </w:trPr>
        <w:tc>
          <w:tcPr>
            <w:tcW w:w="1493" w:type="pct"/>
            <w:tcBorders>
              <w:top w:val="nil"/>
              <w:left w:val="nil"/>
              <w:bottom w:val="nil"/>
              <w:right w:val="nil"/>
            </w:tcBorders>
            <w:shd w:val="clear" w:color="auto" w:fill="auto"/>
            <w:noWrap/>
            <w:vAlign w:val="bottom"/>
            <w:hideMark/>
          </w:tcPr>
          <w:p w14:paraId="725B9527" w14:textId="77777777" w:rsidR="00173CD7" w:rsidRPr="0032708C" w:rsidRDefault="00173CD7" w:rsidP="00173CD7">
            <w:pPr>
              <w:spacing w:after="0" w:line="240" w:lineRule="auto"/>
              <w:rPr>
                <w:rFonts w:ascii="Arial" w:hAnsi="Arial" w:cs="Arial"/>
                <w:b/>
                <w:bCs/>
                <w:color w:val="000000"/>
                <w:sz w:val="16"/>
                <w:szCs w:val="16"/>
              </w:rPr>
            </w:pPr>
            <w:r w:rsidRPr="0032708C">
              <w:rPr>
                <w:rFonts w:ascii="Arial" w:hAnsi="Arial" w:cs="Arial"/>
                <w:b/>
                <w:bCs/>
                <w:color w:val="000000"/>
                <w:sz w:val="16"/>
                <w:szCs w:val="16"/>
              </w:rPr>
              <w:t>Surplus/(deficit) after income tax</w:t>
            </w:r>
          </w:p>
        </w:tc>
        <w:tc>
          <w:tcPr>
            <w:tcW w:w="670" w:type="pct"/>
            <w:tcBorders>
              <w:top w:val="single" w:sz="4" w:space="0" w:color="auto"/>
              <w:left w:val="nil"/>
              <w:bottom w:val="single" w:sz="4" w:space="0" w:color="auto"/>
              <w:right w:val="nil"/>
            </w:tcBorders>
            <w:shd w:val="clear" w:color="auto" w:fill="auto"/>
            <w:noWrap/>
            <w:vAlign w:val="bottom"/>
            <w:hideMark/>
          </w:tcPr>
          <w:p w14:paraId="3E75F5ED" w14:textId="77777777" w:rsidR="00173CD7" w:rsidRPr="0032708C" w:rsidRDefault="00173CD7" w:rsidP="00173CD7">
            <w:pPr>
              <w:spacing w:after="0" w:line="240" w:lineRule="auto"/>
              <w:jc w:val="right"/>
              <w:rPr>
                <w:rFonts w:ascii="Arial" w:hAnsi="Arial" w:cs="Arial"/>
                <w:b/>
                <w:color w:val="000000"/>
                <w:sz w:val="16"/>
                <w:szCs w:val="16"/>
              </w:rPr>
            </w:pPr>
            <w:r w:rsidRPr="0032708C">
              <w:rPr>
                <w:rFonts w:ascii="Arial" w:hAnsi="Arial" w:cs="Arial"/>
                <w:b/>
                <w:color w:val="000000"/>
                <w:sz w:val="16"/>
                <w:szCs w:val="16"/>
              </w:rPr>
              <w:t>(7,836,722)</w:t>
            </w:r>
          </w:p>
        </w:tc>
        <w:tc>
          <w:tcPr>
            <w:tcW w:w="732" w:type="pct"/>
            <w:gridSpan w:val="2"/>
            <w:tcBorders>
              <w:top w:val="single" w:sz="4" w:space="0" w:color="auto"/>
              <w:left w:val="nil"/>
              <w:bottom w:val="single" w:sz="4" w:space="0" w:color="auto"/>
              <w:right w:val="nil"/>
            </w:tcBorders>
            <w:shd w:val="clear" w:color="000000" w:fill="E6E6E6"/>
            <w:noWrap/>
            <w:vAlign w:val="bottom"/>
            <w:hideMark/>
          </w:tcPr>
          <w:p w14:paraId="4E684935" w14:textId="77777777" w:rsidR="00173CD7" w:rsidRPr="0032708C" w:rsidRDefault="00173CD7" w:rsidP="00173CD7">
            <w:pPr>
              <w:spacing w:after="0" w:line="240" w:lineRule="auto"/>
              <w:jc w:val="right"/>
              <w:rPr>
                <w:rFonts w:ascii="Arial" w:hAnsi="Arial" w:cs="Arial"/>
                <w:b/>
                <w:color w:val="000000"/>
                <w:sz w:val="16"/>
                <w:szCs w:val="16"/>
              </w:rPr>
            </w:pPr>
            <w:r w:rsidRPr="0032708C">
              <w:rPr>
                <w:rFonts w:ascii="Arial" w:hAnsi="Arial" w:cs="Arial"/>
                <w:b/>
                <w:color w:val="000000"/>
                <w:sz w:val="16"/>
                <w:szCs w:val="16"/>
              </w:rPr>
              <w:t>(10,037,737)</w:t>
            </w:r>
          </w:p>
        </w:tc>
        <w:tc>
          <w:tcPr>
            <w:tcW w:w="696" w:type="pct"/>
            <w:gridSpan w:val="2"/>
            <w:tcBorders>
              <w:top w:val="single" w:sz="4" w:space="0" w:color="auto"/>
              <w:left w:val="nil"/>
              <w:bottom w:val="single" w:sz="4" w:space="0" w:color="auto"/>
              <w:right w:val="nil"/>
            </w:tcBorders>
            <w:shd w:val="clear" w:color="auto" w:fill="auto"/>
            <w:noWrap/>
            <w:vAlign w:val="bottom"/>
            <w:hideMark/>
          </w:tcPr>
          <w:p w14:paraId="11CD545E" w14:textId="77777777" w:rsidR="00173CD7" w:rsidRPr="0032708C" w:rsidRDefault="00173CD7" w:rsidP="00173CD7">
            <w:pPr>
              <w:spacing w:after="0" w:line="240" w:lineRule="auto"/>
              <w:jc w:val="right"/>
              <w:rPr>
                <w:rFonts w:ascii="Arial" w:hAnsi="Arial" w:cs="Arial"/>
                <w:b/>
                <w:color w:val="000000"/>
                <w:sz w:val="16"/>
                <w:szCs w:val="16"/>
              </w:rPr>
            </w:pPr>
            <w:r w:rsidRPr="0032708C">
              <w:rPr>
                <w:rFonts w:ascii="Arial" w:hAnsi="Arial" w:cs="Arial"/>
                <w:b/>
                <w:color w:val="000000"/>
                <w:sz w:val="16"/>
                <w:szCs w:val="16"/>
              </w:rPr>
              <w:t>(9,949,997)</w:t>
            </w:r>
          </w:p>
        </w:tc>
        <w:tc>
          <w:tcPr>
            <w:tcW w:w="741" w:type="pct"/>
            <w:gridSpan w:val="2"/>
            <w:tcBorders>
              <w:top w:val="single" w:sz="4" w:space="0" w:color="auto"/>
              <w:left w:val="nil"/>
              <w:bottom w:val="single" w:sz="4" w:space="0" w:color="auto"/>
              <w:right w:val="nil"/>
            </w:tcBorders>
            <w:shd w:val="clear" w:color="auto" w:fill="auto"/>
            <w:noWrap/>
            <w:vAlign w:val="bottom"/>
            <w:hideMark/>
          </w:tcPr>
          <w:p w14:paraId="0D2A5306" w14:textId="77777777" w:rsidR="00173CD7" w:rsidRPr="0032708C" w:rsidRDefault="00173CD7" w:rsidP="00173CD7">
            <w:pPr>
              <w:spacing w:after="0" w:line="240" w:lineRule="auto"/>
              <w:jc w:val="right"/>
              <w:rPr>
                <w:rFonts w:ascii="Arial" w:hAnsi="Arial" w:cs="Arial"/>
                <w:b/>
                <w:color w:val="000000"/>
                <w:sz w:val="16"/>
                <w:szCs w:val="16"/>
              </w:rPr>
            </w:pPr>
            <w:r w:rsidRPr="0032708C">
              <w:rPr>
                <w:rFonts w:ascii="Arial" w:hAnsi="Arial" w:cs="Arial"/>
                <w:b/>
                <w:color w:val="000000"/>
                <w:sz w:val="16"/>
                <w:szCs w:val="16"/>
              </w:rPr>
              <w:t>(10,018,815)</w:t>
            </w:r>
          </w:p>
        </w:tc>
        <w:tc>
          <w:tcPr>
            <w:tcW w:w="669" w:type="pct"/>
            <w:tcBorders>
              <w:top w:val="single" w:sz="4" w:space="0" w:color="auto"/>
              <w:left w:val="nil"/>
              <w:bottom w:val="single" w:sz="4" w:space="0" w:color="auto"/>
              <w:right w:val="nil"/>
            </w:tcBorders>
            <w:shd w:val="clear" w:color="auto" w:fill="auto"/>
            <w:noWrap/>
            <w:vAlign w:val="bottom"/>
            <w:hideMark/>
          </w:tcPr>
          <w:p w14:paraId="2BBFBB7D" w14:textId="77777777" w:rsidR="00173CD7" w:rsidRPr="0032708C" w:rsidRDefault="00173CD7" w:rsidP="00173CD7">
            <w:pPr>
              <w:spacing w:after="0" w:line="240" w:lineRule="auto"/>
              <w:jc w:val="right"/>
              <w:rPr>
                <w:rFonts w:ascii="Arial" w:hAnsi="Arial" w:cs="Arial"/>
                <w:b/>
                <w:color w:val="000000"/>
                <w:sz w:val="16"/>
                <w:szCs w:val="16"/>
              </w:rPr>
            </w:pPr>
            <w:r w:rsidRPr="0032708C">
              <w:rPr>
                <w:rFonts w:ascii="Arial" w:hAnsi="Arial" w:cs="Arial"/>
                <w:b/>
                <w:color w:val="000000"/>
                <w:sz w:val="16"/>
                <w:szCs w:val="16"/>
              </w:rPr>
              <w:t>(8,680,031)</w:t>
            </w:r>
          </w:p>
        </w:tc>
      </w:tr>
      <w:tr w:rsidR="00173CD7" w:rsidRPr="00173CD7" w14:paraId="62D79D5A" w14:textId="77777777" w:rsidTr="007B5C33">
        <w:trPr>
          <w:trHeight w:val="204"/>
        </w:trPr>
        <w:tc>
          <w:tcPr>
            <w:tcW w:w="1493" w:type="pct"/>
            <w:tcBorders>
              <w:top w:val="nil"/>
              <w:left w:val="nil"/>
              <w:bottom w:val="single" w:sz="4" w:space="0" w:color="000000"/>
              <w:right w:val="nil"/>
            </w:tcBorders>
            <w:shd w:val="clear" w:color="auto" w:fill="auto"/>
            <w:noWrap/>
            <w:vAlign w:val="bottom"/>
            <w:hideMark/>
          </w:tcPr>
          <w:p w14:paraId="38C30395" w14:textId="77777777" w:rsidR="00173CD7" w:rsidRPr="00173CD7" w:rsidRDefault="00173CD7" w:rsidP="00173CD7">
            <w:pPr>
              <w:spacing w:after="0" w:line="240" w:lineRule="auto"/>
              <w:rPr>
                <w:rFonts w:ascii="Arial" w:hAnsi="Arial" w:cs="Arial"/>
                <w:b/>
                <w:bCs/>
                <w:color w:val="000000"/>
                <w:sz w:val="16"/>
                <w:szCs w:val="16"/>
              </w:rPr>
            </w:pPr>
            <w:r w:rsidRPr="00173CD7">
              <w:rPr>
                <w:rFonts w:ascii="Arial" w:hAnsi="Arial" w:cs="Arial"/>
                <w:b/>
                <w:bCs/>
                <w:color w:val="000000"/>
                <w:sz w:val="16"/>
                <w:szCs w:val="16"/>
              </w:rPr>
              <w:t>Total comprehensive income/(loss)</w:t>
            </w:r>
          </w:p>
        </w:tc>
        <w:tc>
          <w:tcPr>
            <w:tcW w:w="670" w:type="pct"/>
            <w:tcBorders>
              <w:top w:val="nil"/>
              <w:left w:val="nil"/>
              <w:bottom w:val="single" w:sz="4" w:space="0" w:color="000000"/>
              <w:right w:val="nil"/>
            </w:tcBorders>
            <w:shd w:val="clear" w:color="auto" w:fill="auto"/>
            <w:noWrap/>
            <w:vAlign w:val="bottom"/>
            <w:hideMark/>
          </w:tcPr>
          <w:p w14:paraId="2C6D2E91" w14:textId="77777777" w:rsidR="00173CD7" w:rsidRPr="00173CD7" w:rsidRDefault="00173CD7" w:rsidP="00173CD7">
            <w:pPr>
              <w:spacing w:after="0" w:line="240" w:lineRule="auto"/>
              <w:jc w:val="right"/>
              <w:rPr>
                <w:rFonts w:ascii="Arial" w:hAnsi="Arial" w:cs="Arial"/>
                <w:b/>
                <w:bCs/>
                <w:color w:val="000000"/>
                <w:sz w:val="16"/>
                <w:szCs w:val="16"/>
              </w:rPr>
            </w:pPr>
            <w:r w:rsidRPr="00173CD7">
              <w:rPr>
                <w:rFonts w:ascii="Arial" w:hAnsi="Arial" w:cs="Arial"/>
                <w:b/>
                <w:bCs/>
                <w:color w:val="000000"/>
                <w:sz w:val="16"/>
                <w:szCs w:val="16"/>
              </w:rPr>
              <w:t>(7,836,722)</w:t>
            </w:r>
          </w:p>
        </w:tc>
        <w:tc>
          <w:tcPr>
            <w:tcW w:w="732" w:type="pct"/>
            <w:gridSpan w:val="2"/>
            <w:tcBorders>
              <w:top w:val="nil"/>
              <w:left w:val="nil"/>
              <w:bottom w:val="single" w:sz="4" w:space="0" w:color="000000"/>
              <w:right w:val="nil"/>
            </w:tcBorders>
            <w:shd w:val="clear" w:color="000000" w:fill="E6E6E6"/>
            <w:noWrap/>
            <w:vAlign w:val="bottom"/>
            <w:hideMark/>
          </w:tcPr>
          <w:p w14:paraId="73A0366E" w14:textId="77777777" w:rsidR="00173CD7" w:rsidRPr="00173CD7" w:rsidRDefault="00173CD7" w:rsidP="00173CD7">
            <w:pPr>
              <w:spacing w:after="0" w:line="240" w:lineRule="auto"/>
              <w:jc w:val="right"/>
              <w:rPr>
                <w:rFonts w:ascii="Arial" w:hAnsi="Arial" w:cs="Arial"/>
                <w:b/>
                <w:bCs/>
                <w:color w:val="000000"/>
                <w:sz w:val="16"/>
                <w:szCs w:val="16"/>
              </w:rPr>
            </w:pPr>
            <w:r w:rsidRPr="00173CD7">
              <w:rPr>
                <w:rFonts w:ascii="Arial" w:hAnsi="Arial" w:cs="Arial"/>
                <w:b/>
                <w:bCs/>
                <w:color w:val="000000"/>
                <w:sz w:val="16"/>
                <w:szCs w:val="16"/>
              </w:rPr>
              <w:t>(10,037,737)</w:t>
            </w:r>
          </w:p>
        </w:tc>
        <w:tc>
          <w:tcPr>
            <w:tcW w:w="696" w:type="pct"/>
            <w:gridSpan w:val="2"/>
            <w:tcBorders>
              <w:top w:val="nil"/>
              <w:left w:val="nil"/>
              <w:bottom w:val="single" w:sz="4" w:space="0" w:color="000000"/>
              <w:right w:val="nil"/>
            </w:tcBorders>
            <w:shd w:val="clear" w:color="auto" w:fill="auto"/>
            <w:noWrap/>
            <w:vAlign w:val="bottom"/>
            <w:hideMark/>
          </w:tcPr>
          <w:p w14:paraId="64551E48" w14:textId="77777777" w:rsidR="00173CD7" w:rsidRPr="00173CD7" w:rsidRDefault="00173CD7" w:rsidP="00173CD7">
            <w:pPr>
              <w:spacing w:after="0" w:line="240" w:lineRule="auto"/>
              <w:jc w:val="right"/>
              <w:rPr>
                <w:rFonts w:ascii="Arial" w:hAnsi="Arial" w:cs="Arial"/>
                <w:b/>
                <w:bCs/>
                <w:color w:val="000000"/>
                <w:sz w:val="16"/>
                <w:szCs w:val="16"/>
              </w:rPr>
            </w:pPr>
            <w:r w:rsidRPr="00173CD7">
              <w:rPr>
                <w:rFonts w:ascii="Arial" w:hAnsi="Arial" w:cs="Arial"/>
                <w:b/>
                <w:bCs/>
                <w:color w:val="000000"/>
                <w:sz w:val="16"/>
                <w:szCs w:val="16"/>
              </w:rPr>
              <w:t>(9,949,997)</w:t>
            </w:r>
          </w:p>
        </w:tc>
        <w:tc>
          <w:tcPr>
            <w:tcW w:w="741" w:type="pct"/>
            <w:gridSpan w:val="2"/>
            <w:tcBorders>
              <w:top w:val="nil"/>
              <w:left w:val="nil"/>
              <w:bottom w:val="single" w:sz="4" w:space="0" w:color="000000"/>
              <w:right w:val="nil"/>
            </w:tcBorders>
            <w:shd w:val="clear" w:color="auto" w:fill="auto"/>
            <w:noWrap/>
            <w:vAlign w:val="bottom"/>
            <w:hideMark/>
          </w:tcPr>
          <w:p w14:paraId="3077A7F8" w14:textId="77777777" w:rsidR="00173CD7" w:rsidRPr="00173CD7" w:rsidRDefault="00173CD7" w:rsidP="00173CD7">
            <w:pPr>
              <w:spacing w:after="0" w:line="240" w:lineRule="auto"/>
              <w:jc w:val="right"/>
              <w:rPr>
                <w:rFonts w:ascii="Arial" w:hAnsi="Arial" w:cs="Arial"/>
                <w:b/>
                <w:bCs/>
                <w:color w:val="000000"/>
                <w:sz w:val="16"/>
                <w:szCs w:val="16"/>
              </w:rPr>
            </w:pPr>
            <w:r w:rsidRPr="00173CD7">
              <w:rPr>
                <w:rFonts w:ascii="Arial" w:hAnsi="Arial" w:cs="Arial"/>
                <w:b/>
                <w:bCs/>
                <w:color w:val="000000"/>
                <w:sz w:val="16"/>
                <w:szCs w:val="16"/>
              </w:rPr>
              <w:t>(10,018,815)</w:t>
            </w:r>
          </w:p>
        </w:tc>
        <w:tc>
          <w:tcPr>
            <w:tcW w:w="669" w:type="pct"/>
            <w:tcBorders>
              <w:top w:val="nil"/>
              <w:left w:val="nil"/>
              <w:bottom w:val="single" w:sz="4" w:space="0" w:color="000000"/>
              <w:right w:val="nil"/>
            </w:tcBorders>
            <w:shd w:val="clear" w:color="auto" w:fill="auto"/>
            <w:noWrap/>
            <w:vAlign w:val="bottom"/>
            <w:hideMark/>
          </w:tcPr>
          <w:p w14:paraId="79739993" w14:textId="77777777" w:rsidR="00173CD7" w:rsidRPr="00173CD7" w:rsidRDefault="00173CD7" w:rsidP="00173CD7">
            <w:pPr>
              <w:spacing w:after="0" w:line="240" w:lineRule="auto"/>
              <w:jc w:val="right"/>
              <w:rPr>
                <w:rFonts w:ascii="Arial" w:hAnsi="Arial" w:cs="Arial"/>
                <w:b/>
                <w:bCs/>
                <w:color w:val="000000"/>
                <w:sz w:val="16"/>
                <w:szCs w:val="16"/>
              </w:rPr>
            </w:pPr>
            <w:r w:rsidRPr="00173CD7">
              <w:rPr>
                <w:rFonts w:ascii="Arial" w:hAnsi="Arial" w:cs="Arial"/>
                <w:b/>
                <w:bCs/>
                <w:color w:val="000000"/>
                <w:sz w:val="16"/>
                <w:szCs w:val="16"/>
              </w:rPr>
              <w:t>(8,680,031)</w:t>
            </w:r>
          </w:p>
        </w:tc>
      </w:tr>
    </w:tbl>
    <w:p w14:paraId="0D31C727" w14:textId="0F393213" w:rsidR="0089177F" w:rsidRDefault="00115843" w:rsidP="00115843">
      <w:pPr>
        <w:pStyle w:val="TableGraphic"/>
        <w:spacing w:before="60"/>
        <w:rPr>
          <w:rFonts w:ascii="Arial" w:hAnsi="Arial" w:cs="Arial"/>
          <w:sz w:val="16"/>
        </w:rPr>
      </w:pPr>
      <w:r w:rsidRPr="0075714A">
        <w:rPr>
          <w:rFonts w:ascii="Arial" w:hAnsi="Arial" w:cs="Arial"/>
          <w:sz w:val="16"/>
        </w:rPr>
        <w:t>Prepared on Australian Accounting Standards basis.</w:t>
      </w:r>
    </w:p>
    <w:p w14:paraId="625AAE2F" w14:textId="505DCBAC" w:rsidR="00EB7700" w:rsidRPr="00EB7700" w:rsidRDefault="00EB7700" w:rsidP="00EB7700">
      <w:pPr>
        <w:spacing w:after="0" w:line="240" w:lineRule="auto"/>
        <w:rPr>
          <w:rFonts w:ascii="Arial" w:hAnsi="Arial" w:cs="Arial"/>
          <w:sz w:val="16"/>
          <w:szCs w:val="16"/>
        </w:rPr>
      </w:pPr>
      <w:r w:rsidRPr="00EE6EE6">
        <w:rPr>
          <w:rFonts w:ascii="Arial" w:hAnsi="Arial" w:cs="Arial"/>
          <w:sz w:val="16"/>
          <w:szCs w:val="16"/>
        </w:rPr>
        <w:t>Table has been prepared inclusive of 2022-23 Additional Estimates figures.</w:t>
      </w:r>
    </w:p>
    <w:p w14:paraId="1AB99446" w14:textId="77777777" w:rsidR="0089177F" w:rsidRDefault="0089177F">
      <w:pPr>
        <w:spacing w:after="0" w:line="240" w:lineRule="auto"/>
        <w:rPr>
          <w:rFonts w:ascii="Arial" w:hAnsi="Arial" w:cs="Arial"/>
          <w:sz w:val="16"/>
        </w:rPr>
      </w:pPr>
      <w:r>
        <w:rPr>
          <w:rFonts w:ascii="Arial" w:hAnsi="Arial" w:cs="Arial"/>
          <w:sz w:val="16"/>
        </w:rPr>
        <w:br w:type="page"/>
      </w:r>
    </w:p>
    <w:p w14:paraId="45C97205" w14:textId="77777777" w:rsidR="00115843" w:rsidRDefault="00115843" w:rsidP="00115843">
      <w:pPr>
        <w:pStyle w:val="TableHeading"/>
        <w:spacing w:before="360"/>
      </w:pPr>
      <w:r w:rsidRPr="00D30CBA">
        <w:lastRenderedPageBreak/>
        <w:t>Table</w:t>
      </w:r>
      <w:r>
        <w:t xml:space="preserve"> 3.8</w:t>
      </w:r>
      <w:r w:rsidRPr="00D30CBA">
        <w:t xml:space="preserve">: Schedule of </w:t>
      </w:r>
      <w:r>
        <w:t>b</w:t>
      </w:r>
      <w:r w:rsidRPr="00D30CBA">
        <w:t xml:space="preserve">udgeted </w:t>
      </w:r>
      <w:r>
        <w:t>a</w:t>
      </w:r>
      <w:r w:rsidRPr="00D30CBA">
        <w:t xml:space="preserve">ssets and </w:t>
      </w:r>
      <w:r>
        <w:t>l</w:t>
      </w:r>
      <w:r w:rsidRPr="00D30CBA">
        <w:t xml:space="preserve">iabilities </w:t>
      </w:r>
      <w:r>
        <w:t>a</w:t>
      </w:r>
      <w:r w:rsidRPr="00D30CBA">
        <w:t>dministered o</w:t>
      </w:r>
      <w:r>
        <w:t>n behalf of G</w:t>
      </w:r>
      <w:r w:rsidRPr="00D30CBA">
        <w:t>overnment (as at 30 June)</w:t>
      </w:r>
    </w:p>
    <w:tbl>
      <w:tblPr>
        <w:tblW w:w="5000" w:type="pct"/>
        <w:tblLook w:val="04A0" w:firstRow="1" w:lastRow="0" w:firstColumn="1" w:lastColumn="0" w:noHBand="0" w:noVBand="1"/>
      </w:tblPr>
      <w:tblGrid>
        <w:gridCol w:w="2620"/>
        <w:gridCol w:w="1018"/>
        <w:gridCol w:w="1018"/>
        <w:gridCol w:w="1018"/>
        <w:gridCol w:w="1018"/>
        <w:gridCol w:w="1018"/>
      </w:tblGrid>
      <w:tr w:rsidR="004971B5" w:rsidRPr="004971B5" w14:paraId="604C244F" w14:textId="77777777" w:rsidTr="00173CD7">
        <w:trPr>
          <w:trHeight w:val="204"/>
        </w:trPr>
        <w:tc>
          <w:tcPr>
            <w:tcW w:w="1700" w:type="pct"/>
            <w:tcBorders>
              <w:top w:val="single" w:sz="4" w:space="0" w:color="auto"/>
              <w:left w:val="nil"/>
              <w:bottom w:val="nil"/>
              <w:right w:val="nil"/>
            </w:tcBorders>
            <w:shd w:val="clear" w:color="auto" w:fill="auto"/>
            <w:noWrap/>
            <w:vAlign w:val="bottom"/>
            <w:hideMark/>
          </w:tcPr>
          <w:p w14:paraId="7CA93F01" w14:textId="77777777" w:rsidR="004971B5" w:rsidRPr="004971B5" w:rsidRDefault="004971B5" w:rsidP="004971B5">
            <w:pPr>
              <w:spacing w:after="0" w:line="240" w:lineRule="auto"/>
              <w:rPr>
                <w:rFonts w:ascii="Arial" w:hAnsi="Arial" w:cs="Arial"/>
                <w:b/>
                <w:bCs/>
                <w:sz w:val="16"/>
                <w:szCs w:val="16"/>
              </w:rPr>
            </w:pPr>
            <w:r w:rsidRPr="004971B5">
              <w:rPr>
                <w:rFonts w:ascii="Arial" w:hAnsi="Arial" w:cs="Arial"/>
                <w:b/>
                <w:bCs/>
                <w:sz w:val="16"/>
                <w:szCs w:val="16"/>
              </w:rPr>
              <w:t> </w:t>
            </w:r>
          </w:p>
        </w:tc>
        <w:tc>
          <w:tcPr>
            <w:tcW w:w="660" w:type="pct"/>
            <w:tcBorders>
              <w:top w:val="single" w:sz="4" w:space="0" w:color="auto"/>
              <w:left w:val="nil"/>
              <w:bottom w:val="single" w:sz="4" w:space="0" w:color="auto"/>
              <w:right w:val="nil"/>
            </w:tcBorders>
            <w:shd w:val="clear" w:color="auto" w:fill="auto"/>
            <w:vAlign w:val="bottom"/>
            <w:hideMark/>
          </w:tcPr>
          <w:p w14:paraId="03E2F5CA" w14:textId="77777777" w:rsidR="004971B5" w:rsidRPr="004971B5" w:rsidRDefault="004971B5" w:rsidP="004971B5">
            <w:pPr>
              <w:spacing w:after="0" w:line="240" w:lineRule="auto"/>
              <w:jc w:val="right"/>
              <w:rPr>
                <w:rFonts w:ascii="Arial" w:hAnsi="Arial" w:cs="Arial"/>
                <w:sz w:val="16"/>
                <w:szCs w:val="16"/>
              </w:rPr>
            </w:pPr>
            <w:r w:rsidRPr="004971B5">
              <w:rPr>
                <w:rFonts w:ascii="Arial" w:hAnsi="Arial" w:cs="Arial"/>
                <w:sz w:val="16"/>
                <w:szCs w:val="16"/>
              </w:rPr>
              <w:t>2022-23 Estimated actual</w:t>
            </w:r>
            <w:r w:rsidRPr="004971B5">
              <w:rPr>
                <w:rFonts w:ascii="Arial" w:hAnsi="Arial" w:cs="Arial"/>
                <w:sz w:val="16"/>
                <w:szCs w:val="16"/>
              </w:rPr>
              <w:br/>
              <w:t>$'000</w:t>
            </w:r>
          </w:p>
        </w:tc>
        <w:tc>
          <w:tcPr>
            <w:tcW w:w="660" w:type="pct"/>
            <w:tcBorders>
              <w:top w:val="single" w:sz="4" w:space="0" w:color="auto"/>
              <w:left w:val="nil"/>
              <w:bottom w:val="single" w:sz="4" w:space="0" w:color="auto"/>
              <w:right w:val="nil"/>
            </w:tcBorders>
            <w:shd w:val="clear" w:color="000000" w:fill="E6E6E6"/>
            <w:vAlign w:val="bottom"/>
            <w:hideMark/>
          </w:tcPr>
          <w:p w14:paraId="34FBF391" w14:textId="77777777" w:rsidR="004971B5" w:rsidRPr="004971B5" w:rsidRDefault="004971B5" w:rsidP="004971B5">
            <w:pPr>
              <w:spacing w:after="0" w:line="240" w:lineRule="auto"/>
              <w:jc w:val="right"/>
              <w:rPr>
                <w:rFonts w:ascii="Arial" w:hAnsi="Arial" w:cs="Arial"/>
                <w:sz w:val="16"/>
                <w:szCs w:val="16"/>
              </w:rPr>
            </w:pPr>
            <w:r w:rsidRPr="004971B5">
              <w:rPr>
                <w:rFonts w:ascii="Arial" w:hAnsi="Arial" w:cs="Arial"/>
                <w:sz w:val="16"/>
                <w:szCs w:val="16"/>
              </w:rPr>
              <w:t>2023-24</w:t>
            </w:r>
            <w:r w:rsidRPr="004971B5">
              <w:rPr>
                <w:rFonts w:ascii="Arial" w:hAnsi="Arial" w:cs="Arial"/>
                <w:sz w:val="16"/>
                <w:szCs w:val="16"/>
              </w:rPr>
              <w:br/>
              <w:t>Budget</w:t>
            </w:r>
            <w:r w:rsidRPr="004971B5">
              <w:rPr>
                <w:rFonts w:ascii="Arial" w:hAnsi="Arial" w:cs="Arial"/>
                <w:sz w:val="16"/>
                <w:szCs w:val="16"/>
              </w:rPr>
              <w:br/>
            </w:r>
            <w:r w:rsidRPr="004971B5">
              <w:rPr>
                <w:rFonts w:ascii="Arial" w:hAnsi="Arial" w:cs="Arial"/>
                <w:sz w:val="16"/>
                <w:szCs w:val="16"/>
              </w:rPr>
              <w:br/>
              <w:t>$'000</w:t>
            </w:r>
          </w:p>
        </w:tc>
        <w:tc>
          <w:tcPr>
            <w:tcW w:w="660" w:type="pct"/>
            <w:tcBorders>
              <w:top w:val="single" w:sz="4" w:space="0" w:color="auto"/>
              <w:left w:val="nil"/>
              <w:bottom w:val="single" w:sz="4" w:space="0" w:color="auto"/>
              <w:right w:val="nil"/>
            </w:tcBorders>
            <w:shd w:val="clear" w:color="auto" w:fill="auto"/>
            <w:vAlign w:val="bottom"/>
            <w:hideMark/>
          </w:tcPr>
          <w:p w14:paraId="40BBC975" w14:textId="77777777" w:rsidR="004971B5" w:rsidRPr="004971B5" w:rsidRDefault="004971B5" w:rsidP="004971B5">
            <w:pPr>
              <w:spacing w:after="0" w:line="240" w:lineRule="auto"/>
              <w:jc w:val="right"/>
              <w:rPr>
                <w:rFonts w:ascii="Arial" w:hAnsi="Arial" w:cs="Arial"/>
                <w:sz w:val="16"/>
                <w:szCs w:val="16"/>
              </w:rPr>
            </w:pPr>
            <w:r w:rsidRPr="004971B5">
              <w:rPr>
                <w:rFonts w:ascii="Arial" w:hAnsi="Arial" w:cs="Arial"/>
                <w:sz w:val="16"/>
                <w:szCs w:val="16"/>
              </w:rPr>
              <w:t>2024-25 Forward estimate</w:t>
            </w:r>
            <w:r w:rsidRPr="004971B5">
              <w:rPr>
                <w:rFonts w:ascii="Arial" w:hAnsi="Arial" w:cs="Arial"/>
                <w:sz w:val="16"/>
                <w:szCs w:val="16"/>
              </w:rPr>
              <w:br/>
              <w:t>$'000</w:t>
            </w:r>
          </w:p>
        </w:tc>
        <w:tc>
          <w:tcPr>
            <w:tcW w:w="660" w:type="pct"/>
            <w:tcBorders>
              <w:top w:val="single" w:sz="4" w:space="0" w:color="auto"/>
              <w:left w:val="nil"/>
              <w:bottom w:val="single" w:sz="4" w:space="0" w:color="auto"/>
              <w:right w:val="nil"/>
            </w:tcBorders>
            <w:shd w:val="clear" w:color="auto" w:fill="auto"/>
            <w:vAlign w:val="bottom"/>
            <w:hideMark/>
          </w:tcPr>
          <w:p w14:paraId="7F2C67CA" w14:textId="77777777" w:rsidR="004971B5" w:rsidRPr="004971B5" w:rsidRDefault="004971B5" w:rsidP="004971B5">
            <w:pPr>
              <w:spacing w:after="0" w:line="240" w:lineRule="auto"/>
              <w:jc w:val="right"/>
              <w:rPr>
                <w:rFonts w:ascii="Arial" w:hAnsi="Arial" w:cs="Arial"/>
                <w:sz w:val="16"/>
                <w:szCs w:val="16"/>
              </w:rPr>
            </w:pPr>
            <w:r w:rsidRPr="004971B5">
              <w:rPr>
                <w:rFonts w:ascii="Arial" w:hAnsi="Arial" w:cs="Arial"/>
                <w:sz w:val="16"/>
                <w:szCs w:val="16"/>
              </w:rPr>
              <w:t>2025-26 Forward estimate</w:t>
            </w:r>
            <w:r w:rsidRPr="004971B5">
              <w:rPr>
                <w:rFonts w:ascii="Arial" w:hAnsi="Arial" w:cs="Arial"/>
                <w:sz w:val="16"/>
                <w:szCs w:val="16"/>
              </w:rPr>
              <w:br/>
              <w:t>$'000</w:t>
            </w:r>
          </w:p>
        </w:tc>
        <w:tc>
          <w:tcPr>
            <w:tcW w:w="660" w:type="pct"/>
            <w:tcBorders>
              <w:top w:val="single" w:sz="4" w:space="0" w:color="auto"/>
              <w:left w:val="nil"/>
              <w:bottom w:val="single" w:sz="4" w:space="0" w:color="auto"/>
              <w:right w:val="nil"/>
            </w:tcBorders>
            <w:shd w:val="clear" w:color="auto" w:fill="auto"/>
            <w:vAlign w:val="bottom"/>
            <w:hideMark/>
          </w:tcPr>
          <w:p w14:paraId="6596ABDD" w14:textId="77777777" w:rsidR="004971B5" w:rsidRPr="004971B5" w:rsidRDefault="004971B5" w:rsidP="004971B5">
            <w:pPr>
              <w:spacing w:after="0" w:line="240" w:lineRule="auto"/>
              <w:jc w:val="right"/>
              <w:rPr>
                <w:rFonts w:ascii="Arial" w:hAnsi="Arial" w:cs="Arial"/>
                <w:sz w:val="16"/>
                <w:szCs w:val="16"/>
              </w:rPr>
            </w:pPr>
            <w:r w:rsidRPr="004971B5">
              <w:rPr>
                <w:rFonts w:ascii="Arial" w:hAnsi="Arial" w:cs="Arial"/>
                <w:sz w:val="16"/>
                <w:szCs w:val="16"/>
              </w:rPr>
              <w:t>2026-27</w:t>
            </w:r>
            <w:r w:rsidRPr="004971B5">
              <w:rPr>
                <w:rFonts w:ascii="Arial" w:hAnsi="Arial" w:cs="Arial"/>
                <w:sz w:val="16"/>
                <w:szCs w:val="16"/>
              </w:rPr>
              <w:br/>
              <w:t>Forward estimate</w:t>
            </w:r>
            <w:r w:rsidRPr="004971B5">
              <w:rPr>
                <w:rFonts w:ascii="Arial" w:hAnsi="Arial" w:cs="Arial"/>
                <w:sz w:val="16"/>
                <w:szCs w:val="16"/>
              </w:rPr>
              <w:br/>
              <w:t>$'000</w:t>
            </w:r>
          </w:p>
        </w:tc>
      </w:tr>
      <w:tr w:rsidR="004971B5" w:rsidRPr="004971B5" w14:paraId="745E3F63" w14:textId="77777777" w:rsidTr="00173CD7">
        <w:trPr>
          <w:trHeight w:val="204"/>
        </w:trPr>
        <w:tc>
          <w:tcPr>
            <w:tcW w:w="1700" w:type="pct"/>
            <w:tcBorders>
              <w:top w:val="nil"/>
              <w:left w:val="nil"/>
              <w:bottom w:val="nil"/>
              <w:right w:val="nil"/>
            </w:tcBorders>
            <w:shd w:val="clear" w:color="auto" w:fill="auto"/>
            <w:noWrap/>
            <w:vAlign w:val="bottom"/>
            <w:hideMark/>
          </w:tcPr>
          <w:p w14:paraId="6419E189" w14:textId="77777777" w:rsidR="004971B5" w:rsidRPr="004971B5" w:rsidRDefault="004971B5" w:rsidP="004971B5">
            <w:pPr>
              <w:spacing w:after="0" w:line="240" w:lineRule="auto"/>
              <w:rPr>
                <w:rFonts w:ascii="Arial" w:hAnsi="Arial" w:cs="Arial"/>
                <w:b/>
                <w:bCs/>
                <w:color w:val="000000"/>
                <w:sz w:val="16"/>
                <w:szCs w:val="16"/>
              </w:rPr>
            </w:pPr>
            <w:r w:rsidRPr="004971B5">
              <w:rPr>
                <w:rFonts w:ascii="Arial" w:hAnsi="Arial" w:cs="Arial"/>
                <w:b/>
                <w:bCs/>
                <w:color w:val="000000"/>
                <w:sz w:val="16"/>
                <w:szCs w:val="16"/>
              </w:rPr>
              <w:t xml:space="preserve">ASSETS </w:t>
            </w:r>
          </w:p>
        </w:tc>
        <w:tc>
          <w:tcPr>
            <w:tcW w:w="660" w:type="pct"/>
            <w:tcBorders>
              <w:top w:val="nil"/>
              <w:left w:val="nil"/>
              <w:bottom w:val="nil"/>
              <w:right w:val="nil"/>
            </w:tcBorders>
            <w:shd w:val="clear" w:color="auto" w:fill="auto"/>
            <w:noWrap/>
            <w:vAlign w:val="bottom"/>
            <w:hideMark/>
          </w:tcPr>
          <w:p w14:paraId="4FEE21C1" w14:textId="77777777" w:rsidR="004971B5" w:rsidRPr="004971B5" w:rsidRDefault="004971B5" w:rsidP="004971B5">
            <w:pPr>
              <w:spacing w:after="0" w:line="240" w:lineRule="auto"/>
              <w:jc w:val="right"/>
              <w:rPr>
                <w:rFonts w:ascii="Arial" w:hAnsi="Arial" w:cs="Arial"/>
                <w:b/>
                <w:bCs/>
                <w:color w:val="000000"/>
                <w:sz w:val="16"/>
                <w:szCs w:val="16"/>
              </w:rPr>
            </w:pPr>
          </w:p>
        </w:tc>
        <w:tc>
          <w:tcPr>
            <w:tcW w:w="660" w:type="pct"/>
            <w:tcBorders>
              <w:top w:val="nil"/>
              <w:left w:val="nil"/>
              <w:bottom w:val="nil"/>
              <w:right w:val="nil"/>
            </w:tcBorders>
            <w:shd w:val="clear" w:color="000000" w:fill="E6E6E6"/>
            <w:noWrap/>
            <w:vAlign w:val="bottom"/>
            <w:hideMark/>
          </w:tcPr>
          <w:p w14:paraId="7D91D2E9" w14:textId="0CA11686" w:rsidR="004971B5" w:rsidRPr="004971B5" w:rsidRDefault="004971B5" w:rsidP="004971B5">
            <w:pPr>
              <w:spacing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hideMark/>
          </w:tcPr>
          <w:p w14:paraId="5E5520C4" w14:textId="77777777" w:rsidR="004971B5" w:rsidRPr="004971B5" w:rsidRDefault="004971B5" w:rsidP="004971B5">
            <w:pPr>
              <w:spacing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hideMark/>
          </w:tcPr>
          <w:p w14:paraId="02D6DD3E" w14:textId="77777777" w:rsidR="004971B5" w:rsidRPr="004971B5" w:rsidRDefault="004971B5" w:rsidP="004971B5">
            <w:pPr>
              <w:spacing w:after="0" w:line="240" w:lineRule="auto"/>
              <w:jc w:val="right"/>
              <w:rPr>
                <w:rFonts w:ascii="Times New Roman" w:hAnsi="Times New Roman"/>
              </w:rPr>
            </w:pPr>
          </w:p>
        </w:tc>
        <w:tc>
          <w:tcPr>
            <w:tcW w:w="660" w:type="pct"/>
            <w:tcBorders>
              <w:top w:val="nil"/>
              <w:left w:val="nil"/>
              <w:bottom w:val="nil"/>
              <w:right w:val="nil"/>
            </w:tcBorders>
            <w:shd w:val="clear" w:color="auto" w:fill="auto"/>
            <w:noWrap/>
            <w:vAlign w:val="bottom"/>
            <w:hideMark/>
          </w:tcPr>
          <w:p w14:paraId="07F2456E" w14:textId="77777777" w:rsidR="004971B5" w:rsidRPr="004971B5" w:rsidRDefault="004971B5" w:rsidP="004971B5">
            <w:pPr>
              <w:spacing w:after="0" w:line="240" w:lineRule="auto"/>
              <w:jc w:val="right"/>
              <w:rPr>
                <w:rFonts w:ascii="Times New Roman" w:hAnsi="Times New Roman"/>
              </w:rPr>
            </w:pPr>
          </w:p>
        </w:tc>
      </w:tr>
      <w:tr w:rsidR="004971B5" w:rsidRPr="004971B5" w14:paraId="207252E3" w14:textId="77777777" w:rsidTr="00173CD7">
        <w:trPr>
          <w:trHeight w:val="204"/>
        </w:trPr>
        <w:tc>
          <w:tcPr>
            <w:tcW w:w="1700" w:type="pct"/>
            <w:tcBorders>
              <w:top w:val="nil"/>
              <w:left w:val="nil"/>
              <w:bottom w:val="nil"/>
              <w:right w:val="nil"/>
            </w:tcBorders>
            <w:shd w:val="clear" w:color="auto" w:fill="auto"/>
            <w:noWrap/>
            <w:vAlign w:val="bottom"/>
            <w:hideMark/>
          </w:tcPr>
          <w:p w14:paraId="5EB2B329" w14:textId="77777777" w:rsidR="004971B5" w:rsidRPr="004971B5" w:rsidRDefault="004971B5" w:rsidP="004971B5">
            <w:pPr>
              <w:spacing w:after="0" w:line="240" w:lineRule="auto"/>
              <w:ind w:left="113"/>
              <w:rPr>
                <w:rFonts w:ascii="Arial" w:hAnsi="Arial" w:cs="Arial"/>
                <w:b/>
                <w:bCs/>
                <w:color w:val="000000"/>
                <w:sz w:val="16"/>
                <w:szCs w:val="16"/>
              </w:rPr>
            </w:pPr>
            <w:r w:rsidRPr="004971B5">
              <w:rPr>
                <w:rFonts w:ascii="Arial" w:hAnsi="Arial" w:cs="Arial"/>
                <w:b/>
                <w:bCs/>
                <w:color w:val="000000"/>
                <w:sz w:val="16"/>
                <w:szCs w:val="16"/>
              </w:rPr>
              <w:t>Financial assets</w:t>
            </w:r>
          </w:p>
        </w:tc>
        <w:tc>
          <w:tcPr>
            <w:tcW w:w="660" w:type="pct"/>
            <w:tcBorders>
              <w:top w:val="nil"/>
              <w:left w:val="nil"/>
              <w:bottom w:val="nil"/>
              <w:right w:val="nil"/>
            </w:tcBorders>
            <w:shd w:val="clear" w:color="auto" w:fill="auto"/>
            <w:noWrap/>
            <w:vAlign w:val="bottom"/>
            <w:hideMark/>
          </w:tcPr>
          <w:p w14:paraId="089026B5" w14:textId="77777777" w:rsidR="004971B5" w:rsidRPr="004971B5" w:rsidRDefault="004971B5" w:rsidP="004971B5">
            <w:pPr>
              <w:spacing w:after="0" w:line="240" w:lineRule="auto"/>
              <w:jc w:val="right"/>
              <w:rPr>
                <w:rFonts w:ascii="Arial" w:hAnsi="Arial" w:cs="Arial"/>
                <w:b/>
                <w:bCs/>
                <w:color w:val="000000"/>
                <w:sz w:val="16"/>
                <w:szCs w:val="16"/>
              </w:rPr>
            </w:pPr>
          </w:p>
        </w:tc>
        <w:tc>
          <w:tcPr>
            <w:tcW w:w="660" w:type="pct"/>
            <w:tcBorders>
              <w:top w:val="nil"/>
              <w:left w:val="nil"/>
              <w:bottom w:val="nil"/>
              <w:right w:val="nil"/>
            </w:tcBorders>
            <w:shd w:val="clear" w:color="000000" w:fill="E6E6E6"/>
            <w:noWrap/>
            <w:vAlign w:val="bottom"/>
            <w:hideMark/>
          </w:tcPr>
          <w:p w14:paraId="1D299611" w14:textId="1AE9CBB4" w:rsidR="004971B5" w:rsidRPr="004971B5" w:rsidRDefault="004971B5" w:rsidP="004971B5">
            <w:pPr>
              <w:spacing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hideMark/>
          </w:tcPr>
          <w:p w14:paraId="5F6ED960" w14:textId="77777777" w:rsidR="004971B5" w:rsidRPr="004971B5" w:rsidRDefault="004971B5" w:rsidP="004971B5">
            <w:pPr>
              <w:spacing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hideMark/>
          </w:tcPr>
          <w:p w14:paraId="3A96117D" w14:textId="77777777" w:rsidR="004971B5" w:rsidRPr="004971B5" w:rsidRDefault="004971B5" w:rsidP="004971B5">
            <w:pPr>
              <w:spacing w:after="0" w:line="240" w:lineRule="auto"/>
              <w:jc w:val="right"/>
              <w:rPr>
                <w:rFonts w:ascii="Times New Roman" w:hAnsi="Times New Roman"/>
              </w:rPr>
            </w:pPr>
          </w:p>
        </w:tc>
        <w:tc>
          <w:tcPr>
            <w:tcW w:w="660" w:type="pct"/>
            <w:tcBorders>
              <w:top w:val="nil"/>
              <w:left w:val="nil"/>
              <w:bottom w:val="nil"/>
              <w:right w:val="nil"/>
            </w:tcBorders>
            <w:shd w:val="clear" w:color="auto" w:fill="auto"/>
            <w:noWrap/>
            <w:vAlign w:val="bottom"/>
            <w:hideMark/>
          </w:tcPr>
          <w:p w14:paraId="2A29CB8B" w14:textId="77777777" w:rsidR="004971B5" w:rsidRPr="004971B5" w:rsidRDefault="004971B5" w:rsidP="004971B5">
            <w:pPr>
              <w:spacing w:after="0" w:line="240" w:lineRule="auto"/>
              <w:jc w:val="right"/>
              <w:rPr>
                <w:rFonts w:ascii="Times New Roman" w:hAnsi="Times New Roman"/>
              </w:rPr>
            </w:pPr>
          </w:p>
        </w:tc>
      </w:tr>
      <w:tr w:rsidR="00173CD7" w:rsidRPr="004971B5" w14:paraId="3505F7B3" w14:textId="77777777" w:rsidTr="00173CD7">
        <w:trPr>
          <w:trHeight w:val="204"/>
        </w:trPr>
        <w:tc>
          <w:tcPr>
            <w:tcW w:w="1700" w:type="pct"/>
            <w:tcBorders>
              <w:top w:val="nil"/>
              <w:left w:val="nil"/>
              <w:bottom w:val="nil"/>
              <w:right w:val="nil"/>
            </w:tcBorders>
            <w:shd w:val="clear" w:color="auto" w:fill="auto"/>
            <w:noWrap/>
            <w:vAlign w:val="bottom"/>
            <w:hideMark/>
          </w:tcPr>
          <w:p w14:paraId="5CE29B91" w14:textId="77777777" w:rsidR="00173CD7" w:rsidRPr="004971B5" w:rsidRDefault="00173CD7" w:rsidP="00173CD7">
            <w:pPr>
              <w:spacing w:after="0" w:line="240" w:lineRule="auto"/>
              <w:ind w:left="227"/>
              <w:rPr>
                <w:rFonts w:ascii="Arial" w:hAnsi="Arial" w:cs="Arial"/>
                <w:sz w:val="16"/>
                <w:szCs w:val="16"/>
              </w:rPr>
            </w:pPr>
            <w:r w:rsidRPr="004971B5">
              <w:rPr>
                <w:rFonts w:ascii="Arial" w:hAnsi="Arial" w:cs="Arial"/>
                <w:sz w:val="16"/>
                <w:szCs w:val="16"/>
              </w:rPr>
              <w:t>Cash and cash equivalents</w:t>
            </w:r>
          </w:p>
        </w:tc>
        <w:tc>
          <w:tcPr>
            <w:tcW w:w="660" w:type="pct"/>
            <w:tcBorders>
              <w:top w:val="nil"/>
              <w:left w:val="nil"/>
              <w:bottom w:val="nil"/>
              <w:right w:val="nil"/>
            </w:tcBorders>
            <w:shd w:val="clear" w:color="auto" w:fill="auto"/>
            <w:noWrap/>
            <w:vAlign w:val="bottom"/>
            <w:hideMark/>
          </w:tcPr>
          <w:p w14:paraId="7C76DFFD" w14:textId="5696791C"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50,039</w:t>
            </w:r>
          </w:p>
        </w:tc>
        <w:tc>
          <w:tcPr>
            <w:tcW w:w="660" w:type="pct"/>
            <w:tcBorders>
              <w:top w:val="nil"/>
              <w:left w:val="nil"/>
              <w:bottom w:val="nil"/>
              <w:right w:val="nil"/>
            </w:tcBorders>
            <w:shd w:val="clear" w:color="000000" w:fill="E6E6E6"/>
            <w:noWrap/>
            <w:vAlign w:val="bottom"/>
            <w:hideMark/>
          </w:tcPr>
          <w:p w14:paraId="777BF6B3" w14:textId="65B11324"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50,039</w:t>
            </w:r>
          </w:p>
        </w:tc>
        <w:tc>
          <w:tcPr>
            <w:tcW w:w="660" w:type="pct"/>
            <w:tcBorders>
              <w:top w:val="nil"/>
              <w:left w:val="nil"/>
              <w:bottom w:val="nil"/>
              <w:right w:val="nil"/>
            </w:tcBorders>
            <w:shd w:val="clear" w:color="auto" w:fill="auto"/>
            <w:noWrap/>
            <w:vAlign w:val="bottom"/>
            <w:hideMark/>
          </w:tcPr>
          <w:p w14:paraId="69B432BA" w14:textId="55384277"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50,039</w:t>
            </w:r>
          </w:p>
        </w:tc>
        <w:tc>
          <w:tcPr>
            <w:tcW w:w="660" w:type="pct"/>
            <w:tcBorders>
              <w:top w:val="nil"/>
              <w:left w:val="nil"/>
              <w:bottom w:val="nil"/>
              <w:right w:val="nil"/>
            </w:tcBorders>
            <w:shd w:val="clear" w:color="auto" w:fill="auto"/>
            <w:noWrap/>
            <w:vAlign w:val="bottom"/>
            <w:hideMark/>
          </w:tcPr>
          <w:p w14:paraId="410AF398" w14:textId="6A5AA8C4"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50,039</w:t>
            </w:r>
          </w:p>
        </w:tc>
        <w:tc>
          <w:tcPr>
            <w:tcW w:w="660" w:type="pct"/>
            <w:tcBorders>
              <w:top w:val="nil"/>
              <w:left w:val="nil"/>
              <w:bottom w:val="nil"/>
              <w:right w:val="nil"/>
            </w:tcBorders>
            <w:shd w:val="clear" w:color="auto" w:fill="auto"/>
            <w:noWrap/>
            <w:vAlign w:val="bottom"/>
            <w:hideMark/>
          </w:tcPr>
          <w:p w14:paraId="5C2FE8E1" w14:textId="330969BB"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50,039</w:t>
            </w:r>
          </w:p>
        </w:tc>
      </w:tr>
      <w:tr w:rsidR="00173CD7" w:rsidRPr="004971B5" w14:paraId="5E2D3DA2" w14:textId="77777777" w:rsidTr="00173CD7">
        <w:trPr>
          <w:trHeight w:val="204"/>
        </w:trPr>
        <w:tc>
          <w:tcPr>
            <w:tcW w:w="1700" w:type="pct"/>
            <w:tcBorders>
              <w:top w:val="nil"/>
              <w:left w:val="nil"/>
              <w:bottom w:val="nil"/>
              <w:right w:val="nil"/>
            </w:tcBorders>
            <w:shd w:val="clear" w:color="auto" w:fill="auto"/>
            <w:noWrap/>
            <w:vAlign w:val="bottom"/>
            <w:hideMark/>
          </w:tcPr>
          <w:p w14:paraId="40FC6073" w14:textId="77777777" w:rsidR="00173CD7" w:rsidRPr="004971B5" w:rsidRDefault="00173CD7" w:rsidP="00173CD7">
            <w:pPr>
              <w:spacing w:after="0" w:line="240" w:lineRule="auto"/>
              <w:ind w:left="227"/>
              <w:rPr>
                <w:rFonts w:ascii="Arial" w:hAnsi="Arial" w:cs="Arial"/>
                <w:color w:val="000000"/>
                <w:sz w:val="16"/>
                <w:szCs w:val="16"/>
              </w:rPr>
            </w:pPr>
            <w:r w:rsidRPr="004971B5">
              <w:rPr>
                <w:rFonts w:ascii="Arial" w:hAnsi="Arial" w:cs="Arial"/>
                <w:color w:val="000000"/>
                <w:sz w:val="16"/>
                <w:szCs w:val="16"/>
              </w:rPr>
              <w:t>Trade and other receivables</w:t>
            </w:r>
          </w:p>
        </w:tc>
        <w:tc>
          <w:tcPr>
            <w:tcW w:w="660" w:type="pct"/>
            <w:tcBorders>
              <w:top w:val="nil"/>
              <w:left w:val="nil"/>
              <w:bottom w:val="nil"/>
              <w:right w:val="nil"/>
            </w:tcBorders>
            <w:shd w:val="clear" w:color="auto" w:fill="auto"/>
            <w:noWrap/>
            <w:vAlign w:val="bottom"/>
            <w:hideMark/>
          </w:tcPr>
          <w:p w14:paraId="2D0CEE20" w14:textId="0B29EE73"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8,880,866</w:t>
            </w:r>
          </w:p>
        </w:tc>
        <w:tc>
          <w:tcPr>
            <w:tcW w:w="660" w:type="pct"/>
            <w:tcBorders>
              <w:top w:val="nil"/>
              <w:left w:val="nil"/>
              <w:bottom w:val="nil"/>
              <w:right w:val="nil"/>
            </w:tcBorders>
            <w:shd w:val="clear" w:color="000000" w:fill="E6E6E6"/>
            <w:noWrap/>
            <w:vAlign w:val="bottom"/>
            <w:hideMark/>
          </w:tcPr>
          <w:p w14:paraId="64180D00" w14:textId="62AD5824"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4,095,935</w:t>
            </w:r>
          </w:p>
        </w:tc>
        <w:tc>
          <w:tcPr>
            <w:tcW w:w="660" w:type="pct"/>
            <w:tcBorders>
              <w:top w:val="nil"/>
              <w:left w:val="nil"/>
              <w:bottom w:val="nil"/>
              <w:right w:val="nil"/>
            </w:tcBorders>
            <w:shd w:val="clear" w:color="auto" w:fill="auto"/>
            <w:noWrap/>
            <w:vAlign w:val="bottom"/>
            <w:hideMark/>
          </w:tcPr>
          <w:p w14:paraId="09B7AEDE" w14:textId="2F1B36EB"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4,872,705</w:t>
            </w:r>
          </w:p>
        </w:tc>
        <w:tc>
          <w:tcPr>
            <w:tcW w:w="660" w:type="pct"/>
            <w:tcBorders>
              <w:top w:val="nil"/>
              <w:left w:val="nil"/>
              <w:bottom w:val="nil"/>
              <w:right w:val="nil"/>
            </w:tcBorders>
            <w:shd w:val="clear" w:color="auto" w:fill="auto"/>
            <w:noWrap/>
            <w:vAlign w:val="bottom"/>
            <w:hideMark/>
          </w:tcPr>
          <w:p w14:paraId="66BC2368" w14:textId="4216A70B"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5,597,906</w:t>
            </w:r>
          </w:p>
        </w:tc>
        <w:tc>
          <w:tcPr>
            <w:tcW w:w="660" w:type="pct"/>
            <w:tcBorders>
              <w:top w:val="nil"/>
              <w:left w:val="nil"/>
              <w:bottom w:val="nil"/>
              <w:right w:val="nil"/>
            </w:tcBorders>
            <w:shd w:val="clear" w:color="auto" w:fill="auto"/>
            <w:noWrap/>
            <w:vAlign w:val="bottom"/>
            <w:hideMark/>
          </w:tcPr>
          <w:p w14:paraId="5AA745CA" w14:textId="7A132A62"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6,320,282</w:t>
            </w:r>
          </w:p>
        </w:tc>
      </w:tr>
      <w:tr w:rsidR="00173CD7" w:rsidRPr="004971B5" w14:paraId="3EFCA251" w14:textId="77777777" w:rsidTr="00173CD7">
        <w:trPr>
          <w:trHeight w:val="204"/>
        </w:trPr>
        <w:tc>
          <w:tcPr>
            <w:tcW w:w="1700" w:type="pct"/>
            <w:tcBorders>
              <w:top w:val="nil"/>
              <w:left w:val="nil"/>
              <w:bottom w:val="nil"/>
              <w:right w:val="nil"/>
            </w:tcBorders>
            <w:shd w:val="clear" w:color="auto" w:fill="auto"/>
            <w:noWrap/>
            <w:vAlign w:val="bottom"/>
            <w:hideMark/>
          </w:tcPr>
          <w:p w14:paraId="08A2553C" w14:textId="77777777" w:rsidR="00173CD7" w:rsidRPr="004971B5" w:rsidRDefault="00173CD7" w:rsidP="00173CD7">
            <w:pPr>
              <w:spacing w:after="0" w:line="240" w:lineRule="auto"/>
              <w:ind w:left="227"/>
              <w:rPr>
                <w:rFonts w:ascii="Arial" w:hAnsi="Arial" w:cs="Arial"/>
                <w:color w:val="000000"/>
                <w:sz w:val="16"/>
                <w:szCs w:val="16"/>
              </w:rPr>
            </w:pPr>
            <w:r w:rsidRPr="004971B5">
              <w:rPr>
                <w:rFonts w:ascii="Arial" w:hAnsi="Arial" w:cs="Arial"/>
                <w:color w:val="000000"/>
                <w:sz w:val="16"/>
                <w:szCs w:val="16"/>
              </w:rPr>
              <w:t>Other investments</w:t>
            </w:r>
          </w:p>
        </w:tc>
        <w:tc>
          <w:tcPr>
            <w:tcW w:w="660" w:type="pct"/>
            <w:tcBorders>
              <w:top w:val="nil"/>
              <w:left w:val="nil"/>
              <w:bottom w:val="nil"/>
              <w:right w:val="nil"/>
            </w:tcBorders>
            <w:shd w:val="clear" w:color="auto" w:fill="auto"/>
            <w:noWrap/>
            <w:vAlign w:val="bottom"/>
            <w:hideMark/>
          </w:tcPr>
          <w:p w14:paraId="56AC890E" w14:textId="4C4DE631"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42,447,666</w:t>
            </w:r>
          </w:p>
        </w:tc>
        <w:tc>
          <w:tcPr>
            <w:tcW w:w="660" w:type="pct"/>
            <w:tcBorders>
              <w:top w:val="nil"/>
              <w:left w:val="nil"/>
              <w:bottom w:val="nil"/>
              <w:right w:val="nil"/>
            </w:tcBorders>
            <w:shd w:val="clear" w:color="000000" w:fill="E6E6E6"/>
            <w:noWrap/>
            <w:vAlign w:val="bottom"/>
            <w:hideMark/>
          </w:tcPr>
          <w:p w14:paraId="3412C902" w14:textId="6384B18D"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45,800,044</w:t>
            </w:r>
          </w:p>
        </w:tc>
        <w:tc>
          <w:tcPr>
            <w:tcW w:w="660" w:type="pct"/>
            <w:tcBorders>
              <w:top w:val="nil"/>
              <w:left w:val="nil"/>
              <w:bottom w:val="nil"/>
              <w:right w:val="nil"/>
            </w:tcBorders>
            <w:shd w:val="clear" w:color="auto" w:fill="auto"/>
            <w:noWrap/>
            <w:vAlign w:val="bottom"/>
            <w:hideMark/>
          </w:tcPr>
          <w:p w14:paraId="4FB63348" w14:textId="749C608F"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49,392,295</w:t>
            </w:r>
          </w:p>
        </w:tc>
        <w:tc>
          <w:tcPr>
            <w:tcW w:w="660" w:type="pct"/>
            <w:tcBorders>
              <w:top w:val="nil"/>
              <w:left w:val="nil"/>
              <w:bottom w:val="nil"/>
              <w:right w:val="nil"/>
            </w:tcBorders>
            <w:shd w:val="clear" w:color="auto" w:fill="auto"/>
            <w:noWrap/>
            <w:vAlign w:val="bottom"/>
            <w:hideMark/>
          </w:tcPr>
          <w:p w14:paraId="1BDA3E08" w14:textId="2E315532"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52,332,475</w:t>
            </w:r>
          </w:p>
        </w:tc>
        <w:tc>
          <w:tcPr>
            <w:tcW w:w="660" w:type="pct"/>
            <w:tcBorders>
              <w:top w:val="nil"/>
              <w:left w:val="nil"/>
              <w:bottom w:val="nil"/>
              <w:right w:val="nil"/>
            </w:tcBorders>
            <w:shd w:val="clear" w:color="auto" w:fill="auto"/>
            <w:noWrap/>
            <w:vAlign w:val="bottom"/>
            <w:hideMark/>
          </w:tcPr>
          <w:p w14:paraId="1E8A6976" w14:textId="359E33C2"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53,315,132</w:t>
            </w:r>
          </w:p>
        </w:tc>
      </w:tr>
      <w:tr w:rsidR="00173CD7" w:rsidRPr="004971B5" w14:paraId="4E63C383" w14:textId="77777777" w:rsidTr="00173CD7">
        <w:trPr>
          <w:trHeight w:val="204"/>
        </w:trPr>
        <w:tc>
          <w:tcPr>
            <w:tcW w:w="1700" w:type="pct"/>
            <w:tcBorders>
              <w:top w:val="nil"/>
              <w:left w:val="nil"/>
              <w:bottom w:val="nil"/>
              <w:right w:val="nil"/>
            </w:tcBorders>
            <w:shd w:val="clear" w:color="auto" w:fill="auto"/>
            <w:noWrap/>
            <w:vAlign w:val="bottom"/>
            <w:hideMark/>
          </w:tcPr>
          <w:p w14:paraId="7CEBDE14" w14:textId="77777777" w:rsidR="00173CD7" w:rsidRPr="004971B5" w:rsidRDefault="00173CD7" w:rsidP="00173CD7">
            <w:pPr>
              <w:spacing w:after="0" w:line="240" w:lineRule="auto"/>
              <w:ind w:left="227"/>
              <w:rPr>
                <w:rFonts w:ascii="Arial" w:hAnsi="Arial" w:cs="Arial"/>
                <w:color w:val="000000"/>
                <w:sz w:val="16"/>
                <w:szCs w:val="16"/>
              </w:rPr>
            </w:pPr>
            <w:r w:rsidRPr="004971B5">
              <w:rPr>
                <w:rFonts w:ascii="Arial" w:hAnsi="Arial" w:cs="Arial"/>
                <w:color w:val="000000"/>
                <w:sz w:val="16"/>
                <w:szCs w:val="16"/>
              </w:rPr>
              <w:t>Other financial assets</w:t>
            </w:r>
          </w:p>
        </w:tc>
        <w:tc>
          <w:tcPr>
            <w:tcW w:w="660" w:type="pct"/>
            <w:tcBorders>
              <w:top w:val="nil"/>
              <w:left w:val="nil"/>
              <w:bottom w:val="nil"/>
              <w:right w:val="nil"/>
            </w:tcBorders>
            <w:shd w:val="clear" w:color="auto" w:fill="auto"/>
            <w:noWrap/>
            <w:vAlign w:val="bottom"/>
            <w:hideMark/>
          </w:tcPr>
          <w:p w14:paraId="7FB3B19A" w14:textId="11347617"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77,577</w:t>
            </w:r>
          </w:p>
        </w:tc>
        <w:tc>
          <w:tcPr>
            <w:tcW w:w="660" w:type="pct"/>
            <w:tcBorders>
              <w:top w:val="nil"/>
              <w:left w:val="nil"/>
              <w:bottom w:val="nil"/>
              <w:right w:val="nil"/>
            </w:tcBorders>
            <w:shd w:val="clear" w:color="000000" w:fill="E6E6E6"/>
            <w:noWrap/>
            <w:vAlign w:val="bottom"/>
            <w:hideMark/>
          </w:tcPr>
          <w:p w14:paraId="2BB16964" w14:textId="24A31751"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77,577</w:t>
            </w:r>
          </w:p>
        </w:tc>
        <w:tc>
          <w:tcPr>
            <w:tcW w:w="660" w:type="pct"/>
            <w:tcBorders>
              <w:top w:val="nil"/>
              <w:left w:val="nil"/>
              <w:bottom w:val="nil"/>
              <w:right w:val="nil"/>
            </w:tcBorders>
            <w:shd w:val="clear" w:color="auto" w:fill="auto"/>
            <w:noWrap/>
            <w:vAlign w:val="bottom"/>
            <w:hideMark/>
          </w:tcPr>
          <w:p w14:paraId="5024F253" w14:textId="1FC2326E"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77,577</w:t>
            </w:r>
          </w:p>
        </w:tc>
        <w:tc>
          <w:tcPr>
            <w:tcW w:w="660" w:type="pct"/>
            <w:tcBorders>
              <w:top w:val="nil"/>
              <w:left w:val="nil"/>
              <w:bottom w:val="nil"/>
              <w:right w:val="nil"/>
            </w:tcBorders>
            <w:shd w:val="clear" w:color="auto" w:fill="auto"/>
            <w:noWrap/>
            <w:vAlign w:val="bottom"/>
            <w:hideMark/>
          </w:tcPr>
          <w:p w14:paraId="3471418E" w14:textId="78155BAE"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77,577</w:t>
            </w:r>
          </w:p>
        </w:tc>
        <w:tc>
          <w:tcPr>
            <w:tcW w:w="660" w:type="pct"/>
            <w:tcBorders>
              <w:top w:val="nil"/>
              <w:left w:val="nil"/>
              <w:bottom w:val="nil"/>
              <w:right w:val="nil"/>
            </w:tcBorders>
            <w:shd w:val="clear" w:color="auto" w:fill="auto"/>
            <w:noWrap/>
            <w:vAlign w:val="bottom"/>
            <w:hideMark/>
          </w:tcPr>
          <w:p w14:paraId="77ECB189" w14:textId="666B2B7A"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77,577</w:t>
            </w:r>
          </w:p>
        </w:tc>
      </w:tr>
      <w:tr w:rsidR="00173CD7" w:rsidRPr="004971B5" w14:paraId="0AD15428" w14:textId="77777777" w:rsidTr="00173CD7">
        <w:trPr>
          <w:trHeight w:val="204"/>
        </w:trPr>
        <w:tc>
          <w:tcPr>
            <w:tcW w:w="1700" w:type="pct"/>
            <w:tcBorders>
              <w:top w:val="nil"/>
              <w:left w:val="nil"/>
              <w:bottom w:val="nil"/>
              <w:right w:val="nil"/>
            </w:tcBorders>
            <w:shd w:val="clear" w:color="auto" w:fill="auto"/>
            <w:noWrap/>
            <w:vAlign w:val="bottom"/>
            <w:hideMark/>
          </w:tcPr>
          <w:p w14:paraId="64506469" w14:textId="77777777" w:rsidR="00173CD7" w:rsidRPr="004971B5" w:rsidRDefault="00173CD7" w:rsidP="00173CD7">
            <w:pPr>
              <w:spacing w:after="0" w:line="240" w:lineRule="auto"/>
              <w:ind w:left="113"/>
              <w:rPr>
                <w:rFonts w:ascii="Arial" w:hAnsi="Arial" w:cs="Arial"/>
                <w:b/>
                <w:bCs/>
                <w:i/>
                <w:iCs/>
                <w:color w:val="000000"/>
                <w:sz w:val="16"/>
                <w:szCs w:val="16"/>
              </w:rPr>
            </w:pPr>
            <w:r w:rsidRPr="004971B5">
              <w:rPr>
                <w:rFonts w:ascii="Arial" w:hAnsi="Arial" w:cs="Arial"/>
                <w:b/>
                <w:bCs/>
                <w:i/>
                <w:iCs/>
                <w:color w:val="000000"/>
                <w:sz w:val="16"/>
                <w:szCs w:val="16"/>
              </w:rPr>
              <w:t>Total financial assets</w:t>
            </w:r>
          </w:p>
        </w:tc>
        <w:tc>
          <w:tcPr>
            <w:tcW w:w="660" w:type="pct"/>
            <w:tcBorders>
              <w:top w:val="single" w:sz="4" w:space="0" w:color="000000"/>
              <w:left w:val="nil"/>
              <w:bottom w:val="single" w:sz="4" w:space="0" w:color="000000"/>
              <w:right w:val="nil"/>
            </w:tcBorders>
            <w:shd w:val="clear" w:color="auto" w:fill="auto"/>
            <w:noWrap/>
            <w:vAlign w:val="bottom"/>
            <w:hideMark/>
          </w:tcPr>
          <w:p w14:paraId="7B28F897" w14:textId="386FDE88" w:rsidR="00173CD7" w:rsidRPr="004971B5" w:rsidRDefault="00173CD7" w:rsidP="00173CD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51,456,148</w:t>
            </w:r>
          </w:p>
        </w:tc>
        <w:tc>
          <w:tcPr>
            <w:tcW w:w="660" w:type="pct"/>
            <w:tcBorders>
              <w:top w:val="single" w:sz="4" w:space="0" w:color="000000"/>
              <w:left w:val="nil"/>
              <w:bottom w:val="single" w:sz="4" w:space="0" w:color="000000"/>
              <w:right w:val="nil"/>
            </w:tcBorders>
            <w:shd w:val="clear" w:color="000000" w:fill="E6E6E6"/>
            <w:noWrap/>
            <w:vAlign w:val="bottom"/>
            <w:hideMark/>
          </w:tcPr>
          <w:p w14:paraId="6DD5C0FF" w14:textId="36B8E0DF" w:rsidR="00173CD7" w:rsidRPr="004971B5" w:rsidRDefault="00173CD7" w:rsidP="00173CD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50,023,595</w:t>
            </w:r>
          </w:p>
        </w:tc>
        <w:tc>
          <w:tcPr>
            <w:tcW w:w="660" w:type="pct"/>
            <w:tcBorders>
              <w:top w:val="single" w:sz="4" w:space="0" w:color="000000"/>
              <w:left w:val="nil"/>
              <w:bottom w:val="single" w:sz="4" w:space="0" w:color="000000"/>
              <w:right w:val="nil"/>
            </w:tcBorders>
            <w:shd w:val="clear" w:color="auto" w:fill="auto"/>
            <w:noWrap/>
            <w:vAlign w:val="bottom"/>
            <w:hideMark/>
          </w:tcPr>
          <w:p w14:paraId="3C59F87D" w14:textId="6D97A034" w:rsidR="00173CD7" w:rsidRPr="004971B5" w:rsidRDefault="00173CD7" w:rsidP="00173CD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54,392,616</w:t>
            </w:r>
          </w:p>
        </w:tc>
        <w:tc>
          <w:tcPr>
            <w:tcW w:w="660" w:type="pct"/>
            <w:tcBorders>
              <w:top w:val="single" w:sz="4" w:space="0" w:color="000000"/>
              <w:left w:val="nil"/>
              <w:bottom w:val="single" w:sz="4" w:space="0" w:color="000000"/>
              <w:right w:val="nil"/>
            </w:tcBorders>
            <w:shd w:val="clear" w:color="auto" w:fill="auto"/>
            <w:noWrap/>
            <w:vAlign w:val="bottom"/>
            <w:hideMark/>
          </w:tcPr>
          <w:p w14:paraId="629EA501" w14:textId="6CE9D8E2" w:rsidR="00173CD7" w:rsidRPr="004971B5" w:rsidRDefault="00173CD7" w:rsidP="00173CD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58,057,997</w:t>
            </w:r>
          </w:p>
        </w:tc>
        <w:tc>
          <w:tcPr>
            <w:tcW w:w="660" w:type="pct"/>
            <w:tcBorders>
              <w:top w:val="single" w:sz="4" w:space="0" w:color="000000"/>
              <w:left w:val="nil"/>
              <w:bottom w:val="single" w:sz="4" w:space="0" w:color="000000"/>
              <w:right w:val="nil"/>
            </w:tcBorders>
            <w:shd w:val="clear" w:color="auto" w:fill="auto"/>
            <w:noWrap/>
            <w:vAlign w:val="bottom"/>
            <w:hideMark/>
          </w:tcPr>
          <w:p w14:paraId="7B2D1025" w14:textId="623248D1" w:rsidR="00173CD7" w:rsidRPr="004971B5" w:rsidRDefault="00173CD7" w:rsidP="00173CD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59,763,030</w:t>
            </w:r>
          </w:p>
        </w:tc>
      </w:tr>
      <w:tr w:rsidR="00173CD7" w:rsidRPr="004971B5" w14:paraId="40D9D0C9" w14:textId="77777777" w:rsidTr="00173CD7">
        <w:trPr>
          <w:trHeight w:val="204"/>
        </w:trPr>
        <w:tc>
          <w:tcPr>
            <w:tcW w:w="1700" w:type="pct"/>
            <w:tcBorders>
              <w:top w:val="nil"/>
              <w:left w:val="nil"/>
              <w:bottom w:val="nil"/>
              <w:right w:val="nil"/>
            </w:tcBorders>
            <w:shd w:val="clear" w:color="auto" w:fill="auto"/>
            <w:noWrap/>
            <w:vAlign w:val="bottom"/>
            <w:hideMark/>
          </w:tcPr>
          <w:p w14:paraId="1B9627A0" w14:textId="77777777" w:rsidR="00173CD7" w:rsidRPr="004971B5" w:rsidRDefault="00173CD7" w:rsidP="00173CD7">
            <w:pPr>
              <w:spacing w:after="0" w:line="240" w:lineRule="auto"/>
              <w:ind w:left="113"/>
              <w:rPr>
                <w:rFonts w:ascii="Arial" w:hAnsi="Arial" w:cs="Arial"/>
                <w:b/>
                <w:bCs/>
                <w:color w:val="000000"/>
                <w:sz w:val="16"/>
                <w:szCs w:val="16"/>
              </w:rPr>
            </w:pPr>
            <w:r w:rsidRPr="004971B5">
              <w:rPr>
                <w:rFonts w:ascii="Arial" w:hAnsi="Arial" w:cs="Arial"/>
                <w:b/>
                <w:bCs/>
                <w:color w:val="000000"/>
                <w:sz w:val="16"/>
                <w:szCs w:val="16"/>
              </w:rPr>
              <w:t>Non-financial assets</w:t>
            </w:r>
          </w:p>
        </w:tc>
        <w:tc>
          <w:tcPr>
            <w:tcW w:w="660" w:type="pct"/>
            <w:tcBorders>
              <w:top w:val="nil"/>
              <w:left w:val="nil"/>
              <w:bottom w:val="nil"/>
              <w:right w:val="nil"/>
            </w:tcBorders>
            <w:shd w:val="clear" w:color="auto" w:fill="auto"/>
            <w:noWrap/>
            <w:vAlign w:val="bottom"/>
            <w:hideMark/>
          </w:tcPr>
          <w:p w14:paraId="6A7AD53A" w14:textId="77777777" w:rsidR="00173CD7" w:rsidRPr="004971B5" w:rsidRDefault="00173CD7" w:rsidP="00173CD7">
            <w:pPr>
              <w:spacing w:after="0" w:line="240" w:lineRule="auto"/>
              <w:jc w:val="right"/>
              <w:rPr>
                <w:rFonts w:ascii="Arial" w:hAnsi="Arial" w:cs="Arial"/>
                <w:b/>
                <w:bCs/>
                <w:color w:val="000000"/>
                <w:sz w:val="16"/>
                <w:szCs w:val="16"/>
              </w:rPr>
            </w:pPr>
          </w:p>
        </w:tc>
        <w:tc>
          <w:tcPr>
            <w:tcW w:w="660" w:type="pct"/>
            <w:tcBorders>
              <w:top w:val="nil"/>
              <w:left w:val="nil"/>
              <w:bottom w:val="nil"/>
              <w:right w:val="nil"/>
            </w:tcBorders>
            <w:shd w:val="clear" w:color="000000" w:fill="E6E6E6"/>
            <w:noWrap/>
            <w:vAlign w:val="bottom"/>
            <w:hideMark/>
          </w:tcPr>
          <w:p w14:paraId="05530371" w14:textId="3E20575D" w:rsidR="00173CD7" w:rsidRPr="004971B5" w:rsidRDefault="00173CD7" w:rsidP="00173CD7">
            <w:pPr>
              <w:spacing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hideMark/>
          </w:tcPr>
          <w:p w14:paraId="5CB7B2B5" w14:textId="77777777" w:rsidR="00173CD7" w:rsidRPr="004971B5" w:rsidRDefault="00173CD7" w:rsidP="00173CD7">
            <w:pPr>
              <w:spacing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hideMark/>
          </w:tcPr>
          <w:p w14:paraId="0E4FAD7D" w14:textId="77777777" w:rsidR="00173CD7" w:rsidRPr="004971B5" w:rsidRDefault="00173CD7" w:rsidP="00173CD7">
            <w:pPr>
              <w:spacing w:after="0" w:line="240" w:lineRule="auto"/>
              <w:jc w:val="right"/>
              <w:rPr>
                <w:rFonts w:ascii="Times New Roman" w:hAnsi="Times New Roman"/>
              </w:rPr>
            </w:pPr>
          </w:p>
        </w:tc>
        <w:tc>
          <w:tcPr>
            <w:tcW w:w="660" w:type="pct"/>
            <w:tcBorders>
              <w:top w:val="nil"/>
              <w:left w:val="nil"/>
              <w:bottom w:val="nil"/>
              <w:right w:val="nil"/>
            </w:tcBorders>
            <w:shd w:val="clear" w:color="auto" w:fill="auto"/>
            <w:noWrap/>
            <w:vAlign w:val="bottom"/>
            <w:hideMark/>
          </w:tcPr>
          <w:p w14:paraId="21BF3ED2" w14:textId="77777777" w:rsidR="00173CD7" w:rsidRPr="004971B5" w:rsidRDefault="00173CD7" w:rsidP="00173CD7">
            <w:pPr>
              <w:spacing w:after="0" w:line="240" w:lineRule="auto"/>
              <w:jc w:val="right"/>
              <w:rPr>
                <w:rFonts w:ascii="Times New Roman" w:hAnsi="Times New Roman"/>
              </w:rPr>
            </w:pPr>
          </w:p>
        </w:tc>
      </w:tr>
      <w:tr w:rsidR="00173CD7" w:rsidRPr="004971B5" w14:paraId="09A1BC05" w14:textId="77777777" w:rsidTr="00173CD7">
        <w:trPr>
          <w:trHeight w:val="204"/>
        </w:trPr>
        <w:tc>
          <w:tcPr>
            <w:tcW w:w="1700" w:type="pct"/>
            <w:tcBorders>
              <w:top w:val="nil"/>
              <w:left w:val="nil"/>
              <w:bottom w:val="nil"/>
              <w:right w:val="nil"/>
            </w:tcBorders>
            <w:shd w:val="clear" w:color="auto" w:fill="auto"/>
            <w:noWrap/>
            <w:vAlign w:val="bottom"/>
            <w:hideMark/>
          </w:tcPr>
          <w:p w14:paraId="7F2B8855" w14:textId="77777777" w:rsidR="00173CD7" w:rsidRPr="004971B5" w:rsidRDefault="00173CD7" w:rsidP="00173CD7">
            <w:pPr>
              <w:spacing w:after="0" w:line="240" w:lineRule="auto"/>
              <w:ind w:left="227"/>
              <w:rPr>
                <w:rFonts w:ascii="Arial" w:hAnsi="Arial" w:cs="Arial"/>
                <w:sz w:val="16"/>
                <w:szCs w:val="16"/>
              </w:rPr>
            </w:pPr>
            <w:r w:rsidRPr="004971B5">
              <w:rPr>
                <w:rFonts w:ascii="Arial" w:hAnsi="Arial" w:cs="Arial"/>
                <w:sz w:val="16"/>
                <w:szCs w:val="16"/>
              </w:rPr>
              <w:t>Land and buildings</w:t>
            </w:r>
          </w:p>
        </w:tc>
        <w:tc>
          <w:tcPr>
            <w:tcW w:w="660" w:type="pct"/>
            <w:tcBorders>
              <w:top w:val="nil"/>
              <w:left w:val="nil"/>
              <w:bottom w:val="nil"/>
              <w:right w:val="nil"/>
            </w:tcBorders>
            <w:shd w:val="clear" w:color="auto" w:fill="auto"/>
            <w:noWrap/>
            <w:vAlign w:val="bottom"/>
            <w:hideMark/>
          </w:tcPr>
          <w:p w14:paraId="441A1280" w14:textId="79C451AA"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212,319</w:t>
            </w:r>
          </w:p>
        </w:tc>
        <w:tc>
          <w:tcPr>
            <w:tcW w:w="660" w:type="pct"/>
            <w:tcBorders>
              <w:top w:val="nil"/>
              <w:left w:val="nil"/>
              <w:bottom w:val="nil"/>
              <w:right w:val="nil"/>
            </w:tcBorders>
            <w:shd w:val="clear" w:color="000000" w:fill="E6E6E6"/>
            <w:noWrap/>
            <w:vAlign w:val="bottom"/>
            <w:hideMark/>
          </w:tcPr>
          <w:p w14:paraId="37448873" w14:textId="7B7DE083"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189,665</w:t>
            </w:r>
          </w:p>
        </w:tc>
        <w:tc>
          <w:tcPr>
            <w:tcW w:w="660" w:type="pct"/>
            <w:tcBorders>
              <w:top w:val="nil"/>
              <w:left w:val="nil"/>
              <w:bottom w:val="nil"/>
              <w:right w:val="nil"/>
            </w:tcBorders>
            <w:shd w:val="clear" w:color="auto" w:fill="auto"/>
            <w:noWrap/>
            <w:vAlign w:val="bottom"/>
            <w:hideMark/>
          </w:tcPr>
          <w:p w14:paraId="5B337659" w14:textId="271B083D"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191,399</w:t>
            </w:r>
          </w:p>
        </w:tc>
        <w:tc>
          <w:tcPr>
            <w:tcW w:w="660" w:type="pct"/>
            <w:tcBorders>
              <w:top w:val="nil"/>
              <w:left w:val="nil"/>
              <w:bottom w:val="nil"/>
              <w:right w:val="nil"/>
            </w:tcBorders>
            <w:shd w:val="clear" w:color="auto" w:fill="auto"/>
            <w:noWrap/>
            <w:vAlign w:val="bottom"/>
            <w:hideMark/>
          </w:tcPr>
          <w:p w14:paraId="6050149D" w14:textId="5317CF5F"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211,202</w:t>
            </w:r>
          </w:p>
        </w:tc>
        <w:tc>
          <w:tcPr>
            <w:tcW w:w="660" w:type="pct"/>
            <w:tcBorders>
              <w:top w:val="nil"/>
              <w:left w:val="nil"/>
              <w:bottom w:val="nil"/>
              <w:right w:val="nil"/>
            </w:tcBorders>
            <w:shd w:val="clear" w:color="auto" w:fill="auto"/>
            <w:noWrap/>
            <w:vAlign w:val="bottom"/>
            <w:hideMark/>
          </w:tcPr>
          <w:p w14:paraId="7B33B488" w14:textId="537B46BA"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203,936</w:t>
            </w:r>
          </w:p>
        </w:tc>
      </w:tr>
      <w:tr w:rsidR="00173CD7" w:rsidRPr="004971B5" w14:paraId="4D6ED133" w14:textId="77777777" w:rsidTr="00173CD7">
        <w:trPr>
          <w:trHeight w:val="204"/>
        </w:trPr>
        <w:tc>
          <w:tcPr>
            <w:tcW w:w="1700" w:type="pct"/>
            <w:tcBorders>
              <w:top w:val="nil"/>
              <w:left w:val="nil"/>
              <w:bottom w:val="nil"/>
              <w:right w:val="nil"/>
            </w:tcBorders>
            <w:shd w:val="clear" w:color="auto" w:fill="auto"/>
            <w:noWrap/>
            <w:vAlign w:val="bottom"/>
            <w:hideMark/>
          </w:tcPr>
          <w:p w14:paraId="1CB6D3FA" w14:textId="77777777" w:rsidR="00173CD7" w:rsidRPr="004971B5" w:rsidRDefault="00173CD7" w:rsidP="00173CD7">
            <w:pPr>
              <w:spacing w:after="0" w:line="240" w:lineRule="auto"/>
              <w:ind w:left="227"/>
              <w:rPr>
                <w:rFonts w:ascii="Arial" w:hAnsi="Arial" w:cs="Arial"/>
                <w:sz w:val="16"/>
                <w:szCs w:val="16"/>
              </w:rPr>
            </w:pPr>
            <w:r w:rsidRPr="004971B5">
              <w:rPr>
                <w:rFonts w:ascii="Arial" w:hAnsi="Arial" w:cs="Arial"/>
                <w:sz w:val="16"/>
                <w:szCs w:val="16"/>
              </w:rPr>
              <w:t>Property, plant and equipment</w:t>
            </w:r>
          </w:p>
        </w:tc>
        <w:tc>
          <w:tcPr>
            <w:tcW w:w="660" w:type="pct"/>
            <w:tcBorders>
              <w:top w:val="nil"/>
              <w:left w:val="nil"/>
              <w:bottom w:val="nil"/>
              <w:right w:val="nil"/>
            </w:tcBorders>
            <w:shd w:val="clear" w:color="auto" w:fill="auto"/>
            <w:noWrap/>
            <w:vAlign w:val="bottom"/>
            <w:hideMark/>
          </w:tcPr>
          <w:p w14:paraId="2CEECE3A" w14:textId="3B5537E5"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505,419</w:t>
            </w:r>
          </w:p>
        </w:tc>
        <w:tc>
          <w:tcPr>
            <w:tcW w:w="660" w:type="pct"/>
            <w:tcBorders>
              <w:top w:val="nil"/>
              <w:left w:val="nil"/>
              <w:bottom w:val="nil"/>
              <w:right w:val="nil"/>
            </w:tcBorders>
            <w:shd w:val="clear" w:color="000000" w:fill="E6E6E6"/>
            <w:noWrap/>
            <w:vAlign w:val="bottom"/>
            <w:hideMark/>
          </w:tcPr>
          <w:p w14:paraId="606A4795" w14:textId="4F4E1C5D"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581,928</w:t>
            </w:r>
          </w:p>
        </w:tc>
        <w:tc>
          <w:tcPr>
            <w:tcW w:w="660" w:type="pct"/>
            <w:tcBorders>
              <w:top w:val="nil"/>
              <w:left w:val="nil"/>
              <w:bottom w:val="nil"/>
              <w:right w:val="nil"/>
            </w:tcBorders>
            <w:shd w:val="clear" w:color="auto" w:fill="auto"/>
            <w:noWrap/>
            <w:vAlign w:val="bottom"/>
            <w:hideMark/>
          </w:tcPr>
          <w:p w14:paraId="68490807" w14:textId="02A30344"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604,491</w:t>
            </w:r>
          </w:p>
        </w:tc>
        <w:tc>
          <w:tcPr>
            <w:tcW w:w="660" w:type="pct"/>
            <w:tcBorders>
              <w:top w:val="nil"/>
              <w:left w:val="nil"/>
              <w:bottom w:val="nil"/>
              <w:right w:val="nil"/>
            </w:tcBorders>
            <w:shd w:val="clear" w:color="auto" w:fill="auto"/>
            <w:noWrap/>
            <w:vAlign w:val="bottom"/>
            <w:hideMark/>
          </w:tcPr>
          <w:p w14:paraId="54C5D9C5" w14:textId="42C0F542"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605,090</w:t>
            </w:r>
          </w:p>
        </w:tc>
        <w:tc>
          <w:tcPr>
            <w:tcW w:w="660" w:type="pct"/>
            <w:tcBorders>
              <w:top w:val="nil"/>
              <w:left w:val="nil"/>
              <w:bottom w:val="nil"/>
              <w:right w:val="nil"/>
            </w:tcBorders>
            <w:shd w:val="clear" w:color="auto" w:fill="auto"/>
            <w:noWrap/>
            <w:vAlign w:val="bottom"/>
            <w:hideMark/>
          </w:tcPr>
          <w:p w14:paraId="4540439E" w14:textId="7F8DCF99"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586,021</w:t>
            </w:r>
          </w:p>
        </w:tc>
      </w:tr>
      <w:tr w:rsidR="00173CD7" w:rsidRPr="004971B5" w14:paraId="4975B2CA" w14:textId="77777777" w:rsidTr="00173CD7">
        <w:trPr>
          <w:trHeight w:val="204"/>
        </w:trPr>
        <w:tc>
          <w:tcPr>
            <w:tcW w:w="1700" w:type="pct"/>
            <w:tcBorders>
              <w:top w:val="nil"/>
              <w:left w:val="nil"/>
              <w:bottom w:val="nil"/>
              <w:right w:val="nil"/>
            </w:tcBorders>
            <w:shd w:val="clear" w:color="auto" w:fill="auto"/>
            <w:noWrap/>
            <w:vAlign w:val="bottom"/>
            <w:hideMark/>
          </w:tcPr>
          <w:p w14:paraId="2F5C7256" w14:textId="77777777" w:rsidR="00173CD7" w:rsidRPr="004971B5" w:rsidRDefault="00173CD7" w:rsidP="00173CD7">
            <w:pPr>
              <w:spacing w:after="0" w:line="240" w:lineRule="auto"/>
              <w:ind w:left="227"/>
              <w:rPr>
                <w:rFonts w:ascii="Arial" w:hAnsi="Arial" w:cs="Arial"/>
                <w:sz w:val="16"/>
                <w:szCs w:val="16"/>
              </w:rPr>
            </w:pPr>
            <w:r w:rsidRPr="004971B5">
              <w:rPr>
                <w:rFonts w:ascii="Arial" w:hAnsi="Arial" w:cs="Arial"/>
                <w:sz w:val="16"/>
                <w:szCs w:val="16"/>
              </w:rPr>
              <w:t>Heritage and cultural assets</w:t>
            </w:r>
          </w:p>
        </w:tc>
        <w:tc>
          <w:tcPr>
            <w:tcW w:w="660" w:type="pct"/>
            <w:tcBorders>
              <w:top w:val="nil"/>
              <w:left w:val="nil"/>
              <w:bottom w:val="nil"/>
              <w:right w:val="nil"/>
            </w:tcBorders>
            <w:shd w:val="clear" w:color="auto" w:fill="auto"/>
            <w:noWrap/>
            <w:vAlign w:val="bottom"/>
            <w:hideMark/>
          </w:tcPr>
          <w:p w14:paraId="089B1ACC" w14:textId="7E6223A1"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183,692</w:t>
            </w:r>
          </w:p>
        </w:tc>
        <w:tc>
          <w:tcPr>
            <w:tcW w:w="660" w:type="pct"/>
            <w:tcBorders>
              <w:top w:val="nil"/>
              <w:left w:val="nil"/>
              <w:bottom w:val="nil"/>
              <w:right w:val="nil"/>
            </w:tcBorders>
            <w:shd w:val="clear" w:color="000000" w:fill="E6E6E6"/>
            <w:noWrap/>
            <w:vAlign w:val="bottom"/>
            <w:hideMark/>
          </w:tcPr>
          <w:p w14:paraId="415FB783" w14:textId="15FDCBDB"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181,810</w:t>
            </w:r>
          </w:p>
        </w:tc>
        <w:tc>
          <w:tcPr>
            <w:tcW w:w="660" w:type="pct"/>
            <w:tcBorders>
              <w:top w:val="nil"/>
              <w:left w:val="nil"/>
              <w:bottom w:val="nil"/>
              <w:right w:val="nil"/>
            </w:tcBorders>
            <w:shd w:val="clear" w:color="auto" w:fill="auto"/>
            <w:noWrap/>
            <w:vAlign w:val="bottom"/>
            <w:hideMark/>
          </w:tcPr>
          <w:p w14:paraId="100FE74C" w14:textId="4482477B"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181,010</w:t>
            </w:r>
          </w:p>
        </w:tc>
        <w:tc>
          <w:tcPr>
            <w:tcW w:w="660" w:type="pct"/>
            <w:tcBorders>
              <w:top w:val="nil"/>
              <w:left w:val="nil"/>
              <w:bottom w:val="nil"/>
              <w:right w:val="nil"/>
            </w:tcBorders>
            <w:shd w:val="clear" w:color="auto" w:fill="auto"/>
            <w:noWrap/>
            <w:vAlign w:val="bottom"/>
            <w:hideMark/>
          </w:tcPr>
          <w:p w14:paraId="4D2905C2" w14:textId="54FD18FE"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178,573</w:t>
            </w:r>
          </w:p>
        </w:tc>
        <w:tc>
          <w:tcPr>
            <w:tcW w:w="660" w:type="pct"/>
            <w:tcBorders>
              <w:top w:val="nil"/>
              <w:left w:val="nil"/>
              <w:bottom w:val="nil"/>
              <w:right w:val="nil"/>
            </w:tcBorders>
            <w:shd w:val="clear" w:color="auto" w:fill="auto"/>
            <w:noWrap/>
            <w:vAlign w:val="bottom"/>
            <w:hideMark/>
          </w:tcPr>
          <w:p w14:paraId="39CEB154" w14:textId="0CB4A3EA"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176,136</w:t>
            </w:r>
          </w:p>
        </w:tc>
      </w:tr>
      <w:tr w:rsidR="00173CD7" w:rsidRPr="004971B5" w14:paraId="1EE58CB7" w14:textId="77777777" w:rsidTr="00173CD7">
        <w:trPr>
          <w:trHeight w:val="204"/>
        </w:trPr>
        <w:tc>
          <w:tcPr>
            <w:tcW w:w="1700" w:type="pct"/>
            <w:tcBorders>
              <w:top w:val="nil"/>
              <w:left w:val="nil"/>
              <w:bottom w:val="nil"/>
              <w:right w:val="nil"/>
            </w:tcBorders>
            <w:shd w:val="clear" w:color="auto" w:fill="auto"/>
            <w:noWrap/>
            <w:vAlign w:val="bottom"/>
            <w:hideMark/>
          </w:tcPr>
          <w:p w14:paraId="4358CFF7" w14:textId="77777777" w:rsidR="00173CD7" w:rsidRPr="004971B5" w:rsidRDefault="00173CD7" w:rsidP="00173CD7">
            <w:pPr>
              <w:spacing w:after="0" w:line="240" w:lineRule="auto"/>
              <w:ind w:left="227"/>
              <w:rPr>
                <w:rFonts w:ascii="Arial" w:hAnsi="Arial" w:cs="Arial"/>
                <w:sz w:val="16"/>
                <w:szCs w:val="16"/>
              </w:rPr>
            </w:pPr>
            <w:r w:rsidRPr="004971B5">
              <w:rPr>
                <w:rFonts w:ascii="Arial" w:hAnsi="Arial" w:cs="Arial"/>
                <w:sz w:val="16"/>
                <w:szCs w:val="16"/>
              </w:rPr>
              <w:t>Intangibles</w:t>
            </w:r>
          </w:p>
        </w:tc>
        <w:tc>
          <w:tcPr>
            <w:tcW w:w="660" w:type="pct"/>
            <w:tcBorders>
              <w:top w:val="nil"/>
              <w:left w:val="nil"/>
              <w:bottom w:val="nil"/>
              <w:right w:val="nil"/>
            </w:tcBorders>
            <w:shd w:val="clear" w:color="auto" w:fill="auto"/>
            <w:noWrap/>
            <w:vAlign w:val="bottom"/>
            <w:hideMark/>
          </w:tcPr>
          <w:p w14:paraId="412F15BD" w14:textId="0901011B"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4,404</w:t>
            </w:r>
          </w:p>
        </w:tc>
        <w:tc>
          <w:tcPr>
            <w:tcW w:w="660" w:type="pct"/>
            <w:tcBorders>
              <w:top w:val="nil"/>
              <w:left w:val="nil"/>
              <w:bottom w:val="nil"/>
              <w:right w:val="nil"/>
            </w:tcBorders>
            <w:shd w:val="clear" w:color="000000" w:fill="E6E6E6"/>
            <w:noWrap/>
            <w:vAlign w:val="bottom"/>
            <w:hideMark/>
          </w:tcPr>
          <w:p w14:paraId="4661D9CA" w14:textId="06942C06"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4,404</w:t>
            </w:r>
          </w:p>
        </w:tc>
        <w:tc>
          <w:tcPr>
            <w:tcW w:w="660" w:type="pct"/>
            <w:tcBorders>
              <w:top w:val="nil"/>
              <w:left w:val="nil"/>
              <w:bottom w:val="nil"/>
              <w:right w:val="nil"/>
            </w:tcBorders>
            <w:shd w:val="clear" w:color="auto" w:fill="auto"/>
            <w:noWrap/>
            <w:vAlign w:val="bottom"/>
            <w:hideMark/>
          </w:tcPr>
          <w:p w14:paraId="32ECE3F7" w14:textId="7D699308"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4,404</w:t>
            </w:r>
          </w:p>
        </w:tc>
        <w:tc>
          <w:tcPr>
            <w:tcW w:w="660" w:type="pct"/>
            <w:tcBorders>
              <w:top w:val="nil"/>
              <w:left w:val="nil"/>
              <w:bottom w:val="nil"/>
              <w:right w:val="nil"/>
            </w:tcBorders>
            <w:shd w:val="clear" w:color="auto" w:fill="auto"/>
            <w:noWrap/>
            <w:vAlign w:val="bottom"/>
            <w:hideMark/>
          </w:tcPr>
          <w:p w14:paraId="44F23C71" w14:textId="563A843A"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4,404</w:t>
            </w:r>
          </w:p>
        </w:tc>
        <w:tc>
          <w:tcPr>
            <w:tcW w:w="660" w:type="pct"/>
            <w:tcBorders>
              <w:top w:val="nil"/>
              <w:left w:val="nil"/>
              <w:bottom w:val="nil"/>
              <w:right w:val="nil"/>
            </w:tcBorders>
            <w:shd w:val="clear" w:color="auto" w:fill="auto"/>
            <w:noWrap/>
            <w:vAlign w:val="bottom"/>
            <w:hideMark/>
          </w:tcPr>
          <w:p w14:paraId="1C05A05B" w14:textId="1DEF9BAF"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4,404</w:t>
            </w:r>
          </w:p>
        </w:tc>
      </w:tr>
      <w:tr w:rsidR="00173CD7" w:rsidRPr="004971B5" w14:paraId="31F71EE2" w14:textId="77777777" w:rsidTr="00173CD7">
        <w:trPr>
          <w:trHeight w:val="204"/>
        </w:trPr>
        <w:tc>
          <w:tcPr>
            <w:tcW w:w="1700" w:type="pct"/>
            <w:tcBorders>
              <w:top w:val="nil"/>
              <w:left w:val="nil"/>
              <w:bottom w:val="nil"/>
              <w:right w:val="nil"/>
            </w:tcBorders>
            <w:shd w:val="clear" w:color="auto" w:fill="auto"/>
            <w:noWrap/>
            <w:vAlign w:val="bottom"/>
            <w:hideMark/>
          </w:tcPr>
          <w:p w14:paraId="67541129" w14:textId="77777777" w:rsidR="00173CD7" w:rsidRPr="004971B5" w:rsidRDefault="00173CD7" w:rsidP="00173CD7">
            <w:pPr>
              <w:spacing w:after="0" w:line="240" w:lineRule="auto"/>
              <w:ind w:left="227"/>
              <w:rPr>
                <w:rFonts w:ascii="Arial" w:hAnsi="Arial" w:cs="Arial"/>
                <w:sz w:val="16"/>
                <w:szCs w:val="16"/>
              </w:rPr>
            </w:pPr>
            <w:r w:rsidRPr="004971B5">
              <w:rPr>
                <w:rFonts w:ascii="Arial" w:hAnsi="Arial" w:cs="Arial"/>
                <w:sz w:val="16"/>
                <w:szCs w:val="16"/>
              </w:rPr>
              <w:t>Inventories</w:t>
            </w:r>
          </w:p>
        </w:tc>
        <w:tc>
          <w:tcPr>
            <w:tcW w:w="660" w:type="pct"/>
            <w:tcBorders>
              <w:top w:val="nil"/>
              <w:left w:val="nil"/>
              <w:bottom w:val="nil"/>
              <w:right w:val="nil"/>
            </w:tcBorders>
            <w:shd w:val="clear" w:color="auto" w:fill="auto"/>
            <w:noWrap/>
            <w:vAlign w:val="bottom"/>
            <w:hideMark/>
          </w:tcPr>
          <w:p w14:paraId="1F233314" w14:textId="0C3450A9"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3,067</w:t>
            </w:r>
          </w:p>
        </w:tc>
        <w:tc>
          <w:tcPr>
            <w:tcW w:w="660" w:type="pct"/>
            <w:tcBorders>
              <w:top w:val="nil"/>
              <w:left w:val="nil"/>
              <w:bottom w:val="nil"/>
              <w:right w:val="nil"/>
            </w:tcBorders>
            <w:shd w:val="clear" w:color="000000" w:fill="E6E6E6"/>
            <w:noWrap/>
            <w:vAlign w:val="bottom"/>
            <w:hideMark/>
          </w:tcPr>
          <w:p w14:paraId="246B504C" w14:textId="4E070CD4"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3,067</w:t>
            </w:r>
          </w:p>
        </w:tc>
        <w:tc>
          <w:tcPr>
            <w:tcW w:w="660" w:type="pct"/>
            <w:tcBorders>
              <w:top w:val="nil"/>
              <w:left w:val="nil"/>
              <w:bottom w:val="nil"/>
              <w:right w:val="nil"/>
            </w:tcBorders>
            <w:shd w:val="clear" w:color="auto" w:fill="auto"/>
            <w:noWrap/>
            <w:vAlign w:val="bottom"/>
            <w:hideMark/>
          </w:tcPr>
          <w:p w14:paraId="43F438C5" w14:textId="7F840C02"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3,067</w:t>
            </w:r>
          </w:p>
        </w:tc>
        <w:tc>
          <w:tcPr>
            <w:tcW w:w="660" w:type="pct"/>
            <w:tcBorders>
              <w:top w:val="nil"/>
              <w:left w:val="nil"/>
              <w:bottom w:val="nil"/>
              <w:right w:val="nil"/>
            </w:tcBorders>
            <w:shd w:val="clear" w:color="auto" w:fill="auto"/>
            <w:noWrap/>
            <w:vAlign w:val="bottom"/>
            <w:hideMark/>
          </w:tcPr>
          <w:p w14:paraId="0B32AA26" w14:textId="07CDB79E"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3,067</w:t>
            </w:r>
          </w:p>
        </w:tc>
        <w:tc>
          <w:tcPr>
            <w:tcW w:w="660" w:type="pct"/>
            <w:tcBorders>
              <w:top w:val="nil"/>
              <w:left w:val="nil"/>
              <w:bottom w:val="nil"/>
              <w:right w:val="nil"/>
            </w:tcBorders>
            <w:shd w:val="clear" w:color="auto" w:fill="auto"/>
            <w:noWrap/>
            <w:vAlign w:val="bottom"/>
            <w:hideMark/>
          </w:tcPr>
          <w:p w14:paraId="31B61958" w14:textId="7A09EADB"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3,067</w:t>
            </w:r>
          </w:p>
        </w:tc>
      </w:tr>
      <w:tr w:rsidR="00173CD7" w:rsidRPr="004971B5" w14:paraId="0E1BAB25" w14:textId="77777777" w:rsidTr="00173CD7">
        <w:trPr>
          <w:trHeight w:val="204"/>
        </w:trPr>
        <w:tc>
          <w:tcPr>
            <w:tcW w:w="1700" w:type="pct"/>
            <w:tcBorders>
              <w:top w:val="nil"/>
              <w:left w:val="nil"/>
              <w:bottom w:val="nil"/>
              <w:right w:val="nil"/>
            </w:tcBorders>
            <w:shd w:val="clear" w:color="auto" w:fill="auto"/>
            <w:noWrap/>
            <w:vAlign w:val="bottom"/>
            <w:hideMark/>
          </w:tcPr>
          <w:p w14:paraId="70689CBD" w14:textId="77777777" w:rsidR="00173CD7" w:rsidRPr="004971B5" w:rsidRDefault="00173CD7" w:rsidP="00173CD7">
            <w:pPr>
              <w:spacing w:after="0" w:line="240" w:lineRule="auto"/>
              <w:ind w:left="227"/>
              <w:rPr>
                <w:rFonts w:ascii="Arial" w:hAnsi="Arial" w:cs="Arial"/>
                <w:sz w:val="16"/>
                <w:szCs w:val="16"/>
              </w:rPr>
            </w:pPr>
            <w:r w:rsidRPr="004971B5">
              <w:rPr>
                <w:rFonts w:ascii="Arial" w:hAnsi="Arial" w:cs="Arial"/>
                <w:sz w:val="16"/>
                <w:szCs w:val="16"/>
              </w:rPr>
              <w:t>Prepayments</w:t>
            </w:r>
          </w:p>
        </w:tc>
        <w:tc>
          <w:tcPr>
            <w:tcW w:w="660" w:type="pct"/>
            <w:tcBorders>
              <w:top w:val="nil"/>
              <w:left w:val="nil"/>
              <w:bottom w:val="nil"/>
              <w:right w:val="nil"/>
            </w:tcBorders>
            <w:shd w:val="clear" w:color="auto" w:fill="auto"/>
            <w:noWrap/>
            <w:vAlign w:val="bottom"/>
            <w:hideMark/>
          </w:tcPr>
          <w:p w14:paraId="7851FA4A" w14:textId="6983D82E"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3,137</w:t>
            </w:r>
          </w:p>
        </w:tc>
        <w:tc>
          <w:tcPr>
            <w:tcW w:w="660" w:type="pct"/>
            <w:tcBorders>
              <w:top w:val="nil"/>
              <w:left w:val="nil"/>
              <w:bottom w:val="nil"/>
              <w:right w:val="nil"/>
            </w:tcBorders>
            <w:shd w:val="clear" w:color="000000" w:fill="E6E6E6"/>
            <w:noWrap/>
            <w:vAlign w:val="bottom"/>
            <w:hideMark/>
          </w:tcPr>
          <w:p w14:paraId="7BFBDDFE" w14:textId="02094A09"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3,311</w:t>
            </w:r>
          </w:p>
        </w:tc>
        <w:tc>
          <w:tcPr>
            <w:tcW w:w="660" w:type="pct"/>
            <w:tcBorders>
              <w:top w:val="nil"/>
              <w:left w:val="nil"/>
              <w:bottom w:val="nil"/>
              <w:right w:val="nil"/>
            </w:tcBorders>
            <w:shd w:val="clear" w:color="auto" w:fill="auto"/>
            <w:noWrap/>
            <w:vAlign w:val="bottom"/>
            <w:hideMark/>
          </w:tcPr>
          <w:p w14:paraId="088055E2" w14:textId="3969EF45"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3,311</w:t>
            </w:r>
          </w:p>
        </w:tc>
        <w:tc>
          <w:tcPr>
            <w:tcW w:w="660" w:type="pct"/>
            <w:tcBorders>
              <w:top w:val="nil"/>
              <w:left w:val="nil"/>
              <w:bottom w:val="nil"/>
              <w:right w:val="nil"/>
            </w:tcBorders>
            <w:shd w:val="clear" w:color="auto" w:fill="auto"/>
            <w:noWrap/>
            <w:vAlign w:val="bottom"/>
            <w:hideMark/>
          </w:tcPr>
          <w:p w14:paraId="3E6B7546" w14:textId="300D0628"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3,311</w:t>
            </w:r>
          </w:p>
        </w:tc>
        <w:tc>
          <w:tcPr>
            <w:tcW w:w="660" w:type="pct"/>
            <w:tcBorders>
              <w:top w:val="nil"/>
              <w:left w:val="nil"/>
              <w:bottom w:val="nil"/>
              <w:right w:val="nil"/>
            </w:tcBorders>
            <w:shd w:val="clear" w:color="auto" w:fill="auto"/>
            <w:noWrap/>
            <w:vAlign w:val="bottom"/>
            <w:hideMark/>
          </w:tcPr>
          <w:p w14:paraId="3B7EE4C8" w14:textId="7EB20013"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3,311</w:t>
            </w:r>
          </w:p>
        </w:tc>
      </w:tr>
      <w:tr w:rsidR="00173CD7" w:rsidRPr="004971B5" w14:paraId="4EE1E80E" w14:textId="77777777" w:rsidTr="00173CD7">
        <w:trPr>
          <w:trHeight w:val="204"/>
        </w:trPr>
        <w:tc>
          <w:tcPr>
            <w:tcW w:w="1700" w:type="pct"/>
            <w:tcBorders>
              <w:top w:val="nil"/>
              <w:left w:val="nil"/>
              <w:bottom w:val="nil"/>
              <w:right w:val="nil"/>
            </w:tcBorders>
            <w:shd w:val="clear" w:color="auto" w:fill="auto"/>
            <w:noWrap/>
            <w:vAlign w:val="bottom"/>
            <w:hideMark/>
          </w:tcPr>
          <w:p w14:paraId="56815FCA" w14:textId="77777777" w:rsidR="00173CD7" w:rsidRPr="004971B5" w:rsidRDefault="00173CD7" w:rsidP="00173CD7">
            <w:pPr>
              <w:spacing w:after="0" w:line="240" w:lineRule="auto"/>
              <w:ind w:left="113"/>
              <w:rPr>
                <w:rFonts w:ascii="Arial" w:hAnsi="Arial" w:cs="Arial"/>
                <w:b/>
                <w:bCs/>
                <w:i/>
                <w:iCs/>
                <w:color w:val="000000"/>
                <w:sz w:val="16"/>
                <w:szCs w:val="16"/>
              </w:rPr>
            </w:pPr>
            <w:r w:rsidRPr="004971B5">
              <w:rPr>
                <w:rFonts w:ascii="Arial" w:hAnsi="Arial" w:cs="Arial"/>
                <w:b/>
                <w:bCs/>
                <w:i/>
                <w:iCs/>
                <w:color w:val="000000"/>
                <w:sz w:val="16"/>
                <w:szCs w:val="16"/>
              </w:rPr>
              <w:t>Total non-financial assets</w:t>
            </w:r>
          </w:p>
        </w:tc>
        <w:tc>
          <w:tcPr>
            <w:tcW w:w="660" w:type="pct"/>
            <w:tcBorders>
              <w:top w:val="single" w:sz="4" w:space="0" w:color="000000"/>
              <w:left w:val="nil"/>
              <w:bottom w:val="single" w:sz="4" w:space="0" w:color="000000"/>
              <w:right w:val="nil"/>
            </w:tcBorders>
            <w:shd w:val="clear" w:color="000000" w:fill="FFFFFF"/>
            <w:noWrap/>
            <w:vAlign w:val="bottom"/>
            <w:hideMark/>
          </w:tcPr>
          <w:p w14:paraId="3C44AECF" w14:textId="0DB9C70D" w:rsidR="00173CD7" w:rsidRPr="004971B5" w:rsidRDefault="00173CD7" w:rsidP="00173CD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912,038</w:t>
            </w:r>
          </w:p>
        </w:tc>
        <w:tc>
          <w:tcPr>
            <w:tcW w:w="660" w:type="pct"/>
            <w:tcBorders>
              <w:top w:val="single" w:sz="4" w:space="0" w:color="000000"/>
              <w:left w:val="nil"/>
              <w:bottom w:val="single" w:sz="4" w:space="0" w:color="000000"/>
              <w:right w:val="nil"/>
            </w:tcBorders>
            <w:shd w:val="clear" w:color="000000" w:fill="E6E6E6"/>
            <w:noWrap/>
            <w:vAlign w:val="bottom"/>
            <w:hideMark/>
          </w:tcPr>
          <w:p w14:paraId="31F320A7" w14:textId="2B15F1CD" w:rsidR="00173CD7" w:rsidRPr="004971B5" w:rsidRDefault="00173CD7" w:rsidP="00173CD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964,185</w:t>
            </w:r>
          </w:p>
        </w:tc>
        <w:tc>
          <w:tcPr>
            <w:tcW w:w="660" w:type="pct"/>
            <w:tcBorders>
              <w:top w:val="single" w:sz="4" w:space="0" w:color="000000"/>
              <w:left w:val="nil"/>
              <w:bottom w:val="single" w:sz="4" w:space="0" w:color="000000"/>
              <w:right w:val="nil"/>
            </w:tcBorders>
            <w:shd w:val="clear" w:color="auto" w:fill="auto"/>
            <w:noWrap/>
            <w:vAlign w:val="bottom"/>
            <w:hideMark/>
          </w:tcPr>
          <w:p w14:paraId="57387E42" w14:textId="03EA022B" w:rsidR="00173CD7" w:rsidRPr="004971B5" w:rsidRDefault="00173CD7" w:rsidP="00173CD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987,682</w:t>
            </w:r>
          </w:p>
        </w:tc>
        <w:tc>
          <w:tcPr>
            <w:tcW w:w="660" w:type="pct"/>
            <w:tcBorders>
              <w:top w:val="single" w:sz="4" w:space="0" w:color="000000"/>
              <w:left w:val="nil"/>
              <w:bottom w:val="single" w:sz="4" w:space="0" w:color="000000"/>
              <w:right w:val="nil"/>
            </w:tcBorders>
            <w:shd w:val="clear" w:color="auto" w:fill="auto"/>
            <w:noWrap/>
            <w:vAlign w:val="bottom"/>
            <w:hideMark/>
          </w:tcPr>
          <w:p w14:paraId="2D5090C8" w14:textId="4361E40B" w:rsidR="00173CD7" w:rsidRPr="004971B5" w:rsidRDefault="00173CD7" w:rsidP="00173CD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1,005,647</w:t>
            </w:r>
          </w:p>
        </w:tc>
        <w:tc>
          <w:tcPr>
            <w:tcW w:w="660" w:type="pct"/>
            <w:tcBorders>
              <w:top w:val="single" w:sz="4" w:space="0" w:color="000000"/>
              <w:left w:val="nil"/>
              <w:bottom w:val="single" w:sz="4" w:space="0" w:color="000000"/>
              <w:right w:val="nil"/>
            </w:tcBorders>
            <w:shd w:val="clear" w:color="auto" w:fill="auto"/>
            <w:noWrap/>
            <w:vAlign w:val="bottom"/>
            <w:hideMark/>
          </w:tcPr>
          <w:p w14:paraId="06CF043A" w14:textId="1D764B39" w:rsidR="00173CD7" w:rsidRPr="004971B5" w:rsidRDefault="00173CD7" w:rsidP="00173CD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976,875</w:t>
            </w:r>
          </w:p>
        </w:tc>
      </w:tr>
      <w:tr w:rsidR="00173CD7" w:rsidRPr="004971B5" w14:paraId="6B43482C" w14:textId="77777777" w:rsidTr="00173CD7">
        <w:trPr>
          <w:trHeight w:val="204"/>
        </w:trPr>
        <w:tc>
          <w:tcPr>
            <w:tcW w:w="1700" w:type="pct"/>
            <w:tcBorders>
              <w:top w:val="nil"/>
              <w:left w:val="nil"/>
              <w:bottom w:val="nil"/>
              <w:right w:val="nil"/>
            </w:tcBorders>
            <w:shd w:val="clear" w:color="auto" w:fill="auto"/>
            <w:vAlign w:val="bottom"/>
            <w:hideMark/>
          </w:tcPr>
          <w:p w14:paraId="4B9049C3" w14:textId="2E93CBAE" w:rsidR="00173CD7" w:rsidRPr="004971B5" w:rsidRDefault="00173CD7" w:rsidP="00173CD7">
            <w:pPr>
              <w:spacing w:after="0" w:line="240" w:lineRule="auto"/>
              <w:ind w:left="113"/>
              <w:rPr>
                <w:rFonts w:ascii="Arial" w:hAnsi="Arial" w:cs="Arial"/>
                <w:b/>
                <w:bCs/>
                <w:color w:val="000000"/>
                <w:sz w:val="16"/>
                <w:szCs w:val="16"/>
              </w:rPr>
            </w:pPr>
            <w:r w:rsidRPr="004971B5">
              <w:rPr>
                <w:rFonts w:ascii="Arial" w:hAnsi="Arial" w:cs="Arial"/>
                <w:b/>
                <w:bCs/>
                <w:color w:val="000000"/>
                <w:sz w:val="16"/>
                <w:szCs w:val="16"/>
              </w:rPr>
              <w:t>Total assets administered on behalf of Government</w:t>
            </w:r>
          </w:p>
        </w:tc>
        <w:tc>
          <w:tcPr>
            <w:tcW w:w="660" w:type="pct"/>
            <w:tcBorders>
              <w:top w:val="single" w:sz="4" w:space="0" w:color="auto"/>
              <w:left w:val="nil"/>
              <w:bottom w:val="single" w:sz="4" w:space="0" w:color="auto"/>
              <w:right w:val="nil"/>
            </w:tcBorders>
            <w:shd w:val="clear" w:color="auto" w:fill="auto"/>
            <w:noWrap/>
            <w:vAlign w:val="bottom"/>
            <w:hideMark/>
          </w:tcPr>
          <w:p w14:paraId="796A8E29" w14:textId="5E307949" w:rsidR="00173CD7" w:rsidRPr="004971B5" w:rsidRDefault="00173CD7" w:rsidP="00173CD7">
            <w:pPr>
              <w:spacing w:after="0" w:line="240" w:lineRule="auto"/>
              <w:jc w:val="right"/>
              <w:rPr>
                <w:rFonts w:ascii="Arial" w:hAnsi="Arial" w:cs="Arial"/>
                <w:b/>
                <w:bCs/>
                <w:color w:val="000000"/>
                <w:sz w:val="16"/>
                <w:szCs w:val="16"/>
              </w:rPr>
            </w:pPr>
            <w:r>
              <w:rPr>
                <w:rFonts w:ascii="Arial" w:hAnsi="Arial" w:cs="Arial"/>
                <w:b/>
                <w:bCs/>
                <w:color w:val="000000"/>
                <w:sz w:val="16"/>
                <w:szCs w:val="16"/>
              </w:rPr>
              <w:t>52,368,186</w:t>
            </w:r>
          </w:p>
        </w:tc>
        <w:tc>
          <w:tcPr>
            <w:tcW w:w="660" w:type="pct"/>
            <w:tcBorders>
              <w:top w:val="single" w:sz="4" w:space="0" w:color="auto"/>
              <w:left w:val="nil"/>
              <w:bottom w:val="single" w:sz="4" w:space="0" w:color="auto"/>
              <w:right w:val="nil"/>
            </w:tcBorders>
            <w:shd w:val="clear" w:color="000000" w:fill="E6E6E6"/>
            <w:noWrap/>
            <w:vAlign w:val="bottom"/>
            <w:hideMark/>
          </w:tcPr>
          <w:p w14:paraId="07DCB050" w14:textId="04A9CC7A" w:rsidR="00173CD7" w:rsidRPr="004971B5" w:rsidRDefault="00173CD7" w:rsidP="00173CD7">
            <w:pPr>
              <w:spacing w:after="0" w:line="240" w:lineRule="auto"/>
              <w:jc w:val="right"/>
              <w:rPr>
                <w:rFonts w:ascii="Arial" w:hAnsi="Arial" w:cs="Arial"/>
                <w:b/>
                <w:bCs/>
                <w:color w:val="000000"/>
                <w:sz w:val="16"/>
                <w:szCs w:val="16"/>
              </w:rPr>
            </w:pPr>
            <w:r>
              <w:rPr>
                <w:rFonts w:ascii="Arial" w:hAnsi="Arial" w:cs="Arial"/>
                <w:b/>
                <w:bCs/>
                <w:color w:val="000000"/>
                <w:sz w:val="16"/>
                <w:szCs w:val="16"/>
              </w:rPr>
              <w:t>50,987,780</w:t>
            </w:r>
          </w:p>
        </w:tc>
        <w:tc>
          <w:tcPr>
            <w:tcW w:w="660" w:type="pct"/>
            <w:tcBorders>
              <w:top w:val="single" w:sz="4" w:space="0" w:color="auto"/>
              <w:left w:val="nil"/>
              <w:bottom w:val="single" w:sz="4" w:space="0" w:color="auto"/>
              <w:right w:val="nil"/>
            </w:tcBorders>
            <w:shd w:val="clear" w:color="auto" w:fill="auto"/>
            <w:noWrap/>
            <w:vAlign w:val="bottom"/>
            <w:hideMark/>
          </w:tcPr>
          <w:p w14:paraId="38649274" w14:textId="01160777" w:rsidR="00173CD7" w:rsidRPr="004971B5" w:rsidRDefault="00173CD7" w:rsidP="00173CD7">
            <w:pPr>
              <w:spacing w:after="0" w:line="240" w:lineRule="auto"/>
              <w:jc w:val="right"/>
              <w:rPr>
                <w:rFonts w:ascii="Arial" w:hAnsi="Arial" w:cs="Arial"/>
                <w:b/>
                <w:bCs/>
                <w:color w:val="000000"/>
                <w:sz w:val="16"/>
                <w:szCs w:val="16"/>
              </w:rPr>
            </w:pPr>
            <w:r>
              <w:rPr>
                <w:rFonts w:ascii="Arial" w:hAnsi="Arial" w:cs="Arial"/>
                <w:b/>
                <w:bCs/>
                <w:color w:val="000000"/>
                <w:sz w:val="16"/>
                <w:szCs w:val="16"/>
              </w:rPr>
              <w:t>55,380,298</w:t>
            </w:r>
          </w:p>
        </w:tc>
        <w:tc>
          <w:tcPr>
            <w:tcW w:w="660" w:type="pct"/>
            <w:tcBorders>
              <w:top w:val="single" w:sz="4" w:space="0" w:color="auto"/>
              <w:left w:val="nil"/>
              <w:bottom w:val="single" w:sz="4" w:space="0" w:color="auto"/>
              <w:right w:val="nil"/>
            </w:tcBorders>
            <w:shd w:val="clear" w:color="auto" w:fill="auto"/>
            <w:noWrap/>
            <w:vAlign w:val="bottom"/>
            <w:hideMark/>
          </w:tcPr>
          <w:p w14:paraId="0553381F" w14:textId="45291AF9" w:rsidR="00173CD7" w:rsidRPr="004971B5" w:rsidRDefault="00173CD7" w:rsidP="00173CD7">
            <w:pPr>
              <w:spacing w:after="0" w:line="240" w:lineRule="auto"/>
              <w:jc w:val="right"/>
              <w:rPr>
                <w:rFonts w:ascii="Arial" w:hAnsi="Arial" w:cs="Arial"/>
                <w:b/>
                <w:bCs/>
                <w:color w:val="000000"/>
                <w:sz w:val="16"/>
                <w:szCs w:val="16"/>
              </w:rPr>
            </w:pPr>
            <w:r>
              <w:rPr>
                <w:rFonts w:ascii="Arial" w:hAnsi="Arial" w:cs="Arial"/>
                <w:b/>
                <w:bCs/>
                <w:color w:val="000000"/>
                <w:sz w:val="16"/>
                <w:szCs w:val="16"/>
              </w:rPr>
              <w:t>59,063,644</w:t>
            </w:r>
          </w:p>
        </w:tc>
        <w:tc>
          <w:tcPr>
            <w:tcW w:w="660" w:type="pct"/>
            <w:tcBorders>
              <w:top w:val="single" w:sz="4" w:space="0" w:color="auto"/>
              <w:left w:val="nil"/>
              <w:bottom w:val="single" w:sz="4" w:space="0" w:color="auto"/>
              <w:right w:val="nil"/>
            </w:tcBorders>
            <w:shd w:val="clear" w:color="auto" w:fill="auto"/>
            <w:noWrap/>
            <w:vAlign w:val="bottom"/>
            <w:hideMark/>
          </w:tcPr>
          <w:p w14:paraId="649CB7C7" w14:textId="54FCABE2" w:rsidR="00173CD7" w:rsidRPr="004971B5" w:rsidRDefault="00173CD7" w:rsidP="00173CD7">
            <w:pPr>
              <w:spacing w:after="0" w:line="240" w:lineRule="auto"/>
              <w:jc w:val="right"/>
              <w:rPr>
                <w:rFonts w:ascii="Arial" w:hAnsi="Arial" w:cs="Arial"/>
                <w:b/>
                <w:bCs/>
                <w:color w:val="000000"/>
                <w:sz w:val="16"/>
                <w:szCs w:val="16"/>
              </w:rPr>
            </w:pPr>
            <w:r>
              <w:rPr>
                <w:rFonts w:ascii="Arial" w:hAnsi="Arial" w:cs="Arial"/>
                <w:b/>
                <w:bCs/>
                <w:color w:val="000000"/>
                <w:sz w:val="16"/>
                <w:szCs w:val="16"/>
              </w:rPr>
              <w:t>60,739,905</w:t>
            </w:r>
          </w:p>
        </w:tc>
      </w:tr>
      <w:tr w:rsidR="00173CD7" w:rsidRPr="004971B5" w14:paraId="6DCC11A2" w14:textId="77777777" w:rsidTr="00173CD7">
        <w:trPr>
          <w:trHeight w:val="204"/>
        </w:trPr>
        <w:tc>
          <w:tcPr>
            <w:tcW w:w="1700" w:type="pct"/>
            <w:tcBorders>
              <w:top w:val="nil"/>
              <w:left w:val="nil"/>
              <w:bottom w:val="nil"/>
              <w:right w:val="nil"/>
            </w:tcBorders>
            <w:shd w:val="clear" w:color="auto" w:fill="auto"/>
            <w:noWrap/>
            <w:vAlign w:val="bottom"/>
            <w:hideMark/>
          </w:tcPr>
          <w:p w14:paraId="0F34BBFE" w14:textId="77777777" w:rsidR="00173CD7" w:rsidRPr="004971B5" w:rsidRDefault="00173CD7" w:rsidP="00173CD7">
            <w:pPr>
              <w:spacing w:after="0" w:line="240" w:lineRule="auto"/>
              <w:rPr>
                <w:rFonts w:ascii="Arial" w:hAnsi="Arial" w:cs="Arial"/>
                <w:b/>
                <w:bCs/>
                <w:color w:val="000000"/>
                <w:sz w:val="16"/>
                <w:szCs w:val="16"/>
              </w:rPr>
            </w:pPr>
            <w:r w:rsidRPr="004971B5">
              <w:rPr>
                <w:rFonts w:ascii="Arial" w:hAnsi="Arial" w:cs="Arial"/>
                <w:b/>
                <w:bCs/>
                <w:color w:val="000000"/>
                <w:sz w:val="16"/>
                <w:szCs w:val="16"/>
              </w:rPr>
              <w:t>LIABILITIES</w:t>
            </w:r>
          </w:p>
        </w:tc>
        <w:tc>
          <w:tcPr>
            <w:tcW w:w="660" w:type="pct"/>
            <w:tcBorders>
              <w:top w:val="nil"/>
              <w:left w:val="nil"/>
              <w:bottom w:val="nil"/>
              <w:right w:val="nil"/>
            </w:tcBorders>
            <w:shd w:val="clear" w:color="auto" w:fill="auto"/>
            <w:noWrap/>
            <w:vAlign w:val="bottom"/>
            <w:hideMark/>
          </w:tcPr>
          <w:p w14:paraId="751CCA6C" w14:textId="77777777" w:rsidR="00173CD7" w:rsidRPr="004971B5" w:rsidRDefault="00173CD7" w:rsidP="00173CD7">
            <w:pPr>
              <w:spacing w:after="0" w:line="240" w:lineRule="auto"/>
              <w:jc w:val="right"/>
              <w:rPr>
                <w:rFonts w:ascii="Arial" w:hAnsi="Arial" w:cs="Arial"/>
                <w:b/>
                <w:bCs/>
                <w:color w:val="000000"/>
                <w:sz w:val="16"/>
                <w:szCs w:val="16"/>
              </w:rPr>
            </w:pPr>
          </w:p>
        </w:tc>
        <w:tc>
          <w:tcPr>
            <w:tcW w:w="660" w:type="pct"/>
            <w:tcBorders>
              <w:top w:val="nil"/>
              <w:left w:val="nil"/>
              <w:bottom w:val="nil"/>
              <w:right w:val="nil"/>
            </w:tcBorders>
            <w:shd w:val="clear" w:color="000000" w:fill="E6E6E6"/>
            <w:noWrap/>
            <w:vAlign w:val="bottom"/>
            <w:hideMark/>
          </w:tcPr>
          <w:p w14:paraId="6C8E988D" w14:textId="7C5AD1D8" w:rsidR="00173CD7" w:rsidRPr="004971B5" w:rsidRDefault="00173CD7" w:rsidP="00173CD7">
            <w:pPr>
              <w:spacing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hideMark/>
          </w:tcPr>
          <w:p w14:paraId="357F5B39" w14:textId="77777777" w:rsidR="00173CD7" w:rsidRPr="004971B5" w:rsidRDefault="00173CD7" w:rsidP="00173CD7">
            <w:pPr>
              <w:spacing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hideMark/>
          </w:tcPr>
          <w:p w14:paraId="71DB793D" w14:textId="77777777" w:rsidR="00173CD7" w:rsidRPr="004971B5" w:rsidRDefault="00173CD7" w:rsidP="00173CD7">
            <w:pPr>
              <w:spacing w:after="0" w:line="240" w:lineRule="auto"/>
              <w:jc w:val="right"/>
              <w:rPr>
                <w:rFonts w:ascii="Times New Roman" w:hAnsi="Times New Roman"/>
              </w:rPr>
            </w:pPr>
          </w:p>
        </w:tc>
        <w:tc>
          <w:tcPr>
            <w:tcW w:w="660" w:type="pct"/>
            <w:tcBorders>
              <w:top w:val="nil"/>
              <w:left w:val="nil"/>
              <w:bottom w:val="nil"/>
              <w:right w:val="nil"/>
            </w:tcBorders>
            <w:shd w:val="clear" w:color="auto" w:fill="auto"/>
            <w:noWrap/>
            <w:vAlign w:val="bottom"/>
            <w:hideMark/>
          </w:tcPr>
          <w:p w14:paraId="0BC709B5" w14:textId="77777777" w:rsidR="00173CD7" w:rsidRPr="004971B5" w:rsidRDefault="00173CD7" w:rsidP="00173CD7">
            <w:pPr>
              <w:spacing w:after="0" w:line="240" w:lineRule="auto"/>
              <w:jc w:val="right"/>
              <w:rPr>
                <w:rFonts w:ascii="Times New Roman" w:hAnsi="Times New Roman"/>
              </w:rPr>
            </w:pPr>
          </w:p>
        </w:tc>
      </w:tr>
      <w:tr w:rsidR="00173CD7" w:rsidRPr="004971B5" w14:paraId="2B1173E7" w14:textId="77777777" w:rsidTr="00173CD7">
        <w:trPr>
          <w:trHeight w:val="204"/>
        </w:trPr>
        <w:tc>
          <w:tcPr>
            <w:tcW w:w="1700" w:type="pct"/>
            <w:tcBorders>
              <w:top w:val="nil"/>
              <w:left w:val="nil"/>
              <w:bottom w:val="nil"/>
              <w:right w:val="nil"/>
            </w:tcBorders>
            <w:shd w:val="clear" w:color="auto" w:fill="auto"/>
            <w:noWrap/>
            <w:vAlign w:val="bottom"/>
            <w:hideMark/>
          </w:tcPr>
          <w:p w14:paraId="48CD6C7C" w14:textId="77777777" w:rsidR="00173CD7" w:rsidRPr="004971B5" w:rsidRDefault="00173CD7" w:rsidP="00173CD7">
            <w:pPr>
              <w:spacing w:after="0" w:line="240" w:lineRule="auto"/>
              <w:ind w:left="113"/>
              <w:rPr>
                <w:rFonts w:ascii="Arial" w:hAnsi="Arial" w:cs="Arial"/>
                <w:b/>
                <w:bCs/>
                <w:color w:val="000000"/>
                <w:sz w:val="16"/>
                <w:szCs w:val="16"/>
              </w:rPr>
            </w:pPr>
            <w:r w:rsidRPr="004971B5">
              <w:rPr>
                <w:rFonts w:ascii="Arial" w:hAnsi="Arial" w:cs="Arial"/>
                <w:b/>
                <w:bCs/>
                <w:color w:val="000000"/>
                <w:sz w:val="16"/>
                <w:szCs w:val="16"/>
              </w:rPr>
              <w:t>Payables</w:t>
            </w:r>
          </w:p>
        </w:tc>
        <w:tc>
          <w:tcPr>
            <w:tcW w:w="660" w:type="pct"/>
            <w:tcBorders>
              <w:top w:val="nil"/>
              <w:left w:val="nil"/>
              <w:bottom w:val="nil"/>
              <w:right w:val="nil"/>
            </w:tcBorders>
            <w:shd w:val="clear" w:color="auto" w:fill="auto"/>
            <w:noWrap/>
            <w:vAlign w:val="bottom"/>
            <w:hideMark/>
          </w:tcPr>
          <w:p w14:paraId="0BC7BBF9" w14:textId="77777777" w:rsidR="00173CD7" w:rsidRPr="004971B5" w:rsidRDefault="00173CD7" w:rsidP="00173CD7">
            <w:pPr>
              <w:spacing w:after="0" w:line="240" w:lineRule="auto"/>
              <w:jc w:val="right"/>
              <w:rPr>
                <w:rFonts w:ascii="Arial" w:hAnsi="Arial" w:cs="Arial"/>
                <w:b/>
                <w:bCs/>
                <w:color w:val="000000"/>
                <w:sz w:val="16"/>
                <w:szCs w:val="16"/>
              </w:rPr>
            </w:pPr>
          </w:p>
        </w:tc>
        <w:tc>
          <w:tcPr>
            <w:tcW w:w="660" w:type="pct"/>
            <w:tcBorders>
              <w:top w:val="nil"/>
              <w:left w:val="nil"/>
              <w:bottom w:val="nil"/>
              <w:right w:val="nil"/>
            </w:tcBorders>
            <w:shd w:val="clear" w:color="000000" w:fill="E6E6E6"/>
            <w:noWrap/>
            <w:vAlign w:val="bottom"/>
            <w:hideMark/>
          </w:tcPr>
          <w:p w14:paraId="0882FAA7" w14:textId="43313604" w:rsidR="00173CD7" w:rsidRPr="004971B5" w:rsidRDefault="00173CD7" w:rsidP="00173CD7">
            <w:pPr>
              <w:spacing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hideMark/>
          </w:tcPr>
          <w:p w14:paraId="23D69F2D" w14:textId="77777777" w:rsidR="00173CD7" w:rsidRPr="004971B5" w:rsidRDefault="00173CD7" w:rsidP="00173CD7">
            <w:pPr>
              <w:spacing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hideMark/>
          </w:tcPr>
          <w:p w14:paraId="7BA55843" w14:textId="77777777" w:rsidR="00173CD7" w:rsidRPr="004971B5" w:rsidRDefault="00173CD7" w:rsidP="00173CD7">
            <w:pPr>
              <w:spacing w:after="0" w:line="240" w:lineRule="auto"/>
              <w:jc w:val="right"/>
              <w:rPr>
                <w:rFonts w:ascii="Times New Roman" w:hAnsi="Times New Roman"/>
              </w:rPr>
            </w:pPr>
          </w:p>
        </w:tc>
        <w:tc>
          <w:tcPr>
            <w:tcW w:w="660" w:type="pct"/>
            <w:tcBorders>
              <w:top w:val="nil"/>
              <w:left w:val="nil"/>
              <w:bottom w:val="nil"/>
              <w:right w:val="nil"/>
            </w:tcBorders>
            <w:shd w:val="clear" w:color="auto" w:fill="auto"/>
            <w:noWrap/>
            <w:vAlign w:val="bottom"/>
            <w:hideMark/>
          </w:tcPr>
          <w:p w14:paraId="1137F728" w14:textId="77777777" w:rsidR="00173CD7" w:rsidRPr="004971B5" w:rsidRDefault="00173CD7" w:rsidP="00173CD7">
            <w:pPr>
              <w:spacing w:after="0" w:line="240" w:lineRule="auto"/>
              <w:jc w:val="right"/>
              <w:rPr>
                <w:rFonts w:ascii="Times New Roman" w:hAnsi="Times New Roman"/>
              </w:rPr>
            </w:pPr>
          </w:p>
        </w:tc>
      </w:tr>
      <w:tr w:rsidR="00173CD7" w:rsidRPr="004971B5" w14:paraId="0FA9A13D" w14:textId="77777777" w:rsidTr="00173CD7">
        <w:trPr>
          <w:trHeight w:val="204"/>
        </w:trPr>
        <w:tc>
          <w:tcPr>
            <w:tcW w:w="1700" w:type="pct"/>
            <w:tcBorders>
              <w:top w:val="nil"/>
              <w:left w:val="nil"/>
              <w:bottom w:val="nil"/>
              <w:right w:val="nil"/>
            </w:tcBorders>
            <w:shd w:val="clear" w:color="auto" w:fill="auto"/>
            <w:noWrap/>
            <w:vAlign w:val="bottom"/>
            <w:hideMark/>
          </w:tcPr>
          <w:p w14:paraId="57982B80" w14:textId="77777777" w:rsidR="00173CD7" w:rsidRPr="004971B5" w:rsidRDefault="00173CD7" w:rsidP="00173CD7">
            <w:pPr>
              <w:spacing w:after="0" w:line="240" w:lineRule="auto"/>
              <w:ind w:left="227"/>
              <w:rPr>
                <w:rFonts w:ascii="Arial" w:hAnsi="Arial" w:cs="Arial"/>
                <w:sz w:val="16"/>
                <w:szCs w:val="16"/>
              </w:rPr>
            </w:pPr>
            <w:r w:rsidRPr="004971B5">
              <w:rPr>
                <w:rFonts w:ascii="Arial" w:hAnsi="Arial" w:cs="Arial"/>
                <w:sz w:val="16"/>
                <w:szCs w:val="16"/>
              </w:rPr>
              <w:t>Suppliers</w:t>
            </w:r>
          </w:p>
        </w:tc>
        <w:tc>
          <w:tcPr>
            <w:tcW w:w="660" w:type="pct"/>
            <w:tcBorders>
              <w:top w:val="nil"/>
              <w:left w:val="nil"/>
              <w:bottom w:val="nil"/>
              <w:right w:val="nil"/>
            </w:tcBorders>
            <w:shd w:val="clear" w:color="auto" w:fill="auto"/>
            <w:noWrap/>
            <w:vAlign w:val="bottom"/>
            <w:hideMark/>
          </w:tcPr>
          <w:p w14:paraId="03C9AB64" w14:textId="51F21CAE"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338,558</w:t>
            </w:r>
          </w:p>
        </w:tc>
        <w:tc>
          <w:tcPr>
            <w:tcW w:w="660" w:type="pct"/>
            <w:tcBorders>
              <w:top w:val="nil"/>
              <w:left w:val="nil"/>
              <w:bottom w:val="nil"/>
              <w:right w:val="nil"/>
            </w:tcBorders>
            <w:shd w:val="clear" w:color="000000" w:fill="E6E6E6"/>
            <w:noWrap/>
            <w:vAlign w:val="bottom"/>
            <w:hideMark/>
          </w:tcPr>
          <w:p w14:paraId="6AC0BF4B" w14:textId="50432842"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338,558</w:t>
            </w:r>
          </w:p>
        </w:tc>
        <w:tc>
          <w:tcPr>
            <w:tcW w:w="660" w:type="pct"/>
            <w:tcBorders>
              <w:top w:val="nil"/>
              <w:left w:val="nil"/>
              <w:bottom w:val="nil"/>
              <w:right w:val="nil"/>
            </w:tcBorders>
            <w:shd w:val="clear" w:color="auto" w:fill="auto"/>
            <w:noWrap/>
            <w:vAlign w:val="bottom"/>
            <w:hideMark/>
          </w:tcPr>
          <w:p w14:paraId="7F778146" w14:textId="3B6C5F24"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338,558</w:t>
            </w:r>
          </w:p>
        </w:tc>
        <w:tc>
          <w:tcPr>
            <w:tcW w:w="660" w:type="pct"/>
            <w:tcBorders>
              <w:top w:val="nil"/>
              <w:left w:val="nil"/>
              <w:bottom w:val="nil"/>
              <w:right w:val="nil"/>
            </w:tcBorders>
            <w:shd w:val="clear" w:color="auto" w:fill="auto"/>
            <w:noWrap/>
            <w:vAlign w:val="bottom"/>
            <w:hideMark/>
          </w:tcPr>
          <w:p w14:paraId="26A76340" w14:textId="478AC8E3"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338,558</w:t>
            </w:r>
          </w:p>
        </w:tc>
        <w:tc>
          <w:tcPr>
            <w:tcW w:w="660" w:type="pct"/>
            <w:tcBorders>
              <w:top w:val="nil"/>
              <w:left w:val="nil"/>
              <w:bottom w:val="nil"/>
              <w:right w:val="nil"/>
            </w:tcBorders>
            <w:shd w:val="clear" w:color="auto" w:fill="auto"/>
            <w:noWrap/>
            <w:vAlign w:val="bottom"/>
            <w:hideMark/>
          </w:tcPr>
          <w:p w14:paraId="7E975BCC" w14:textId="32497A04"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338,558</w:t>
            </w:r>
          </w:p>
        </w:tc>
      </w:tr>
      <w:tr w:rsidR="00173CD7" w:rsidRPr="004971B5" w14:paraId="2C007AF7" w14:textId="77777777" w:rsidTr="00173CD7">
        <w:trPr>
          <w:trHeight w:val="204"/>
        </w:trPr>
        <w:tc>
          <w:tcPr>
            <w:tcW w:w="1700" w:type="pct"/>
            <w:tcBorders>
              <w:top w:val="nil"/>
              <w:left w:val="nil"/>
              <w:bottom w:val="nil"/>
              <w:right w:val="nil"/>
            </w:tcBorders>
            <w:shd w:val="clear" w:color="auto" w:fill="auto"/>
            <w:noWrap/>
            <w:vAlign w:val="bottom"/>
            <w:hideMark/>
          </w:tcPr>
          <w:p w14:paraId="799B6C03" w14:textId="77777777" w:rsidR="00173CD7" w:rsidRPr="004971B5" w:rsidRDefault="00173CD7" w:rsidP="00173CD7">
            <w:pPr>
              <w:spacing w:after="0" w:line="240" w:lineRule="auto"/>
              <w:ind w:left="227"/>
              <w:rPr>
                <w:rFonts w:ascii="Arial" w:hAnsi="Arial" w:cs="Arial"/>
                <w:sz w:val="16"/>
                <w:szCs w:val="16"/>
              </w:rPr>
            </w:pPr>
            <w:r w:rsidRPr="004971B5">
              <w:rPr>
                <w:rFonts w:ascii="Arial" w:hAnsi="Arial" w:cs="Arial"/>
                <w:sz w:val="16"/>
                <w:szCs w:val="16"/>
              </w:rPr>
              <w:t>Subsidies</w:t>
            </w:r>
          </w:p>
        </w:tc>
        <w:tc>
          <w:tcPr>
            <w:tcW w:w="660" w:type="pct"/>
            <w:tcBorders>
              <w:top w:val="nil"/>
              <w:left w:val="nil"/>
              <w:bottom w:val="nil"/>
              <w:right w:val="nil"/>
            </w:tcBorders>
            <w:shd w:val="clear" w:color="auto" w:fill="auto"/>
            <w:noWrap/>
            <w:vAlign w:val="bottom"/>
            <w:hideMark/>
          </w:tcPr>
          <w:p w14:paraId="5A8B9A89" w14:textId="47DAC538"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38,573</w:t>
            </w:r>
          </w:p>
        </w:tc>
        <w:tc>
          <w:tcPr>
            <w:tcW w:w="660" w:type="pct"/>
            <w:tcBorders>
              <w:top w:val="nil"/>
              <w:left w:val="nil"/>
              <w:bottom w:val="nil"/>
              <w:right w:val="nil"/>
            </w:tcBorders>
            <w:shd w:val="clear" w:color="000000" w:fill="E6E6E6"/>
            <w:noWrap/>
            <w:vAlign w:val="bottom"/>
            <w:hideMark/>
          </w:tcPr>
          <w:p w14:paraId="38B465E4" w14:textId="2ECCC00C"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39,744</w:t>
            </w:r>
          </w:p>
        </w:tc>
        <w:tc>
          <w:tcPr>
            <w:tcW w:w="660" w:type="pct"/>
            <w:tcBorders>
              <w:top w:val="nil"/>
              <w:left w:val="nil"/>
              <w:bottom w:val="nil"/>
              <w:right w:val="nil"/>
            </w:tcBorders>
            <w:shd w:val="clear" w:color="auto" w:fill="auto"/>
            <w:noWrap/>
            <w:vAlign w:val="bottom"/>
            <w:hideMark/>
          </w:tcPr>
          <w:p w14:paraId="7BB5B9C9" w14:textId="7FF069DE"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40,387</w:t>
            </w:r>
          </w:p>
        </w:tc>
        <w:tc>
          <w:tcPr>
            <w:tcW w:w="660" w:type="pct"/>
            <w:tcBorders>
              <w:top w:val="nil"/>
              <w:left w:val="nil"/>
              <w:bottom w:val="nil"/>
              <w:right w:val="nil"/>
            </w:tcBorders>
            <w:shd w:val="clear" w:color="auto" w:fill="auto"/>
            <w:noWrap/>
            <w:vAlign w:val="bottom"/>
            <w:hideMark/>
          </w:tcPr>
          <w:p w14:paraId="05A54BAF" w14:textId="451A5DDD"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42,545</w:t>
            </w:r>
          </w:p>
        </w:tc>
        <w:tc>
          <w:tcPr>
            <w:tcW w:w="660" w:type="pct"/>
            <w:tcBorders>
              <w:top w:val="nil"/>
              <w:left w:val="nil"/>
              <w:bottom w:val="nil"/>
              <w:right w:val="nil"/>
            </w:tcBorders>
            <w:shd w:val="clear" w:color="auto" w:fill="auto"/>
            <w:noWrap/>
            <w:vAlign w:val="bottom"/>
            <w:hideMark/>
          </w:tcPr>
          <w:p w14:paraId="31552F33" w14:textId="1F8FB6A3"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42,545</w:t>
            </w:r>
          </w:p>
        </w:tc>
      </w:tr>
      <w:tr w:rsidR="00173CD7" w:rsidRPr="004971B5" w14:paraId="37FB9C68" w14:textId="77777777" w:rsidTr="00173CD7">
        <w:trPr>
          <w:trHeight w:val="204"/>
        </w:trPr>
        <w:tc>
          <w:tcPr>
            <w:tcW w:w="1700" w:type="pct"/>
            <w:tcBorders>
              <w:top w:val="nil"/>
              <w:left w:val="nil"/>
              <w:bottom w:val="nil"/>
              <w:right w:val="nil"/>
            </w:tcBorders>
            <w:shd w:val="clear" w:color="auto" w:fill="auto"/>
            <w:noWrap/>
            <w:vAlign w:val="bottom"/>
            <w:hideMark/>
          </w:tcPr>
          <w:p w14:paraId="297A1B7E" w14:textId="77777777" w:rsidR="00173CD7" w:rsidRPr="004971B5" w:rsidRDefault="00173CD7" w:rsidP="00173CD7">
            <w:pPr>
              <w:spacing w:after="0" w:line="240" w:lineRule="auto"/>
              <w:ind w:left="227"/>
              <w:rPr>
                <w:rFonts w:ascii="Arial" w:hAnsi="Arial" w:cs="Arial"/>
                <w:sz w:val="16"/>
                <w:szCs w:val="16"/>
              </w:rPr>
            </w:pPr>
            <w:r w:rsidRPr="004971B5">
              <w:rPr>
                <w:rFonts w:ascii="Arial" w:hAnsi="Arial" w:cs="Arial"/>
                <w:sz w:val="16"/>
                <w:szCs w:val="16"/>
              </w:rPr>
              <w:t>Grants</w:t>
            </w:r>
          </w:p>
        </w:tc>
        <w:tc>
          <w:tcPr>
            <w:tcW w:w="660" w:type="pct"/>
            <w:tcBorders>
              <w:top w:val="nil"/>
              <w:left w:val="nil"/>
              <w:bottom w:val="nil"/>
              <w:right w:val="nil"/>
            </w:tcBorders>
            <w:shd w:val="clear" w:color="auto" w:fill="auto"/>
            <w:noWrap/>
            <w:vAlign w:val="bottom"/>
            <w:hideMark/>
          </w:tcPr>
          <w:p w14:paraId="4C7D685F" w14:textId="675E4C66"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147,939</w:t>
            </w:r>
          </w:p>
        </w:tc>
        <w:tc>
          <w:tcPr>
            <w:tcW w:w="660" w:type="pct"/>
            <w:tcBorders>
              <w:top w:val="nil"/>
              <w:left w:val="nil"/>
              <w:bottom w:val="nil"/>
              <w:right w:val="nil"/>
            </w:tcBorders>
            <w:shd w:val="clear" w:color="000000" w:fill="E6E6E6"/>
            <w:noWrap/>
            <w:vAlign w:val="bottom"/>
            <w:hideMark/>
          </w:tcPr>
          <w:p w14:paraId="0219D5D0" w14:textId="27A5E64F"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147,303</w:t>
            </w:r>
          </w:p>
        </w:tc>
        <w:tc>
          <w:tcPr>
            <w:tcW w:w="660" w:type="pct"/>
            <w:tcBorders>
              <w:top w:val="nil"/>
              <w:left w:val="nil"/>
              <w:bottom w:val="nil"/>
              <w:right w:val="nil"/>
            </w:tcBorders>
            <w:shd w:val="clear" w:color="auto" w:fill="auto"/>
            <w:noWrap/>
            <w:vAlign w:val="bottom"/>
            <w:hideMark/>
          </w:tcPr>
          <w:p w14:paraId="342C431D" w14:textId="228124D7"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145,270</w:t>
            </w:r>
          </w:p>
        </w:tc>
        <w:tc>
          <w:tcPr>
            <w:tcW w:w="660" w:type="pct"/>
            <w:tcBorders>
              <w:top w:val="nil"/>
              <w:left w:val="nil"/>
              <w:bottom w:val="nil"/>
              <w:right w:val="nil"/>
            </w:tcBorders>
            <w:shd w:val="clear" w:color="auto" w:fill="auto"/>
            <w:noWrap/>
            <w:vAlign w:val="bottom"/>
            <w:hideMark/>
          </w:tcPr>
          <w:p w14:paraId="21176C02" w14:textId="4F6F122A"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145,648</w:t>
            </w:r>
          </w:p>
        </w:tc>
        <w:tc>
          <w:tcPr>
            <w:tcW w:w="660" w:type="pct"/>
            <w:tcBorders>
              <w:top w:val="nil"/>
              <w:left w:val="nil"/>
              <w:bottom w:val="nil"/>
              <w:right w:val="nil"/>
            </w:tcBorders>
            <w:shd w:val="clear" w:color="auto" w:fill="auto"/>
            <w:noWrap/>
            <w:vAlign w:val="bottom"/>
            <w:hideMark/>
          </w:tcPr>
          <w:p w14:paraId="1A974340" w14:textId="7318A8BA"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145,775</w:t>
            </w:r>
          </w:p>
        </w:tc>
      </w:tr>
      <w:tr w:rsidR="00173CD7" w:rsidRPr="004971B5" w14:paraId="6E23E21F" w14:textId="77777777" w:rsidTr="00173CD7">
        <w:trPr>
          <w:trHeight w:val="204"/>
        </w:trPr>
        <w:tc>
          <w:tcPr>
            <w:tcW w:w="1700" w:type="pct"/>
            <w:tcBorders>
              <w:top w:val="nil"/>
              <w:left w:val="nil"/>
              <w:bottom w:val="nil"/>
              <w:right w:val="nil"/>
            </w:tcBorders>
            <w:shd w:val="clear" w:color="auto" w:fill="auto"/>
            <w:noWrap/>
            <w:vAlign w:val="bottom"/>
            <w:hideMark/>
          </w:tcPr>
          <w:p w14:paraId="4AAC176D" w14:textId="77777777" w:rsidR="00173CD7" w:rsidRPr="004971B5" w:rsidRDefault="00173CD7" w:rsidP="00173CD7">
            <w:pPr>
              <w:spacing w:after="0" w:line="240" w:lineRule="auto"/>
              <w:ind w:left="227"/>
              <w:rPr>
                <w:rFonts w:ascii="Arial" w:hAnsi="Arial" w:cs="Arial"/>
                <w:sz w:val="16"/>
                <w:szCs w:val="16"/>
              </w:rPr>
            </w:pPr>
            <w:r w:rsidRPr="004971B5">
              <w:rPr>
                <w:rFonts w:ascii="Arial" w:hAnsi="Arial" w:cs="Arial"/>
                <w:sz w:val="16"/>
                <w:szCs w:val="16"/>
              </w:rPr>
              <w:t>Other payables</w:t>
            </w:r>
          </w:p>
        </w:tc>
        <w:tc>
          <w:tcPr>
            <w:tcW w:w="660" w:type="pct"/>
            <w:tcBorders>
              <w:top w:val="nil"/>
              <w:left w:val="nil"/>
              <w:bottom w:val="nil"/>
              <w:right w:val="nil"/>
            </w:tcBorders>
            <w:shd w:val="clear" w:color="auto" w:fill="auto"/>
            <w:noWrap/>
            <w:vAlign w:val="bottom"/>
            <w:hideMark/>
          </w:tcPr>
          <w:p w14:paraId="470B7BAD" w14:textId="140DCEC0"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6,537</w:t>
            </w:r>
          </w:p>
        </w:tc>
        <w:tc>
          <w:tcPr>
            <w:tcW w:w="660" w:type="pct"/>
            <w:tcBorders>
              <w:top w:val="nil"/>
              <w:left w:val="nil"/>
              <w:bottom w:val="nil"/>
              <w:right w:val="nil"/>
            </w:tcBorders>
            <w:shd w:val="clear" w:color="000000" w:fill="E6E6E6"/>
            <w:noWrap/>
            <w:vAlign w:val="bottom"/>
            <w:hideMark/>
          </w:tcPr>
          <w:p w14:paraId="1E9475D7" w14:textId="70C153DE"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5,008</w:t>
            </w:r>
          </w:p>
        </w:tc>
        <w:tc>
          <w:tcPr>
            <w:tcW w:w="660" w:type="pct"/>
            <w:tcBorders>
              <w:top w:val="nil"/>
              <w:left w:val="nil"/>
              <w:bottom w:val="nil"/>
              <w:right w:val="nil"/>
            </w:tcBorders>
            <w:shd w:val="clear" w:color="auto" w:fill="auto"/>
            <w:noWrap/>
            <w:vAlign w:val="bottom"/>
            <w:hideMark/>
          </w:tcPr>
          <w:p w14:paraId="4079725A" w14:textId="43BB6DB9"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3,479</w:t>
            </w:r>
          </w:p>
        </w:tc>
        <w:tc>
          <w:tcPr>
            <w:tcW w:w="660" w:type="pct"/>
            <w:tcBorders>
              <w:top w:val="nil"/>
              <w:left w:val="nil"/>
              <w:bottom w:val="nil"/>
              <w:right w:val="nil"/>
            </w:tcBorders>
            <w:shd w:val="clear" w:color="auto" w:fill="auto"/>
            <w:noWrap/>
            <w:vAlign w:val="bottom"/>
            <w:hideMark/>
          </w:tcPr>
          <w:p w14:paraId="0E24B7D9" w14:textId="086D38A3"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1,950</w:t>
            </w:r>
          </w:p>
        </w:tc>
        <w:tc>
          <w:tcPr>
            <w:tcW w:w="660" w:type="pct"/>
            <w:tcBorders>
              <w:top w:val="nil"/>
              <w:left w:val="nil"/>
              <w:bottom w:val="nil"/>
              <w:right w:val="nil"/>
            </w:tcBorders>
            <w:shd w:val="clear" w:color="auto" w:fill="auto"/>
            <w:noWrap/>
            <w:vAlign w:val="bottom"/>
            <w:hideMark/>
          </w:tcPr>
          <w:p w14:paraId="31ADA872" w14:textId="6122844E"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1,950</w:t>
            </w:r>
          </w:p>
        </w:tc>
      </w:tr>
      <w:tr w:rsidR="00173CD7" w:rsidRPr="004971B5" w14:paraId="5D0CDFCA" w14:textId="77777777" w:rsidTr="00173CD7">
        <w:trPr>
          <w:trHeight w:val="204"/>
        </w:trPr>
        <w:tc>
          <w:tcPr>
            <w:tcW w:w="1700" w:type="pct"/>
            <w:tcBorders>
              <w:top w:val="nil"/>
              <w:left w:val="nil"/>
              <w:bottom w:val="nil"/>
              <w:right w:val="nil"/>
            </w:tcBorders>
            <w:shd w:val="clear" w:color="auto" w:fill="auto"/>
            <w:noWrap/>
            <w:vAlign w:val="bottom"/>
            <w:hideMark/>
          </w:tcPr>
          <w:p w14:paraId="71A6AEC1" w14:textId="77777777" w:rsidR="00173CD7" w:rsidRPr="004971B5" w:rsidRDefault="00173CD7" w:rsidP="00173CD7">
            <w:pPr>
              <w:spacing w:after="0" w:line="240" w:lineRule="auto"/>
              <w:ind w:left="113"/>
              <w:rPr>
                <w:rFonts w:ascii="Arial" w:hAnsi="Arial" w:cs="Arial"/>
                <w:b/>
                <w:bCs/>
                <w:i/>
                <w:iCs/>
                <w:color w:val="000000"/>
                <w:sz w:val="16"/>
                <w:szCs w:val="16"/>
              </w:rPr>
            </w:pPr>
            <w:r w:rsidRPr="004971B5">
              <w:rPr>
                <w:rFonts w:ascii="Arial" w:hAnsi="Arial" w:cs="Arial"/>
                <w:b/>
                <w:bCs/>
                <w:i/>
                <w:iCs/>
                <w:color w:val="000000"/>
                <w:sz w:val="16"/>
                <w:szCs w:val="16"/>
              </w:rPr>
              <w:t>Total payables</w:t>
            </w:r>
          </w:p>
        </w:tc>
        <w:tc>
          <w:tcPr>
            <w:tcW w:w="660" w:type="pct"/>
            <w:tcBorders>
              <w:top w:val="single" w:sz="4" w:space="0" w:color="000000"/>
              <w:left w:val="nil"/>
              <w:bottom w:val="single" w:sz="4" w:space="0" w:color="000000"/>
              <w:right w:val="nil"/>
            </w:tcBorders>
            <w:shd w:val="clear" w:color="auto" w:fill="auto"/>
            <w:noWrap/>
            <w:vAlign w:val="bottom"/>
            <w:hideMark/>
          </w:tcPr>
          <w:p w14:paraId="228B06BE" w14:textId="043A7BEE" w:rsidR="00173CD7" w:rsidRPr="004971B5" w:rsidRDefault="00173CD7" w:rsidP="00173CD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531,607</w:t>
            </w:r>
          </w:p>
        </w:tc>
        <w:tc>
          <w:tcPr>
            <w:tcW w:w="660" w:type="pct"/>
            <w:tcBorders>
              <w:top w:val="single" w:sz="4" w:space="0" w:color="000000"/>
              <w:left w:val="nil"/>
              <w:bottom w:val="single" w:sz="4" w:space="0" w:color="000000"/>
              <w:right w:val="nil"/>
            </w:tcBorders>
            <w:shd w:val="clear" w:color="000000" w:fill="E6E6E6"/>
            <w:noWrap/>
            <w:vAlign w:val="bottom"/>
            <w:hideMark/>
          </w:tcPr>
          <w:p w14:paraId="4A8E7EC4" w14:textId="52B119E6" w:rsidR="00173CD7" w:rsidRPr="004971B5" w:rsidRDefault="00173CD7" w:rsidP="00173CD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530,613</w:t>
            </w:r>
          </w:p>
        </w:tc>
        <w:tc>
          <w:tcPr>
            <w:tcW w:w="660" w:type="pct"/>
            <w:tcBorders>
              <w:top w:val="single" w:sz="4" w:space="0" w:color="000000"/>
              <w:left w:val="nil"/>
              <w:bottom w:val="single" w:sz="4" w:space="0" w:color="000000"/>
              <w:right w:val="nil"/>
            </w:tcBorders>
            <w:shd w:val="clear" w:color="auto" w:fill="auto"/>
            <w:noWrap/>
            <w:vAlign w:val="bottom"/>
            <w:hideMark/>
          </w:tcPr>
          <w:p w14:paraId="57A1F394" w14:textId="6F3B6E7C" w:rsidR="00173CD7" w:rsidRPr="004971B5" w:rsidRDefault="00173CD7" w:rsidP="00173CD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527,694</w:t>
            </w:r>
          </w:p>
        </w:tc>
        <w:tc>
          <w:tcPr>
            <w:tcW w:w="660" w:type="pct"/>
            <w:tcBorders>
              <w:top w:val="single" w:sz="4" w:space="0" w:color="000000"/>
              <w:left w:val="nil"/>
              <w:bottom w:val="single" w:sz="4" w:space="0" w:color="000000"/>
              <w:right w:val="nil"/>
            </w:tcBorders>
            <w:shd w:val="clear" w:color="auto" w:fill="auto"/>
            <w:noWrap/>
            <w:vAlign w:val="bottom"/>
            <w:hideMark/>
          </w:tcPr>
          <w:p w14:paraId="7B0A4E74" w14:textId="560A7465" w:rsidR="00173CD7" w:rsidRPr="004971B5" w:rsidRDefault="00173CD7" w:rsidP="00173CD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528,701</w:t>
            </w:r>
          </w:p>
        </w:tc>
        <w:tc>
          <w:tcPr>
            <w:tcW w:w="660" w:type="pct"/>
            <w:tcBorders>
              <w:top w:val="single" w:sz="4" w:space="0" w:color="000000"/>
              <w:left w:val="nil"/>
              <w:bottom w:val="single" w:sz="4" w:space="0" w:color="000000"/>
              <w:right w:val="nil"/>
            </w:tcBorders>
            <w:shd w:val="clear" w:color="auto" w:fill="auto"/>
            <w:noWrap/>
            <w:vAlign w:val="bottom"/>
            <w:hideMark/>
          </w:tcPr>
          <w:p w14:paraId="5570A23D" w14:textId="6A202F84" w:rsidR="00173CD7" w:rsidRPr="004971B5" w:rsidRDefault="00173CD7" w:rsidP="00173CD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528,828</w:t>
            </w:r>
          </w:p>
        </w:tc>
      </w:tr>
      <w:tr w:rsidR="004971B5" w:rsidRPr="004971B5" w14:paraId="70202B58" w14:textId="77777777" w:rsidTr="00173CD7">
        <w:trPr>
          <w:trHeight w:val="204"/>
        </w:trPr>
        <w:tc>
          <w:tcPr>
            <w:tcW w:w="1700" w:type="pct"/>
            <w:tcBorders>
              <w:top w:val="nil"/>
              <w:left w:val="nil"/>
              <w:bottom w:val="nil"/>
              <w:right w:val="nil"/>
            </w:tcBorders>
            <w:shd w:val="clear" w:color="auto" w:fill="auto"/>
            <w:noWrap/>
            <w:vAlign w:val="bottom"/>
            <w:hideMark/>
          </w:tcPr>
          <w:p w14:paraId="4514EEA8" w14:textId="77777777" w:rsidR="004971B5" w:rsidRPr="004971B5" w:rsidRDefault="004971B5" w:rsidP="004971B5">
            <w:pPr>
              <w:spacing w:after="0" w:line="240" w:lineRule="auto"/>
              <w:ind w:left="113"/>
              <w:rPr>
                <w:rFonts w:ascii="Arial" w:hAnsi="Arial" w:cs="Arial"/>
                <w:b/>
                <w:bCs/>
                <w:color w:val="000000"/>
                <w:sz w:val="16"/>
                <w:szCs w:val="16"/>
              </w:rPr>
            </w:pPr>
            <w:r w:rsidRPr="004971B5">
              <w:rPr>
                <w:rFonts w:ascii="Arial" w:hAnsi="Arial" w:cs="Arial"/>
                <w:b/>
                <w:bCs/>
                <w:color w:val="000000"/>
                <w:sz w:val="16"/>
                <w:szCs w:val="16"/>
              </w:rPr>
              <w:t>Provisions</w:t>
            </w:r>
          </w:p>
        </w:tc>
        <w:tc>
          <w:tcPr>
            <w:tcW w:w="660" w:type="pct"/>
            <w:tcBorders>
              <w:top w:val="nil"/>
              <w:left w:val="nil"/>
              <w:bottom w:val="nil"/>
              <w:right w:val="nil"/>
            </w:tcBorders>
            <w:shd w:val="clear" w:color="auto" w:fill="auto"/>
            <w:noWrap/>
            <w:vAlign w:val="bottom"/>
            <w:hideMark/>
          </w:tcPr>
          <w:p w14:paraId="4F146B56" w14:textId="77777777" w:rsidR="004971B5" w:rsidRPr="004971B5" w:rsidRDefault="004971B5" w:rsidP="004971B5">
            <w:pPr>
              <w:spacing w:after="0" w:line="240" w:lineRule="auto"/>
              <w:jc w:val="right"/>
              <w:rPr>
                <w:rFonts w:ascii="Arial" w:hAnsi="Arial" w:cs="Arial"/>
                <w:b/>
                <w:bCs/>
                <w:color w:val="000000"/>
                <w:sz w:val="16"/>
                <w:szCs w:val="16"/>
              </w:rPr>
            </w:pPr>
          </w:p>
        </w:tc>
        <w:tc>
          <w:tcPr>
            <w:tcW w:w="660" w:type="pct"/>
            <w:tcBorders>
              <w:top w:val="nil"/>
              <w:left w:val="nil"/>
              <w:bottom w:val="nil"/>
              <w:right w:val="nil"/>
            </w:tcBorders>
            <w:shd w:val="clear" w:color="000000" w:fill="E6E6E6"/>
            <w:noWrap/>
            <w:vAlign w:val="bottom"/>
            <w:hideMark/>
          </w:tcPr>
          <w:p w14:paraId="5D66A6F2" w14:textId="11C7ECFF" w:rsidR="004971B5" w:rsidRPr="004971B5" w:rsidRDefault="004971B5" w:rsidP="004971B5">
            <w:pPr>
              <w:spacing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hideMark/>
          </w:tcPr>
          <w:p w14:paraId="461F708C" w14:textId="77777777" w:rsidR="004971B5" w:rsidRPr="004971B5" w:rsidRDefault="004971B5" w:rsidP="004971B5">
            <w:pPr>
              <w:spacing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hideMark/>
          </w:tcPr>
          <w:p w14:paraId="3F2D9482" w14:textId="77777777" w:rsidR="004971B5" w:rsidRPr="004971B5" w:rsidRDefault="004971B5" w:rsidP="004971B5">
            <w:pPr>
              <w:spacing w:after="0" w:line="240" w:lineRule="auto"/>
              <w:jc w:val="right"/>
              <w:rPr>
                <w:rFonts w:ascii="Times New Roman" w:hAnsi="Times New Roman"/>
              </w:rPr>
            </w:pPr>
          </w:p>
        </w:tc>
        <w:tc>
          <w:tcPr>
            <w:tcW w:w="660" w:type="pct"/>
            <w:tcBorders>
              <w:top w:val="nil"/>
              <w:left w:val="nil"/>
              <w:bottom w:val="nil"/>
              <w:right w:val="nil"/>
            </w:tcBorders>
            <w:shd w:val="clear" w:color="auto" w:fill="auto"/>
            <w:noWrap/>
            <w:vAlign w:val="bottom"/>
            <w:hideMark/>
          </w:tcPr>
          <w:p w14:paraId="52A71D69" w14:textId="77777777" w:rsidR="004971B5" w:rsidRPr="004971B5" w:rsidRDefault="004971B5" w:rsidP="004971B5">
            <w:pPr>
              <w:spacing w:after="0" w:line="240" w:lineRule="auto"/>
              <w:jc w:val="right"/>
              <w:rPr>
                <w:rFonts w:ascii="Times New Roman" w:hAnsi="Times New Roman"/>
              </w:rPr>
            </w:pPr>
          </w:p>
        </w:tc>
      </w:tr>
      <w:tr w:rsidR="00173CD7" w:rsidRPr="004971B5" w14:paraId="79A3335E" w14:textId="77777777" w:rsidTr="00173CD7">
        <w:trPr>
          <w:trHeight w:val="204"/>
        </w:trPr>
        <w:tc>
          <w:tcPr>
            <w:tcW w:w="1700" w:type="pct"/>
            <w:tcBorders>
              <w:top w:val="nil"/>
              <w:left w:val="nil"/>
              <w:bottom w:val="nil"/>
              <w:right w:val="nil"/>
            </w:tcBorders>
            <w:shd w:val="clear" w:color="auto" w:fill="auto"/>
            <w:noWrap/>
            <w:vAlign w:val="bottom"/>
            <w:hideMark/>
          </w:tcPr>
          <w:p w14:paraId="1D2BC5E2" w14:textId="77777777" w:rsidR="00173CD7" w:rsidRPr="004971B5" w:rsidRDefault="00173CD7" w:rsidP="00173CD7">
            <w:pPr>
              <w:spacing w:after="0" w:line="240" w:lineRule="auto"/>
              <w:ind w:left="227"/>
              <w:rPr>
                <w:rFonts w:ascii="Arial" w:hAnsi="Arial" w:cs="Arial"/>
                <w:sz w:val="16"/>
                <w:szCs w:val="16"/>
              </w:rPr>
            </w:pPr>
            <w:r w:rsidRPr="004971B5">
              <w:rPr>
                <w:rFonts w:ascii="Arial" w:hAnsi="Arial" w:cs="Arial"/>
                <w:sz w:val="16"/>
                <w:szCs w:val="16"/>
              </w:rPr>
              <w:t>Employee provisions</w:t>
            </w:r>
          </w:p>
        </w:tc>
        <w:tc>
          <w:tcPr>
            <w:tcW w:w="660" w:type="pct"/>
            <w:tcBorders>
              <w:top w:val="nil"/>
              <w:left w:val="nil"/>
              <w:bottom w:val="nil"/>
              <w:right w:val="nil"/>
            </w:tcBorders>
            <w:shd w:val="clear" w:color="auto" w:fill="auto"/>
            <w:noWrap/>
            <w:vAlign w:val="bottom"/>
            <w:hideMark/>
          </w:tcPr>
          <w:p w14:paraId="33532CC5" w14:textId="45E44F09"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3,907</w:t>
            </w:r>
          </w:p>
        </w:tc>
        <w:tc>
          <w:tcPr>
            <w:tcW w:w="660" w:type="pct"/>
            <w:tcBorders>
              <w:top w:val="nil"/>
              <w:left w:val="nil"/>
              <w:bottom w:val="nil"/>
              <w:right w:val="nil"/>
            </w:tcBorders>
            <w:shd w:val="clear" w:color="000000" w:fill="E6E6E6"/>
            <w:noWrap/>
            <w:vAlign w:val="bottom"/>
            <w:hideMark/>
          </w:tcPr>
          <w:p w14:paraId="18E947DA" w14:textId="62B8D9BE"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3,907</w:t>
            </w:r>
          </w:p>
        </w:tc>
        <w:tc>
          <w:tcPr>
            <w:tcW w:w="660" w:type="pct"/>
            <w:tcBorders>
              <w:top w:val="nil"/>
              <w:left w:val="nil"/>
              <w:bottom w:val="nil"/>
              <w:right w:val="nil"/>
            </w:tcBorders>
            <w:shd w:val="clear" w:color="auto" w:fill="auto"/>
            <w:noWrap/>
            <w:vAlign w:val="bottom"/>
            <w:hideMark/>
          </w:tcPr>
          <w:p w14:paraId="48763835" w14:textId="6886472E"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3,907</w:t>
            </w:r>
          </w:p>
        </w:tc>
        <w:tc>
          <w:tcPr>
            <w:tcW w:w="660" w:type="pct"/>
            <w:tcBorders>
              <w:top w:val="nil"/>
              <w:left w:val="nil"/>
              <w:bottom w:val="nil"/>
              <w:right w:val="nil"/>
            </w:tcBorders>
            <w:shd w:val="clear" w:color="auto" w:fill="auto"/>
            <w:noWrap/>
            <w:vAlign w:val="bottom"/>
            <w:hideMark/>
          </w:tcPr>
          <w:p w14:paraId="7A572410" w14:textId="0265A4E7"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3,907</w:t>
            </w:r>
          </w:p>
        </w:tc>
        <w:tc>
          <w:tcPr>
            <w:tcW w:w="660" w:type="pct"/>
            <w:tcBorders>
              <w:top w:val="nil"/>
              <w:left w:val="nil"/>
              <w:bottom w:val="nil"/>
              <w:right w:val="nil"/>
            </w:tcBorders>
            <w:shd w:val="clear" w:color="auto" w:fill="auto"/>
            <w:noWrap/>
            <w:vAlign w:val="bottom"/>
            <w:hideMark/>
          </w:tcPr>
          <w:p w14:paraId="7C0F7FB5" w14:textId="1073E8B2"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3,907</w:t>
            </w:r>
          </w:p>
        </w:tc>
      </w:tr>
      <w:tr w:rsidR="00173CD7" w:rsidRPr="004971B5" w14:paraId="343CC98F" w14:textId="77777777" w:rsidTr="00173CD7">
        <w:trPr>
          <w:trHeight w:val="204"/>
        </w:trPr>
        <w:tc>
          <w:tcPr>
            <w:tcW w:w="1700" w:type="pct"/>
            <w:tcBorders>
              <w:top w:val="nil"/>
              <w:left w:val="nil"/>
              <w:bottom w:val="nil"/>
              <w:right w:val="nil"/>
            </w:tcBorders>
            <w:shd w:val="clear" w:color="auto" w:fill="auto"/>
            <w:noWrap/>
            <w:vAlign w:val="bottom"/>
            <w:hideMark/>
          </w:tcPr>
          <w:p w14:paraId="04F69DA8" w14:textId="77777777" w:rsidR="00173CD7" w:rsidRPr="004971B5" w:rsidRDefault="00173CD7" w:rsidP="00173CD7">
            <w:pPr>
              <w:spacing w:after="0" w:line="240" w:lineRule="auto"/>
              <w:ind w:left="227"/>
              <w:rPr>
                <w:rFonts w:ascii="Arial" w:hAnsi="Arial" w:cs="Arial"/>
                <w:sz w:val="16"/>
                <w:szCs w:val="16"/>
              </w:rPr>
            </w:pPr>
            <w:r w:rsidRPr="004971B5">
              <w:rPr>
                <w:rFonts w:ascii="Arial" w:hAnsi="Arial" w:cs="Arial"/>
                <w:sz w:val="16"/>
                <w:szCs w:val="16"/>
              </w:rPr>
              <w:t>Other provisions</w:t>
            </w:r>
          </w:p>
        </w:tc>
        <w:tc>
          <w:tcPr>
            <w:tcW w:w="660" w:type="pct"/>
            <w:tcBorders>
              <w:top w:val="nil"/>
              <w:left w:val="nil"/>
              <w:bottom w:val="nil"/>
              <w:right w:val="nil"/>
            </w:tcBorders>
            <w:shd w:val="clear" w:color="auto" w:fill="auto"/>
            <w:noWrap/>
            <w:vAlign w:val="bottom"/>
            <w:hideMark/>
          </w:tcPr>
          <w:p w14:paraId="040AD6EE" w14:textId="49B29FAD"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1,073,447</w:t>
            </w:r>
          </w:p>
        </w:tc>
        <w:tc>
          <w:tcPr>
            <w:tcW w:w="660" w:type="pct"/>
            <w:tcBorders>
              <w:top w:val="nil"/>
              <w:left w:val="nil"/>
              <w:bottom w:val="nil"/>
              <w:right w:val="nil"/>
            </w:tcBorders>
            <w:shd w:val="clear" w:color="000000" w:fill="E6E6E6"/>
            <w:noWrap/>
            <w:vAlign w:val="bottom"/>
            <w:hideMark/>
          </w:tcPr>
          <w:p w14:paraId="2EE411F9" w14:textId="64A4845D"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1,197,164</w:t>
            </w:r>
          </w:p>
        </w:tc>
        <w:tc>
          <w:tcPr>
            <w:tcW w:w="660" w:type="pct"/>
            <w:tcBorders>
              <w:top w:val="nil"/>
              <w:left w:val="nil"/>
              <w:bottom w:val="nil"/>
              <w:right w:val="nil"/>
            </w:tcBorders>
            <w:shd w:val="clear" w:color="auto" w:fill="auto"/>
            <w:noWrap/>
            <w:vAlign w:val="bottom"/>
            <w:hideMark/>
          </w:tcPr>
          <w:p w14:paraId="7E92490E" w14:textId="1676DFCB"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1,085,162</w:t>
            </w:r>
          </w:p>
        </w:tc>
        <w:tc>
          <w:tcPr>
            <w:tcW w:w="660" w:type="pct"/>
            <w:tcBorders>
              <w:top w:val="nil"/>
              <w:left w:val="nil"/>
              <w:bottom w:val="nil"/>
              <w:right w:val="nil"/>
            </w:tcBorders>
            <w:shd w:val="clear" w:color="auto" w:fill="auto"/>
            <w:noWrap/>
            <w:vAlign w:val="bottom"/>
            <w:hideMark/>
          </w:tcPr>
          <w:p w14:paraId="4D09A8DA" w14:textId="697439D2"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958,378</w:t>
            </w:r>
          </w:p>
        </w:tc>
        <w:tc>
          <w:tcPr>
            <w:tcW w:w="660" w:type="pct"/>
            <w:tcBorders>
              <w:top w:val="nil"/>
              <w:left w:val="nil"/>
              <w:bottom w:val="nil"/>
              <w:right w:val="nil"/>
            </w:tcBorders>
            <w:shd w:val="clear" w:color="auto" w:fill="auto"/>
            <w:noWrap/>
            <w:vAlign w:val="bottom"/>
            <w:hideMark/>
          </w:tcPr>
          <w:p w14:paraId="069F9C53" w14:textId="2ADB2DA5" w:rsidR="00173CD7" w:rsidRPr="004971B5" w:rsidRDefault="00173CD7" w:rsidP="00173CD7">
            <w:pPr>
              <w:spacing w:after="0" w:line="240" w:lineRule="auto"/>
              <w:jc w:val="right"/>
              <w:rPr>
                <w:rFonts w:ascii="Arial" w:hAnsi="Arial" w:cs="Arial"/>
                <w:color w:val="000000"/>
                <w:sz w:val="16"/>
                <w:szCs w:val="16"/>
              </w:rPr>
            </w:pPr>
            <w:r>
              <w:rPr>
                <w:rFonts w:ascii="Arial" w:hAnsi="Arial" w:cs="Arial"/>
                <w:color w:val="000000"/>
                <w:sz w:val="16"/>
                <w:szCs w:val="16"/>
              </w:rPr>
              <w:t>763,912</w:t>
            </w:r>
          </w:p>
        </w:tc>
      </w:tr>
      <w:tr w:rsidR="00173CD7" w:rsidRPr="004971B5" w14:paraId="42B196AF" w14:textId="77777777" w:rsidTr="00173CD7">
        <w:trPr>
          <w:trHeight w:val="204"/>
        </w:trPr>
        <w:tc>
          <w:tcPr>
            <w:tcW w:w="1700" w:type="pct"/>
            <w:tcBorders>
              <w:top w:val="nil"/>
              <w:left w:val="nil"/>
              <w:bottom w:val="nil"/>
              <w:right w:val="nil"/>
            </w:tcBorders>
            <w:shd w:val="clear" w:color="auto" w:fill="auto"/>
            <w:noWrap/>
            <w:vAlign w:val="bottom"/>
            <w:hideMark/>
          </w:tcPr>
          <w:p w14:paraId="1B0D4FA3" w14:textId="77777777" w:rsidR="00173CD7" w:rsidRPr="004971B5" w:rsidRDefault="00173CD7" w:rsidP="00173CD7">
            <w:pPr>
              <w:spacing w:after="0" w:line="240" w:lineRule="auto"/>
              <w:ind w:left="113"/>
              <w:rPr>
                <w:rFonts w:ascii="Arial" w:hAnsi="Arial" w:cs="Arial"/>
                <w:b/>
                <w:bCs/>
                <w:i/>
                <w:iCs/>
                <w:color w:val="000000"/>
                <w:sz w:val="16"/>
                <w:szCs w:val="16"/>
              </w:rPr>
            </w:pPr>
            <w:r w:rsidRPr="004971B5">
              <w:rPr>
                <w:rFonts w:ascii="Arial" w:hAnsi="Arial" w:cs="Arial"/>
                <w:b/>
                <w:bCs/>
                <w:i/>
                <w:iCs/>
                <w:color w:val="000000"/>
                <w:sz w:val="16"/>
                <w:szCs w:val="16"/>
              </w:rPr>
              <w:t>Total provisions</w:t>
            </w:r>
          </w:p>
        </w:tc>
        <w:tc>
          <w:tcPr>
            <w:tcW w:w="660" w:type="pct"/>
            <w:tcBorders>
              <w:top w:val="single" w:sz="4" w:space="0" w:color="000000"/>
              <w:left w:val="nil"/>
              <w:bottom w:val="single" w:sz="4" w:space="0" w:color="000000"/>
              <w:right w:val="nil"/>
            </w:tcBorders>
            <w:shd w:val="clear" w:color="auto" w:fill="auto"/>
            <w:noWrap/>
            <w:vAlign w:val="bottom"/>
            <w:hideMark/>
          </w:tcPr>
          <w:p w14:paraId="68B4EE23" w14:textId="3572CC30" w:rsidR="00173CD7" w:rsidRPr="004971B5" w:rsidRDefault="00173CD7" w:rsidP="00173CD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1,077,354</w:t>
            </w:r>
          </w:p>
        </w:tc>
        <w:tc>
          <w:tcPr>
            <w:tcW w:w="660" w:type="pct"/>
            <w:tcBorders>
              <w:top w:val="single" w:sz="4" w:space="0" w:color="000000"/>
              <w:left w:val="nil"/>
              <w:bottom w:val="single" w:sz="4" w:space="0" w:color="000000"/>
              <w:right w:val="nil"/>
            </w:tcBorders>
            <w:shd w:val="clear" w:color="000000" w:fill="E6E6E6"/>
            <w:noWrap/>
            <w:vAlign w:val="bottom"/>
            <w:hideMark/>
          </w:tcPr>
          <w:p w14:paraId="0020B153" w14:textId="10101E97" w:rsidR="00173CD7" w:rsidRPr="004971B5" w:rsidRDefault="00173CD7" w:rsidP="00173CD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1,201,071</w:t>
            </w:r>
          </w:p>
        </w:tc>
        <w:tc>
          <w:tcPr>
            <w:tcW w:w="660" w:type="pct"/>
            <w:tcBorders>
              <w:top w:val="single" w:sz="4" w:space="0" w:color="000000"/>
              <w:left w:val="nil"/>
              <w:bottom w:val="single" w:sz="4" w:space="0" w:color="000000"/>
              <w:right w:val="nil"/>
            </w:tcBorders>
            <w:shd w:val="clear" w:color="auto" w:fill="auto"/>
            <w:noWrap/>
            <w:vAlign w:val="bottom"/>
            <w:hideMark/>
          </w:tcPr>
          <w:p w14:paraId="013F7341" w14:textId="55722F77" w:rsidR="00173CD7" w:rsidRPr="004971B5" w:rsidRDefault="00173CD7" w:rsidP="00173CD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1,089,069</w:t>
            </w:r>
          </w:p>
        </w:tc>
        <w:tc>
          <w:tcPr>
            <w:tcW w:w="660" w:type="pct"/>
            <w:tcBorders>
              <w:top w:val="single" w:sz="4" w:space="0" w:color="000000"/>
              <w:left w:val="nil"/>
              <w:bottom w:val="single" w:sz="4" w:space="0" w:color="000000"/>
              <w:right w:val="nil"/>
            </w:tcBorders>
            <w:shd w:val="clear" w:color="auto" w:fill="auto"/>
            <w:noWrap/>
            <w:vAlign w:val="bottom"/>
            <w:hideMark/>
          </w:tcPr>
          <w:p w14:paraId="7A353DA2" w14:textId="1893D34E" w:rsidR="00173CD7" w:rsidRPr="004971B5" w:rsidRDefault="00173CD7" w:rsidP="00173CD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962,285</w:t>
            </w:r>
          </w:p>
        </w:tc>
        <w:tc>
          <w:tcPr>
            <w:tcW w:w="660" w:type="pct"/>
            <w:tcBorders>
              <w:top w:val="single" w:sz="4" w:space="0" w:color="000000"/>
              <w:left w:val="nil"/>
              <w:bottom w:val="single" w:sz="4" w:space="0" w:color="000000"/>
              <w:right w:val="nil"/>
            </w:tcBorders>
            <w:shd w:val="clear" w:color="auto" w:fill="auto"/>
            <w:noWrap/>
            <w:vAlign w:val="bottom"/>
            <w:hideMark/>
          </w:tcPr>
          <w:p w14:paraId="678A60D4" w14:textId="7A1E2076" w:rsidR="00173CD7" w:rsidRPr="004971B5" w:rsidRDefault="00173CD7" w:rsidP="00173CD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767,819</w:t>
            </w:r>
          </w:p>
        </w:tc>
      </w:tr>
      <w:tr w:rsidR="00173CD7" w:rsidRPr="004971B5" w14:paraId="569DF7EB" w14:textId="77777777" w:rsidTr="00173CD7">
        <w:trPr>
          <w:trHeight w:val="204"/>
        </w:trPr>
        <w:tc>
          <w:tcPr>
            <w:tcW w:w="1700" w:type="pct"/>
            <w:tcBorders>
              <w:top w:val="nil"/>
              <w:left w:val="nil"/>
              <w:bottom w:val="nil"/>
              <w:right w:val="nil"/>
            </w:tcBorders>
            <w:shd w:val="clear" w:color="auto" w:fill="auto"/>
            <w:vAlign w:val="bottom"/>
            <w:hideMark/>
          </w:tcPr>
          <w:p w14:paraId="31EE801B" w14:textId="68873AFF" w:rsidR="00173CD7" w:rsidRPr="004971B5" w:rsidRDefault="00173CD7" w:rsidP="00173CD7">
            <w:pPr>
              <w:spacing w:after="0" w:line="240" w:lineRule="auto"/>
              <w:ind w:left="113"/>
              <w:rPr>
                <w:rFonts w:ascii="Arial" w:hAnsi="Arial" w:cs="Arial"/>
                <w:b/>
                <w:bCs/>
                <w:color w:val="000000"/>
                <w:sz w:val="16"/>
                <w:szCs w:val="16"/>
              </w:rPr>
            </w:pPr>
            <w:r w:rsidRPr="004971B5">
              <w:rPr>
                <w:rFonts w:ascii="Arial" w:hAnsi="Arial" w:cs="Arial"/>
                <w:b/>
                <w:bCs/>
                <w:color w:val="000000"/>
                <w:sz w:val="16"/>
                <w:szCs w:val="16"/>
              </w:rPr>
              <w:t>Total liabilities administered on behalf of Government</w:t>
            </w:r>
          </w:p>
        </w:tc>
        <w:tc>
          <w:tcPr>
            <w:tcW w:w="660" w:type="pct"/>
            <w:tcBorders>
              <w:top w:val="single" w:sz="4" w:space="0" w:color="000000"/>
              <w:left w:val="nil"/>
              <w:bottom w:val="single" w:sz="4" w:space="0" w:color="000000"/>
              <w:right w:val="nil"/>
            </w:tcBorders>
            <w:shd w:val="clear" w:color="auto" w:fill="auto"/>
            <w:noWrap/>
            <w:vAlign w:val="bottom"/>
            <w:hideMark/>
          </w:tcPr>
          <w:p w14:paraId="25B55F0E" w14:textId="70D059DB" w:rsidR="00173CD7" w:rsidRPr="004971B5" w:rsidRDefault="00173CD7" w:rsidP="00173CD7">
            <w:pPr>
              <w:spacing w:after="0" w:line="240" w:lineRule="auto"/>
              <w:jc w:val="right"/>
              <w:rPr>
                <w:rFonts w:ascii="Arial" w:hAnsi="Arial" w:cs="Arial"/>
                <w:b/>
                <w:bCs/>
                <w:color w:val="000000"/>
                <w:sz w:val="16"/>
                <w:szCs w:val="16"/>
              </w:rPr>
            </w:pPr>
            <w:r>
              <w:rPr>
                <w:rFonts w:ascii="Arial" w:hAnsi="Arial" w:cs="Arial"/>
                <w:b/>
                <w:bCs/>
                <w:color w:val="000000"/>
                <w:sz w:val="16"/>
                <w:szCs w:val="16"/>
              </w:rPr>
              <w:t>1,608,961</w:t>
            </w:r>
          </w:p>
        </w:tc>
        <w:tc>
          <w:tcPr>
            <w:tcW w:w="660" w:type="pct"/>
            <w:tcBorders>
              <w:top w:val="single" w:sz="4" w:space="0" w:color="000000"/>
              <w:left w:val="nil"/>
              <w:bottom w:val="single" w:sz="4" w:space="0" w:color="000000"/>
              <w:right w:val="nil"/>
            </w:tcBorders>
            <w:shd w:val="clear" w:color="000000" w:fill="E6E6E6"/>
            <w:noWrap/>
            <w:vAlign w:val="bottom"/>
            <w:hideMark/>
          </w:tcPr>
          <w:p w14:paraId="3A0C6E5C" w14:textId="041424AB" w:rsidR="00173CD7" w:rsidRPr="004971B5" w:rsidRDefault="00173CD7" w:rsidP="00173CD7">
            <w:pPr>
              <w:spacing w:after="0" w:line="240" w:lineRule="auto"/>
              <w:jc w:val="right"/>
              <w:rPr>
                <w:rFonts w:ascii="Arial" w:hAnsi="Arial" w:cs="Arial"/>
                <w:b/>
                <w:bCs/>
                <w:color w:val="000000"/>
                <w:sz w:val="16"/>
                <w:szCs w:val="16"/>
              </w:rPr>
            </w:pPr>
            <w:r>
              <w:rPr>
                <w:rFonts w:ascii="Arial" w:hAnsi="Arial" w:cs="Arial"/>
                <w:b/>
                <w:bCs/>
                <w:color w:val="000000"/>
                <w:sz w:val="16"/>
                <w:szCs w:val="16"/>
              </w:rPr>
              <w:t>1,731,684</w:t>
            </w:r>
          </w:p>
        </w:tc>
        <w:tc>
          <w:tcPr>
            <w:tcW w:w="660" w:type="pct"/>
            <w:tcBorders>
              <w:top w:val="single" w:sz="4" w:space="0" w:color="000000"/>
              <w:left w:val="nil"/>
              <w:bottom w:val="single" w:sz="4" w:space="0" w:color="000000"/>
              <w:right w:val="nil"/>
            </w:tcBorders>
            <w:shd w:val="clear" w:color="auto" w:fill="auto"/>
            <w:noWrap/>
            <w:vAlign w:val="bottom"/>
            <w:hideMark/>
          </w:tcPr>
          <w:p w14:paraId="09F283D6" w14:textId="13CF5C36" w:rsidR="00173CD7" w:rsidRPr="004971B5" w:rsidRDefault="00173CD7" w:rsidP="00173CD7">
            <w:pPr>
              <w:spacing w:after="0" w:line="240" w:lineRule="auto"/>
              <w:jc w:val="right"/>
              <w:rPr>
                <w:rFonts w:ascii="Arial" w:hAnsi="Arial" w:cs="Arial"/>
                <w:b/>
                <w:bCs/>
                <w:color w:val="000000"/>
                <w:sz w:val="16"/>
                <w:szCs w:val="16"/>
              </w:rPr>
            </w:pPr>
            <w:r>
              <w:rPr>
                <w:rFonts w:ascii="Arial" w:hAnsi="Arial" w:cs="Arial"/>
                <w:b/>
                <w:bCs/>
                <w:color w:val="000000"/>
                <w:sz w:val="16"/>
                <w:szCs w:val="16"/>
              </w:rPr>
              <w:t>1,616,763</w:t>
            </w:r>
          </w:p>
        </w:tc>
        <w:tc>
          <w:tcPr>
            <w:tcW w:w="660" w:type="pct"/>
            <w:tcBorders>
              <w:top w:val="single" w:sz="4" w:space="0" w:color="000000"/>
              <w:left w:val="nil"/>
              <w:bottom w:val="single" w:sz="4" w:space="0" w:color="000000"/>
              <w:right w:val="nil"/>
            </w:tcBorders>
            <w:shd w:val="clear" w:color="auto" w:fill="auto"/>
            <w:noWrap/>
            <w:vAlign w:val="bottom"/>
            <w:hideMark/>
          </w:tcPr>
          <w:p w14:paraId="37B85600" w14:textId="15113DEA" w:rsidR="00173CD7" w:rsidRPr="004971B5" w:rsidRDefault="00173CD7" w:rsidP="00173CD7">
            <w:pPr>
              <w:spacing w:after="0" w:line="240" w:lineRule="auto"/>
              <w:jc w:val="right"/>
              <w:rPr>
                <w:rFonts w:ascii="Arial" w:hAnsi="Arial" w:cs="Arial"/>
                <w:b/>
                <w:bCs/>
                <w:color w:val="000000"/>
                <w:sz w:val="16"/>
                <w:szCs w:val="16"/>
              </w:rPr>
            </w:pPr>
            <w:r>
              <w:rPr>
                <w:rFonts w:ascii="Arial" w:hAnsi="Arial" w:cs="Arial"/>
                <w:b/>
                <w:bCs/>
                <w:color w:val="000000"/>
                <w:sz w:val="16"/>
                <w:szCs w:val="16"/>
              </w:rPr>
              <w:t>1,490,986</w:t>
            </w:r>
          </w:p>
        </w:tc>
        <w:tc>
          <w:tcPr>
            <w:tcW w:w="660" w:type="pct"/>
            <w:tcBorders>
              <w:top w:val="single" w:sz="4" w:space="0" w:color="000000"/>
              <w:left w:val="nil"/>
              <w:bottom w:val="single" w:sz="4" w:space="0" w:color="000000"/>
              <w:right w:val="nil"/>
            </w:tcBorders>
            <w:shd w:val="clear" w:color="auto" w:fill="auto"/>
            <w:noWrap/>
            <w:vAlign w:val="bottom"/>
            <w:hideMark/>
          </w:tcPr>
          <w:p w14:paraId="35C80CC0" w14:textId="5180F99F" w:rsidR="00173CD7" w:rsidRPr="004971B5" w:rsidRDefault="00173CD7" w:rsidP="00173CD7">
            <w:pPr>
              <w:spacing w:after="0" w:line="240" w:lineRule="auto"/>
              <w:jc w:val="right"/>
              <w:rPr>
                <w:rFonts w:ascii="Arial" w:hAnsi="Arial" w:cs="Arial"/>
                <w:b/>
                <w:bCs/>
                <w:color w:val="000000"/>
                <w:sz w:val="16"/>
                <w:szCs w:val="16"/>
              </w:rPr>
            </w:pPr>
            <w:r>
              <w:rPr>
                <w:rFonts w:ascii="Arial" w:hAnsi="Arial" w:cs="Arial"/>
                <w:b/>
                <w:bCs/>
                <w:color w:val="000000"/>
                <w:sz w:val="16"/>
                <w:szCs w:val="16"/>
              </w:rPr>
              <w:t>1,296,647</w:t>
            </w:r>
          </w:p>
        </w:tc>
      </w:tr>
      <w:tr w:rsidR="00173CD7" w:rsidRPr="004971B5" w14:paraId="5209508F" w14:textId="77777777" w:rsidTr="00173CD7">
        <w:trPr>
          <w:trHeight w:val="204"/>
        </w:trPr>
        <w:tc>
          <w:tcPr>
            <w:tcW w:w="1700" w:type="pct"/>
            <w:tcBorders>
              <w:top w:val="nil"/>
              <w:left w:val="nil"/>
              <w:bottom w:val="single" w:sz="4" w:space="0" w:color="000000"/>
              <w:right w:val="nil"/>
            </w:tcBorders>
            <w:shd w:val="clear" w:color="auto" w:fill="auto"/>
            <w:noWrap/>
            <w:vAlign w:val="bottom"/>
            <w:hideMark/>
          </w:tcPr>
          <w:p w14:paraId="053CC7DE" w14:textId="77777777" w:rsidR="00173CD7" w:rsidRPr="004971B5" w:rsidRDefault="00173CD7" w:rsidP="00173CD7">
            <w:pPr>
              <w:spacing w:after="0" w:line="240" w:lineRule="auto"/>
              <w:ind w:left="113"/>
              <w:rPr>
                <w:rFonts w:ascii="Arial" w:hAnsi="Arial" w:cs="Arial"/>
                <w:b/>
                <w:bCs/>
                <w:color w:val="000000"/>
                <w:sz w:val="16"/>
                <w:szCs w:val="16"/>
              </w:rPr>
            </w:pPr>
            <w:r w:rsidRPr="004971B5">
              <w:rPr>
                <w:rFonts w:ascii="Arial" w:hAnsi="Arial" w:cs="Arial"/>
                <w:b/>
                <w:bCs/>
                <w:color w:val="000000"/>
                <w:sz w:val="16"/>
                <w:szCs w:val="16"/>
              </w:rPr>
              <w:t>Net assets/(liabilities)</w:t>
            </w:r>
          </w:p>
        </w:tc>
        <w:tc>
          <w:tcPr>
            <w:tcW w:w="660" w:type="pct"/>
            <w:tcBorders>
              <w:top w:val="nil"/>
              <w:left w:val="nil"/>
              <w:bottom w:val="single" w:sz="4" w:space="0" w:color="000000"/>
              <w:right w:val="nil"/>
            </w:tcBorders>
            <w:shd w:val="clear" w:color="auto" w:fill="auto"/>
            <w:noWrap/>
            <w:vAlign w:val="bottom"/>
            <w:hideMark/>
          </w:tcPr>
          <w:p w14:paraId="07CC4CCB" w14:textId="5BF52AC4" w:rsidR="00173CD7" w:rsidRPr="004971B5" w:rsidRDefault="00173CD7" w:rsidP="00173CD7">
            <w:pPr>
              <w:spacing w:after="0" w:line="240" w:lineRule="auto"/>
              <w:jc w:val="right"/>
              <w:rPr>
                <w:rFonts w:ascii="Arial" w:hAnsi="Arial" w:cs="Arial"/>
                <w:b/>
                <w:bCs/>
                <w:color w:val="000000"/>
                <w:sz w:val="16"/>
                <w:szCs w:val="16"/>
              </w:rPr>
            </w:pPr>
            <w:r>
              <w:rPr>
                <w:rFonts w:ascii="Arial" w:hAnsi="Arial" w:cs="Arial"/>
                <w:b/>
                <w:bCs/>
                <w:color w:val="000000"/>
                <w:sz w:val="16"/>
                <w:szCs w:val="16"/>
              </w:rPr>
              <w:t>50,759,225</w:t>
            </w:r>
          </w:p>
        </w:tc>
        <w:tc>
          <w:tcPr>
            <w:tcW w:w="660" w:type="pct"/>
            <w:tcBorders>
              <w:top w:val="nil"/>
              <w:left w:val="nil"/>
              <w:bottom w:val="single" w:sz="4" w:space="0" w:color="000000"/>
              <w:right w:val="nil"/>
            </w:tcBorders>
            <w:shd w:val="clear" w:color="000000" w:fill="E6E6E6"/>
            <w:noWrap/>
            <w:vAlign w:val="bottom"/>
            <w:hideMark/>
          </w:tcPr>
          <w:p w14:paraId="43AAC39D" w14:textId="67769185" w:rsidR="00173CD7" w:rsidRPr="00C10F74" w:rsidRDefault="00173CD7" w:rsidP="00173CD7">
            <w:pPr>
              <w:spacing w:after="0" w:line="240" w:lineRule="auto"/>
              <w:jc w:val="right"/>
              <w:rPr>
                <w:rFonts w:ascii="Arial" w:hAnsi="Arial" w:cs="Arial"/>
                <w:b/>
                <w:bCs/>
                <w:iCs/>
                <w:color w:val="000000"/>
                <w:sz w:val="16"/>
                <w:szCs w:val="16"/>
              </w:rPr>
            </w:pPr>
            <w:r w:rsidRPr="00C10F74">
              <w:rPr>
                <w:rFonts w:ascii="Arial" w:hAnsi="Arial" w:cs="Arial"/>
                <w:b/>
                <w:bCs/>
                <w:iCs/>
                <w:color w:val="000000"/>
                <w:sz w:val="16"/>
                <w:szCs w:val="16"/>
              </w:rPr>
              <w:t>49,256,096</w:t>
            </w:r>
          </w:p>
        </w:tc>
        <w:tc>
          <w:tcPr>
            <w:tcW w:w="660" w:type="pct"/>
            <w:tcBorders>
              <w:top w:val="nil"/>
              <w:left w:val="nil"/>
              <w:bottom w:val="single" w:sz="4" w:space="0" w:color="000000"/>
              <w:right w:val="nil"/>
            </w:tcBorders>
            <w:shd w:val="clear" w:color="auto" w:fill="auto"/>
            <w:noWrap/>
            <w:vAlign w:val="bottom"/>
            <w:hideMark/>
          </w:tcPr>
          <w:p w14:paraId="091F3CE6" w14:textId="4AB97FDF" w:rsidR="00173CD7" w:rsidRPr="004971B5" w:rsidRDefault="00173CD7" w:rsidP="00173CD7">
            <w:pPr>
              <w:spacing w:after="0" w:line="240" w:lineRule="auto"/>
              <w:jc w:val="right"/>
              <w:rPr>
                <w:rFonts w:ascii="Arial" w:hAnsi="Arial" w:cs="Arial"/>
                <w:b/>
                <w:bCs/>
                <w:color w:val="000000"/>
                <w:sz w:val="16"/>
                <w:szCs w:val="16"/>
              </w:rPr>
            </w:pPr>
            <w:r>
              <w:rPr>
                <w:rFonts w:ascii="Arial" w:hAnsi="Arial" w:cs="Arial"/>
                <w:b/>
                <w:bCs/>
                <w:color w:val="000000"/>
                <w:sz w:val="16"/>
                <w:szCs w:val="16"/>
              </w:rPr>
              <w:t>53,763,535</w:t>
            </w:r>
          </w:p>
        </w:tc>
        <w:tc>
          <w:tcPr>
            <w:tcW w:w="660" w:type="pct"/>
            <w:tcBorders>
              <w:top w:val="nil"/>
              <w:left w:val="nil"/>
              <w:bottom w:val="single" w:sz="4" w:space="0" w:color="000000"/>
              <w:right w:val="nil"/>
            </w:tcBorders>
            <w:shd w:val="clear" w:color="auto" w:fill="auto"/>
            <w:noWrap/>
            <w:vAlign w:val="bottom"/>
            <w:hideMark/>
          </w:tcPr>
          <w:p w14:paraId="0E6FF563" w14:textId="496B5EB6" w:rsidR="00173CD7" w:rsidRPr="004971B5" w:rsidRDefault="00173CD7" w:rsidP="00173CD7">
            <w:pPr>
              <w:spacing w:after="0" w:line="240" w:lineRule="auto"/>
              <w:jc w:val="right"/>
              <w:rPr>
                <w:rFonts w:ascii="Arial" w:hAnsi="Arial" w:cs="Arial"/>
                <w:b/>
                <w:bCs/>
                <w:color w:val="000000"/>
                <w:sz w:val="16"/>
                <w:szCs w:val="16"/>
              </w:rPr>
            </w:pPr>
            <w:r>
              <w:rPr>
                <w:rFonts w:ascii="Arial" w:hAnsi="Arial" w:cs="Arial"/>
                <w:b/>
                <w:bCs/>
                <w:color w:val="000000"/>
                <w:sz w:val="16"/>
                <w:szCs w:val="16"/>
              </w:rPr>
              <w:t>57,572,658</w:t>
            </w:r>
          </w:p>
        </w:tc>
        <w:tc>
          <w:tcPr>
            <w:tcW w:w="660" w:type="pct"/>
            <w:tcBorders>
              <w:top w:val="nil"/>
              <w:left w:val="nil"/>
              <w:bottom w:val="single" w:sz="4" w:space="0" w:color="000000"/>
              <w:right w:val="nil"/>
            </w:tcBorders>
            <w:shd w:val="clear" w:color="auto" w:fill="auto"/>
            <w:noWrap/>
            <w:vAlign w:val="bottom"/>
            <w:hideMark/>
          </w:tcPr>
          <w:p w14:paraId="7825826C" w14:textId="371D37A5" w:rsidR="00173CD7" w:rsidRPr="004971B5" w:rsidRDefault="00173CD7" w:rsidP="00173CD7">
            <w:pPr>
              <w:spacing w:after="0" w:line="240" w:lineRule="auto"/>
              <w:jc w:val="right"/>
              <w:rPr>
                <w:rFonts w:ascii="Arial" w:hAnsi="Arial" w:cs="Arial"/>
                <w:b/>
                <w:bCs/>
                <w:color w:val="000000"/>
                <w:sz w:val="16"/>
                <w:szCs w:val="16"/>
              </w:rPr>
            </w:pPr>
            <w:r>
              <w:rPr>
                <w:rFonts w:ascii="Arial" w:hAnsi="Arial" w:cs="Arial"/>
                <w:b/>
                <w:bCs/>
                <w:color w:val="000000"/>
                <w:sz w:val="16"/>
                <w:szCs w:val="16"/>
              </w:rPr>
              <w:t>59,443,258</w:t>
            </w:r>
          </w:p>
        </w:tc>
      </w:tr>
    </w:tbl>
    <w:p w14:paraId="14883E0B" w14:textId="77777777" w:rsidR="00EB7700" w:rsidRDefault="00115843" w:rsidP="00115843">
      <w:pPr>
        <w:pStyle w:val="TableHeadingcontinued"/>
        <w:spacing w:before="60"/>
        <w:rPr>
          <w:rFonts w:ascii="Arial" w:hAnsi="Arial" w:cs="Arial"/>
          <w:b w:val="0"/>
          <w:sz w:val="16"/>
          <w:lang w:val="x-none" w:eastAsia="x-none"/>
        </w:rPr>
      </w:pPr>
      <w:r w:rsidRPr="002B65A3">
        <w:rPr>
          <w:rFonts w:ascii="Arial" w:hAnsi="Arial" w:cs="Arial"/>
          <w:b w:val="0"/>
          <w:sz w:val="16"/>
          <w:lang w:val="x-none" w:eastAsia="x-none"/>
        </w:rPr>
        <w:t>Prepared on Australian Accounting Standards basis.</w:t>
      </w:r>
    </w:p>
    <w:p w14:paraId="2BF47CF0" w14:textId="28234C0D" w:rsidR="00115843" w:rsidRPr="00187A32" w:rsidRDefault="00EB7700" w:rsidP="00EB7700">
      <w:pPr>
        <w:spacing w:after="0" w:line="240" w:lineRule="auto"/>
        <w:rPr>
          <w:rStyle w:val="TableHeadingChar"/>
        </w:rPr>
      </w:pPr>
      <w:r w:rsidRPr="00EE6EE6">
        <w:rPr>
          <w:rFonts w:ascii="Arial" w:hAnsi="Arial" w:cs="Arial"/>
          <w:sz w:val="16"/>
          <w:szCs w:val="16"/>
        </w:rPr>
        <w:t>Table has been prepared inclusive of 2022-23 Additional Estimates figures.</w:t>
      </w:r>
      <w:r w:rsidR="00115843" w:rsidRPr="002B65A3">
        <w:br w:type="page"/>
      </w:r>
      <w:bookmarkStart w:id="46" w:name="OLE_LINK1"/>
      <w:r w:rsidR="00115843" w:rsidRPr="00187A32">
        <w:rPr>
          <w:rStyle w:val="TableHeadingChar"/>
        </w:rPr>
        <w:lastRenderedPageBreak/>
        <w:t>Table 3.9: Schedule of budgeted administered cash flows (for the period ended 30 June)</w:t>
      </w:r>
    </w:p>
    <w:tbl>
      <w:tblPr>
        <w:tblW w:w="4872" w:type="pct"/>
        <w:tblLayout w:type="fixed"/>
        <w:tblLook w:val="04A0" w:firstRow="1" w:lastRow="0" w:firstColumn="1" w:lastColumn="0" w:noHBand="0" w:noVBand="1"/>
      </w:tblPr>
      <w:tblGrid>
        <w:gridCol w:w="1845"/>
        <w:gridCol w:w="1165"/>
        <w:gridCol w:w="1041"/>
        <w:gridCol w:w="1128"/>
        <w:gridCol w:w="110"/>
        <w:gridCol w:w="1022"/>
        <w:gridCol w:w="125"/>
        <w:gridCol w:w="1077"/>
      </w:tblGrid>
      <w:tr w:rsidR="005D67FD" w:rsidRPr="005D67FD" w14:paraId="2F0A3F98" w14:textId="77777777" w:rsidTr="005D67FD">
        <w:trPr>
          <w:trHeight w:val="204"/>
        </w:trPr>
        <w:tc>
          <w:tcPr>
            <w:tcW w:w="1228" w:type="pct"/>
            <w:tcBorders>
              <w:top w:val="single" w:sz="4" w:space="0" w:color="auto"/>
              <w:left w:val="nil"/>
              <w:bottom w:val="nil"/>
              <w:right w:val="nil"/>
            </w:tcBorders>
            <w:shd w:val="clear" w:color="auto" w:fill="auto"/>
            <w:noWrap/>
            <w:vAlign w:val="bottom"/>
            <w:hideMark/>
          </w:tcPr>
          <w:p w14:paraId="5D812DB1" w14:textId="77777777" w:rsidR="005D67FD" w:rsidRPr="005D67FD" w:rsidRDefault="005D67FD" w:rsidP="005D67FD">
            <w:pPr>
              <w:spacing w:after="0" w:line="240" w:lineRule="auto"/>
              <w:rPr>
                <w:rFonts w:ascii="Arial" w:hAnsi="Arial" w:cs="Arial"/>
                <w:b/>
                <w:bCs/>
                <w:sz w:val="16"/>
                <w:szCs w:val="16"/>
              </w:rPr>
            </w:pPr>
            <w:bookmarkStart w:id="47" w:name="_Hlk134091126"/>
            <w:bookmarkEnd w:id="46"/>
            <w:r w:rsidRPr="005D67FD">
              <w:rPr>
                <w:rFonts w:ascii="Arial" w:hAnsi="Arial" w:cs="Arial"/>
                <w:b/>
                <w:bCs/>
                <w:sz w:val="16"/>
                <w:szCs w:val="16"/>
              </w:rPr>
              <w:t> </w:t>
            </w:r>
          </w:p>
        </w:tc>
        <w:tc>
          <w:tcPr>
            <w:tcW w:w="775" w:type="pct"/>
            <w:tcBorders>
              <w:top w:val="single" w:sz="4" w:space="0" w:color="auto"/>
              <w:left w:val="nil"/>
              <w:bottom w:val="single" w:sz="4" w:space="0" w:color="auto"/>
              <w:right w:val="nil"/>
            </w:tcBorders>
            <w:shd w:val="clear" w:color="auto" w:fill="auto"/>
            <w:vAlign w:val="bottom"/>
            <w:hideMark/>
          </w:tcPr>
          <w:p w14:paraId="3FC2BC23" w14:textId="77777777" w:rsidR="005D67FD" w:rsidRPr="005D67FD" w:rsidRDefault="005D67FD" w:rsidP="005D67FD">
            <w:pPr>
              <w:spacing w:after="0" w:line="240" w:lineRule="auto"/>
              <w:jc w:val="right"/>
              <w:rPr>
                <w:rFonts w:ascii="Arial" w:hAnsi="Arial" w:cs="Arial"/>
                <w:sz w:val="16"/>
                <w:szCs w:val="16"/>
              </w:rPr>
            </w:pPr>
            <w:r w:rsidRPr="005D67FD">
              <w:rPr>
                <w:rFonts w:ascii="Arial" w:hAnsi="Arial" w:cs="Arial"/>
                <w:sz w:val="16"/>
                <w:szCs w:val="16"/>
              </w:rPr>
              <w:t>2022-23 Estimated actual</w:t>
            </w:r>
            <w:r w:rsidRPr="005D67FD">
              <w:rPr>
                <w:rFonts w:ascii="Arial" w:hAnsi="Arial" w:cs="Arial"/>
                <w:sz w:val="16"/>
                <w:szCs w:val="16"/>
              </w:rPr>
              <w:br/>
              <w:t>$'000</w:t>
            </w:r>
          </w:p>
        </w:tc>
        <w:tc>
          <w:tcPr>
            <w:tcW w:w="693" w:type="pct"/>
            <w:tcBorders>
              <w:top w:val="single" w:sz="4" w:space="0" w:color="auto"/>
              <w:left w:val="nil"/>
              <w:bottom w:val="single" w:sz="4" w:space="0" w:color="auto"/>
              <w:right w:val="nil"/>
            </w:tcBorders>
            <w:shd w:val="clear" w:color="000000" w:fill="E6E6E6"/>
            <w:vAlign w:val="bottom"/>
            <w:hideMark/>
          </w:tcPr>
          <w:p w14:paraId="2CB86694" w14:textId="77777777" w:rsidR="005D67FD" w:rsidRPr="005D67FD" w:rsidRDefault="005D67FD" w:rsidP="005D67FD">
            <w:pPr>
              <w:spacing w:after="0" w:line="240" w:lineRule="auto"/>
              <w:jc w:val="right"/>
              <w:rPr>
                <w:rFonts w:ascii="Arial" w:hAnsi="Arial" w:cs="Arial"/>
                <w:sz w:val="16"/>
                <w:szCs w:val="16"/>
              </w:rPr>
            </w:pPr>
            <w:r w:rsidRPr="005D67FD">
              <w:rPr>
                <w:rFonts w:ascii="Arial" w:hAnsi="Arial" w:cs="Arial"/>
                <w:sz w:val="16"/>
                <w:szCs w:val="16"/>
              </w:rPr>
              <w:t>2023-24</w:t>
            </w:r>
            <w:r w:rsidRPr="005D67FD">
              <w:rPr>
                <w:rFonts w:ascii="Arial" w:hAnsi="Arial" w:cs="Arial"/>
                <w:sz w:val="16"/>
                <w:szCs w:val="16"/>
              </w:rPr>
              <w:br/>
              <w:t>Budget</w:t>
            </w:r>
            <w:r w:rsidRPr="005D67FD">
              <w:rPr>
                <w:rFonts w:ascii="Arial" w:hAnsi="Arial" w:cs="Arial"/>
                <w:sz w:val="16"/>
                <w:szCs w:val="16"/>
              </w:rPr>
              <w:br/>
            </w:r>
            <w:r w:rsidRPr="005D67FD">
              <w:rPr>
                <w:rFonts w:ascii="Arial" w:hAnsi="Arial" w:cs="Arial"/>
                <w:sz w:val="16"/>
                <w:szCs w:val="16"/>
              </w:rPr>
              <w:br/>
              <w:t>$'000</w:t>
            </w:r>
          </w:p>
        </w:tc>
        <w:tc>
          <w:tcPr>
            <w:tcW w:w="751" w:type="pct"/>
            <w:tcBorders>
              <w:top w:val="single" w:sz="4" w:space="0" w:color="auto"/>
              <w:left w:val="nil"/>
              <w:bottom w:val="single" w:sz="4" w:space="0" w:color="auto"/>
              <w:right w:val="nil"/>
            </w:tcBorders>
            <w:shd w:val="clear" w:color="auto" w:fill="auto"/>
            <w:vAlign w:val="bottom"/>
            <w:hideMark/>
          </w:tcPr>
          <w:p w14:paraId="394409C4" w14:textId="77777777" w:rsidR="005D67FD" w:rsidRPr="005D67FD" w:rsidRDefault="005D67FD" w:rsidP="005D67FD">
            <w:pPr>
              <w:spacing w:after="0" w:line="240" w:lineRule="auto"/>
              <w:jc w:val="right"/>
              <w:rPr>
                <w:rFonts w:ascii="Arial" w:hAnsi="Arial" w:cs="Arial"/>
                <w:sz w:val="16"/>
                <w:szCs w:val="16"/>
              </w:rPr>
            </w:pPr>
            <w:r w:rsidRPr="005D67FD">
              <w:rPr>
                <w:rFonts w:ascii="Arial" w:hAnsi="Arial" w:cs="Arial"/>
                <w:sz w:val="16"/>
                <w:szCs w:val="16"/>
              </w:rPr>
              <w:t>2024-25 Forward estimate</w:t>
            </w:r>
            <w:r w:rsidRPr="005D67FD">
              <w:rPr>
                <w:rFonts w:ascii="Arial" w:hAnsi="Arial" w:cs="Arial"/>
                <w:sz w:val="16"/>
                <w:szCs w:val="16"/>
              </w:rPr>
              <w:br/>
              <w:t>$'000</w:t>
            </w:r>
          </w:p>
        </w:tc>
        <w:tc>
          <w:tcPr>
            <w:tcW w:w="753" w:type="pct"/>
            <w:gridSpan w:val="2"/>
            <w:tcBorders>
              <w:top w:val="single" w:sz="4" w:space="0" w:color="auto"/>
              <w:left w:val="nil"/>
              <w:bottom w:val="single" w:sz="4" w:space="0" w:color="auto"/>
              <w:right w:val="nil"/>
            </w:tcBorders>
            <w:shd w:val="clear" w:color="auto" w:fill="auto"/>
            <w:vAlign w:val="bottom"/>
            <w:hideMark/>
          </w:tcPr>
          <w:p w14:paraId="0237816B" w14:textId="77777777" w:rsidR="005D67FD" w:rsidRPr="005D67FD" w:rsidRDefault="005D67FD" w:rsidP="005D67FD">
            <w:pPr>
              <w:spacing w:after="0" w:line="240" w:lineRule="auto"/>
              <w:jc w:val="right"/>
              <w:rPr>
                <w:rFonts w:ascii="Arial" w:hAnsi="Arial" w:cs="Arial"/>
                <w:sz w:val="16"/>
                <w:szCs w:val="16"/>
              </w:rPr>
            </w:pPr>
            <w:r w:rsidRPr="005D67FD">
              <w:rPr>
                <w:rFonts w:ascii="Arial" w:hAnsi="Arial" w:cs="Arial"/>
                <w:sz w:val="16"/>
                <w:szCs w:val="16"/>
              </w:rPr>
              <w:t>2025-26 Forward estimate</w:t>
            </w:r>
            <w:r w:rsidRPr="005D67FD">
              <w:rPr>
                <w:rFonts w:ascii="Arial" w:hAnsi="Arial" w:cs="Arial"/>
                <w:sz w:val="16"/>
                <w:szCs w:val="16"/>
              </w:rPr>
              <w:br/>
              <w:t>$'000</w:t>
            </w:r>
          </w:p>
        </w:tc>
        <w:tc>
          <w:tcPr>
            <w:tcW w:w="800" w:type="pct"/>
            <w:gridSpan w:val="2"/>
            <w:tcBorders>
              <w:top w:val="single" w:sz="4" w:space="0" w:color="auto"/>
              <w:left w:val="nil"/>
              <w:bottom w:val="single" w:sz="4" w:space="0" w:color="auto"/>
              <w:right w:val="nil"/>
            </w:tcBorders>
            <w:shd w:val="clear" w:color="auto" w:fill="auto"/>
            <w:vAlign w:val="bottom"/>
            <w:hideMark/>
          </w:tcPr>
          <w:p w14:paraId="266C97DA" w14:textId="77777777" w:rsidR="005D67FD" w:rsidRPr="005D67FD" w:rsidRDefault="005D67FD" w:rsidP="005D67FD">
            <w:pPr>
              <w:spacing w:after="0" w:line="240" w:lineRule="auto"/>
              <w:jc w:val="right"/>
              <w:rPr>
                <w:rFonts w:ascii="Arial" w:hAnsi="Arial" w:cs="Arial"/>
                <w:sz w:val="16"/>
                <w:szCs w:val="16"/>
              </w:rPr>
            </w:pPr>
            <w:r w:rsidRPr="005D67FD">
              <w:rPr>
                <w:rFonts w:ascii="Arial" w:hAnsi="Arial" w:cs="Arial"/>
                <w:sz w:val="16"/>
                <w:szCs w:val="16"/>
              </w:rPr>
              <w:t>2026-27</w:t>
            </w:r>
            <w:r w:rsidRPr="005D67FD">
              <w:rPr>
                <w:rFonts w:ascii="Arial" w:hAnsi="Arial" w:cs="Arial"/>
                <w:sz w:val="16"/>
                <w:szCs w:val="16"/>
              </w:rPr>
              <w:br/>
              <w:t>Forward estimate</w:t>
            </w:r>
            <w:r w:rsidRPr="005D67FD">
              <w:rPr>
                <w:rFonts w:ascii="Arial" w:hAnsi="Arial" w:cs="Arial"/>
                <w:sz w:val="16"/>
                <w:szCs w:val="16"/>
              </w:rPr>
              <w:br/>
              <w:t>$'000</w:t>
            </w:r>
          </w:p>
        </w:tc>
      </w:tr>
      <w:bookmarkEnd w:id="47"/>
      <w:tr w:rsidR="005D67FD" w:rsidRPr="005D67FD" w14:paraId="034BC8DD" w14:textId="77777777" w:rsidTr="005D67FD">
        <w:trPr>
          <w:trHeight w:val="204"/>
        </w:trPr>
        <w:tc>
          <w:tcPr>
            <w:tcW w:w="2003" w:type="pct"/>
            <w:gridSpan w:val="2"/>
            <w:tcBorders>
              <w:top w:val="nil"/>
              <w:left w:val="nil"/>
              <w:bottom w:val="nil"/>
              <w:right w:val="nil"/>
            </w:tcBorders>
            <w:shd w:val="clear" w:color="auto" w:fill="auto"/>
            <w:noWrap/>
            <w:vAlign w:val="bottom"/>
            <w:hideMark/>
          </w:tcPr>
          <w:p w14:paraId="3FF0F695" w14:textId="6CFB16F2" w:rsidR="005D67FD" w:rsidRPr="005D67FD" w:rsidRDefault="005D67FD" w:rsidP="005D67FD">
            <w:pPr>
              <w:spacing w:after="0" w:line="240" w:lineRule="auto"/>
              <w:rPr>
                <w:rFonts w:ascii="Arial" w:hAnsi="Arial" w:cs="Arial"/>
                <w:b/>
                <w:bCs/>
                <w:color w:val="000000"/>
                <w:sz w:val="16"/>
                <w:szCs w:val="16"/>
              </w:rPr>
            </w:pPr>
            <w:r w:rsidRPr="005D67FD">
              <w:rPr>
                <w:rFonts w:ascii="Arial" w:hAnsi="Arial" w:cs="Arial"/>
                <w:b/>
                <w:bCs/>
                <w:color w:val="000000"/>
                <w:sz w:val="16"/>
                <w:szCs w:val="16"/>
              </w:rPr>
              <w:t>OPERATING ACTIVITIES</w:t>
            </w:r>
          </w:p>
        </w:tc>
        <w:tc>
          <w:tcPr>
            <w:tcW w:w="693" w:type="pct"/>
            <w:tcBorders>
              <w:top w:val="nil"/>
              <w:left w:val="nil"/>
              <w:bottom w:val="nil"/>
              <w:right w:val="nil"/>
            </w:tcBorders>
            <w:shd w:val="clear" w:color="000000" w:fill="E6E6E6"/>
            <w:noWrap/>
            <w:vAlign w:val="bottom"/>
            <w:hideMark/>
          </w:tcPr>
          <w:p w14:paraId="1A30786A" w14:textId="77777777" w:rsidR="005D67FD" w:rsidRPr="005D67FD" w:rsidRDefault="005D67FD" w:rsidP="005D67FD">
            <w:pPr>
              <w:spacing w:after="0" w:line="240" w:lineRule="auto"/>
              <w:rPr>
                <w:rFonts w:ascii="Arial" w:hAnsi="Arial" w:cs="Arial"/>
                <w:color w:val="000000"/>
                <w:sz w:val="16"/>
                <w:szCs w:val="16"/>
              </w:rPr>
            </w:pPr>
            <w:r w:rsidRPr="005D67FD">
              <w:rPr>
                <w:rFonts w:ascii="Arial" w:hAnsi="Arial" w:cs="Arial"/>
                <w:color w:val="000000"/>
                <w:sz w:val="16"/>
                <w:szCs w:val="16"/>
              </w:rPr>
              <w:t> </w:t>
            </w:r>
          </w:p>
        </w:tc>
        <w:tc>
          <w:tcPr>
            <w:tcW w:w="751" w:type="pct"/>
            <w:tcBorders>
              <w:top w:val="nil"/>
              <w:left w:val="nil"/>
              <w:bottom w:val="nil"/>
              <w:right w:val="nil"/>
            </w:tcBorders>
            <w:shd w:val="clear" w:color="auto" w:fill="auto"/>
            <w:noWrap/>
            <w:vAlign w:val="bottom"/>
            <w:hideMark/>
          </w:tcPr>
          <w:p w14:paraId="50883C85" w14:textId="77777777" w:rsidR="005D67FD" w:rsidRPr="005D67FD" w:rsidRDefault="005D67FD" w:rsidP="005D67FD">
            <w:pPr>
              <w:spacing w:after="0" w:line="240" w:lineRule="auto"/>
              <w:rPr>
                <w:rFonts w:ascii="Arial" w:hAnsi="Arial" w:cs="Arial"/>
                <w:color w:val="000000"/>
                <w:sz w:val="16"/>
                <w:szCs w:val="16"/>
              </w:rPr>
            </w:pPr>
          </w:p>
        </w:tc>
        <w:tc>
          <w:tcPr>
            <w:tcW w:w="753" w:type="pct"/>
            <w:gridSpan w:val="2"/>
            <w:tcBorders>
              <w:top w:val="nil"/>
              <w:left w:val="nil"/>
              <w:bottom w:val="nil"/>
              <w:right w:val="nil"/>
            </w:tcBorders>
            <w:shd w:val="clear" w:color="auto" w:fill="auto"/>
            <w:noWrap/>
            <w:vAlign w:val="bottom"/>
            <w:hideMark/>
          </w:tcPr>
          <w:p w14:paraId="15869522" w14:textId="77777777" w:rsidR="005D67FD" w:rsidRPr="005D67FD" w:rsidRDefault="005D67FD" w:rsidP="005D67FD">
            <w:pPr>
              <w:spacing w:after="0" w:line="240" w:lineRule="auto"/>
              <w:rPr>
                <w:rFonts w:ascii="Arial" w:hAnsi="Arial" w:cs="Arial"/>
                <w:sz w:val="16"/>
                <w:szCs w:val="16"/>
              </w:rPr>
            </w:pPr>
          </w:p>
        </w:tc>
        <w:tc>
          <w:tcPr>
            <w:tcW w:w="800" w:type="pct"/>
            <w:gridSpan w:val="2"/>
            <w:tcBorders>
              <w:top w:val="nil"/>
              <w:left w:val="nil"/>
              <w:bottom w:val="nil"/>
              <w:right w:val="nil"/>
            </w:tcBorders>
            <w:shd w:val="clear" w:color="auto" w:fill="auto"/>
            <w:noWrap/>
            <w:vAlign w:val="bottom"/>
            <w:hideMark/>
          </w:tcPr>
          <w:p w14:paraId="6713F285" w14:textId="77777777" w:rsidR="005D67FD" w:rsidRPr="005D67FD" w:rsidRDefault="005D67FD" w:rsidP="005D67FD">
            <w:pPr>
              <w:spacing w:after="0" w:line="240" w:lineRule="auto"/>
              <w:rPr>
                <w:rFonts w:ascii="Arial" w:hAnsi="Arial" w:cs="Arial"/>
                <w:sz w:val="16"/>
                <w:szCs w:val="16"/>
              </w:rPr>
            </w:pPr>
          </w:p>
        </w:tc>
      </w:tr>
      <w:tr w:rsidR="005D67FD" w:rsidRPr="005D67FD" w14:paraId="419014AB" w14:textId="77777777" w:rsidTr="005D67FD">
        <w:trPr>
          <w:trHeight w:val="204"/>
        </w:trPr>
        <w:tc>
          <w:tcPr>
            <w:tcW w:w="1228" w:type="pct"/>
            <w:tcBorders>
              <w:top w:val="nil"/>
              <w:left w:val="nil"/>
              <w:bottom w:val="nil"/>
              <w:right w:val="nil"/>
            </w:tcBorders>
            <w:shd w:val="clear" w:color="auto" w:fill="auto"/>
            <w:noWrap/>
            <w:vAlign w:val="bottom"/>
            <w:hideMark/>
          </w:tcPr>
          <w:p w14:paraId="0D657305" w14:textId="77777777" w:rsidR="005D67FD" w:rsidRPr="005D67FD" w:rsidRDefault="005D67FD" w:rsidP="005D67FD">
            <w:pPr>
              <w:spacing w:after="0" w:line="240" w:lineRule="auto"/>
              <w:rPr>
                <w:rFonts w:ascii="Arial" w:hAnsi="Arial" w:cs="Arial"/>
                <w:b/>
                <w:bCs/>
                <w:color w:val="000000"/>
                <w:sz w:val="16"/>
                <w:szCs w:val="16"/>
              </w:rPr>
            </w:pPr>
            <w:r w:rsidRPr="005D67FD">
              <w:rPr>
                <w:rFonts w:ascii="Arial" w:hAnsi="Arial" w:cs="Arial"/>
                <w:b/>
                <w:bCs/>
                <w:color w:val="000000"/>
                <w:sz w:val="16"/>
                <w:szCs w:val="16"/>
              </w:rPr>
              <w:t>Cash received</w:t>
            </w:r>
          </w:p>
        </w:tc>
        <w:tc>
          <w:tcPr>
            <w:tcW w:w="775" w:type="pct"/>
            <w:tcBorders>
              <w:top w:val="nil"/>
              <w:left w:val="nil"/>
              <w:bottom w:val="nil"/>
              <w:right w:val="nil"/>
            </w:tcBorders>
            <w:shd w:val="clear" w:color="auto" w:fill="auto"/>
            <w:noWrap/>
            <w:vAlign w:val="bottom"/>
            <w:hideMark/>
          </w:tcPr>
          <w:p w14:paraId="07FA4B28" w14:textId="77777777" w:rsidR="005D67FD" w:rsidRPr="005D67FD" w:rsidRDefault="005D67FD" w:rsidP="005D67FD">
            <w:pPr>
              <w:spacing w:after="0" w:line="240" w:lineRule="auto"/>
              <w:jc w:val="right"/>
              <w:rPr>
                <w:rFonts w:ascii="Arial" w:hAnsi="Arial" w:cs="Arial"/>
                <w:b/>
                <w:bCs/>
                <w:color w:val="000000"/>
                <w:sz w:val="16"/>
                <w:szCs w:val="16"/>
              </w:rPr>
            </w:pPr>
          </w:p>
        </w:tc>
        <w:tc>
          <w:tcPr>
            <w:tcW w:w="693" w:type="pct"/>
            <w:tcBorders>
              <w:top w:val="nil"/>
              <w:left w:val="nil"/>
              <w:bottom w:val="nil"/>
              <w:right w:val="nil"/>
            </w:tcBorders>
            <w:shd w:val="clear" w:color="000000" w:fill="E6E6E6"/>
            <w:noWrap/>
            <w:vAlign w:val="bottom"/>
            <w:hideMark/>
          </w:tcPr>
          <w:p w14:paraId="2821FAD3" w14:textId="67A327CE" w:rsidR="005D67FD" w:rsidRPr="005D67FD" w:rsidRDefault="005D67FD" w:rsidP="005D67FD">
            <w:pPr>
              <w:spacing w:after="0" w:line="240" w:lineRule="auto"/>
              <w:jc w:val="right"/>
              <w:rPr>
                <w:rFonts w:ascii="Arial" w:hAnsi="Arial" w:cs="Arial"/>
                <w:color w:val="000000"/>
                <w:sz w:val="16"/>
                <w:szCs w:val="16"/>
              </w:rPr>
            </w:pPr>
          </w:p>
        </w:tc>
        <w:tc>
          <w:tcPr>
            <w:tcW w:w="751" w:type="pct"/>
            <w:tcBorders>
              <w:top w:val="nil"/>
              <w:left w:val="nil"/>
              <w:bottom w:val="nil"/>
              <w:right w:val="nil"/>
            </w:tcBorders>
            <w:shd w:val="clear" w:color="auto" w:fill="auto"/>
            <w:noWrap/>
            <w:vAlign w:val="bottom"/>
            <w:hideMark/>
          </w:tcPr>
          <w:p w14:paraId="3AA03A75" w14:textId="77777777" w:rsidR="005D67FD" w:rsidRPr="005D67FD" w:rsidRDefault="005D67FD" w:rsidP="005D67FD">
            <w:pPr>
              <w:spacing w:after="0" w:line="240" w:lineRule="auto"/>
              <w:jc w:val="right"/>
              <w:rPr>
                <w:rFonts w:ascii="Arial" w:hAnsi="Arial" w:cs="Arial"/>
                <w:color w:val="000000"/>
                <w:sz w:val="16"/>
                <w:szCs w:val="16"/>
              </w:rPr>
            </w:pPr>
          </w:p>
        </w:tc>
        <w:tc>
          <w:tcPr>
            <w:tcW w:w="753" w:type="pct"/>
            <w:gridSpan w:val="2"/>
            <w:tcBorders>
              <w:top w:val="nil"/>
              <w:left w:val="nil"/>
              <w:bottom w:val="nil"/>
              <w:right w:val="nil"/>
            </w:tcBorders>
            <w:shd w:val="clear" w:color="auto" w:fill="auto"/>
            <w:noWrap/>
            <w:vAlign w:val="bottom"/>
            <w:hideMark/>
          </w:tcPr>
          <w:p w14:paraId="2FEF711F" w14:textId="77777777" w:rsidR="005D67FD" w:rsidRPr="005D67FD" w:rsidRDefault="005D67FD" w:rsidP="005D67FD">
            <w:pPr>
              <w:spacing w:after="0" w:line="240" w:lineRule="auto"/>
              <w:jc w:val="right"/>
              <w:rPr>
                <w:rFonts w:ascii="Arial" w:hAnsi="Arial" w:cs="Arial"/>
                <w:sz w:val="16"/>
                <w:szCs w:val="16"/>
              </w:rPr>
            </w:pPr>
          </w:p>
        </w:tc>
        <w:tc>
          <w:tcPr>
            <w:tcW w:w="800" w:type="pct"/>
            <w:gridSpan w:val="2"/>
            <w:tcBorders>
              <w:top w:val="nil"/>
              <w:left w:val="nil"/>
              <w:bottom w:val="nil"/>
              <w:right w:val="nil"/>
            </w:tcBorders>
            <w:shd w:val="clear" w:color="auto" w:fill="auto"/>
            <w:noWrap/>
            <w:vAlign w:val="bottom"/>
            <w:hideMark/>
          </w:tcPr>
          <w:p w14:paraId="0FD38B34" w14:textId="77777777" w:rsidR="005D67FD" w:rsidRPr="005D67FD" w:rsidRDefault="005D67FD" w:rsidP="005D67FD">
            <w:pPr>
              <w:spacing w:after="0" w:line="240" w:lineRule="auto"/>
              <w:jc w:val="right"/>
              <w:rPr>
                <w:rFonts w:ascii="Arial" w:hAnsi="Arial" w:cs="Arial"/>
                <w:sz w:val="16"/>
                <w:szCs w:val="16"/>
              </w:rPr>
            </w:pPr>
          </w:p>
        </w:tc>
      </w:tr>
      <w:tr w:rsidR="005D67FD" w:rsidRPr="005D67FD" w14:paraId="1A475B68" w14:textId="77777777" w:rsidTr="005D67FD">
        <w:trPr>
          <w:trHeight w:val="204"/>
        </w:trPr>
        <w:tc>
          <w:tcPr>
            <w:tcW w:w="1228" w:type="pct"/>
            <w:tcBorders>
              <w:top w:val="nil"/>
              <w:left w:val="nil"/>
              <w:bottom w:val="nil"/>
              <w:right w:val="nil"/>
            </w:tcBorders>
            <w:shd w:val="clear" w:color="auto" w:fill="auto"/>
            <w:vAlign w:val="bottom"/>
            <w:hideMark/>
          </w:tcPr>
          <w:p w14:paraId="4F75C899" w14:textId="77777777" w:rsidR="005D67FD" w:rsidRPr="005D67FD" w:rsidRDefault="005D67FD" w:rsidP="005D67FD">
            <w:pPr>
              <w:spacing w:after="0" w:line="240" w:lineRule="auto"/>
              <w:ind w:left="113"/>
              <w:rPr>
                <w:rFonts w:ascii="Arial" w:hAnsi="Arial" w:cs="Arial"/>
                <w:sz w:val="16"/>
                <w:szCs w:val="16"/>
              </w:rPr>
            </w:pPr>
            <w:r w:rsidRPr="005D67FD">
              <w:rPr>
                <w:rFonts w:ascii="Arial" w:hAnsi="Arial" w:cs="Arial"/>
                <w:sz w:val="16"/>
                <w:szCs w:val="16"/>
              </w:rPr>
              <w:t>Revenue from contracts with customers</w:t>
            </w:r>
          </w:p>
        </w:tc>
        <w:tc>
          <w:tcPr>
            <w:tcW w:w="775" w:type="pct"/>
            <w:tcBorders>
              <w:top w:val="nil"/>
              <w:left w:val="nil"/>
              <w:bottom w:val="nil"/>
              <w:right w:val="nil"/>
            </w:tcBorders>
            <w:shd w:val="clear" w:color="auto" w:fill="auto"/>
            <w:noWrap/>
            <w:vAlign w:val="bottom"/>
            <w:hideMark/>
          </w:tcPr>
          <w:p w14:paraId="749D85AC" w14:textId="793AE5C5"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187,572</w:t>
            </w:r>
          </w:p>
        </w:tc>
        <w:tc>
          <w:tcPr>
            <w:tcW w:w="693" w:type="pct"/>
            <w:tcBorders>
              <w:top w:val="nil"/>
              <w:left w:val="nil"/>
              <w:bottom w:val="nil"/>
              <w:right w:val="nil"/>
            </w:tcBorders>
            <w:shd w:val="clear" w:color="000000" w:fill="E6E6E6"/>
            <w:noWrap/>
            <w:vAlign w:val="bottom"/>
            <w:hideMark/>
          </w:tcPr>
          <w:p w14:paraId="5A1E0D7F" w14:textId="638DB1E6"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203,479</w:t>
            </w:r>
          </w:p>
        </w:tc>
        <w:tc>
          <w:tcPr>
            <w:tcW w:w="751" w:type="pct"/>
            <w:tcBorders>
              <w:top w:val="nil"/>
              <w:left w:val="nil"/>
              <w:bottom w:val="nil"/>
              <w:right w:val="nil"/>
            </w:tcBorders>
            <w:shd w:val="clear" w:color="auto" w:fill="auto"/>
            <w:noWrap/>
            <w:vAlign w:val="bottom"/>
            <w:hideMark/>
          </w:tcPr>
          <w:p w14:paraId="4DF89E46" w14:textId="4DEE9DCB"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244,438</w:t>
            </w:r>
          </w:p>
        </w:tc>
        <w:tc>
          <w:tcPr>
            <w:tcW w:w="753" w:type="pct"/>
            <w:gridSpan w:val="2"/>
            <w:tcBorders>
              <w:top w:val="nil"/>
              <w:left w:val="nil"/>
              <w:bottom w:val="nil"/>
              <w:right w:val="nil"/>
            </w:tcBorders>
            <w:shd w:val="clear" w:color="auto" w:fill="auto"/>
            <w:noWrap/>
            <w:vAlign w:val="bottom"/>
            <w:hideMark/>
          </w:tcPr>
          <w:p w14:paraId="55DCB4CD" w14:textId="56285B66"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247,734</w:t>
            </w:r>
          </w:p>
        </w:tc>
        <w:tc>
          <w:tcPr>
            <w:tcW w:w="800" w:type="pct"/>
            <w:gridSpan w:val="2"/>
            <w:tcBorders>
              <w:top w:val="nil"/>
              <w:left w:val="nil"/>
              <w:bottom w:val="nil"/>
              <w:right w:val="nil"/>
            </w:tcBorders>
            <w:shd w:val="clear" w:color="auto" w:fill="auto"/>
            <w:noWrap/>
            <w:vAlign w:val="bottom"/>
            <w:hideMark/>
          </w:tcPr>
          <w:p w14:paraId="0F11005B" w14:textId="65472C0C"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246,208</w:t>
            </w:r>
          </w:p>
        </w:tc>
      </w:tr>
      <w:tr w:rsidR="005D67FD" w:rsidRPr="005D67FD" w14:paraId="49F975A5" w14:textId="77777777" w:rsidTr="005D67FD">
        <w:trPr>
          <w:trHeight w:val="204"/>
        </w:trPr>
        <w:tc>
          <w:tcPr>
            <w:tcW w:w="1228" w:type="pct"/>
            <w:tcBorders>
              <w:top w:val="nil"/>
              <w:left w:val="nil"/>
              <w:bottom w:val="nil"/>
              <w:right w:val="nil"/>
            </w:tcBorders>
            <w:shd w:val="clear" w:color="auto" w:fill="auto"/>
            <w:noWrap/>
            <w:vAlign w:val="bottom"/>
            <w:hideMark/>
          </w:tcPr>
          <w:p w14:paraId="3E8A6F09" w14:textId="77777777" w:rsidR="005D67FD" w:rsidRPr="005D67FD" w:rsidRDefault="005D67FD" w:rsidP="005D67FD">
            <w:pPr>
              <w:spacing w:after="0" w:line="240" w:lineRule="auto"/>
              <w:ind w:left="113"/>
              <w:rPr>
                <w:rFonts w:ascii="Arial" w:hAnsi="Arial" w:cs="Arial"/>
                <w:color w:val="000000"/>
                <w:sz w:val="16"/>
                <w:szCs w:val="16"/>
              </w:rPr>
            </w:pPr>
            <w:r w:rsidRPr="005D67FD">
              <w:rPr>
                <w:rFonts w:ascii="Arial" w:hAnsi="Arial" w:cs="Arial"/>
                <w:color w:val="000000"/>
                <w:sz w:val="16"/>
                <w:szCs w:val="16"/>
              </w:rPr>
              <w:t>Dividends</w:t>
            </w:r>
          </w:p>
        </w:tc>
        <w:tc>
          <w:tcPr>
            <w:tcW w:w="775" w:type="pct"/>
            <w:tcBorders>
              <w:top w:val="nil"/>
              <w:left w:val="nil"/>
              <w:bottom w:val="nil"/>
              <w:right w:val="nil"/>
            </w:tcBorders>
            <w:shd w:val="clear" w:color="auto" w:fill="auto"/>
            <w:noWrap/>
            <w:vAlign w:val="bottom"/>
            <w:hideMark/>
          </w:tcPr>
          <w:p w14:paraId="5FD28655" w14:textId="7671B9F3"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21,805</w:t>
            </w:r>
          </w:p>
        </w:tc>
        <w:tc>
          <w:tcPr>
            <w:tcW w:w="693" w:type="pct"/>
            <w:tcBorders>
              <w:top w:val="nil"/>
              <w:left w:val="nil"/>
              <w:bottom w:val="nil"/>
              <w:right w:val="nil"/>
            </w:tcBorders>
            <w:shd w:val="clear" w:color="000000" w:fill="E6E6E6"/>
            <w:noWrap/>
            <w:vAlign w:val="bottom"/>
            <w:hideMark/>
          </w:tcPr>
          <w:p w14:paraId="2A785175" w14:textId="03F78735"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w:t>
            </w:r>
          </w:p>
        </w:tc>
        <w:tc>
          <w:tcPr>
            <w:tcW w:w="751" w:type="pct"/>
            <w:tcBorders>
              <w:top w:val="nil"/>
              <w:left w:val="nil"/>
              <w:bottom w:val="nil"/>
              <w:right w:val="nil"/>
            </w:tcBorders>
            <w:shd w:val="clear" w:color="auto" w:fill="auto"/>
            <w:noWrap/>
            <w:vAlign w:val="bottom"/>
            <w:hideMark/>
          </w:tcPr>
          <w:p w14:paraId="64D9C287" w14:textId="4A0AAD55"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w:t>
            </w:r>
          </w:p>
        </w:tc>
        <w:tc>
          <w:tcPr>
            <w:tcW w:w="753" w:type="pct"/>
            <w:gridSpan w:val="2"/>
            <w:tcBorders>
              <w:top w:val="nil"/>
              <w:left w:val="nil"/>
              <w:bottom w:val="nil"/>
              <w:right w:val="nil"/>
            </w:tcBorders>
            <w:shd w:val="clear" w:color="auto" w:fill="auto"/>
            <w:noWrap/>
            <w:vAlign w:val="bottom"/>
            <w:hideMark/>
          </w:tcPr>
          <w:p w14:paraId="1108AAC2" w14:textId="16A86EBF"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3,000</w:t>
            </w:r>
          </w:p>
        </w:tc>
        <w:tc>
          <w:tcPr>
            <w:tcW w:w="800" w:type="pct"/>
            <w:gridSpan w:val="2"/>
            <w:tcBorders>
              <w:top w:val="nil"/>
              <w:left w:val="nil"/>
              <w:bottom w:val="nil"/>
              <w:right w:val="nil"/>
            </w:tcBorders>
            <w:shd w:val="clear" w:color="auto" w:fill="auto"/>
            <w:noWrap/>
            <w:vAlign w:val="bottom"/>
            <w:hideMark/>
          </w:tcPr>
          <w:p w14:paraId="148B95AB" w14:textId="56AD5932"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28,950</w:t>
            </w:r>
          </w:p>
        </w:tc>
      </w:tr>
      <w:tr w:rsidR="005D67FD" w:rsidRPr="005D67FD" w14:paraId="43447800" w14:textId="77777777" w:rsidTr="005D67FD">
        <w:trPr>
          <w:trHeight w:val="204"/>
        </w:trPr>
        <w:tc>
          <w:tcPr>
            <w:tcW w:w="1228" w:type="pct"/>
            <w:tcBorders>
              <w:top w:val="nil"/>
              <w:left w:val="nil"/>
              <w:bottom w:val="nil"/>
              <w:right w:val="nil"/>
            </w:tcBorders>
            <w:shd w:val="clear" w:color="auto" w:fill="auto"/>
            <w:noWrap/>
            <w:vAlign w:val="bottom"/>
            <w:hideMark/>
          </w:tcPr>
          <w:p w14:paraId="02232173" w14:textId="77777777" w:rsidR="005D67FD" w:rsidRPr="005D67FD" w:rsidRDefault="005D67FD" w:rsidP="005D67FD">
            <w:pPr>
              <w:spacing w:after="0" w:line="240" w:lineRule="auto"/>
              <w:ind w:left="113"/>
              <w:rPr>
                <w:rFonts w:ascii="Arial" w:hAnsi="Arial" w:cs="Arial"/>
                <w:sz w:val="16"/>
                <w:szCs w:val="16"/>
              </w:rPr>
            </w:pPr>
            <w:r w:rsidRPr="005D67FD">
              <w:rPr>
                <w:rFonts w:ascii="Arial" w:hAnsi="Arial" w:cs="Arial"/>
                <w:sz w:val="16"/>
                <w:szCs w:val="16"/>
              </w:rPr>
              <w:t>Taxes</w:t>
            </w:r>
          </w:p>
        </w:tc>
        <w:tc>
          <w:tcPr>
            <w:tcW w:w="775" w:type="pct"/>
            <w:tcBorders>
              <w:top w:val="nil"/>
              <w:left w:val="nil"/>
              <w:bottom w:val="nil"/>
              <w:right w:val="nil"/>
            </w:tcBorders>
            <w:shd w:val="clear" w:color="auto" w:fill="auto"/>
            <w:noWrap/>
            <w:vAlign w:val="bottom"/>
            <w:hideMark/>
          </w:tcPr>
          <w:p w14:paraId="18C6D87A" w14:textId="5343BBC3"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29,272</w:t>
            </w:r>
          </w:p>
        </w:tc>
        <w:tc>
          <w:tcPr>
            <w:tcW w:w="693" w:type="pct"/>
            <w:tcBorders>
              <w:top w:val="nil"/>
              <w:left w:val="nil"/>
              <w:bottom w:val="nil"/>
              <w:right w:val="nil"/>
            </w:tcBorders>
            <w:shd w:val="clear" w:color="000000" w:fill="E6E6E6"/>
            <w:noWrap/>
            <w:vAlign w:val="bottom"/>
            <w:hideMark/>
          </w:tcPr>
          <w:p w14:paraId="1F6B6D6F" w14:textId="6887178E"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26,707</w:t>
            </w:r>
          </w:p>
        </w:tc>
        <w:tc>
          <w:tcPr>
            <w:tcW w:w="751" w:type="pct"/>
            <w:tcBorders>
              <w:top w:val="nil"/>
              <w:left w:val="nil"/>
              <w:bottom w:val="nil"/>
              <w:right w:val="nil"/>
            </w:tcBorders>
            <w:shd w:val="clear" w:color="auto" w:fill="auto"/>
            <w:noWrap/>
            <w:vAlign w:val="bottom"/>
            <w:hideMark/>
          </w:tcPr>
          <w:p w14:paraId="7751ECC6" w14:textId="219F9C1F"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27,307</w:t>
            </w:r>
          </w:p>
        </w:tc>
        <w:tc>
          <w:tcPr>
            <w:tcW w:w="753" w:type="pct"/>
            <w:gridSpan w:val="2"/>
            <w:tcBorders>
              <w:top w:val="nil"/>
              <w:left w:val="nil"/>
              <w:bottom w:val="nil"/>
              <w:right w:val="nil"/>
            </w:tcBorders>
            <w:shd w:val="clear" w:color="auto" w:fill="auto"/>
            <w:noWrap/>
            <w:vAlign w:val="bottom"/>
            <w:hideMark/>
          </w:tcPr>
          <w:p w14:paraId="1CF563A4" w14:textId="03351C92"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27,307</w:t>
            </w:r>
          </w:p>
        </w:tc>
        <w:tc>
          <w:tcPr>
            <w:tcW w:w="800" w:type="pct"/>
            <w:gridSpan w:val="2"/>
            <w:tcBorders>
              <w:top w:val="nil"/>
              <w:left w:val="nil"/>
              <w:bottom w:val="nil"/>
              <w:right w:val="nil"/>
            </w:tcBorders>
            <w:shd w:val="clear" w:color="auto" w:fill="auto"/>
            <w:noWrap/>
            <w:vAlign w:val="bottom"/>
            <w:hideMark/>
          </w:tcPr>
          <w:p w14:paraId="0CFC39DC" w14:textId="2795AF35"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27,307</w:t>
            </w:r>
          </w:p>
        </w:tc>
      </w:tr>
      <w:tr w:rsidR="005D67FD" w:rsidRPr="005D67FD" w14:paraId="5D95568D" w14:textId="77777777" w:rsidTr="005D67FD">
        <w:trPr>
          <w:trHeight w:val="204"/>
        </w:trPr>
        <w:tc>
          <w:tcPr>
            <w:tcW w:w="1228" w:type="pct"/>
            <w:tcBorders>
              <w:top w:val="nil"/>
              <w:left w:val="nil"/>
              <w:bottom w:val="nil"/>
              <w:right w:val="nil"/>
            </w:tcBorders>
            <w:shd w:val="clear" w:color="auto" w:fill="auto"/>
            <w:noWrap/>
            <w:vAlign w:val="bottom"/>
            <w:hideMark/>
          </w:tcPr>
          <w:p w14:paraId="34BC71FD" w14:textId="77777777" w:rsidR="005D67FD" w:rsidRPr="005D67FD" w:rsidRDefault="005D67FD" w:rsidP="005D67FD">
            <w:pPr>
              <w:spacing w:after="0" w:line="240" w:lineRule="auto"/>
              <w:ind w:left="113"/>
              <w:rPr>
                <w:rFonts w:ascii="Arial" w:hAnsi="Arial" w:cs="Arial"/>
                <w:color w:val="000000"/>
                <w:sz w:val="16"/>
                <w:szCs w:val="16"/>
              </w:rPr>
            </w:pPr>
            <w:r w:rsidRPr="005D67FD">
              <w:rPr>
                <w:rFonts w:ascii="Arial" w:hAnsi="Arial" w:cs="Arial"/>
                <w:color w:val="000000"/>
                <w:sz w:val="16"/>
                <w:szCs w:val="16"/>
              </w:rPr>
              <w:t>Other</w:t>
            </w:r>
          </w:p>
        </w:tc>
        <w:tc>
          <w:tcPr>
            <w:tcW w:w="775" w:type="pct"/>
            <w:tcBorders>
              <w:top w:val="nil"/>
              <w:left w:val="nil"/>
              <w:bottom w:val="nil"/>
              <w:right w:val="nil"/>
            </w:tcBorders>
            <w:shd w:val="clear" w:color="auto" w:fill="auto"/>
            <w:noWrap/>
            <w:vAlign w:val="bottom"/>
            <w:hideMark/>
          </w:tcPr>
          <w:p w14:paraId="3C6DD685" w14:textId="346F5781"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10,816</w:t>
            </w:r>
          </w:p>
        </w:tc>
        <w:tc>
          <w:tcPr>
            <w:tcW w:w="693" w:type="pct"/>
            <w:tcBorders>
              <w:top w:val="nil"/>
              <w:left w:val="nil"/>
              <w:bottom w:val="nil"/>
              <w:right w:val="nil"/>
            </w:tcBorders>
            <w:shd w:val="clear" w:color="000000" w:fill="E6E6E6"/>
            <w:noWrap/>
            <w:vAlign w:val="bottom"/>
            <w:hideMark/>
          </w:tcPr>
          <w:p w14:paraId="5CCB7D76" w14:textId="2E7CB2C7"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30,580</w:t>
            </w:r>
          </w:p>
        </w:tc>
        <w:tc>
          <w:tcPr>
            <w:tcW w:w="751" w:type="pct"/>
            <w:tcBorders>
              <w:top w:val="nil"/>
              <w:left w:val="nil"/>
              <w:bottom w:val="nil"/>
              <w:right w:val="nil"/>
            </w:tcBorders>
            <w:shd w:val="clear" w:color="auto" w:fill="auto"/>
            <w:noWrap/>
            <w:vAlign w:val="bottom"/>
            <w:hideMark/>
          </w:tcPr>
          <w:p w14:paraId="05990D35" w14:textId="00E337A4"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36,738</w:t>
            </w:r>
          </w:p>
        </w:tc>
        <w:tc>
          <w:tcPr>
            <w:tcW w:w="753" w:type="pct"/>
            <w:gridSpan w:val="2"/>
            <w:tcBorders>
              <w:top w:val="nil"/>
              <w:left w:val="nil"/>
              <w:bottom w:val="nil"/>
              <w:right w:val="nil"/>
            </w:tcBorders>
            <w:shd w:val="clear" w:color="auto" w:fill="auto"/>
            <w:noWrap/>
            <w:vAlign w:val="bottom"/>
            <w:hideMark/>
          </w:tcPr>
          <w:p w14:paraId="5B9C6EF6" w14:textId="27DA3CA9"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40,690</w:t>
            </w:r>
          </w:p>
        </w:tc>
        <w:tc>
          <w:tcPr>
            <w:tcW w:w="800" w:type="pct"/>
            <w:gridSpan w:val="2"/>
            <w:tcBorders>
              <w:top w:val="nil"/>
              <w:left w:val="nil"/>
              <w:bottom w:val="nil"/>
              <w:right w:val="nil"/>
            </w:tcBorders>
            <w:shd w:val="clear" w:color="auto" w:fill="auto"/>
            <w:noWrap/>
            <w:vAlign w:val="bottom"/>
            <w:hideMark/>
          </w:tcPr>
          <w:p w14:paraId="1B59C2DD" w14:textId="7A55EE11"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30,690</w:t>
            </w:r>
          </w:p>
        </w:tc>
      </w:tr>
      <w:tr w:rsidR="005D67FD" w:rsidRPr="005D67FD" w14:paraId="6EE79611" w14:textId="77777777" w:rsidTr="005D67FD">
        <w:trPr>
          <w:trHeight w:val="204"/>
        </w:trPr>
        <w:tc>
          <w:tcPr>
            <w:tcW w:w="1228" w:type="pct"/>
            <w:tcBorders>
              <w:top w:val="nil"/>
              <w:left w:val="nil"/>
              <w:bottom w:val="nil"/>
              <w:right w:val="nil"/>
            </w:tcBorders>
            <w:shd w:val="clear" w:color="auto" w:fill="auto"/>
            <w:noWrap/>
            <w:vAlign w:val="bottom"/>
            <w:hideMark/>
          </w:tcPr>
          <w:p w14:paraId="452636E4" w14:textId="77777777" w:rsidR="005D67FD" w:rsidRPr="005D67FD" w:rsidRDefault="005D67FD" w:rsidP="005D67FD">
            <w:pPr>
              <w:spacing w:after="0" w:line="240" w:lineRule="auto"/>
              <w:rPr>
                <w:rFonts w:ascii="Arial" w:hAnsi="Arial" w:cs="Arial"/>
                <w:b/>
                <w:bCs/>
                <w:i/>
                <w:iCs/>
                <w:color w:val="000000"/>
                <w:sz w:val="16"/>
                <w:szCs w:val="16"/>
              </w:rPr>
            </w:pPr>
            <w:r w:rsidRPr="005D67FD">
              <w:rPr>
                <w:rFonts w:ascii="Arial" w:hAnsi="Arial" w:cs="Arial"/>
                <w:b/>
                <w:bCs/>
                <w:i/>
                <w:iCs/>
                <w:color w:val="000000"/>
                <w:sz w:val="16"/>
                <w:szCs w:val="16"/>
              </w:rPr>
              <w:t>Total cash received</w:t>
            </w:r>
          </w:p>
        </w:tc>
        <w:tc>
          <w:tcPr>
            <w:tcW w:w="775" w:type="pct"/>
            <w:tcBorders>
              <w:top w:val="single" w:sz="4" w:space="0" w:color="000000"/>
              <w:left w:val="nil"/>
              <w:bottom w:val="single" w:sz="4" w:space="0" w:color="000000"/>
              <w:right w:val="nil"/>
            </w:tcBorders>
            <w:shd w:val="clear" w:color="auto" w:fill="auto"/>
            <w:noWrap/>
            <w:vAlign w:val="bottom"/>
            <w:hideMark/>
          </w:tcPr>
          <w:p w14:paraId="6614903C" w14:textId="4D9B033D" w:rsidR="005D67FD" w:rsidRPr="005D67FD" w:rsidRDefault="005D67FD" w:rsidP="005D67FD">
            <w:pPr>
              <w:spacing w:after="0" w:line="240" w:lineRule="auto"/>
              <w:jc w:val="right"/>
              <w:rPr>
                <w:rFonts w:ascii="Arial" w:hAnsi="Arial" w:cs="Arial"/>
                <w:b/>
                <w:bCs/>
                <w:i/>
                <w:iCs/>
                <w:color w:val="000000"/>
                <w:sz w:val="16"/>
                <w:szCs w:val="16"/>
              </w:rPr>
            </w:pPr>
            <w:r w:rsidRPr="005D67FD">
              <w:rPr>
                <w:rFonts w:ascii="Arial" w:hAnsi="Arial" w:cs="Arial"/>
                <w:b/>
                <w:bCs/>
                <w:i/>
                <w:iCs/>
                <w:color w:val="000000"/>
                <w:sz w:val="16"/>
                <w:szCs w:val="16"/>
              </w:rPr>
              <w:t>249,465</w:t>
            </w:r>
          </w:p>
        </w:tc>
        <w:tc>
          <w:tcPr>
            <w:tcW w:w="693" w:type="pct"/>
            <w:tcBorders>
              <w:top w:val="single" w:sz="4" w:space="0" w:color="000000"/>
              <w:left w:val="nil"/>
              <w:bottom w:val="single" w:sz="4" w:space="0" w:color="000000"/>
              <w:right w:val="nil"/>
            </w:tcBorders>
            <w:shd w:val="clear" w:color="000000" w:fill="E6E6E6"/>
            <w:noWrap/>
            <w:vAlign w:val="bottom"/>
            <w:hideMark/>
          </w:tcPr>
          <w:p w14:paraId="3DEE2B9C" w14:textId="4ED82389" w:rsidR="005D67FD" w:rsidRPr="005D67FD" w:rsidRDefault="005D67FD" w:rsidP="005D67FD">
            <w:pPr>
              <w:spacing w:after="0" w:line="240" w:lineRule="auto"/>
              <w:jc w:val="right"/>
              <w:rPr>
                <w:rFonts w:ascii="Arial" w:hAnsi="Arial" w:cs="Arial"/>
                <w:b/>
                <w:bCs/>
                <w:i/>
                <w:iCs/>
                <w:color w:val="000000"/>
                <w:sz w:val="16"/>
                <w:szCs w:val="16"/>
              </w:rPr>
            </w:pPr>
            <w:r w:rsidRPr="005D67FD">
              <w:rPr>
                <w:rFonts w:ascii="Arial" w:hAnsi="Arial" w:cs="Arial"/>
                <w:b/>
                <w:bCs/>
                <w:i/>
                <w:iCs/>
                <w:color w:val="000000"/>
                <w:sz w:val="16"/>
                <w:szCs w:val="16"/>
              </w:rPr>
              <w:t>260,766</w:t>
            </w:r>
          </w:p>
        </w:tc>
        <w:tc>
          <w:tcPr>
            <w:tcW w:w="751" w:type="pct"/>
            <w:tcBorders>
              <w:top w:val="single" w:sz="4" w:space="0" w:color="000000"/>
              <w:left w:val="nil"/>
              <w:bottom w:val="single" w:sz="4" w:space="0" w:color="000000"/>
              <w:right w:val="nil"/>
            </w:tcBorders>
            <w:shd w:val="clear" w:color="auto" w:fill="auto"/>
            <w:noWrap/>
            <w:vAlign w:val="bottom"/>
            <w:hideMark/>
          </w:tcPr>
          <w:p w14:paraId="750BC308" w14:textId="54D81995" w:rsidR="005D67FD" w:rsidRPr="005D67FD" w:rsidRDefault="005D67FD" w:rsidP="005D67FD">
            <w:pPr>
              <w:spacing w:after="0" w:line="240" w:lineRule="auto"/>
              <w:jc w:val="right"/>
              <w:rPr>
                <w:rFonts w:ascii="Arial" w:hAnsi="Arial" w:cs="Arial"/>
                <w:b/>
                <w:bCs/>
                <w:i/>
                <w:iCs/>
                <w:color w:val="000000"/>
                <w:sz w:val="16"/>
                <w:szCs w:val="16"/>
              </w:rPr>
            </w:pPr>
            <w:r w:rsidRPr="005D67FD">
              <w:rPr>
                <w:rFonts w:ascii="Arial" w:hAnsi="Arial" w:cs="Arial"/>
                <w:b/>
                <w:bCs/>
                <w:i/>
                <w:iCs/>
                <w:color w:val="000000"/>
                <w:sz w:val="16"/>
                <w:szCs w:val="16"/>
              </w:rPr>
              <w:t>308,483</w:t>
            </w:r>
          </w:p>
        </w:tc>
        <w:tc>
          <w:tcPr>
            <w:tcW w:w="753" w:type="pct"/>
            <w:gridSpan w:val="2"/>
            <w:tcBorders>
              <w:top w:val="single" w:sz="4" w:space="0" w:color="000000"/>
              <w:left w:val="nil"/>
              <w:bottom w:val="single" w:sz="4" w:space="0" w:color="000000"/>
              <w:right w:val="nil"/>
            </w:tcBorders>
            <w:shd w:val="clear" w:color="auto" w:fill="auto"/>
            <w:noWrap/>
            <w:vAlign w:val="bottom"/>
            <w:hideMark/>
          </w:tcPr>
          <w:p w14:paraId="5F45EF0F" w14:textId="015A48AB" w:rsidR="005D67FD" w:rsidRPr="005D67FD" w:rsidRDefault="005D67FD" w:rsidP="005D67FD">
            <w:pPr>
              <w:spacing w:after="0" w:line="240" w:lineRule="auto"/>
              <w:jc w:val="right"/>
              <w:rPr>
                <w:rFonts w:ascii="Arial" w:hAnsi="Arial" w:cs="Arial"/>
                <w:b/>
                <w:bCs/>
                <w:i/>
                <w:iCs/>
                <w:color w:val="000000"/>
                <w:sz w:val="16"/>
                <w:szCs w:val="16"/>
              </w:rPr>
            </w:pPr>
            <w:r w:rsidRPr="005D67FD">
              <w:rPr>
                <w:rFonts w:ascii="Arial" w:hAnsi="Arial" w:cs="Arial"/>
                <w:b/>
                <w:bCs/>
                <w:i/>
                <w:iCs/>
                <w:color w:val="000000"/>
                <w:sz w:val="16"/>
                <w:szCs w:val="16"/>
              </w:rPr>
              <w:t>318,731</w:t>
            </w:r>
          </w:p>
        </w:tc>
        <w:tc>
          <w:tcPr>
            <w:tcW w:w="800" w:type="pct"/>
            <w:gridSpan w:val="2"/>
            <w:tcBorders>
              <w:top w:val="single" w:sz="4" w:space="0" w:color="000000"/>
              <w:left w:val="nil"/>
              <w:bottom w:val="single" w:sz="4" w:space="0" w:color="000000"/>
              <w:right w:val="nil"/>
            </w:tcBorders>
            <w:shd w:val="clear" w:color="auto" w:fill="auto"/>
            <w:noWrap/>
            <w:vAlign w:val="bottom"/>
            <w:hideMark/>
          </w:tcPr>
          <w:p w14:paraId="18F0F4AF" w14:textId="7FA26BEF" w:rsidR="005D67FD" w:rsidRPr="005D67FD" w:rsidRDefault="005D67FD" w:rsidP="005D67FD">
            <w:pPr>
              <w:spacing w:after="0" w:line="240" w:lineRule="auto"/>
              <w:jc w:val="right"/>
              <w:rPr>
                <w:rFonts w:ascii="Arial" w:hAnsi="Arial" w:cs="Arial"/>
                <w:b/>
                <w:bCs/>
                <w:i/>
                <w:iCs/>
                <w:color w:val="000000"/>
                <w:sz w:val="16"/>
                <w:szCs w:val="16"/>
              </w:rPr>
            </w:pPr>
            <w:r w:rsidRPr="005D67FD">
              <w:rPr>
                <w:rFonts w:ascii="Arial" w:hAnsi="Arial" w:cs="Arial"/>
                <w:b/>
                <w:bCs/>
                <w:i/>
                <w:iCs/>
                <w:color w:val="000000"/>
                <w:sz w:val="16"/>
                <w:szCs w:val="16"/>
              </w:rPr>
              <w:t>333,155</w:t>
            </w:r>
          </w:p>
        </w:tc>
      </w:tr>
      <w:tr w:rsidR="005D67FD" w:rsidRPr="005D67FD" w14:paraId="5FF90544" w14:textId="77777777" w:rsidTr="005D67FD">
        <w:trPr>
          <w:trHeight w:val="204"/>
        </w:trPr>
        <w:tc>
          <w:tcPr>
            <w:tcW w:w="1228" w:type="pct"/>
            <w:tcBorders>
              <w:top w:val="nil"/>
              <w:left w:val="nil"/>
              <w:bottom w:val="nil"/>
              <w:right w:val="nil"/>
            </w:tcBorders>
            <w:shd w:val="clear" w:color="auto" w:fill="auto"/>
            <w:noWrap/>
            <w:vAlign w:val="bottom"/>
            <w:hideMark/>
          </w:tcPr>
          <w:p w14:paraId="457508BB" w14:textId="77777777" w:rsidR="005D67FD" w:rsidRPr="005D67FD" w:rsidRDefault="005D67FD" w:rsidP="005D67FD">
            <w:pPr>
              <w:spacing w:after="0" w:line="240" w:lineRule="auto"/>
              <w:rPr>
                <w:rFonts w:ascii="Arial" w:hAnsi="Arial" w:cs="Arial"/>
                <w:b/>
                <w:bCs/>
                <w:color w:val="000000"/>
                <w:sz w:val="16"/>
                <w:szCs w:val="16"/>
              </w:rPr>
            </w:pPr>
            <w:r w:rsidRPr="005D67FD">
              <w:rPr>
                <w:rFonts w:ascii="Arial" w:hAnsi="Arial" w:cs="Arial"/>
                <w:b/>
                <w:bCs/>
                <w:color w:val="000000"/>
                <w:sz w:val="16"/>
                <w:szCs w:val="16"/>
              </w:rPr>
              <w:t>Cash used</w:t>
            </w:r>
          </w:p>
        </w:tc>
        <w:tc>
          <w:tcPr>
            <w:tcW w:w="775" w:type="pct"/>
            <w:tcBorders>
              <w:top w:val="nil"/>
              <w:left w:val="nil"/>
              <w:bottom w:val="nil"/>
              <w:right w:val="nil"/>
            </w:tcBorders>
            <w:shd w:val="clear" w:color="auto" w:fill="auto"/>
            <w:noWrap/>
            <w:vAlign w:val="bottom"/>
            <w:hideMark/>
          </w:tcPr>
          <w:p w14:paraId="35DCBFD5" w14:textId="77777777" w:rsidR="005D67FD" w:rsidRPr="005D67FD" w:rsidRDefault="005D67FD" w:rsidP="005D67FD">
            <w:pPr>
              <w:spacing w:after="0" w:line="240" w:lineRule="auto"/>
              <w:jc w:val="right"/>
              <w:rPr>
                <w:rFonts w:ascii="Arial" w:hAnsi="Arial" w:cs="Arial"/>
                <w:b/>
                <w:bCs/>
                <w:color w:val="000000"/>
                <w:sz w:val="16"/>
                <w:szCs w:val="16"/>
              </w:rPr>
            </w:pPr>
          </w:p>
        </w:tc>
        <w:tc>
          <w:tcPr>
            <w:tcW w:w="693" w:type="pct"/>
            <w:tcBorders>
              <w:top w:val="nil"/>
              <w:left w:val="nil"/>
              <w:bottom w:val="nil"/>
              <w:right w:val="nil"/>
            </w:tcBorders>
            <w:shd w:val="clear" w:color="000000" w:fill="E6E6E6"/>
            <w:noWrap/>
            <w:vAlign w:val="bottom"/>
            <w:hideMark/>
          </w:tcPr>
          <w:p w14:paraId="70B8164F" w14:textId="1513A949" w:rsidR="005D67FD" w:rsidRPr="005D67FD" w:rsidRDefault="005D67FD" w:rsidP="005D67FD">
            <w:pPr>
              <w:spacing w:after="0" w:line="240" w:lineRule="auto"/>
              <w:jc w:val="right"/>
              <w:rPr>
                <w:rFonts w:ascii="Arial" w:hAnsi="Arial" w:cs="Arial"/>
                <w:color w:val="000000"/>
                <w:sz w:val="16"/>
                <w:szCs w:val="16"/>
              </w:rPr>
            </w:pPr>
          </w:p>
        </w:tc>
        <w:tc>
          <w:tcPr>
            <w:tcW w:w="751" w:type="pct"/>
            <w:tcBorders>
              <w:top w:val="nil"/>
              <w:left w:val="nil"/>
              <w:bottom w:val="nil"/>
              <w:right w:val="nil"/>
            </w:tcBorders>
            <w:shd w:val="clear" w:color="auto" w:fill="auto"/>
            <w:noWrap/>
            <w:vAlign w:val="bottom"/>
            <w:hideMark/>
          </w:tcPr>
          <w:p w14:paraId="613CBCEC" w14:textId="77777777" w:rsidR="005D67FD" w:rsidRPr="005D67FD" w:rsidRDefault="005D67FD" w:rsidP="005D67FD">
            <w:pPr>
              <w:spacing w:after="0" w:line="240" w:lineRule="auto"/>
              <w:jc w:val="right"/>
              <w:rPr>
                <w:rFonts w:ascii="Arial" w:hAnsi="Arial" w:cs="Arial"/>
                <w:color w:val="000000"/>
                <w:sz w:val="16"/>
                <w:szCs w:val="16"/>
              </w:rPr>
            </w:pPr>
          </w:p>
        </w:tc>
        <w:tc>
          <w:tcPr>
            <w:tcW w:w="753" w:type="pct"/>
            <w:gridSpan w:val="2"/>
            <w:tcBorders>
              <w:top w:val="nil"/>
              <w:left w:val="nil"/>
              <w:bottom w:val="nil"/>
              <w:right w:val="nil"/>
            </w:tcBorders>
            <w:shd w:val="clear" w:color="auto" w:fill="auto"/>
            <w:noWrap/>
            <w:vAlign w:val="bottom"/>
            <w:hideMark/>
          </w:tcPr>
          <w:p w14:paraId="72289D0C" w14:textId="77777777" w:rsidR="005D67FD" w:rsidRPr="005D67FD" w:rsidRDefault="005D67FD" w:rsidP="005D67FD">
            <w:pPr>
              <w:spacing w:after="0" w:line="240" w:lineRule="auto"/>
              <w:jc w:val="right"/>
              <w:rPr>
                <w:rFonts w:ascii="Arial" w:hAnsi="Arial" w:cs="Arial"/>
                <w:sz w:val="16"/>
                <w:szCs w:val="16"/>
              </w:rPr>
            </w:pPr>
          </w:p>
        </w:tc>
        <w:tc>
          <w:tcPr>
            <w:tcW w:w="800" w:type="pct"/>
            <w:gridSpan w:val="2"/>
            <w:tcBorders>
              <w:top w:val="nil"/>
              <w:left w:val="nil"/>
              <w:bottom w:val="nil"/>
              <w:right w:val="nil"/>
            </w:tcBorders>
            <w:shd w:val="clear" w:color="auto" w:fill="auto"/>
            <w:noWrap/>
            <w:vAlign w:val="bottom"/>
            <w:hideMark/>
          </w:tcPr>
          <w:p w14:paraId="1B1DC41B" w14:textId="77777777" w:rsidR="005D67FD" w:rsidRPr="005D67FD" w:rsidRDefault="005D67FD" w:rsidP="005D67FD">
            <w:pPr>
              <w:spacing w:after="0" w:line="240" w:lineRule="auto"/>
              <w:jc w:val="right"/>
              <w:rPr>
                <w:rFonts w:ascii="Arial" w:hAnsi="Arial" w:cs="Arial"/>
                <w:sz w:val="16"/>
                <w:szCs w:val="16"/>
              </w:rPr>
            </w:pPr>
          </w:p>
        </w:tc>
      </w:tr>
      <w:tr w:rsidR="005D67FD" w:rsidRPr="005D67FD" w14:paraId="47429E4F" w14:textId="77777777" w:rsidTr="005D67FD">
        <w:trPr>
          <w:trHeight w:val="204"/>
        </w:trPr>
        <w:tc>
          <w:tcPr>
            <w:tcW w:w="1228" w:type="pct"/>
            <w:tcBorders>
              <w:top w:val="nil"/>
              <w:left w:val="nil"/>
              <w:bottom w:val="nil"/>
              <w:right w:val="nil"/>
            </w:tcBorders>
            <w:shd w:val="clear" w:color="auto" w:fill="auto"/>
            <w:noWrap/>
            <w:vAlign w:val="bottom"/>
            <w:hideMark/>
          </w:tcPr>
          <w:p w14:paraId="6F4BEA27" w14:textId="77777777" w:rsidR="005D67FD" w:rsidRPr="005D67FD" w:rsidRDefault="005D67FD" w:rsidP="005D67FD">
            <w:pPr>
              <w:spacing w:after="0" w:line="240" w:lineRule="auto"/>
              <w:ind w:left="113"/>
              <w:rPr>
                <w:rFonts w:ascii="Arial" w:hAnsi="Arial" w:cs="Arial"/>
                <w:sz w:val="16"/>
                <w:szCs w:val="16"/>
              </w:rPr>
            </w:pPr>
            <w:r w:rsidRPr="005D67FD">
              <w:rPr>
                <w:rFonts w:ascii="Arial" w:hAnsi="Arial" w:cs="Arial"/>
                <w:sz w:val="16"/>
                <w:szCs w:val="16"/>
              </w:rPr>
              <w:t>Grant</w:t>
            </w:r>
          </w:p>
        </w:tc>
        <w:tc>
          <w:tcPr>
            <w:tcW w:w="775" w:type="pct"/>
            <w:tcBorders>
              <w:top w:val="nil"/>
              <w:left w:val="nil"/>
              <w:bottom w:val="nil"/>
              <w:right w:val="nil"/>
            </w:tcBorders>
            <w:shd w:val="clear" w:color="auto" w:fill="auto"/>
            <w:noWrap/>
            <w:vAlign w:val="bottom"/>
            <w:hideMark/>
          </w:tcPr>
          <w:p w14:paraId="4E62BBF3" w14:textId="2E522578"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4,425,590</w:t>
            </w:r>
          </w:p>
        </w:tc>
        <w:tc>
          <w:tcPr>
            <w:tcW w:w="693" w:type="pct"/>
            <w:tcBorders>
              <w:top w:val="nil"/>
              <w:left w:val="nil"/>
              <w:bottom w:val="nil"/>
              <w:right w:val="nil"/>
            </w:tcBorders>
            <w:shd w:val="clear" w:color="000000" w:fill="E6E6E6"/>
            <w:noWrap/>
            <w:vAlign w:val="bottom"/>
            <w:hideMark/>
          </w:tcPr>
          <w:p w14:paraId="3CD134C4" w14:textId="20743F2B"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6,272,037</w:t>
            </w:r>
          </w:p>
        </w:tc>
        <w:tc>
          <w:tcPr>
            <w:tcW w:w="751" w:type="pct"/>
            <w:tcBorders>
              <w:top w:val="nil"/>
              <w:left w:val="nil"/>
              <w:bottom w:val="nil"/>
              <w:right w:val="nil"/>
            </w:tcBorders>
            <w:shd w:val="clear" w:color="auto" w:fill="auto"/>
            <w:noWrap/>
            <w:vAlign w:val="bottom"/>
            <w:hideMark/>
          </w:tcPr>
          <w:p w14:paraId="40E214BA" w14:textId="26A80E8B"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6,165,002</w:t>
            </w:r>
          </w:p>
        </w:tc>
        <w:tc>
          <w:tcPr>
            <w:tcW w:w="753" w:type="pct"/>
            <w:gridSpan w:val="2"/>
            <w:tcBorders>
              <w:top w:val="nil"/>
              <w:left w:val="nil"/>
              <w:bottom w:val="nil"/>
              <w:right w:val="nil"/>
            </w:tcBorders>
            <w:shd w:val="clear" w:color="auto" w:fill="auto"/>
            <w:noWrap/>
            <w:vAlign w:val="bottom"/>
            <w:hideMark/>
          </w:tcPr>
          <w:p w14:paraId="3C41EF06" w14:textId="1842ADA2"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6,176,885</w:t>
            </w:r>
          </w:p>
        </w:tc>
        <w:tc>
          <w:tcPr>
            <w:tcW w:w="800" w:type="pct"/>
            <w:gridSpan w:val="2"/>
            <w:tcBorders>
              <w:top w:val="nil"/>
              <w:left w:val="nil"/>
              <w:bottom w:val="nil"/>
              <w:right w:val="nil"/>
            </w:tcBorders>
            <w:shd w:val="clear" w:color="auto" w:fill="auto"/>
            <w:noWrap/>
            <w:vAlign w:val="bottom"/>
            <w:hideMark/>
          </w:tcPr>
          <w:p w14:paraId="487B8FA6" w14:textId="510BF019"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4,976,631</w:t>
            </w:r>
          </w:p>
        </w:tc>
      </w:tr>
      <w:tr w:rsidR="005D67FD" w:rsidRPr="005D67FD" w14:paraId="37370DAB" w14:textId="77777777" w:rsidTr="005D67FD">
        <w:trPr>
          <w:trHeight w:val="204"/>
        </w:trPr>
        <w:tc>
          <w:tcPr>
            <w:tcW w:w="1228" w:type="pct"/>
            <w:tcBorders>
              <w:top w:val="nil"/>
              <w:left w:val="nil"/>
              <w:bottom w:val="nil"/>
              <w:right w:val="nil"/>
            </w:tcBorders>
            <w:shd w:val="clear" w:color="auto" w:fill="auto"/>
            <w:noWrap/>
            <w:vAlign w:val="bottom"/>
            <w:hideMark/>
          </w:tcPr>
          <w:p w14:paraId="61C00FB8" w14:textId="77777777" w:rsidR="005D67FD" w:rsidRPr="005D67FD" w:rsidRDefault="005D67FD" w:rsidP="005D67FD">
            <w:pPr>
              <w:spacing w:after="0" w:line="240" w:lineRule="auto"/>
              <w:ind w:left="113"/>
              <w:rPr>
                <w:rFonts w:ascii="Arial" w:hAnsi="Arial" w:cs="Arial"/>
                <w:sz w:val="16"/>
                <w:szCs w:val="16"/>
              </w:rPr>
            </w:pPr>
            <w:r w:rsidRPr="005D67FD">
              <w:rPr>
                <w:rFonts w:ascii="Arial" w:hAnsi="Arial" w:cs="Arial"/>
                <w:sz w:val="16"/>
                <w:szCs w:val="16"/>
              </w:rPr>
              <w:t>Subsidies paid</w:t>
            </w:r>
          </w:p>
        </w:tc>
        <w:tc>
          <w:tcPr>
            <w:tcW w:w="775" w:type="pct"/>
            <w:tcBorders>
              <w:top w:val="nil"/>
              <w:left w:val="nil"/>
              <w:bottom w:val="nil"/>
              <w:right w:val="nil"/>
            </w:tcBorders>
            <w:shd w:val="clear" w:color="auto" w:fill="auto"/>
            <w:noWrap/>
            <w:vAlign w:val="bottom"/>
            <w:hideMark/>
          </w:tcPr>
          <w:p w14:paraId="2027E993" w14:textId="5206DD87"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248,807</w:t>
            </w:r>
          </w:p>
        </w:tc>
        <w:tc>
          <w:tcPr>
            <w:tcW w:w="693" w:type="pct"/>
            <w:tcBorders>
              <w:top w:val="nil"/>
              <w:left w:val="nil"/>
              <w:bottom w:val="nil"/>
              <w:right w:val="nil"/>
            </w:tcBorders>
            <w:shd w:val="clear" w:color="000000" w:fill="E6E6E6"/>
            <w:noWrap/>
            <w:vAlign w:val="bottom"/>
            <w:hideMark/>
          </w:tcPr>
          <w:p w14:paraId="36387D2D" w14:textId="6C6D53D7"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317,278</w:t>
            </w:r>
          </w:p>
        </w:tc>
        <w:tc>
          <w:tcPr>
            <w:tcW w:w="751" w:type="pct"/>
            <w:tcBorders>
              <w:top w:val="nil"/>
              <w:left w:val="nil"/>
              <w:bottom w:val="nil"/>
              <w:right w:val="nil"/>
            </w:tcBorders>
            <w:shd w:val="clear" w:color="auto" w:fill="auto"/>
            <w:noWrap/>
            <w:vAlign w:val="bottom"/>
            <w:hideMark/>
          </w:tcPr>
          <w:p w14:paraId="3026F9D8" w14:textId="39364A1B"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297,557</w:t>
            </w:r>
          </w:p>
        </w:tc>
        <w:tc>
          <w:tcPr>
            <w:tcW w:w="753" w:type="pct"/>
            <w:gridSpan w:val="2"/>
            <w:tcBorders>
              <w:top w:val="nil"/>
              <w:left w:val="nil"/>
              <w:bottom w:val="nil"/>
              <w:right w:val="nil"/>
            </w:tcBorders>
            <w:shd w:val="clear" w:color="auto" w:fill="auto"/>
            <w:noWrap/>
            <w:vAlign w:val="bottom"/>
            <w:hideMark/>
          </w:tcPr>
          <w:p w14:paraId="624BACC8" w14:textId="72C5AFF8"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289,857</w:t>
            </w:r>
          </w:p>
        </w:tc>
        <w:tc>
          <w:tcPr>
            <w:tcW w:w="800" w:type="pct"/>
            <w:gridSpan w:val="2"/>
            <w:tcBorders>
              <w:top w:val="nil"/>
              <w:left w:val="nil"/>
              <w:bottom w:val="nil"/>
              <w:right w:val="nil"/>
            </w:tcBorders>
            <w:shd w:val="clear" w:color="auto" w:fill="auto"/>
            <w:noWrap/>
            <w:vAlign w:val="bottom"/>
            <w:hideMark/>
          </w:tcPr>
          <w:p w14:paraId="0C306248" w14:textId="24FCA5D8"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307,734</w:t>
            </w:r>
          </w:p>
        </w:tc>
      </w:tr>
      <w:tr w:rsidR="005D67FD" w:rsidRPr="005D67FD" w14:paraId="259B44ED" w14:textId="77777777" w:rsidTr="005D67FD">
        <w:trPr>
          <w:trHeight w:val="204"/>
        </w:trPr>
        <w:tc>
          <w:tcPr>
            <w:tcW w:w="1228" w:type="pct"/>
            <w:tcBorders>
              <w:top w:val="nil"/>
              <w:left w:val="nil"/>
              <w:bottom w:val="nil"/>
              <w:right w:val="nil"/>
            </w:tcBorders>
            <w:shd w:val="clear" w:color="auto" w:fill="auto"/>
            <w:noWrap/>
            <w:vAlign w:val="bottom"/>
            <w:hideMark/>
          </w:tcPr>
          <w:p w14:paraId="561424B9" w14:textId="77777777" w:rsidR="005D67FD" w:rsidRPr="005D67FD" w:rsidRDefault="005D67FD" w:rsidP="005D67FD">
            <w:pPr>
              <w:spacing w:after="0" w:line="240" w:lineRule="auto"/>
              <w:ind w:left="113"/>
              <w:rPr>
                <w:rFonts w:ascii="Arial" w:hAnsi="Arial" w:cs="Arial"/>
                <w:sz w:val="16"/>
                <w:szCs w:val="16"/>
              </w:rPr>
            </w:pPr>
            <w:r w:rsidRPr="005D67FD">
              <w:rPr>
                <w:rFonts w:ascii="Arial" w:hAnsi="Arial" w:cs="Arial"/>
                <w:sz w:val="16"/>
                <w:szCs w:val="16"/>
              </w:rPr>
              <w:t>Suppliers</w:t>
            </w:r>
          </w:p>
        </w:tc>
        <w:tc>
          <w:tcPr>
            <w:tcW w:w="775" w:type="pct"/>
            <w:tcBorders>
              <w:top w:val="nil"/>
              <w:left w:val="nil"/>
              <w:bottom w:val="nil"/>
              <w:right w:val="nil"/>
            </w:tcBorders>
            <w:shd w:val="clear" w:color="auto" w:fill="auto"/>
            <w:noWrap/>
            <w:vAlign w:val="bottom"/>
            <w:hideMark/>
          </w:tcPr>
          <w:p w14:paraId="5DD1B19C" w14:textId="0B7326EA"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696,389</w:t>
            </w:r>
          </w:p>
        </w:tc>
        <w:tc>
          <w:tcPr>
            <w:tcW w:w="693" w:type="pct"/>
            <w:tcBorders>
              <w:top w:val="nil"/>
              <w:left w:val="nil"/>
              <w:bottom w:val="nil"/>
              <w:right w:val="nil"/>
            </w:tcBorders>
            <w:shd w:val="clear" w:color="000000" w:fill="E6E6E6"/>
            <w:noWrap/>
            <w:vAlign w:val="bottom"/>
            <w:hideMark/>
          </w:tcPr>
          <w:p w14:paraId="509796CC" w14:textId="5BA89182"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571,567</w:t>
            </w:r>
          </w:p>
        </w:tc>
        <w:tc>
          <w:tcPr>
            <w:tcW w:w="751" w:type="pct"/>
            <w:tcBorders>
              <w:top w:val="nil"/>
              <w:left w:val="nil"/>
              <w:bottom w:val="nil"/>
              <w:right w:val="nil"/>
            </w:tcBorders>
            <w:shd w:val="clear" w:color="auto" w:fill="auto"/>
            <w:noWrap/>
            <w:vAlign w:val="bottom"/>
            <w:hideMark/>
          </w:tcPr>
          <w:p w14:paraId="6280E3E1" w14:textId="6CE31266"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579,865</w:t>
            </w:r>
          </w:p>
        </w:tc>
        <w:tc>
          <w:tcPr>
            <w:tcW w:w="753" w:type="pct"/>
            <w:gridSpan w:val="2"/>
            <w:tcBorders>
              <w:top w:val="nil"/>
              <w:left w:val="nil"/>
              <w:bottom w:val="nil"/>
              <w:right w:val="nil"/>
            </w:tcBorders>
            <w:shd w:val="clear" w:color="auto" w:fill="auto"/>
            <w:noWrap/>
            <w:vAlign w:val="bottom"/>
            <w:hideMark/>
          </w:tcPr>
          <w:p w14:paraId="05B30B6E" w14:textId="5E45BBA7"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663,383</w:t>
            </w:r>
          </w:p>
        </w:tc>
        <w:tc>
          <w:tcPr>
            <w:tcW w:w="800" w:type="pct"/>
            <w:gridSpan w:val="2"/>
            <w:tcBorders>
              <w:top w:val="nil"/>
              <w:left w:val="nil"/>
              <w:bottom w:val="nil"/>
              <w:right w:val="nil"/>
            </w:tcBorders>
            <w:shd w:val="clear" w:color="auto" w:fill="auto"/>
            <w:noWrap/>
            <w:vAlign w:val="bottom"/>
            <w:hideMark/>
          </w:tcPr>
          <w:p w14:paraId="40CA2286" w14:textId="343CE563"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567,847</w:t>
            </w:r>
          </w:p>
        </w:tc>
      </w:tr>
      <w:tr w:rsidR="005D67FD" w:rsidRPr="005D67FD" w14:paraId="579DBF02" w14:textId="77777777" w:rsidTr="005D67FD">
        <w:trPr>
          <w:trHeight w:val="204"/>
        </w:trPr>
        <w:tc>
          <w:tcPr>
            <w:tcW w:w="1228" w:type="pct"/>
            <w:tcBorders>
              <w:top w:val="nil"/>
              <w:left w:val="nil"/>
              <w:bottom w:val="nil"/>
              <w:right w:val="nil"/>
            </w:tcBorders>
            <w:shd w:val="clear" w:color="auto" w:fill="auto"/>
            <w:noWrap/>
            <w:vAlign w:val="bottom"/>
            <w:hideMark/>
          </w:tcPr>
          <w:p w14:paraId="50AFEE32" w14:textId="77777777" w:rsidR="005D67FD" w:rsidRPr="005D67FD" w:rsidRDefault="005D67FD" w:rsidP="005D67FD">
            <w:pPr>
              <w:spacing w:after="0" w:line="240" w:lineRule="auto"/>
              <w:ind w:left="113"/>
              <w:rPr>
                <w:rFonts w:ascii="Arial" w:hAnsi="Arial" w:cs="Arial"/>
                <w:sz w:val="16"/>
                <w:szCs w:val="16"/>
              </w:rPr>
            </w:pPr>
            <w:r w:rsidRPr="005D67FD">
              <w:rPr>
                <w:rFonts w:ascii="Arial" w:hAnsi="Arial" w:cs="Arial"/>
                <w:sz w:val="16"/>
                <w:szCs w:val="16"/>
              </w:rPr>
              <w:t>Employees</w:t>
            </w:r>
          </w:p>
        </w:tc>
        <w:tc>
          <w:tcPr>
            <w:tcW w:w="775" w:type="pct"/>
            <w:tcBorders>
              <w:top w:val="nil"/>
              <w:left w:val="nil"/>
              <w:bottom w:val="nil"/>
              <w:right w:val="nil"/>
            </w:tcBorders>
            <w:shd w:val="clear" w:color="auto" w:fill="auto"/>
            <w:noWrap/>
            <w:vAlign w:val="bottom"/>
            <w:hideMark/>
          </w:tcPr>
          <w:p w14:paraId="0851D38D" w14:textId="1F38DA23"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16,948</w:t>
            </w:r>
          </w:p>
        </w:tc>
        <w:tc>
          <w:tcPr>
            <w:tcW w:w="693" w:type="pct"/>
            <w:tcBorders>
              <w:top w:val="nil"/>
              <w:left w:val="nil"/>
              <w:bottom w:val="nil"/>
              <w:right w:val="nil"/>
            </w:tcBorders>
            <w:shd w:val="clear" w:color="000000" w:fill="E6E6E6"/>
            <w:noWrap/>
            <w:vAlign w:val="bottom"/>
            <w:hideMark/>
          </w:tcPr>
          <w:p w14:paraId="462D8477" w14:textId="63153C04"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17,284</w:t>
            </w:r>
          </w:p>
        </w:tc>
        <w:tc>
          <w:tcPr>
            <w:tcW w:w="751" w:type="pct"/>
            <w:tcBorders>
              <w:top w:val="nil"/>
              <w:left w:val="nil"/>
              <w:bottom w:val="nil"/>
              <w:right w:val="nil"/>
            </w:tcBorders>
            <w:shd w:val="clear" w:color="auto" w:fill="auto"/>
            <w:noWrap/>
            <w:vAlign w:val="bottom"/>
            <w:hideMark/>
          </w:tcPr>
          <w:p w14:paraId="5B3FA491" w14:textId="40AC5459"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16,770</w:t>
            </w:r>
          </w:p>
        </w:tc>
        <w:tc>
          <w:tcPr>
            <w:tcW w:w="753" w:type="pct"/>
            <w:gridSpan w:val="2"/>
            <w:tcBorders>
              <w:top w:val="nil"/>
              <w:left w:val="nil"/>
              <w:bottom w:val="nil"/>
              <w:right w:val="nil"/>
            </w:tcBorders>
            <w:shd w:val="clear" w:color="auto" w:fill="auto"/>
            <w:noWrap/>
            <w:vAlign w:val="bottom"/>
            <w:hideMark/>
          </w:tcPr>
          <w:p w14:paraId="339938A0" w14:textId="2E2CAD94"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16,856</w:t>
            </w:r>
          </w:p>
        </w:tc>
        <w:tc>
          <w:tcPr>
            <w:tcW w:w="800" w:type="pct"/>
            <w:gridSpan w:val="2"/>
            <w:tcBorders>
              <w:top w:val="nil"/>
              <w:left w:val="nil"/>
              <w:bottom w:val="nil"/>
              <w:right w:val="nil"/>
            </w:tcBorders>
            <w:shd w:val="clear" w:color="auto" w:fill="auto"/>
            <w:noWrap/>
            <w:vAlign w:val="bottom"/>
            <w:hideMark/>
          </w:tcPr>
          <w:p w14:paraId="181E25D3" w14:textId="030BD90A"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16,887</w:t>
            </w:r>
          </w:p>
        </w:tc>
      </w:tr>
      <w:tr w:rsidR="005D67FD" w:rsidRPr="005D67FD" w14:paraId="723A3757" w14:textId="77777777" w:rsidTr="005D67FD">
        <w:trPr>
          <w:trHeight w:val="204"/>
        </w:trPr>
        <w:tc>
          <w:tcPr>
            <w:tcW w:w="1228" w:type="pct"/>
            <w:tcBorders>
              <w:top w:val="nil"/>
              <w:left w:val="nil"/>
              <w:bottom w:val="nil"/>
              <w:right w:val="nil"/>
            </w:tcBorders>
            <w:shd w:val="clear" w:color="auto" w:fill="auto"/>
            <w:noWrap/>
            <w:vAlign w:val="bottom"/>
            <w:hideMark/>
          </w:tcPr>
          <w:p w14:paraId="59B581C6" w14:textId="77777777" w:rsidR="005D67FD" w:rsidRPr="005D67FD" w:rsidRDefault="005D67FD" w:rsidP="005D67FD">
            <w:pPr>
              <w:spacing w:after="0" w:line="240" w:lineRule="auto"/>
              <w:ind w:left="113"/>
              <w:rPr>
                <w:rFonts w:ascii="Arial" w:hAnsi="Arial" w:cs="Arial"/>
                <w:sz w:val="16"/>
                <w:szCs w:val="16"/>
              </w:rPr>
            </w:pPr>
            <w:r w:rsidRPr="005D67FD">
              <w:rPr>
                <w:rFonts w:ascii="Arial" w:hAnsi="Arial" w:cs="Arial"/>
                <w:sz w:val="16"/>
                <w:szCs w:val="16"/>
              </w:rPr>
              <w:t>Payments to corporate entities</w:t>
            </w:r>
          </w:p>
        </w:tc>
        <w:tc>
          <w:tcPr>
            <w:tcW w:w="775" w:type="pct"/>
            <w:tcBorders>
              <w:top w:val="nil"/>
              <w:left w:val="nil"/>
              <w:bottom w:val="nil"/>
              <w:right w:val="nil"/>
            </w:tcBorders>
            <w:shd w:val="clear" w:color="auto" w:fill="auto"/>
            <w:noWrap/>
            <w:vAlign w:val="bottom"/>
            <w:hideMark/>
          </w:tcPr>
          <w:p w14:paraId="23405ECD" w14:textId="7892190A"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2,156,760</w:t>
            </w:r>
          </w:p>
        </w:tc>
        <w:tc>
          <w:tcPr>
            <w:tcW w:w="693" w:type="pct"/>
            <w:tcBorders>
              <w:top w:val="nil"/>
              <w:left w:val="nil"/>
              <w:bottom w:val="nil"/>
              <w:right w:val="nil"/>
            </w:tcBorders>
            <w:shd w:val="clear" w:color="000000" w:fill="E6E6E6"/>
            <w:noWrap/>
            <w:vAlign w:val="bottom"/>
            <w:hideMark/>
          </w:tcPr>
          <w:p w14:paraId="77819817" w14:textId="17D78E9F"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2,318,742</w:t>
            </w:r>
          </w:p>
        </w:tc>
        <w:tc>
          <w:tcPr>
            <w:tcW w:w="751" w:type="pct"/>
            <w:tcBorders>
              <w:top w:val="nil"/>
              <w:left w:val="nil"/>
              <w:bottom w:val="nil"/>
              <w:right w:val="nil"/>
            </w:tcBorders>
            <w:shd w:val="clear" w:color="auto" w:fill="auto"/>
            <w:noWrap/>
            <w:vAlign w:val="bottom"/>
            <w:hideMark/>
          </w:tcPr>
          <w:p w14:paraId="41B49E58" w14:textId="4387293A"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2,358,064</w:t>
            </w:r>
          </w:p>
        </w:tc>
        <w:tc>
          <w:tcPr>
            <w:tcW w:w="753" w:type="pct"/>
            <w:gridSpan w:val="2"/>
            <w:tcBorders>
              <w:top w:val="nil"/>
              <w:left w:val="nil"/>
              <w:bottom w:val="nil"/>
              <w:right w:val="nil"/>
            </w:tcBorders>
            <w:shd w:val="clear" w:color="auto" w:fill="auto"/>
            <w:noWrap/>
            <w:vAlign w:val="bottom"/>
            <w:hideMark/>
          </w:tcPr>
          <w:p w14:paraId="492B76B3" w14:textId="33456A24"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2,421,161</w:t>
            </w:r>
          </w:p>
        </w:tc>
        <w:tc>
          <w:tcPr>
            <w:tcW w:w="800" w:type="pct"/>
            <w:gridSpan w:val="2"/>
            <w:tcBorders>
              <w:top w:val="nil"/>
              <w:left w:val="nil"/>
              <w:bottom w:val="nil"/>
              <w:right w:val="nil"/>
            </w:tcBorders>
            <w:shd w:val="clear" w:color="auto" w:fill="auto"/>
            <w:noWrap/>
            <w:vAlign w:val="bottom"/>
            <w:hideMark/>
          </w:tcPr>
          <w:p w14:paraId="23759DFA" w14:textId="0905B947"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2,450,348</w:t>
            </w:r>
          </w:p>
        </w:tc>
      </w:tr>
      <w:tr w:rsidR="005D67FD" w:rsidRPr="005D67FD" w14:paraId="144A4CED" w14:textId="77777777" w:rsidTr="005D67FD">
        <w:trPr>
          <w:trHeight w:val="204"/>
        </w:trPr>
        <w:tc>
          <w:tcPr>
            <w:tcW w:w="1228" w:type="pct"/>
            <w:tcBorders>
              <w:top w:val="nil"/>
              <w:left w:val="nil"/>
              <w:bottom w:val="nil"/>
              <w:right w:val="nil"/>
            </w:tcBorders>
            <w:shd w:val="clear" w:color="auto" w:fill="auto"/>
            <w:noWrap/>
            <w:vAlign w:val="bottom"/>
            <w:hideMark/>
          </w:tcPr>
          <w:p w14:paraId="3E69F54C" w14:textId="77777777" w:rsidR="005D67FD" w:rsidRPr="005D67FD" w:rsidRDefault="005D67FD" w:rsidP="005D67FD">
            <w:pPr>
              <w:spacing w:after="0" w:line="240" w:lineRule="auto"/>
              <w:ind w:left="113"/>
              <w:rPr>
                <w:rFonts w:ascii="Arial" w:hAnsi="Arial" w:cs="Arial"/>
                <w:sz w:val="16"/>
                <w:szCs w:val="16"/>
              </w:rPr>
            </w:pPr>
            <w:r w:rsidRPr="005D67FD">
              <w:rPr>
                <w:rFonts w:ascii="Arial" w:hAnsi="Arial" w:cs="Arial"/>
                <w:sz w:val="16"/>
                <w:szCs w:val="16"/>
              </w:rPr>
              <w:t>Other</w:t>
            </w:r>
          </w:p>
        </w:tc>
        <w:tc>
          <w:tcPr>
            <w:tcW w:w="775" w:type="pct"/>
            <w:tcBorders>
              <w:top w:val="nil"/>
              <w:left w:val="nil"/>
              <w:bottom w:val="nil"/>
              <w:right w:val="nil"/>
            </w:tcBorders>
            <w:shd w:val="clear" w:color="auto" w:fill="auto"/>
            <w:noWrap/>
            <w:vAlign w:val="bottom"/>
            <w:hideMark/>
          </w:tcPr>
          <w:p w14:paraId="01F445A5" w14:textId="3BA1963C"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9,629</w:t>
            </w:r>
          </w:p>
        </w:tc>
        <w:tc>
          <w:tcPr>
            <w:tcW w:w="693" w:type="pct"/>
            <w:tcBorders>
              <w:top w:val="nil"/>
              <w:left w:val="nil"/>
              <w:bottom w:val="nil"/>
              <w:right w:val="nil"/>
            </w:tcBorders>
            <w:shd w:val="clear" w:color="000000" w:fill="E6E6E6"/>
            <w:noWrap/>
            <w:vAlign w:val="bottom"/>
            <w:hideMark/>
          </w:tcPr>
          <w:p w14:paraId="13208709" w14:textId="410D538A"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9,143</w:t>
            </w:r>
          </w:p>
        </w:tc>
        <w:tc>
          <w:tcPr>
            <w:tcW w:w="751" w:type="pct"/>
            <w:tcBorders>
              <w:top w:val="nil"/>
              <w:left w:val="nil"/>
              <w:bottom w:val="nil"/>
              <w:right w:val="nil"/>
            </w:tcBorders>
            <w:shd w:val="clear" w:color="auto" w:fill="auto"/>
            <w:noWrap/>
            <w:vAlign w:val="bottom"/>
            <w:hideMark/>
          </w:tcPr>
          <w:p w14:paraId="61E931AC" w14:textId="374AA382"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9,644</w:t>
            </w:r>
          </w:p>
        </w:tc>
        <w:tc>
          <w:tcPr>
            <w:tcW w:w="753" w:type="pct"/>
            <w:gridSpan w:val="2"/>
            <w:tcBorders>
              <w:top w:val="nil"/>
              <w:left w:val="nil"/>
              <w:bottom w:val="nil"/>
              <w:right w:val="nil"/>
            </w:tcBorders>
            <w:shd w:val="clear" w:color="auto" w:fill="auto"/>
            <w:noWrap/>
            <w:vAlign w:val="bottom"/>
            <w:hideMark/>
          </w:tcPr>
          <w:p w14:paraId="4A237651" w14:textId="456F8BEA"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2,129</w:t>
            </w:r>
          </w:p>
        </w:tc>
        <w:tc>
          <w:tcPr>
            <w:tcW w:w="800" w:type="pct"/>
            <w:gridSpan w:val="2"/>
            <w:tcBorders>
              <w:top w:val="nil"/>
              <w:left w:val="nil"/>
              <w:bottom w:val="nil"/>
              <w:right w:val="nil"/>
            </w:tcBorders>
            <w:shd w:val="clear" w:color="auto" w:fill="auto"/>
            <w:noWrap/>
            <w:vAlign w:val="bottom"/>
            <w:hideMark/>
          </w:tcPr>
          <w:p w14:paraId="4D7ECB4E" w14:textId="63577A1B"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600</w:t>
            </w:r>
          </w:p>
        </w:tc>
      </w:tr>
      <w:tr w:rsidR="005D67FD" w:rsidRPr="005D67FD" w14:paraId="56922353" w14:textId="77777777" w:rsidTr="005D67FD">
        <w:trPr>
          <w:trHeight w:val="204"/>
        </w:trPr>
        <w:tc>
          <w:tcPr>
            <w:tcW w:w="1228" w:type="pct"/>
            <w:tcBorders>
              <w:top w:val="nil"/>
              <w:left w:val="nil"/>
              <w:bottom w:val="nil"/>
              <w:right w:val="nil"/>
            </w:tcBorders>
            <w:shd w:val="clear" w:color="auto" w:fill="auto"/>
            <w:noWrap/>
            <w:vAlign w:val="bottom"/>
            <w:hideMark/>
          </w:tcPr>
          <w:p w14:paraId="0175CE8F" w14:textId="77777777" w:rsidR="005D67FD" w:rsidRPr="005D67FD" w:rsidRDefault="005D67FD" w:rsidP="005D67FD">
            <w:pPr>
              <w:spacing w:after="0" w:line="240" w:lineRule="auto"/>
              <w:rPr>
                <w:rFonts w:ascii="Arial" w:hAnsi="Arial" w:cs="Arial"/>
                <w:b/>
                <w:bCs/>
                <w:i/>
                <w:iCs/>
                <w:color w:val="000000"/>
                <w:sz w:val="16"/>
                <w:szCs w:val="16"/>
              </w:rPr>
            </w:pPr>
            <w:r w:rsidRPr="005D67FD">
              <w:rPr>
                <w:rFonts w:ascii="Arial" w:hAnsi="Arial" w:cs="Arial"/>
                <w:b/>
                <w:bCs/>
                <w:i/>
                <w:iCs/>
                <w:color w:val="000000"/>
                <w:sz w:val="16"/>
                <w:szCs w:val="16"/>
              </w:rPr>
              <w:t>Total cash used</w:t>
            </w:r>
          </w:p>
        </w:tc>
        <w:tc>
          <w:tcPr>
            <w:tcW w:w="775" w:type="pct"/>
            <w:tcBorders>
              <w:top w:val="single" w:sz="4" w:space="0" w:color="000000"/>
              <w:left w:val="nil"/>
              <w:bottom w:val="single" w:sz="4" w:space="0" w:color="000000"/>
              <w:right w:val="nil"/>
            </w:tcBorders>
            <w:shd w:val="clear" w:color="auto" w:fill="auto"/>
            <w:noWrap/>
            <w:vAlign w:val="bottom"/>
            <w:hideMark/>
          </w:tcPr>
          <w:p w14:paraId="1F81E8BE" w14:textId="2DF43F71" w:rsidR="005D67FD" w:rsidRPr="005D67FD" w:rsidRDefault="005D67FD" w:rsidP="005D67FD">
            <w:pPr>
              <w:spacing w:after="0" w:line="240" w:lineRule="auto"/>
              <w:jc w:val="right"/>
              <w:rPr>
                <w:rFonts w:ascii="Arial" w:hAnsi="Arial" w:cs="Arial"/>
                <w:b/>
                <w:bCs/>
                <w:i/>
                <w:iCs/>
                <w:color w:val="000000"/>
                <w:sz w:val="16"/>
                <w:szCs w:val="16"/>
              </w:rPr>
            </w:pPr>
            <w:r w:rsidRPr="005D67FD">
              <w:rPr>
                <w:rFonts w:ascii="Arial" w:hAnsi="Arial" w:cs="Arial"/>
                <w:b/>
                <w:bCs/>
                <w:i/>
                <w:iCs/>
                <w:color w:val="000000"/>
                <w:sz w:val="16"/>
                <w:szCs w:val="16"/>
              </w:rPr>
              <w:t>7,554,123</w:t>
            </w:r>
          </w:p>
        </w:tc>
        <w:tc>
          <w:tcPr>
            <w:tcW w:w="693" w:type="pct"/>
            <w:tcBorders>
              <w:top w:val="single" w:sz="4" w:space="0" w:color="000000"/>
              <w:left w:val="nil"/>
              <w:bottom w:val="single" w:sz="4" w:space="0" w:color="000000"/>
              <w:right w:val="nil"/>
            </w:tcBorders>
            <w:shd w:val="clear" w:color="000000" w:fill="E6E6E6"/>
            <w:noWrap/>
            <w:vAlign w:val="bottom"/>
            <w:hideMark/>
          </w:tcPr>
          <w:p w14:paraId="55CA7B9E" w14:textId="0E329F88" w:rsidR="005D67FD" w:rsidRPr="005D67FD" w:rsidRDefault="005D67FD" w:rsidP="005D67FD">
            <w:pPr>
              <w:spacing w:after="0" w:line="240" w:lineRule="auto"/>
              <w:jc w:val="right"/>
              <w:rPr>
                <w:rFonts w:ascii="Arial" w:hAnsi="Arial" w:cs="Arial"/>
                <w:b/>
                <w:bCs/>
                <w:i/>
                <w:iCs/>
                <w:color w:val="000000"/>
                <w:sz w:val="16"/>
                <w:szCs w:val="16"/>
              </w:rPr>
            </w:pPr>
            <w:r w:rsidRPr="005D67FD">
              <w:rPr>
                <w:rFonts w:ascii="Arial" w:hAnsi="Arial" w:cs="Arial"/>
                <w:b/>
                <w:bCs/>
                <w:i/>
                <w:iCs/>
                <w:color w:val="000000"/>
                <w:sz w:val="16"/>
                <w:szCs w:val="16"/>
              </w:rPr>
              <w:t>9,506,051</w:t>
            </w:r>
          </w:p>
        </w:tc>
        <w:tc>
          <w:tcPr>
            <w:tcW w:w="751" w:type="pct"/>
            <w:tcBorders>
              <w:top w:val="single" w:sz="4" w:space="0" w:color="000000"/>
              <w:left w:val="nil"/>
              <w:bottom w:val="single" w:sz="4" w:space="0" w:color="000000"/>
              <w:right w:val="nil"/>
            </w:tcBorders>
            <w:shd w:val="clear" w:color="auto" w:fill="auto"/>
            <w:noWrap/>
            <w:vAlign w:val="bottom"/>
            <w:hideMark/>
          </w:tcPr>
          <w:p w14:paraId="53F54363" w14:textId="471ED0D7" w:rsidR="005D67FD" w:rsidRPr="005D67FD" w:rsidRDefault="005D67FD" w:rsidP="005D67FD">
            <w:pPr>
              <w:spacing w:after="0" w:line="240" w:lineRule="auto"/>
              <w:jc w:val="right"/>
              <w:rPr>
                <w:rFonts w:ascii="Arial" w:hAnsi="Arial" w:cs="Arial"/>
                <w:b/>
                <w:bCs/>
                <w:i/>
                <w:iCs/>
                <w:color w:val="000000"/>
                <w:sz w:val="16"/>
                <w:szCs w:val="16"/>
              </w:rPr>
            </w:pPr>
            <w:r w:rsidRPr="005D67FD">
              <w:rPr>
                <w:rFonts w:ascii="Arial" w:hAnsi="Arial" w:cs="Arial"/>
                <w:b/>
                <w:bCs/>
                <w:i/>
                <w:iCs/>
                <w:color w:val="000000"/>
                <w:sz w:val="16"/>
                <w:szCs w:val="16"/>
              </w:rPr>
              <w:t>9,426,902</w:t>
            </w:r>
          </w:p>
        </w:tc>
        <w:tc>
          <w:tcPr>
            <w:tcW w:w="753" w:type="pct"/>
            <w:gridSpan w:val="2"/>
            <w:tcBorders>
              <w:top w:val="single" w:sz="4" w:space="0" w:color="000000"/>
              <w:left w:val="nil"/>
              <w:bottom w:val="single" w:sz="4" w:space="0" w:color="000000"/>
              <w:right w:val="nil"/>
            </w:tcBorders>
            <w:shd w:val="clear" w:color="auto" w:fill="auto"/>
            <w:noWrap/>
            <w:vAlign w:val="bottom"/>
            <w:hideMark/>
          </w:tcPr>
          <w:p w14:paraId="03270D2D" w14:textId="043E96EF" w:rsidR="005D67FD" w:rsidRPr="005D67FD" w:rsidRDefault="005D67FD" w:rsidP="005D67FD">
            <w:pPr>
              <w:spacing w:after="0" w:line="240" w:lineRule="auto"/>
              <w:jc w:val="right"/>
              <w:rPr>
                <w:rFonts w:ascii="Arial" w:hAnsi="Arial" w:cs="Arial"/>
                <w:b/>
                <w:bCs/>
                <w:i/>
                <w:iCs/>
                <w:color w:val="000000"/>
                <w:sz w:val="16"/>
                <w:szCs w:val="16"/>
              </w:rPr>
            </w:pPr>
            <w:r w:rsidRPr="005D67FD">
              <w:rPr>
                <w:rFonts w:ascii="Arial" w:hAnsi="Arial" w:cs="Arial"/>
                <w:b/>
                <w:bCs/>
                <w:i/>
                <w:iCs/>
                <w:color w:val="000000"/>
                <w:sz w:val="16"/>
                <w:szCs w:val="16"/>
              </w:rPr>
              <w:t>9,570,271</w:t>
            </w:r>
          </w:p>
        </w:tc>
        <w:tc>
          <w:tcPr>
            <w:tcW w:w="800" w:type="pct"/>
            <w:gridSpan w:val="2"/>
            <w:tcBorders>
              <w:top w:val="single" w:sz="4" w:space="0" w:color="000000"/>
              <w:left w:val="nil"/>
              <w:bottom w:val="single" w:sz="4" w:space="0" w:color="000000"/>
              <w:right w:val="nil"/>
            </w:tcBorders>
            <w:shd w:val="clear" w:color="auto" w:fill="auto"/>
            <w:noWrap/>
            <w:vAlign w:val="bottom"/>
            <w:hideMark/>
          </w:tcPr>
          <w:p w14:paraId="0C313385" w14:textId="70310598" w:rsidR="005D67FD" w:rsidRPr="005D67FD" w:rsidRDefault="005D67FD" w:rsidP="005D67FD">
            <w:pPr>
              <w:spacing w:after="0" w:line="240" w:lineRule="auto"/>
              <w:jc w:val="right"/>
              <w:rPr>
                <w:rFonts w:ascii="Arial" w:hAnsi="Arial" w:cs="Arial"/>
                <w:b/>
                <w:bCs/>
                <w:i/>
                <w:iCs/>
                <w:color w:val="000000"/>
                <w:sz w:val="16"/>
                <w:szCs w:val="16"/>
              </w:rPr>
            </w:pPr>
            <w:r w:rsidRPr="005D67FD">
              <w:rPr>
                <w:rFonts w:ascii="Arial" w:hAnsi="Arial" w:cs="Arial"/>
                <w:b/>
                <w:bCs/>
                <w:i/>
                <w:iCs/>
                <w:color w:val="000000"/>
                <w:sz w:val="16"/>
                <w:szCs w:val="16"/>
              </w:rPr>
              <w:t>8,320,047</w:t>
            </w:r>
          </w:p>
        </w:tc>
      </w:tr>
      <w:tr w:rsidR="005D67FD" w:rsidRPr="005D67FD" w14:paraId="5EE559FB" w14:textId="77777777" w:rsidTr="005D67FD">
        <w:trPr>
          <w:trHeight w:val="204"/>
        </w:trPr>
        <w:tc>
          <w:tcPr>
            <w:tcW w:w="1228" w:type="pct"/>
            <w:tcBorders>
              <w:top w:val="nil"/>
              <w:left w:val="nil"/>
              <w:bottom w:val="nil"/>
              <w:right w:val="nil"/>
            </w:tcBorders>
            <w:shd w:val="clear" w:color="auto" w:fill="auto"/>
            <w:vAlign w:val="bottom"/>
            <w:hideMark/>
          </w:tcPr>
          <w:p w14:paraId="3F6205DA" w14:textId="66FCE810" w:rsidR="005D67FD" w:rsidRPr="005D67FD" w:rsidRDefault="005D67FD" w:rsidP="005D67FD">
            <w:pPr>
              <w:spacing w:after="0" w:line="240" w:lineRule="auto"/>
              <w:rPr>
                <w:rFonts w:ascii="Arial" w:hAnsi="Arial" w:cs="Arial"/>
                <w:b/>
                <w:bCs/>
                <w:color w:val="000000"/>
                <w:sz w:val="16"/>
                <w:szCs w:val="16"/>
              </w:rPr>
            </w:pPr>
            <w:r w:rsidRPr="005D67FD">
              <w:rPr>
                <w:rFonts w:ascii="Arial" w:hAnsi="Arial" w:cs="Arial"/>
                <w:b/>
                <w:bCs/>
                <w:color w:val="000000"/>
                <w:sz w:val="16"/>
                <w:szCs w:val="16"/>
              </w:rPr>
              <w:t>Net cash from/(used by) operating activities</w:t>
            </w:r>
          </w:p>
        </w:tc>
        <w:tc>
          <w:tcPr>
            <w:tcW w:w="775" w:type="pct"/>
            <w:tcBorders>
              <w:top w:val="nil"/>
              <w:left w:val="nil"/>
              <w:bottom w:val="single" w:sz="4" w:space="0" w:color="000000"/>
              <w:right w:val="nil"/>
            </w:tcBorders>
            <w:shd w:val="clear" w:color="auto" w:fill="auto"/>
            <w:noWrap/>
            <w:vAlign w:val="bottom"/>
            <w:hideMark/>
          </w:tcPr>
          <w:p w14:paraId="2E875D87" w14:textId="77777777" w:rsidR="005D67FD" w:rsidRPr="005D67FD" w:rsidRDefault="005D67FD" w:rsidP="005D67FD">
            <w:pPr>
              <w:spacing w:after="0" w:line="240" w:lineRule="auto"/>
              <w:jc w:val="right"/>
              <w:rPr>
                <w:rFonts w:ascii="Arial" w:hAnsi="Arial" w:cs="Arial"/>
                <w:b/>
                <w:bCs/>
                <w:color w:val="000000"/>
                <w:sz w:val="16"/>
                <w:szCs w:val="16"/>
              </w:rPr>
            </w:pPr>
            <w:r w:rsidRPr="005D67FD">
              <w:rPr>
                <w:rFonts w:ascii="Arial" w:hAnsi="Arial" w:cs="Arial"/>
                <w:b/>
                <w:bCs/>
                <w:color w:val="000000"/>
                <w:sz w:val="16"/>
                <w:szCs w:val="16"/>
              </w:rPr>
              <w:t>(7,304,658)</w:t>
            </w:r>
          </w:p>
        </w:tc>
        <w:tc>
          <w:tcPr>
            <w:tcW w:w="693" w:type="pct"/>
            <w:tcBorders>
              <w:top w:val="nil"/>
              <w:left w:val="nil"/>
              <w:bottom w:val="single" w:sz="4" w:space="0" w:color="000000"/>
              <w:right w:val="nil"/>
            </w:tcBorders>
            <w:shd w:val="clear" w:color="000000" w:fill="E6E6E6"/>
            <w:noWrap/>
            <w:vAlign w:val="bottom"/>
            <w:hideMark/>
          </w:tcPr>
          <w:p w14:paraId="1A1BDC03" w14:textId="77777777" w:rsidR="005D67FD" w:rsidRPr="005D67FD" w:rsidRDefault="005D67FD" w:rsidP="005D67FD">
            <w:pPr>
              <w:spacing w:after="0" w:line="240" w:lineRule="auto"/>
              <w:jc w:val="right"/>
              <w:rPr>
                <w:rFonts w:ascii="Arial" w:hAnsi="Arial" w:cs="Arial"/>
                <w:b/>
                <w:bCs/>
                <w:color w:val="000000"/>
                <w:sz w:val="16"/>
                <w:szCs w:val="16"/>
              </w:rPr>
            </w:pPr>
            <w:r w:rsidRPr="005D67FD">
              <w:rPr>
                <w:rFonts w:ascii="Arial" w:hAnsi="Arial" w:cs="Arial"/>
                <w:b/>
                <w:bCs/>
                <w:color w:val="000000"/>
                <w:sz w:val="16"/>
                <w:szCs w:val="16"/>
              </w:rPr>
              <w:t>(9,245,285)</w:t>
            </w:r>
          </w:p>
        </w:tc>
        <w:tc>
          <w:tcPr>
            <w:tcW w:w="751" w:type="pct"/>
            <w:tcBorders>
              <w:top w:val="nil"/>
              <w:left w:val="nil"/>
              <w:bottom w:val="single" w:sz="4" w:space="0" w:color="000000"/>
              <w:right w:val="nil"/>
            </w:tcBorders>
            <w:shd w:val="clear" w:color="auto" w:fill="auto"/>
            <w:noWrap/>
            <w:vAlign w:val="bottom"/>
            <w:hideMark/>
          </w:tcPr>
          <w:p w14:paraId="39D41C02" w14:textId="77777777" w:rsidR="005D67FD" w:rsidRPr="005D67FD" w:rsidRDefault="005D67FD" w:rsidP="005D67FD">
            <w:pPr>
              <w:spacing w:after="0" w:line="240" w:lineRule="auto"/>
              <w:jc w:val="right"/>
              <w:rPr>
                <w:rFonts w:ascii="Arial" w:hAnsi="Arial" w:cs="Arial"/>
                <w:b/>
                <w:bCs/>
                <w:color w:val="000000"/>
                <w:sz w:val="16"/>
                <w:szCs w:val="16"/>
              </w:rPr>
            </w:pPr>
            <w:r w:rsidRPr="005D67FD">
              <w:rPr>
                <w:rFonts w:ascii="Arial" w:hAnsi="Arial" w:cs="Arial"/>
                <w:b/>
                <w:bCs/>
                <w:color w:val="000000"/>
                <w:sz w:val="16"/>
                <w:szCs w:val="16"/>
              </w:rPr>
              <w:t>(9,118,419)</w:t>
            </w:r>
          </w:p>
        </w:tc>
        <w:tc>
          <w:tcPr>
            <w:tcW w:w="753" w:type="pct"/>
            <w:gridSpan w:val="2"/>
            <w:tcBorders>
              <w:top w:val="nil"/>
              <w:left w:val="nil"/>
              <w:bottom w:val="single" w:sz="4" w:space="0" w:color="000000"/>
              <w:right w:val="nil"/>
            </w:tcBorders>
            <w:shd w:val="clear" w:color="auto" w:fill="auto"/>
            <w:noWrap/>
            <w:vAlign w:val="bottom"/>
            <w:hideMark/>
          </w:tcPr>
          <w:p w14:paraId="1943460E" w14:textId="77777777" w:rsidR="005D67FD" w:rsidRPr="005D67FD" w:rsidRDefault="005D67FD" w:rsidP="005D67FD">
            <w:pPr>
              <w:spacing w:after="0" w:line="240" w:lineRule="auto"/>
              <w:jc w:val="right"/>
              <w:rPr>
                <w:rFonts w:ascii="Arial" w:hAnsi="Arial" w:cs="Arial"/>
                <w:b/>
                <w:bCs/>
                <w:color w:val="000000"/>
                <w:sz w:val="16"/>
                <w:szCs w:val="16"/>
              </w:rPr>
            </w:pPr>
            <w:r w:rsidRPr="005D67FD">
              <w:rPr>
                <w:rFonts w:ascii="Arial" w:hAnsi="Arial" w:cs="Arial"/>
                <w:b/>
                <w:bCs/>
                <w:color w:val="000000"/>
                <w:sz w:val="16"/>
                <w:szCs w:val="16"/>
              </w:rPr>
              <w:t>(9,251,540)</w:t>
            </w:r>
          </w:p>
        </w:tc>
        <w:tc>
          <w:tcPr>
            <w:tcW w:w="800" w:type="pct"/>
            <w:gridSpan w:val="2"/>
            <w:tcBorders>
              <w:top w:val="nil"/>
              <w:left w:val="nil"/>
              <w:bottom w:val="single" w:sz="4" w:space="0" w:color="000000"/>
              <w:right w:val="nil"/>
            </w:tcBorders>
            <w:shd w:val="clear" w:color="auto" w:fill="auto"/>
            <w:noWrap/>
            <w:vAlign w:val="bottom"/>
            <w:hideMark/>
          </w:tcPr>
          <w:p w14:paraId="44E34BF2" w14:textId="77777777" w:rsidR="005D67FD" w:rsidRPr="005D67FD" w:rsidRDefault="005D67FD" w:rsidP="005D67FD">
            <w:pPr>
              <w:spacing w:after="0" w:line="240" w:lineRule="auto"/>
              <w:jc w:val="right"/>
              <w:rPr>
                <w:rFonts w:ascii="Arial" w:hAnsi="Arial" w:cs="Arial"/>
                <w:b/>
                <w:bCs/>
                <w:color w:val="000000"/>
                <w:sz w:val="16"/>
                <w:szCs w:val="16"/>
              </w:rPr>
            </w:pPr>
            <w:r w:rsidRPr="005D67FD">
              <w:rPr>
                <w:rFonts w:ascii="Arial" w:hAnsi="Arial" w:cs="Arial"/>
                <w:b/>
                <w:bCs/>
                <w:color w:val="000000"/>
                <w:sz w:val="16"/>
                <w:szCs w:val="16"/>
              </w:rPr>
              <w:t>(7,986,892)</w:t>
            </w:r>
          </w:p>
        </w:tc>
      </w:tr>
      <w:tr w:rsidR="005D67FD" w:rsidRPr="005D67FD" w14:paraId="5A9F39F4" w14:textId="77777777" w:rsidTr="005D67FD">
        <w:trPr>
          <w:trHeight w:val="204"/>
        </w:trPr>
        <w:tc>
          <w:tcPr>
            <w:tcW w:w="2003" w:type="pct"/>
            <w:gridSpan w:val="2"/>
            <w:tcBorders>
              <w:top w:val="nil"/>
              <w:left w:val="nil"/>
              <w:bottom w:val="nil"/>
              <w:right w:val="nil"/>
            </w:tcBorders>
            <w:shd w:val="clear" w:color="auto" w:fill="auto"/>
            <w:noWrap/>
            <w:vAlign w:val="bottom"/>
            <w:hideMark/>
          </w:tcPr>
          <w:p w14:paraId="36368F75" w14:textId="4D2CE1EA" w:rsidR="005D67FD" w:rsidRPr="005D67FD" w:rsidRDefault="005D67FD" w:rsidP="005D67FD">
            <w:pPr>
              <w:spacing w:after="0" w:line="240" w:lineRule="auto"/>
              <w:rPr>
                <w:rFonts w:ascii="Arial" w:hAnsi="Arial" w:cs="Arial"/>
                <w:b/>
                <w:bCs/>
                <w:color w:val="000000"/>
                <w:sz w:val="16"/>
                <w:szCs w:val="16"/>
              </w:rPr>
            </w:pPr>
            <w:r w:rsidRPr="005D67FD">
              <w:rPr>
                <w:rFonts w:ascii="Arial" w:hAnsi="Arial" w:cs="Arial"/>
                <w:b/>
                <w:bCs/>
                <w:color w:val="000000"/>
                <w:sz w:val="16"/>
                <w:szCs w:val="16"/>
              </w:rPr>
              <w:t>INVESTING ACTIVITIES</w:t>
            </w:r>
          </w:p>
        </w:tc>
        <w:tc>
          <w:tcPr>
            <w:tcW w:w="693" w:type="pct"/>
            <w:tcBorders>
              <w:top w:val="nil"/>
              <w:left w:val="nil"/>
              <w:bottom w:val="nil"/>
              <w:right w:val="nil"/>
            </w:tcBorders>
            <w:shd w:val="clear" w:color="000000" w:fill="E6E6E6"/>
            <w:noWrap/>
            <w:vAlign w:val="bottom"/>
            <w:hideMark/>
          </w:tcPr>
          <w:p w14:paraId="662A3BDE" w14:textId="77777777"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 </w:t>
            </w:r>
          </w:p>
        </w:tc>
        <w:tc>
          <w:tcPr>
            <w:tcW w:w="751" w:type="pct"/>
            <w:tcBorders>
              <w:top w:val="nil"/>
              <w:left w:val="nil"/>
              <w:bottom w:val="nil"/>
              <w:right w:val="nil"/>
            </w:tcBorders>
            <w:shd w:val="clear" w:color="auto" w:fill="auto"/>
            <w:noWrap/>
            <w:vAlign w:val="bottom"/>
            <w:hideMark/>
          </w:tcPr>
          <w:p w14:paraId="7D478E9C" w14:textId="77777777" w:rsidR="005D67FD" w:rsidRPr="005D67FD" w:rsidRDefault="005D67FD" w:rsidP="005D67FD">
            <w:pPr>
              <w:spacing w:after="0" w:line="240" w:lineRule="auto"/>
              <w:jc w:val="right"/>
              <w:rPr>
                <w:rFonts w:ascii="Arial" w:hAnsi="Arial" w:cs="Arial"/>
                <w:color w:val="000000"/>
                <w:sz w:val="16"/>
                <w:szCs w:val="16"/>
              </w:rPr>
            </w:pPr>
          </w:p>
        </w:tc>
        <w:tc>
          <w:tcPr>
            <w:tcW w:w="753" w:type="pct"/>
            <w:gridSpan w:val="2"/>
            <w:tcBorders>
              <w:top w:val="nil"/>
              <w:left w:val="nil"/>
              <w:bottom w:val="nil"/>
              <w:right w:val="nil"/>
            </w:tcBorders>
            <w:shd w:val="clear" w:color="auto" w:fill="auto"/>
            <w:noWrap/>
            <w:vAlign w:val="bottom"/>
            <w:hideMark/>
          </w:tcPr>
          <w:p w14:paraId="3D36E425" w14:textId="77777777" w:rsidR="005D67FD" w:rsidRPr="005D67FD" w:rsidRDefault="005D67FD" w:rsidP="005D67FD">
            <w:pPr>
              <w:spacing w:after="0" w:line="240" w:lineRule="auto"/>
              <w:jc w:val="right"/>
              <w:rPr>
                <w:rFonts w:ascii="Arial" w:hAnsi="Arial" w:cs="Arial"/>
                <w:sz w:val="16"/>
                <w:szCs w:val="16"/>
              </w:rPr>
            </w:pPr>
          </w:p>
        </w:tc>
        <w:tc>
          <w:tcPr>
            <w:tcW w:w="800" w:type="pct"/>
            <w:gridSpan w:val="2"/>
            <w:tcBorders>
              <w:top w:val="nil"/>
              <w:left w:val="nil"/>
              <w:bottom w:val="nil"/>
              <w:right w:val="nil"/>
            </w:tcBorders>
            <w:shd w:val="clear" w:color="auto" w:fill="auto"/>
            <w:noWrap/>
            <w:vAlign w:val="bottom"/>
            <w:hideMark/>
          </w:tcPr>
          <w:p w14:paraId="7DDB2173" w14:textId="77777777" w:rsidR="005D67FD" w:rsidRPr="005D67FD" w:rsidRDefault="005D67FD" w:rsidP="005D67FD">
            <w:pPr>
              <w:spacing w:after="0" w:line="240" w:lineRule="auto"/>
              <w:jc w:val="right"/>
              <w:rPr>
                <w:rFonts w:ascii="Arial" w:hAnsi="Arial" w:cs="Arial"/>
                <w:sz w:val="16"/>
                <w:szCs w:val="16"/>
              </w:rPr>
            </w:pPr>
          </w:p>
        </w:tc>
      </w:tr>
      <w:tr w:rsidR="005D67FD" w:rsidRPr="005D67FD" w14:paraId="6BE116FE" w14:textId="77777777" w:rsidTr="005D67FD">
        <w:trPr>
          <w:trHeight w:val="204"/>
        </w:trPr>
        <w:tc>
          <w:tcPr>
            <w:tcW w:w="1228" w:type="pct"/>
            <w:tcBorders>
              <w:top w:val="nil"/>
              <w:left w:val="nil"/>
              <w:bottom w:val="nil"/>
              <w:right w:val="nil"/>
            </w:tcBorders>
            <w:shd w:val="clear" w:color="auto" w:fill="auto"/>
            <w:noWrap/>
            <w:vAlign w:val="bottom"/>
            <w:hideMark/>
          </w:tcPr>
          <w:p w14:paraId="297F252D" w14:textId="77777777" w:rsidR="005D67FD" w:rsidRPr="005D67FD" w:rsidRDefault="005D67FD" w:rsidP="005D67FD">
            <w:pPr>
              <w:spacing w:after="0" w:line="240" w:lineRule="auto"/>
              <w:rPr>
                <w:rFonts w:ascii="Arial" w:hAnsi="Arial" w:cs="Arial"/>
                <w:b/>
                <w:bCs/>
                <w:color w:val="000000"/>
                <w:sz w:val="16"/>
                <w:szCs w:val="16"/>
              </w:rPr>
            </w:pPr>
            <w:r w:rsidRPr="005D67FD">
              <w:rPr>
                <w:rFonts w:ascii="Arial" w:hAnsi="Arial" w:cs="Arial"/>
                <w:b/>
                <w:bCs/>
                <w:color w:val="000000"/>
                <w:sz w:val="16"/>
                <w:szCs w:val="16"/>
              </w:rPr>
              <w:t>Cash received</w:t>
            </w:r>
          </w:p>
        </w:tc>
        <w:tc>
          <w:tcPr>
            <w:tcW w:w="775" w:type="pct"/>
            <w:tcBorders>
              <w:top w:val="nil"/>
              <w:left w:val="nil"/>
              <w:bottom w:val="nil"/>
              <w:right w:val="nil"/>
            </w:tcBorders>
            <w:shd w:val="clear" w:color="auto" w:fill="auto"/>
            <w:noWrap/>
            <w:vAlign w:val="bottom"/>
            <w:hideMark/>
          </w:tcPr>
          <w:p w14:paraId="0DC1F988" w14:textId="77777777" w:rsidR="005D67FD" w:rsidRPr="005D67FD" w:rsidRDefault="005D67FD" w:rsidP="005D67FD">
            <w:pPr>
              <w:spacing w:after="0" w:line="240" w:lineRule="auto"/>
              <w:jc w:val="right"/>
              <w:rPr>
                <w:rFonts w:ascii="Arial" w:hAnsi="Arial" w:cs="Arial"/>
                <w:b/>
                <w:bCs/>
                <w:color w:val="000000"/>
                <w:sz w:val="16"/>
                <w:szCs w:val="16"/>
              </w:rPr>
            </w:pPr>
          </w:p>
        </w:tc>
        <w:tc>
          <w:tcPr>
            <w:tcW w:w="693" w:type="pct"/>
            <w:tcBorders>
              <w:top w:val="nil"/>
              <w:left w:val="nil"/>
              <w:bottom w:val="nil"/>
              <w:right w:val="nil"/>
            </w:tcBorders>
            <w:shd w:val="clear" w:color="000000" w:fill="E6E6E6"/>
            <w:noWrap/>
            <w:vAlign w:val="bottom"/>
            <w:hideMark/>
          </w:tcPr>
          <w:p w14:paraId="658E8323" w14:textId="754C58D9" w:rsidR="005D67FD" w:rsidRPr="005D67FD" w:rsidRDefault="005D67FD" w:rsidP="005D67FD">
            <w:pPr>
              <w:spacing w:after="0" w:line="240" w:lineRule="auto"/>
              <w:jc w:val="right"/>
              <w:rPr>
                <w:rFonts w:ascii="Arial" w:hAnsi="Arial" w:cs="Arial"/>
                <w:color w:val="000000"/>
                <w:sz w:val="16"/>
                <w:szCs w:val="16"/>
              </w:rPr>
            </w:pPr>
          </w:p>
        </w:tc>
        <w:tc>
          <w:tcPr>
            <w:tcW w:w="751" w:type="pct"/>
            <w:tcBorders>
              <w:top w:val="nil"/>
              <w:left w:val="nil"/>
              <w:bottom w:val="nil"/>
              <w:right w:val="nil"/>
            </w:tcBorders>
            <w:shd w:val="clear" w:color="auto" w:fill="auto"/>
            <w:noWrap/>
            <w:vAlign w:val="bottom"/>
            <w:hideMark/>
          </w:tcPr>
          <w:p w14:paraId="2749C06A" w14:textId="77777777" w:rsidR="005D67FD" w:rsidRPr="005D67FD" w:rsidRDefault="005D67FD" w:rsidP="005D67FD">
            <w:pPr>
              <w:spacing w:after="0" w:line="240" w:lineRule="auto"/>
              <w:jc w:val="right"/>
              <w:rPr>
                <w:rFonts w:ascii="Arial" w:hAnsi="Arial" w:cs="Arial"/>
                <w:color w:val="000000"/>
                <w:sz w:val="16"/>
                <w:szCs w:val="16"/>
              </w:rPr>
            </w:pPr>
          </w:p>
        </w:tc>
        <w:tc>
          <w:tcPr>
            <w:tcW w:w="753" w:type="pct"/>
            <w:gridSpan w:val="2"/>
            <w:tcBorders>
              <w:top w:val="nil"/>
              <w:left w:val="nil"/>
              <w:bottom w:val="nil"/>
              <w:right w:val="nil"/>
            </w:tcBorders>
            <w:shd w:val="clear" w:color="auto" w:fill="auto"/>
            <w:noWrap/>
            <w:vAlign w:val="bottom"/>
            <w:hideMark/>
          </w:tcPr>
          <w:p w14:paraId="53676F29" w14:textId="77777777" w:rsidR="005D67FD" w:rsidRPr="005D67FD" w:rsidRDefault="005D67FD" w:rsidP="005D67FD">
            <w:pPr>
              <w:spacing w:after="0" w:line="240" w:lineRule="auto"/>
              <w:jc w:val="right"/>
              <w:rPr>
                <w:rFonts w:ascii="Arial" w:hAnsi="Arial" w:cs="Arial"/>
                <w:sz w:val="16"/>
                <w:szCs w:val="16"/>
              </w:rPr>
            </w:pPr>
          </w:p>
        </w:tc>
        <w:tc>
          <w:tcPr>
            <w:tcW w:w="800" w:type="pct"/>
            <w:gridSpan w:val="2"/>
            <w:tcBorders>
              <w:top w:val="nil"/>
              <w:left w:val="nil"/>
              <w:bottom w:val="nil"/>
              <w:right w:val="nil"/>
            </w:tcBorders>
            <w:shd w:val="clear" w:color="auto" w:fill="auto"/>
            <w:noWrap/>
            <w:vAlign w:val="bottom"/>
            <w:hideMark/>
          </w:tcPr>
          <w:p w14:paraId="42204AC4" w14:textId="77777777" w:rsidR="005D67FD" w:rsidRPr="005D67FD" w:rsidRDefault="005D67FD" w:rsidP="005D67FD">
            <w:pPr>
              <w:spacing w:after="0" w:line="240" w:lineRule="auto"/>
              <w:jc w:val="right"/>
              <w:rPr>
                <w:rFonts w:ascii="Arial" w:hAnsi="Arial" w:cs="Arial"/>
                <w:sz w:val="16"/>
                <w:szCs w:val="16"/>
              </w:rPr>
            </w:pPr>
          </w:p>
        </w:tc>
      </w:tr>
      <w:tr w:rsidR="005D67FD" w:rsidRPr="005D67FD" w14:paraId="1DF1508A" w14:textId="77777777" w:rsidTr="005D67FD">
        <w:trPr>
          <w:trHeight w:val="204"/>
        </w:trPr>
        <w:tc>
          <w:tcPr>
            <w:tcW w:w="1228" w:type="pct"/>
            <w:tcBorders>
              <w:top w:val="nil"/>
              <w:left w:val="nil"/>
              <w:bottom w:val="nil"/>
              <w:right w:val="nil"/>
            </w:tcBorders>
            <w:shd w:val="clear" w:color="auto" w:fill="auto"/>
            <w:vAlign w:val="bottom"/>
            <w:hideMark/>
          </w:tcPr>
          <w:p w14:paraId="353C0DA7" w14:textId="77777777" w:rsidR="005D67FD" w:rsidRPr="005D67FD" w:rsidRDefault="005D67FD" w:rsidP="005D67FD">
            <w:pPr>
              <w:spacing w:after="0" w:line="240" w:lineRule="auto"/>
              <w:ind w:left="113"/>
              <w:rPr>
                <w:rFonts w:ascii="Arial" w:hAnsi="Arial" w:cs="Arial"/>
                <w:color w:val="000000"/>
                <w:sz w:val="16"/>
                <w:szCs w:val="16"/>
              </w:rPr>
            </w:pPr>
            <w:r w:rsidRPr="005D67FD">
              <w:rPr>
                <w:rFonts w:ascii="Arial" w:hAnsi="Arial" w:cs="Arial"/>
                <w:color w:val="000000"/>
                <w:sz w:val="16"/>
                <w:szCs w:val="16"/>
              </w:rPr>
              <w:t>Repayments of advances and loans</w:t>
            </w:r>
          </w:p>
        </w:tc>
        <w:tc>
          <w:tcPr>
            <w:tcW w:w="775" w:type="pct"/>
            <w:tcBorders>
              <w:top w:val="nil"/>
              <w:left w:val="nil"/>
              <w:bottom w:val="nil"/>
              <w:right w:val="nil"/>
            </w:tcBorders>
            <w:shd w:val="clear" w:color="auto" w:fill="auto"/>
            <w:noWrap/>
            <w:vAlign w:val="bottom"/>
            <w:hideMark/>
          </w:tcPr>
          <w:p w14:paraId="5BE4916A" w14:textId="0CF9856E"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899,150</w:t>
            </w:r>
          </w:p>
        </w:tc>
        <w:tc>
          <w:tcPr>
            <w:tcW w:w="693" w:type="pct"/>
            <w:tcBorders>
              <w:top w:val="nil"/>
              <w:left w:val="nil"/>
              <w:bottom w:val="nil"/>
              <w:right w:val="nil"/>
            </w:tcBorders>
            <w:shd w:val="clear" w:color="000000" w:fill="E6E6E6"/>
            <w:noWrap/>
            <w:vAlign w:val="bottom"/>
            <w:hideMark/>
          </w:tcPr>
          <w:p w14:paraId="6AAB6FDD" w14:textId="5B808588"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5,529,304</w:t>
            </w:r>
          </w:p>
        </w:tc>
        <w:tc>
          <w:tcPr>
            <w:tcW w:w="751" w:type="pct"/>
            <w:tcBorders>
              <w:top w:val="nil"/>
              <w:left w:val="nil"/>
              <w:bottom w:val="nil"/>
              <w:right w:val="nil"/>
            </w:tcBorders>
            <w:shd w:val="clear" w:color="auto" w:fill="auto"/>
            <w:noWrap/>
            <w:vAlign w:val="bottom"/>
            <w:hideMark/>
          </w:tcPr>
          <w:p w14:paraId="4DEF61C1" w14:textId="6C8F9190"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46,671</w:t>
            </w:r>
          </w:p>
        </w:tc>
        <w:tc>
          <w:tcPr>
            <w:tcW w:w="753" w:type="pct"/>
            <w:gridSpan w:val="2"/>
            <w:tcBorders>
              <w:top w:val="nil"/>
              <w:left w:val="nil"/>
              <w:bottom w:val="nil"/>
              <w:right w:val="nil"/>
            </w:tcBorders>
            <w:shd w:val="clear" w:color="auto" w:fill="auto"/>
            <w:noWrap/>
            <w:vAlign w:val="bottom"/>
            <w:hideMark/>
          </w:tcPr>
          <w:p w14:paraId="7385F53D" w14:textId="5AD03560"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107,109</w:t>
            </w:r>
          </w:p>
        </w:tc>
        <w:tc>
          <w:tcPr>
            <w:tcW w:w="800" w:type="pct"/>
            <w:gridSpan w:val="2"/>
            <w:tcBorders>
              <w:top w:val="nil"/>
              <w:left w:val="nil"/>
              <w:bottom w:val="nil"/>
              <w:right w:val="nil"/>
            </w:tcBorders>
            <w:shd w:val="clear" w:color="auto" w:fill="auto"/>
            <w:noWrap/>
            <w:vAlign w:val="bottom"/>
            <w:hideMark/>
          </w:tcPr>
          <w:p w14:paraId="751E13FA" w14:textId="009C8BA8" w:rsidR="005D67FD" w:rsidRPr="005D67FD" w:rsidRDefault="005D67FD"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153,169</w:t>
            </w:r>
          </w:p>
        </w:tc>
      </w:tr>
      <w:tr w:rsidR="005D67FD" w:rsidRPr="005D67FD" w14:paraId="77CFE7E4" w14:textId="77777777" w:rsidTr="005D67FD">
        <w:trPr>
          <w:trHeight w:val="204"/>
        </w:trPr>
        <w:tc>
          <w:tcPr>
            <w:tcW w:w="1228" w:type="pct"/>
            <w:tcBorders>
              <w:top w:val="nil"/>
              <w:left w:val="nil"/>
              <w:right w:val="nil"/>
            </w:tcBorders>
            <w:shd w:val="clear" w:color="auto" w:fill="auto"/>
            <w:vAlign w:val="bottom"/>
            <w:hideMark/>
          </w:tcPr>
          <w:p w14:paraId="4DAB7534" w14:textId="77777777" w:rsidR="005D67FD" w:rsidRPr="005D67FD" w:rsidRDefault="005D67FD" w:rsidP="005D67FD">
            <w:pPr>
              <w:spacing w:after="0" w:line="240" w:lineRule="auto"/>
              <w:ind w:left="113"/>
              <w:outlineLvl w:val="0"/>
              <w:rPr>
                <w:rFonts w:ascii="Arial" w:hAnsi="Arial" w:cs="Arial"/>
                <w:color w:val="000000"/>
                <w:sz w:val="16"/>
                <w:szCs w:val="16"/>
              </w:rPr>
            </w:pPr>
            <w:r w:rsidRPr="005D67FD">
              <w:rPr>
                <w:rFonts w:ascii="Arial" w:hAnsi="Arial" w:cs="Arial"/>
                <w:color w:val="000000"/>
                <w:sz w:val="16"/>
                <w:szCs w:val="16"/>
              </w:rPr>
              <w:t>Interest receipts</w:t>
            </w:r>
          </w:p>
        </w:tc>
        <w:tc>
          <w:tcPr>
            <w:tcW w:w="775" w:type="pct"/>
            <w:tcBorders>
              <w:top w:val="nil"/>
              <w:left w:val="nil"/>
              <w:bottom w:val="nil"/>
              <w:right w:val="nil"/>
            </w:tcBorders>
            <w:shd w:val="clear" w:color="auto" w:fill="auto"/>
            <w:noWrap/>
            <w:vAlign w:val="bottom"/>
            <w:hideMark/>
          </w:tcPr>
          <w:p w14:paraId="45BC3923" w14:textId="10A64F1A" w:rsidR="005D67FD" w:rsidRPr="005D67FD" w:rsidRDefault="005D67FD" w:rsidP="005D67FD">
            <w:pPr>
              <w:spacing w:after="0" w:line="240" w:lineRule="auto"/>
              <w:jc w:val="right"/>
              <w:outlineLvl w:val="0"/>
              <w:rPr>
                <w:rFonts w:ascii="Arial" w:hAnsi="Arial" w:cs="Arial"/>
                <w:color w:val="000000"/>
                <w:sz w:val="16"/>
                <w:szCs w:val="16"/>
              </w:rPr>
            </w:pPr>
            <w:r w:rsidRPr="005D67FD">
              <w:rPr>
                <w:rFonts w:ascii="Arial" w:hAnsi="Arial" w:cs="Arial"/>
                <w:color w:val="000000"/>
                <w:sz w:val="16"/>
                <w:szCs w:val="16"/>
              </w:rPr>
              <w:t>257,742</w:t>
            </w:r>
          </w:p>
        </w:tc>
        <w:tc>
          <w:tcPr>
            <w:tcW w:w="693" w:type="pct"/>
            <w:tcBorders>
              <w:top w:val="nil"/>
              <w:left w:val="nil"/>
              <w:bottom w:val="nil"/>
              <w:right w:val="nil"/>
            </w:tcBorders>
            <w:shd w:val="clear" w:color="000000" w:fill="E6E6E6"/>
            <w:noWrap/>
            <w:vAlign w:val="bottom"/>
            <w:hideMark/>
          </w:tcPr>
          <w:p w14:paraId="60E8C71C" w14:textId="57354C39" w:rsidR="005D67FD" w:rsidRPr="005D67FD" w:rsidRDefault="005D67FD" w:rsidP="005D67FD">
            <w:pPr>
              <w:spacing w:after="0" w:line="240" w:lineRule="auto"/>
              <w:jc w:val="right"/>
              <w:outlineLvl w:val="0"/>
              <w:rPr>
                <w:rFonts w:ascii="Arial" w:hAnsi="Arial" w:cs="Arial"/>
                <w:color w:val="000000"/>
                <w:sz w:val="16"/>
                <w:szCs w:val="16"/>
              </w:rPr>
            </w:pPr>
            <w:r w:rsidRPr="005D67FD">
              <w:rPr>
                <w:rFonts w:ascii="Arial" w:hAnsi="Arial" w:cs="Arial"/>
                <w:color w:val="000000"/>
                <w:sz w:val="16"/>
                <w:szCs w:val="16"/>
              </w:rPr>
              <w:t>271,542</w:t>
            </w:r>
          </w:p>
        </w:tc>
        <w:tc>
          <w:tcPr>
            <w:tcW w:w="751" w:type="pct"/>
            <w:tcBorders>
              <w:top w:val="nil"/>
              <w:left w:val="nil"/>
              <w:bottom w:val="nil"/>
              <w:right w:val="nil"/>
            </w:tcBorders>
            <w:shd w:val="clear" w:color="auto" w:fill="auto"/>
            <w:noWrap/>
            <w:vAlign w:val="bottom"/>
            <w:hideMark/>
          </w:tcPr>
          <w:p w14:paraId="5D2B5D61" w14:textId="32B9F964" w:rsidR="005D67FD" w:rsidRPr="005D67FD" w:rsidRDefault="005D67FD" w:rsidP="005D67FD">
            <w:pPr>
              <w:spacing w:after="0" w:line="240" w:lineRule="auto"/>
              <w:jc w:val="right"/>
              <w:outlineLvl w:val="0"/>
              <w:rPr>
                <w:rFonts w:ascii="Arial" w:hAnsi="Arial" w:cs="Arial"/>
                <w:color w:val="000000"/>
                <w:sz w:val="16"/>
                <w:szCs w:val="16"/>
              </w:rPr>
            </w:pPr>
            <w:r w:rsidRPr="005D67FD">
              <w:rPr>
                <w:rFonts w:ascii="Arial" w:hAnsi="Arial" w:cs="Arial"/>
                <w:color w:val="000000"/>
                <w:sz w:val="16"/>
                <w:szCs w:val="16"/>
              </w:rPr>
              <w:t>58,416</w:t>
            </w:r>
          </w:p>
        </w:tc>
        <w:tc>
          <w:tcPr>
            <w:tcW w:w="753" w:type="pct"/>
            <w:gridSpan w:val="2"/>
            <w:tcBorders>
              <w:top w:val="nil"/>
              <w:left w:val="nil"/>
              <w:bottom w:val="nil"/>
              <w:right w:val="nil"/>
            </w:tcBorders>
            <w:shd w:val="clear" w:color="auto" w:fill="auto"/>
            <w:noWrap/>
            <w:vAlign w:val="bottom"/>
            <w:hideMark/>
          </w:tcPr>
          <w:p w14:paraId="63AA34C4" w14:textId="23A148D9" w:rsidR="005D67FD" w:rsidRPr="005D67FD" w:rsidRDefault="005D67FD" w:rsidP="005D67FD">
            <w:pPr>
              <w:spacing w:after="0" w:line="240" w:lineRule="auto"/>
              <w:jc w:val="right"/>
              <w:outlineLvl w:val="0"/>
              <w:rPr>
                <w:rFonts w:ascii="Arial" w:hAnsi="Arial" w:cs="Arial"/>
                <w:color w:val="000000"/>
                <w:sz w:val="16"/>
                <w:szCs w:val="16"/>
              </w:rPr>
            </w:pPr>
            <w:r w:rsidRPr="005D67FD">
              <w:rPr>
                <w:rFonts w:ascii="Arial" w:hAnsi="Arial" w:cs="Arial"/>
                <w:color w:val="000000"/>
                <w:sz w:val="16"/>
                <w:szCs w:val="16"/>
              </w:rPr>
              <w:t>81,280</w:t>
            </w:r>
          </w:p>
        </w:tc>
        <w:tc>
          <w:tcPr>
            <w:tcW w:w="800" w:type="pct"/>
            <w:gridSpan w:val="2"/>
            <w:tcBorders>
              <w:top w:val="nil"/>
              <w:left w:val="nil"/>
              <w:bottom w:val="nil"/>
              <w:right w:val="nil"/>
            </w:tcBorders>
            <w:shd w:val="clear" w:color="auto" w:fill="auto"/>
            <w:noWrap/>
            <w:vAlign w:val="bottom"/>
            <w:hideMark/>
          </w:tcPr>
          <w:p w14:paraId="13B73DF0" w14:textId="7D74664C" w:rsidR="005D67FD" w:rsidRPr="005D67FD" w:rsidRDefault="005D67FD" w:rsidP="005D67FD">
            <w:pPr>
              <w:spacing w:after="0" w:line="240" w:lineRule="auto"/>
              <w:jc w:val="right"/>
              <w:outlineLvl w:val="0"/>
              <w:rPr>
                <w:rFonts w:ascii="Arial" w:hAnsi="Arial" w:cs="Arial"/>
                <w:color w:val="000000"/>
                <w:sz w:val="16"/>
                <w:szCs w:val="16"/>
              </w:rPr>
            </w:pPr>
            <w:r w:rsidRPr="005D67FD">
              <w:rPr>
                <w:rFonts w:ascii="Arial" w:hAnsi="Arial" w:cs="Arial"/>
                <w:color w:val="000000"/>
                <w:sz w:val="16"/>
                <w:szCs w:val="16"/>
              </w:rPr>
              <w:t>109,004</w:t>
            </w:r>
          </w:p>
        </w:tc>
      </w:tr>
      <w:tr w:rsidR="005D67FD" w:rsidRPr="005D67FD" w14:paraId="6D040CBD" w14:textId="77777777" w:rsidTr="005D67FD">
        <w:trPr>
          <w:trHeight w:val="204"/>
        </w:trPr>
        <w:tc>
          <w:tcPr>
            <w:tcW w:w="1228" w:type="pct"/>
            <w:tcBorders>
              <w:top w:val="nil"/>
              <w:left w:val="nil"/>
              <w:right w:val="nil"/>
            </w:tcBorders>
            <w:shd w:val="clear" w:color="auto" w:fill="auto"/>
            <w:noWrap/>
            <w:vAlign w:val="bottom"/>
            <w:hideMark/>
          </w:tcPr>
          <w:p w14:paraId="7E000F82" w14:textId="77777777" w:rsidR="005D67FD" w:rsidRPr="005D67FD" w:rsidRDefault="005D67FD" w:rsidP="005D67FD">
            <w:pPr>
              <w:spacing w:after="0" w:line="240" w:lineRule="auto"/>
              <w:rPr>
                <w:rFonts w:ascii="Arial" w:hAnsi="Arial" w:cs="Arial"/>
                <w:b/>
                <w:bCs/>
                <w:i/>
                <w:iCs/>
                <w:color w:val="000000"/>
                <w:sz w:val="16"/>
                <w:szCs w:val="16"/>
              </w:rPr>
            </w:pPr>
            <w:r w:rsidRPr="005D67FD">
              <w:rPr>
                <w:rFonts w:ascii="Arial" w:hAnsi="Arial" w:cs="Arial"/>
                <w:b/>
                <w:bCs/>
                <w:i/>
                <w:iCs/>
                <w:color w:val="000000"/>
                <w:sz w:val="16"/>
                <w:szCs w:val="16"/>
              </w:rPr>
              <w:t>Total cash received</w:t>
            </w:r>
          </w:p>
        </w:tc>
        <w:tc>
          <w:tcPr>
            <w:tcW w:w="775" w:type="pct"/>
            <w:tcBorders>
              <w:top w:val="single" w:sz="4" w:space="0" w:color="000000"/>
              <w:left w:val="nil"/>
              <w:bottom w:val="single" w:sz="4" w:space="0" w:color="000000"/>
              <w:right w:val="nil"/>
            </w:tcBorders>
            <w:shd w:val="clear" w:color="auto" w:fill="auto"/>
            <w:noWrap/>
            <w:vAlign w:val="bottom"/>
            <w:hideMark/>
          </w:tcPr>
          <w:p w14:paraId="635FEDD4" w14:textId="75857E06" w:rsidR="005D67FD" w:rsidRPr="005D67FD" w:rsidRDefault="005D67FD" w:rsidP="005D67FD">
            <w:pPr>
              <w:spacing w:after="0" w:line="240" w:lineRule="auto"/>
              <w:jc w:val="right"/>
              <w:rPr>
                <w:rFonts w:ascii="Arial" w:hAnsi="Arial" w:cs="Arial"/>
                <w:b/>
                <w:bCs/>
                <w:i/>
                <w:iCs/>
                <w:color w:val="000000"/>
                <w:sz w:val="16"/>
                <w:szCs w:val="16"/>
              </w:rPr>
            </w:pPr>
            <w:r w:rsidRPr="005D67FD">
              <w:rPr>
                <w:rFonts w:ascii="Arial" w:hAnsi="Arial" w:cs="Arial"/>
                <w:b/>
                <w:bCs/>
                <w:i/>
                <w:iCs/>
                <w:color w:val="000000"/>
                <w:sz w:val="16"/>
                <w:szCs w:val="16"/>
              </w:rPr>
              <w:t>1,156,892</w:t>
            </w:r>
          </w:p>
        </w:tc>
        <w:tc>
          <w:tcPr>
            <w:tcW w:w="693" w:type="pct"/>
            <w:tcBorders>
              <w:top w:val="single" w:sz="4" w:space="0" w:color="000000"/>
              <w:left w:val="nil"/>
              <w:bottom w:val="single" w:sz="4" w:space="0" w:color="000000"/>
              <w:right w:val="nil"/>
            </w:tcBorders>
            <w:shd w:val="clear" w:color="000000" w:fill="E6E6E6"/>
            <w:noWrap/>
            <w:vAlign w:val="bottom"/>
            <w:hideMark/>
          </w:tcPr>
          <w:p w14:paraId="7233C4BD" w14:textId="1D40954E" w:rsidR="005D67FD" w:rsidRPr="005D67FD" w:rsidRDefault="005D67FD" w:rsidP="005D67FD">
            <w:pPr>
              <w:spacing w:after="0" w:line="240" w:lineRule="auto"/>
              <w:jc w:val="right"/>
              <w:rPr>
                <w:rFonts w:ascii="Arial" w:hAnsi="Arial" w:cs="Arial"/>
                <w:b/>
                <w:bCs/>
                <w:i/>
                <w:iCs/>
                <w:color w:val="000000"/>
                <w:sz w:val="16"/>
                <w:szCs w:val="16"/>
              </w:rPr>
            </w:pPr>
            <w:r w:rsidRPr="005D67FD">
              <w:rPr>
                <w:rFonts w:ascii="Arial" w:hAnsi="Arial" w:cs="Arial"/>
                <w:b/>
                <w:bCs/>
                <w:i/>
                <w:iCs/>
                <w:color w:val="000000"/>
                <w:sz w:val="16"/>
                <w:szCs w:val="16"/>
              </w:rPr>
              <w:t>5,800,846</w:t>
            </w:r>
          </w:p>
        </w:tc>
        <w:tc>
          <w:tcPr>
            <w:tcW w:w="751" w:type="pct"/>
            <w:tcBorders>
              <w:top w:val="single" w:sz="4" w:space="0" w:color="000000"/>
              <w:left w:val="nil"/>
              <w:bottom w:val="single" w:sz="4" w:space="0" w:color="000000"/>
              <w:right w:val="nil"/>
            </w:tcBorders>
            <w:shd w:val="clear" w:color="auto" w:fill="auto"/>
            <w:noWrap/>
            <w:vAlign w:val="bottom"/>
            <w:hideMark/>
          </w:tcPr>
          <w:p w14:paraId="470F87FC" w14:textId="51ACA52E" w:rsidR="005D67FD" w:rsidRPr="005D67FD" w:rsidRDefault="005D67FD" w:rsidP="005D67FD">
            <w:pPr>
              <w:spacing w:after="0" w:line="240" w:lineRule="auto"/>
              <w:jc w:val="right"/>
              <w:rPr>
                <w:rFonts w:ascii="Arial" w:hAnsi="Arial" w:cs="Arial"/>
                <w:b/>
                <w:bCs/>
                <w:i/>
                <w:iCs/>
                <w:color w:val="000000"/>
                <w:sz w:val="16"/>
                <w:szCs w:val="16"/>
              </w:rPr>
            </w:pPr>
            <w:r w:rsidRPr="005D67FD">
              <w:rPr>
                <w:rFonts w:ascii="Arial" w:hAnsi="Arial" w:cs="Arial"/>
                <w:b/>
                <w:bCs/>
                <w:i/>
                <w:iCs/>
                <w:color w:val="000000"/>
                <w:sz w:val="16"/>
                <w:szCs w:val="16"/>
              </w:rPr>
              <w:t>105,087</w:t>
            </w:r>
          </w:p>
        </w:tc>
        <w:tc>
          <w:tcPr>
            <w:tcW w:w="753" w:type="pct"/>
            <w:gridSpan w:val="2"/>
            <w:tcBorders>
              <w:top w:val="single" w:sz="4" w:space="0" w:color="000000"/>
              <w:left w:val="nil"/>
              <w:bottom w:val="single" w:sz="4" w:space="0" w:color="000000"/>
              <w:right w:val="nil"/>
            </w:tcBorders>
            <w:shd w:val="clear" w:color="auto" w:fill="auto"/>
            <w:noWrap/>
            <w:vAlign w:val="bottom"/>
            <w:hideMark/>
          </w:tcPr>
          <w:p w14:paraId="39E0BC2B" w14:textId="6749B95D" w:rsidR="005D67FD" w:rsidRPr="005D67FD" w:rsidRDefault="005D67FD" w:rsidP="005D67FD">
            <w:pPr>
              <w:spacing w:after="0" w:line="240" w:lineRule="auto"/>
              <w:jc w:val="right"/>
              <w:rPr>
                <w:rFonts w:ascii="Arial" w:hAnsi="Arial" w:cs="Arial"/>
                <w:b/>
                <w:bCs/>
                <w:i/>
                <w:iCs/>
                <w:color w:val="000000"/>
                <w:sz w:val="16"/>
                <w:szCs w:val="16"/>
              </w:rPr>
            </w:pPr>
            <w:r w:rsidRPr="005D67FD">
              <w:rPr>
                <w:rFonts w:ascii="Arial" w:hAnsi="Arial" w:cs="Arial"/>
                <w:b/>
                <w:bCs/>
                <w:i/>
                <w:iCs/>
                <w:color w:val="000000"/>
                <w:sz w:val="16"/>
                <w:szCs w:val="16"/>
              </w:rPr>
              <w:t>188,389</w:t>
            </w:r>
          </w:p>
        </w:tc>
        <w:tc>
          <w:tcPr>
            <w:tcW w:w="800" w:type="pct"/>
            <w:gridSpan w:val="2"/>
            <w:tcBorders>
              <w:top w:val="single" w:sz="4" w:space="0" w:color="000000"/>
              <w:left w:val="nil"/>
              <w:bottom w:val="single" w:sz="4" w:space="0" w:color="000000"/>
              <w:right w:val="nil"/>
            </w:tcBorders>
            <w:shd w:val="clear" w:color="auto" w:fill="auto"/>
            <w:noWrap/>
            <w:vAlign w:val="bottom"/>
            <w:hideMark/>
          </w:tcPr>
          <w:p w14:paraId="7D9F8D7E" w14:textId="125914F5" w:rsidR="005D67FD" w:rsidRPr="005D67FD" w:rsidRDefault="005D67FD" w:rsidP="005D67FD">
            <w:pPr>
              <w:spacing w:after="0" w:line="240" w:lineRule="auto"/>
              <w:jc w:val="right"/>
              <w:rPr>
                <w:rFonts w:ascii="Arial" w:hAnsi="Arial" w:cs="Arial"/>
                <w:b/>
                <w:bCs/>
                <w:i/>
                <w:iCs/>
                <w:color w:val="000000"/>
                <w:sz w:val="16"/>
                <w:szCs w:val="16"/>
              </w:rPr>
            </w:pPr>
            <w:r w:rsidRPr="005D67FD">
              <w:rPr>
                <w:rFonts w:ascii="Arial" w:hAnsi="Arial" w:cs="Arial"/>
                <w:b/>
                <w:bCs/>
                <w:i/>
                <w:iCs/>
                <w:color w:val="000000"/>
                <w:sz w:val="16"/>
                <w:szCs w:val="16"/>
              </w:rPr>
              <w:t>262,173</w:t>
            </w:r>
          </w:p>
        </w:tc>
      </w:tr>
      <w:tr w:rsidR="005D67FD" w:rsidRPr="005D67FD" w14:paraId="37DB4913" w14:textId="77777777" w:rsidTr="005D67FD">
        <w:trPr>
          <w:trHeight w:val="204"/>
        </w:trPr>
        <w:tc>
          <w:tcPr>
            <w:tcW w:w="1228" w:type="pct"/>
            <w:tcBorders>
              <w:top w:val="nil"/>
              <w:left w:val="nil"/>
              <w:bottom w:val="nil"/>
              <w:right w:val="nil"/>
            </w:tcBorders>
            <w:shd w:val="clear" w:color="auto" w:fill="auto"/>
            <w:noWrap/>
            <w:vAlign w:val="bottom"/>
            <w:hideMark/>
          </w:tcPr>
          <w:p w14:paraId="066A4466" w14:textId="77777777" w:rsidR="00173CD7" w:rsidRPr="005D67FD" w:rsidRDefault="00173CD7" w:rsidP="00173CD7">
            <w:pPr>
              <w:spacing w:after="0" w:line="240" w:lineRule="auto"/>
              <w:rPr>
                <w:rFonts w:ascii="Arial" w:hAnsi="Arial" w:cs="Arial"/>
                <w:b/>
                <w:bCs/>
                <w:color w:val="000000"/>
                <w:sz w:val="16"/>
                <w:szCs w:val="16"/>
              </w:rPr>
            </w:pPr>
            <w:r w:rsidRPr="005D67FD">
              <w:rPr>
                <w:rFonts w:ascii="Arial" w:hAnsi="Arial" w:cs="Arial"/>
                <w:b/>
                <w:bCs/>
                <w:color w:val="000000"/>
                <w:sz w:val="16"/>
                <w:szCs w:val="16"/>
              </w:rPr>
              <w:t>Cash used</w:t>
            </w:r>
          </w:p>
        </w:tc>
        <w:tc>
          <w:tcPr>
            <w:tcW w:w="775" w:type="pct"/>
            <w:tcBorders>
              <w:top w:val="nil"/>
              <w:left w:val="nil"/>
              <w:bottom w:val="nil"/>
              <w:right w:val="nil"/>
            </w:tcBorders>
            <w:shd w:val="clear" w:color="auto" w:fill="auto"/>
            <w:noWrap/>
            <w:vAlign w:val="bottom"/>
            <w:hideMark/>
          </w:tcPr>
          <w:p w14:paraId="35CEA6CA" w14:textId="77777777" w:rsidR="00173CD7" w:rsidRPr="005D67FD" w:rsidRDefault="00173CD7" w:rsidP="005D67FD">
            <w:pPr>
              <w:spacing w:after="0" w:line="240" w:lineRule="auto"/>
              <w:jc w:val="right"/>
              <w:rPr>
                <w:rFonts w:ascii="Arial" w:hAnsi="Arial" w:cs="Arial"/>
                <w:b/>
                <w:bCs/>
                <w:color w:val="000000"/>
                <w:sz w:val="16"/>
                <w:szCs w:val="16"/>
              </w:rPr>
            </w:pPr>
          </w:p>
        </w:tc>
        <w:tc>
          <w:tcPr>
            <w:tcW w:w="693" w:type="pct"/>
            <w:tcBorders>
              <w:top w:val="nil"/>
              <w:left w:val="nil"/>
              <w:bottom w:val="nil"/>
              <w:right w:val="nil"/>
            </w:tcBorders>
            <w:shd w:val="clear" w:color="000000" w:fill="E6E6E6"/>
            <w:noWrap/>
            <w:vAlign w:val="bottom"/>
            <w:hideMark/>
          </w:tcPr>
          <w:p w14:paraId="53E173E4" w14:textId="7E85AB41" w:rsidR="00173CD7" w:rsidRPr="005D67FD" w:rsidRDefault="00173CD7" w:rsidP="005D67FD">
            <w:pPr>
              <w:spacing w:after="0" w:line="240" w:lineRule="auto"/>
              <w:jc w:val="right"/>
              <w:rPr>
                <w:rFonts w:ascii="Arial" w:hAnsi="Arial" w:cs="Arial"/>
                <w:color w:val="000000"/>
                <w:sz w:val="16"/>
                <w:szCs w:val="16"/>
              </w:rPr>
            </w:pPr>
          </w:p>
        </w:tc>
        <w:tc>
          <w:tcPr>
            <w:tcW w:w="824" w:type="pct"/>
            <w:gridSpan w:val="2"/>
            <w:tcBorders>
              <w:top w:val="nil"/>
              <w:left w:val="nil"/>
              <w:bottom w:val="nil"/>
              <w:right w:val="nil"/>
            </w:tcBorders>
            <w:shd w:val="clear" w:color="auto" w:fill="auto"/>
            <w:noWrap/>
            <w:vAlign w:val="bottom"/>
            <w:hideMark/>
          </w:tcPr>
          <w:p w14:paraId="0B27C9DF" w14:textId="77777777" w:rsidR="00173CD7" w:rsidRPr="005D67FD" w:rsidRDefault="00173CD7" w:rsidP="005D67FD">
            <w:pPr>
              <w:spacing w:after="0" w:line="240" w:lineRule="auto"/>
              <w:jc w:val="right"/>
              <w:rPr>
                <w:rFonts w:ascii="Arial" w:hAnsi="Arial" w:cs="Arial"/>
                <w:color w:val="000000"/>
                <w:sz w:val="16"/>
                <w:szCs w:val="16"/>
              </w:rPr>
            </w:pPr>
          </w:p>
        </w:tc>
        <w:tc>
          <w:tcPr>
            <w:tcW w:w="763" w:type="pct"/>
            <w:gridSpan w:val="2"/>
            <w:tcBorders>
              <w:top w:val="nil"/>
              <w:left w:val="nil"/>
              <w:bottom w:val="nil"/>
              <w:right w:val="nil"/>
            </w:tcBorders>
            <w:shd w:val="clear" w:color="auto" w:fill="auto"/>
            <w:noWrap/>
            <w:vAlign w:val="bottom"/>
            <w:hideMark/>
          </w:tcPr>
          <w:p w14:paraId="107833E6" w14:textId="77777777" w:rsidR="00173CD7" w:rsidRPr="005D67FD" w:rsidRDefault="00173CD7" w:rsidP="005D67FD">
            <w:pPr>
              <w:spacing w:after="0" w:line="240" w:lineRule="auto"/>
              <w:jc w:val="right"/>
              <w:rPr>
                <w:rFonts w:ascii="Arial" w:hAnsi="Arial" w:cs="Arial"/>
                <w:sz w:val="16"/>
                <w:szCs w:val="16"/>
              </w:rPr>
            </w:pPr>
          </w:p>
        </w:tc>
        <w:tc>
          <w:tcPr>
            <w:tcW w:w="717" w:type="pct"/>
            <w:tcBorders>
              <w:top w:val="nil"/>
              <w:left w:val="nil"/>
              <w:bottom w:val="nil"/>
              <w:right w:val="nil"/>
            </w:tcBorders>
            <w:shd w:val="clear" w:color="auto" w:fill="auto"/>
            <w:noWrap/>
            <w:vAlign w:val="bottom"/>
            <w:hideMark/>
          </w:tcPr>
          <w:p w14:paraId="6E6BC7C2" w14:textId="77777777" w:rsidR="00173CD7" w:rsidRPr="005D67FD" w:rsidRDefault="00173CD7" w:rsidP="005D67FD">
            <w:pPr>
              <w:spacing w:after="0" w:line="240" w:lineRule="auto"/>
              <w:jc w:val="right"/>
              <w:rPr>
                <w:rFonts w:ascii="Arial" w:hAnsi="Arial" w:cs="Arial"/>
                <w:sz w:val="16"/>
                <w:szCs w:val="16"/>
              </w:rPr>
            </w:pPr>
          </w:p>
        </w:tc>
      </w:tr>
      <w:tr w:rsidR="005D67FD" w:rsidRPr="005D67FD" w14:paraId="448ECBC4" w14:textId="77777777" w:rsidTr="005D67FD">
        <w:trPr>
          <w:trHeight w:val="204"/>
        </w:trPr>
        <w:tc>
          <w:tcPr>
            <w:tcW w:w="1228" w:type="pct"/>
            <w:tcBorders>
              <w:top w:val="nil"/>
              <w:left w:val="nil"/>
              <w:bottom w:val="nil"/>
              <w:right w:val="nil"/>
            </w:tcBorders>
            <w:shd w:val="clear" w:color="auto" w:fill="auto"/>
            <w:vAlign w:val="bottom"/>
            <w:hideMark/>
          </w:tcPr>
          <w:p w14:paraId="728F3172" w14:textId="305010B0" w:rsidR="00173CD7" w:rsidRPr="005D67FD" w:rsidRDefault="00173CD7" w:rsidP="005D67FD">
            <w:pPr>
              <w:spacing w:after="0" w:line="240" w:lineRule="auto"/>
              <w:ind w:left="113"/>
              <w:rPr>
                <w:rFonts w:ascii="Arial" w:hAnsi="Arial" w:cs="Arial"/>
                <w:color w:val="000000"/>
                <w:sz w:val="16"/>
                <w:szCs w:val="16"/>
              </w:rPr>
            </w:pPr>
            <w:r w:rsidRPr="005D67FD">
              <w:rPr>
                <w:rFonts w:ascii="Arial" w:hAnsi="Arial" w:cs="Arial"/>
                <w:color w:val="000000"/>
                <w:sz w:val="16"/>
                <w:szCs w:val="16"/>
              </w:rPr>
              <w:t>Purchase of property, plant and equipment and intangibles</w:t>
            </w:r>
          </w:p>
        </w:tc>
        <w:tc>
          <w:tcPr>
            <w:tcW w:w="775" w:type="pct"/>
            <w:tcBorders>
              <w:top w:val="nil"/>
              <w:left w:val="nil"/>
              <w:bottom w:val="nil"/>
              <w:right w:val="nil"/>
            </w:tcBorders>
            <w:shd w:val="clear" w:color="auto" w:fill="auto"/>
            <w:noWrap/>
            <w:vAlign w:val="bottom"/>
            <w:hideMark/>
          </w:tcPr>
          <w:p w14:paraId="7A68D08E" w14:textId="6907DBEA" w:rsidR="00173CD7" w:rsidRPr="005D67FD" w:rsidRDefault="00173CD7"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46,160</w:t>
            </w:r>
          </w:p>
        </w:tc>
        <w:tc>
          <w:tcPr>
            <w:tcW w:w="693" w:type="pct"/>
            <w:tcBorders>
              <w:top w:val="nil"/>
              <w:left w:val="nil"/>
              <w:bottom w:val="nil"/>
              <w:right w:val="nil"/>
            </w:tcBorders>
            <w:shd w:val="clear" w:color="000000" w:fill="E6E6E6"/>
            <w:noWrap/>
            <w:vAlign w:val="bottom"/>
            <w:hideMark/>
          </w:tcPr>
          <w:p w14:paraId="2215D864" w14:textId="6D8C9139" w:rsidR="00173CD7" w:rsidRPr="005D67FD" w:rsidRDefault="00173CD7"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99,723</w:t>
            </w:r>
          </w:p>
        </w:tc>
        <w:tc>
          <w:tcPr>
            <w:tcW w:w="824" w:type="pct"/>
            <w:gridSpan w:val="2"/>
            <w:tcBorders>
              <w:top w:val="nil"/>
              <w:left w:val="nil"/>
              <w:bottom w:val="nil"/>
              <w:right w:val="nil"/>
            </w:tcBorders>
            <w:shd w:val="clear" w:color="auto" w:fill="auto"/>
            <w:noWrap/>
            <w:vAlign w:val="bottom"/>
            <w:hideMark/>
          </w:tcPr>
          <w:p w14:paraId="3B1B3118" w14:textId="44AC2327" w:rsidR="00173CD7" w:rsidRPr="005D67FD" w:rsidRDefault="00173CD7"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70,670</w:t>
            </w:r>
          </w:p>
        </w:tc>
        <w:tc>
          <w:tcPr>
            <w:tcW w:w="763" w:type="pct"/>
            <w:gridSpan w:val="2"/>
            <w:tcBorders>
              <w:top w:val="nil"/>
              <w:left w:val="nil"/>
              <w:bottom w:val="nil"/>
              <w:right w:val="nil"/>
            </w:tcBorders>
            <w:shd w:val="clear" w:color="auto" w:fill="auto"/>
            <w:noWrap/>
            <w:vAlign w:val="bottom"/>
            <w:hideMark/>
          </w:tcPr>
          <w:p w14:paraId="1D374B79" w14:textId="1ACD7B4B" w:rsidR="00173CD7" w:rsidRPr="005D67FD" w:rsidRDefault="00173CD7"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65,138</w:t>
            </w:r>
          </w:p>
        </w:tc>
        <w:tc>
          <w:tcPr>
            <w:tcW w:w="717" w:type="pct"/>
            <w:tcBorders>
              <w:top w:val="nil"/>
              <w:left w:val="nil"/>
              <w:bottom w:val="nil"/>
              <w:right w:val="nil"/>
            </w:tcBorders>
            <w:shd w:val="clear" w:color="auto" w:fill="auto"/>
            <w:noWrap/>
            <w:vAlign w:val="bottom"/>
            <w:hideMark/>
          </w:tcPr>
          <w:p w14:paraId="6D572E0E" w14:textId="57FFA3D7" w:rsidR="00173CD7" w:rsidRPr="005D67FD" w:rsidRDefault="00173CD7"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18,401</w:t>
            </w:r>
          </w:p>
        </w:tc>
      </w:tr>
      <w:tr w:rsidR="005D67FD" w:rsidRPr="005D67FD" w14:paraId="3450FF2F" w14:textId="77777777" w:rsidTr="005D67FD">
        <w:trPr>
          <w:trHeight w:val="204"/>
        </w:trPr>
        <w:tc>
          <w:tcPr>
            <w:tcW w:w="1228" w:type="pct"/>
            <w:tcBorders>
              <w:top w:val="nil"/>
              <w:left w:val="nil"/>
              <w:bottom w:val="nil"/>
              <w:right w:val="nil"/>
            </w:tcBorders>
            <w:shd w:val="clear" w:color="auto" w:fill="auto"/>
            <w:noWrap/>
            <w:vAlign w:val="bottom"/>
            <w:hideMark/>
          </w:tcPr>
          <w:p w14:paraId="352C01A2" w14:textId="77777777" w:rsidR="00173CD7" w:rsidRPr="005D67FD" w:rsidRDefault="00173CD7" w:rsidP="005D67FD">
            <w:pPr>
              <w:spacing w:after="0" w:line="240" w:lineRule="auto"/>
              <w:ind w:left="113"/>
              <w:rPr>
                <w:rFonts w:ascii="Arial" w:hAnsi="Arial" w:cs="Arial"/>
                <w:color w:val="000000"/>
                <w:sz w:val="16"/>
                <w:szCs w:val="16"/>
              </w:rPr>
            </w:pPr>
            <w:r w:rsidRPr="005D67FD">
              <w:rPr>
                <w:rFonts w:ascii="Arial" w:hAnsi="Arial" w:cs="Arial"/>
                <w:color w:val="000000"/>
                <w:sz w:val="16"/>
                <w:szCs w:val="16"/>
              </w:rPr>
              <w:t>Advances and loans made</w:t>
            </w:r>
          </w:p>
        </w:tc>
        <w:tc>
          <w:tcPr>
            <w:tcW w:w="775" w:type="pct"/>
            <w:tcBorders>
              <w:top w:val="nil"/>
              <w:left w:val="nil"/>
              <w:bottom w:val="nil"/>
              <w:right w:val="nil"/>
            </w:tcBorders>
            <w:shd w:val="clear" w:color="auto" w:fill="auto"/>
            <w:noWrap/>
            <w:vAlign w:val="bottom"/>
            <w:hideMark/>
          </w:tcPr>
          <w:p w14:paraId="74477F1D" w14:textId="053D66C5" w:rsidR="00173CD7" w:rsidRPr="005D67FD" w:rsidRDefault="00173CD7"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663,470</w:t>
            </w:r>
          </w:p>
        </w:tc>
        <w:tc>
          <w:tcPr>
            <w:tcW w:w="693" w:type="pct"/>
            <w:tcBorders>
              <w:top w:val="nil"/>
              <w:left w:val="nil"/>
              <w:bottom w:val="nil"/>
              <w:right w:val="nil"/>
            </w:tcBorders>
            <w:shd w:val="clear" w:color="000000" w:fill="E6E6E6"/>
            <w:noWrap/>
            <w:vAlign w:val="bottom"/>
            <w:hideMark/>
          </w:tcPr>
          <w:p w14:paraId="75E45E83" w14:textId="1F9C4A1E" w:rsidR="00173CD7" w:rsidRPr="005D67FD" w:rsidRDefault="00173CD7"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941,277</w:t>
            </w:r>
          </w:p>
        </w:tc>
        <w:tc>
          <w:tcPr>
            <w:tcW w:w="824" w:type="pct"/>
            <w:gridSpan w:val="2"/>
            <w:tcBorders>
              <w:top w:val="nil"/>
              <w:left w:val="nil"/>
              <w:bottom w:val="nil"/>
              <w:right w:val="nil"/>
            </w:tcBorders>
            <w:shd w:val="clear" w:color="auto" w:fill="auto"/>
            <w:noWrap/>
            <w:vAlign w:val="bottom"/>
            <w:hideMark/>
          </w:tcPr>
          <w:p w14:paraId="550AC5D8" w14:textId="49D41D5E" w:rsidR="00173CD7" w:rsidRPr="005D67FD" w:rsidRDefault="00173CD7"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1,016,384</w:t>
            </w:r>
          </w:p>
        </w:tc>
        <w:tc>
          <w:tcPr>
            <w:tcW w:w="763" w:type="pct"/>
            <w:gridSpan w:val="2"/>
            <w:tcBorders>
              <w:top w:val="nil"/>
              <w:left w:val="nil"/>
              <w:bottom w:val="nil"/>
              <w:right w:val="nil"/>
            </w:tcBorders>
            <w:shd w:val="clear" w:color="auto" w:fill="auto"/>
            <w:noWrap/>
            <w:vAlign w:val="bottom"/>
            <w:hideMark/>
          </w:tcPr>
          <w:p w14:paraId="1954CBDC" w14:textId="69776907" w:rsidR="00173CD7" w:rsidRPr="005D67FD" w:rsidRDefault="00173CD7"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963,673</w:t>
            </w:r>
          </w:p>
        </w:tc>
        <w:tc>
          <w:tcPr>
            <w:tcW w:w="717" w:type="pct"/>
            <w:tcBorders>
              <w:top w:val="nil"/>
              <w:left w:val="nil"/>
              <w:bottom w:val="nil"/>
              <w:right w:val="nil"/>
            </w:tcBorders>
            <w:shd w:val="clear" w:color="auto" w:fill="auto"/>
            <w:noWrap/>
            <w:vAlign w:val="bottom"/>
            <w:hideMark/>
          </w:tcPr>
          <w:p w14:paraId="651D68F9" w14:textId="25050F21" w:rsidR="00173CD7" w:rsidRPr="005D67FD" w:rsidRDefault="00173CD7"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989,462</w:t>
            </w:r>
          </w:p>
        </w:tc>
      </w:tr>
      <w:tr w:rsidR="005D67FD" w:rsidRPr="005D67FD" w14:paraId="5FE77027" w14:textId="77777777" w:rsidTr="005D67FD">
        <w:trPr>
          <w:trHeight w:val="204"/>
        </w:trPr>
        <w:tc>
          <w:tcPr>
            <w:tcW w:w="1228" w:type="pct"/>
            <w:tcBorders>
              <w:top w:val="nil"/>
              <w:left w:val="nil"/>
              <w:bottom w:val="nil"/>
              <w:right w:val="nil"/>
            </w:tcBorders>
            <w:shd w:val="clear" w:color="auto" w:fill="auto"/>
            <w:noWrap/>
            <w:vAlign w:val="bottom"/>
            <w:hideMark/>
          </w:tcPr>
          <w:p w14:paraId="225A890A" w14:textId="77777777" w:rsidR="00173CD7" w:rsidRPr="005D67FD" w:rsidRDefault="00173CD7" w:rsidP="005D67FD">
            <w:pPr>
              <w:spacing w:after="0" w:line="240" w:lineRule="auto"/>
              <w:ind w:left="113"/>
              <w:rPr>
                <w:rFonts w:ascii="Arial" w:hAnsi="Arial" w:cs="Arial"/>
                <w:color w:val="000000"/>
                <w:sz w:val="16"/>
                <w:szCs w:val="16"/>
              </w:rPr>
            </w:pPr>
            <w:r w:rsidRPr="005D67FD">
              <w:rPr>
                <w:rFonts w:ascii="Arial" w:hAnsi="Arial" w:cs="Arial"/>
                <w:color w:val="000000"/>
                <w:sz w:val="16"/>
                <w:szCs w:val="16"/>
              </w:rPr>
              <w:t>Other</w:t>
            </w:r>
          </w:p>
        </w:tc>
        <w:tc>
          <w:tcPr>
            <w:tcW w:w="775" w:type="pct"/>
            <w:tcBorders>
              <w:top w:val="nil"/>
              <w:left w:val="nil"/>
              <w:bottom w:val="nil"/>
              <w:right w:val="nil"/>
            </w:tcBorders>
            <w:shd w:val="clear" w:color="auto" w:fill="auto"/>
            <w:noWrap/>
            <w:vAlign w:val="bottom"/>
            <w:hideMark/>
          </w:tcPr>
          <w:p w14:paraId="06480BBE" w14:textId="4E2239CE" w:rsidR="00173CD7" w:rsidRPr="005D67FD" w:rsidRDefault="00173CD7"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3,766,976</w:t>
            </w:r>
          </w:p>
        </w:tc>
        <w:tc>
          <w:tcPr>
            <w:tcW w:w="693" w:type="pct"/>
            <w:tcBorders>
              <w:top w:val="nil"/>
              <w:left w:val="nil"/>
              <w:bottom w:val="nil"/>
              <w:right w:val="nil"/>
            </w:tcBorders>
            <w:shd w:val="clear" w:color="000000" w:fill="E6E6E6"/>
            <w:noWrap/>
            <w:vAlign w:val="bottom"/>
            <w:hideMark/>
          </w:tcPr>
          <w:p w14:paraId="14F739F7" w14:textId="1210855B" w:rsidR="00173CD7" w:rsidRPr="005D67FD" w:rsidRDefault="00173CD7"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3,352,378</w:t>
            </w:r>
          </w:p>
        </w:tc>
        <w:tc>
          <w:tcPr>
            <w:tcW w:w="824" w:type="pct"/>
            <w:gridSpan w:val="2"/>
            <w:tcBorders>
              <w:top w:val="nil"/>
              <w:left w:val="nil"/>
              <w:bottom w:val="nil"/>
              <w:right w:val="nil"/>
            </w:tcBorders>
            <w:shd w:val="clear" w:color="auto" w:fill="auto"/>
            <w:noWrap/>
            <w:vAlign w:val="bottom"/>
            <w:hideMark/>
          </w:tcPr>
          <w:p w14:paraId="6B776636" w14:textId="1ED8AEA8" w:rsidR="00173CD7" w:rsidRPr="005D67FD" w:rsidRDefault="00173CD7"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3,592,251</w:t>
            </w:r>
          </w:p>
        </w:tc>
        <w:tc>
          <w:tcPr>
            <w:tcW w:w="763" w:type="pct"/>
            <w:gridSpan w:val="2"/>
            <w:tcBorders>
              <w:top w:val="nil"/>
              <w:left w:val="nil"/>
              <w:bottom w:val="nil"/>
              <w:right w:val="nil"/>
            </w:tcBorders>
            <w:shd w:val="clear" w:color="auto" w:fill="auto"/>
            <w:noWrap/>
            <w:vAlign w:val="bottom"/>
            <w:hideMark/>
          </w:tcPr>
          <w:p w14:paraId="5E990945" w14:textId="79B11827" w:rsidR="00173CD7" w:rsidRPr="005D67FD" w:rsidRDefault="00173CD7"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2,940,180</w:t>
            </w:r>
          </w:p>
        </w:tc>
        <w:tc>
          <w:tcPr>
            <w:tcW w:w="717" w:type="pct"/>
            <w:tcBorders>
              <w:top w:val="nil"/>
              <w:left w:val="nil"/>
              <w:bottom w:val="nil"/>
              <w:right w:val="nil"/>
            </w:tcBorders>
            <w:shd w:val="clear" w:color="auto" w:fill="auto"/>
            <w:noWrap/>
            <w:vAlign w:val="bottom"/>
            <w:hideMark/>
          </w:tcPr>
          <w:p w14:paraId="30058C63" w14:textId="19F8880E" w:rsidR="00173CD7" w:rsidRPr="005D67FD" w:rsidRDefault="00173CD7"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982,657</w:t>
            </w:r>
          </w:p>
        </w:tc>
      </w:tr>
      <w:tr w:rsidR="005D67FD" w:rsidRPr="005D67FD" w14:paraId="62C746E1" w14:textId="77777777" w:rsidTr="005D67FD">
        <w:trPr>
          <w:trHeight w:val="204"/>
        </w:trPr>
        <w:tc>
          <w:tcPr>
            <w:tcW w:w="1228" w:type="pct"/>
            <w:tcBorders>
              <w:top w:val="nil"/>
              <w:left w:val="nil"/>
              <w:bottom w:val="nil"/>
              <w:right w:val="nil"/>
            </w:tcBorders>
            <w:shd w:val="clear" w:color="auto" w:fill="auto"/>
            <w:noWrap/>
            <w:vAlign w:val="bottom"/>
            <w:hideMark/>
          </w:tcPr>
          <w:p w14:paraId="4CC67F3B" w14:textId="77777777" w:rsidR="00173CD7" w:rsidRPr="005D67FD" w:rsidRDefault="00173CD7" w:rsidP="00173CD7">
            <w:pPr>
              <w:spacing w:after="0" w:line="240" w:lineRule="auto"/>
              <w:rPr>
                <w:rFonts w:ascii="Arial" w:hAnsi="Arial" w:cs="Arial"/>
                <w:b/>
                <w:bCs/>
                <w:i/>
                <w:iCs/>
                <w:color w:val="000000"/>
                <w:sz w:val="16"/>
                <w:szCs w:val="16"/>
              </w:rPr>
            </w:pPr>
            <w:r w:rsidRPr="005D67FD">
              <w:rPr>
                <w:rFonts w:ascii="Arial" w:hAnsi="Arial" w:cs="Arial"/>
                <w:b/>
                <w:bCs/>
                <w:i/>
                <w:iCs/>
                <w:color w:val="000000"/>
                <w:sz w:val="16"/>
                <w:szCs w:val="16"/>
              </w:rPr>
              <w:t>Total cash used</w:t>
            </w:r>
          </w:p>
        </w:tc>
        <w:tc>
          <w:tcPr>
            <w:tcW w:w="775" w:type="pct"/>
            <w:tcBorders>
              <w:top w:val="single" w:sz="4" w:space="0" w:color="000000"/>
              <w:left w:val="nil"/>
              <w:bottom w:val="single" w:sz="4" w:space="0" w:color="000000"/>
              <w:right w:val="nil"/>
            </w:tcBorders>
            <w:shd w:val="clear" w:color="auto" w:fill="auto"/>
            <w:noWrap/>
            <w:vAlign w:val="bottom"/>
            <w:hideMark/>
          </w:tcPr>
          <w:p w14:paraId="760BC5F5" w14:textId="6E884C89" w:rsidR="00173CD7" w:rsidRPr="005D67FD" w:rsidRDefault="00173CD7" w:rsidP="005D67FD">
            <w:pPr>
              <w:spacing w:after="0" w:line="240" w:lineRule="auto"/>
              <w:jc w:val="right"/>
              <w:rPr>
                <w:rFonts w:ascii="Arial" w:hAnsi="Arial" w:cs="Arial"/>
                <w:b/>
                <w:bCs/>
                <w:i/>
                <w:iCs/>
                <w:color w:val="000000"/>
                <w:sz w:val="16"/>
                <w:szCs w:val="16"/>
              </w:rPr>
            </w:pPr>
            <w:r w:rsidRPr="005D67FD">
              <w:rPr>
                <w:rFonts w:ascii="Arial" w:hAnsi="Arial" w:cs="Arial"/>
                <w:b/>
                <w:bCs/>
                <w:i/>
                <w:iCs/>
                <w:color w:val="000000"/>
                <w:sz w:val="16"/>
                <w:szCs w:val="16"/>
              </w:rPr>
              <w:t>4,476,606</w:t>
            </w:r>
          </w:p>
        </w:tc>
        <w:tc>
          <w:tcPr>
            <w:tcW w:w="693" w:type="pct"/>
            <w:tcBorders>
              <w:top w:val="single" w:sz="4" w:space="0" w:color="000000"/>
              <w:left w:val="nil"/>
              <w:bottom w:val="single" w:sz="4" w:space="0" w:color="000000"/>
              <w:right w:val="nil"/>
            </w:tcBorders>
            <w:shd w:val="clear" w:color="000000" w:fill="E6E6E6"/>
            <w:noWrap/>
            <w:vAlign w:val="bottom"/>
            <w:hideMark/>
          </w:tcPr>
          <w:p w14:paraId="3CB64BCE" w14:textId="7DED2099" w:rsidR="00173CD7" w:rsidRPr="005D67FD" w:rsidRDefault="00173CD7" w:rsidP="005D67FD">
            <w:pPr>
              <w:spacing w:after="0" w:line="240" w:lineRule="auto"/>
              <w:jc w:val="right"/>
              <w:rPr>
                <w:rFonts w:ascii="Arial" w:hAnsi="Arial" w:cs="Arial"/>
                <w:b/>
                <w:bCs/>
                <w:i/>
                <w:iCs/>
                <w:color w:val="000000"/>
                <w:sz w:val="16"/>
                <w:szCs w:val="16"/>
              </w:rPr>
            </w:pPr>
            <w:r w:rsidRPr="005D67FD">
              <w:rPr>
                <w:rFonts w:ascii="Arial" w:hAnsi="Arial" w:cs="Arial"/>
                <w:b/>
                <w:bCs/>
                <w:i/>
                <w:iCs/>
                <w:color w:val="000000"/>
                <w:sz w:val="16"/>
                <w:szCs w:val="16"/>
              </w:rPr>
              <w:t>4,393,378</w:t>
            </w:r>
          </w:p>
        </w:tc>
        <w:tc>
          <w:tcPr>
            <w:tcW w:w="824" w:type="pct"/>
            <w:gridSpan w:val="2"/>
            <w:tcBorders>
              <w:top w:val="single" w:sz="4" w:space="0" w:color="000000"/>
              <w:left w:val="nil"/>
              <w:bottom w:val="single" w:sz="4" w:space="0" w:color="000000"/>
              <w:right w:val="nil"/>
            </w:tcBorders>
            <w:shd w:val="clear" w:color="auto" w:fill="auto"/>
            <w:noWrap/>
            <w:vAlign w:val="bottom"/>
            <w:hideMark/>
          </w:tcPr>
          <w:p w14:paraId="3886E4CB" w14:textId="0D087F1A" w:rsidR="00173CD7" w:rsidRPr="005D67FD" w:rsidRDefault="00173CD7" w:rsidP="005D67FD">
            <w:pPr>
              <w:spacing w:after="0" w:line="240" w:lineRule="auto"/>
              <w:jc w:val="right"/>
              <w:rPr>
                <w:rFonts w:ascii="Arial" w:hAnsi="Arial" w:cs="Arial"/>
                <w:b/>
                <w:bCs/>
                <w:i/>
                <w:iCs/>
                <w:color w:val="000000"/>
                <w:sz w:val="16"/>
                <w:szCs w:val="16"/>
              </w:rPr>
            </w:pPr>
            <w:r w:rsidRPr="005D67FD">
              <w:rPr>
                <w:rFonts w:ascii="Arial" w:hAnsi="Arial" w:cs="Arial"/>
                <w:b/>
                <w:bCs/>
                <w:i/>
                <w:iCs/>
                <w:color w:val="000000"/>
                <w:sz w:val="16"/>
                <w:szCs w:val="16"/>
              </w:rPr>
              <w:t>4,679,305</w:t>
            </w:r>
          </w:p>
        </w:tc>
        <w:tc>
          <w:tcPr>
            <w:tcW w:w="763" w:type="pct"/>
            <w:gridSpan w:val="2"/>
            <w:tcBorders>
              <w:top w:val="single" w:sz="4" w:space="0" w:color="000000"/>
              <w:left w:val="nil"/>
              <w:bottom w:val="single" w:sz="4" w:space="0" w:color="000000"/>
              <w:right w:val="nil"/>
            </w:tcBorders>
            <w:shd w:val="clear" w:color="auto" w:fill="auto"/>
            <w:noWrap/>
            <w:vAlign w:val="bottom"/>
            <w:hideMark/>
          </w:tcPr>
          <w:p w14:paraId="2A041A1C" w14:textId="1A00C31E" w:rsidR="00173CD7" w:rsidRPr="005D67FD" w:rsidRDefault="00173CD7" w:rsidP="005D67FD">
            <w:pPr>
              <w:spacing w:after="0" w:line="240" w:lineRule="auto"/>
              <w:jc w:val="right"/>
              <w:rPr>
                <w:rFonts w:ascii="Arial" w:hAnsi="Arial" w:cs="Arial"/>
                <w:b/>
                <w:bCs/>
                <w:i/>
                <w:iCs/>
                <w:color w:val="000000"/>
                <w:sz w:val="16"/>
                <w:szCs w:val="16"/>
              </w:rPr>
            </w:pPr>
            <w:r w:rsidRPr="005D67FD">
              <w:rPr>
                <w:rFonts w:ascii="Arial" w:hAnsi="Arial" w:cs="Arial"/>
                <w:b/>
                <w:bCs/>
                <w:i/>
                <w:iCs/>
                <w:color w:val="000000"/>
                <w:sz w:val="16"/>
                <w:szCs w:val="16"/>
              </w:rPr>
              <w:t>3,968,991</w:t>
            </w:r>
          </w:p>
        </w:tc>
        <w:tc>
          <w:tcPr>
            <w:tcW w:w="717" w:type="pct"/>
            <w:tcBorders>
              <w:top w:val="single" w:sz="4" w:space="0" w:color="000000"/>
              <w:left w:val="nil"/>
              <w:bottom w:val="single" w:sz="4" w:space="0" w:color="000000"/>
              <w:right w:val="nil"/>
            </w:tcBorders>
            <w:shd w:val="clear" w:color="auto" w:fill="auto"/>
            <w:noWrap/>
            <w:vAlign w:val="bottom"/>
            <w:hideMark/>
          </w:tcPr>
          <w:p w14:paraId="7A6A8041" w14:textId="2A4A11FE" w:rsidR="00173CD7" w:rsidRPr="005D67FD" w:rsidRDefault="00173CD7" w:rsidP="005D67FD">
            <w:pPr>
              <w:spacing w:after="0" w:line="240" w:lineRule="auto"/>
              <w:jc w:val="right"/>
              <w:rPr>
                <w:rFonts w:ascii="Arial" w:hAnsi="Arial" w:cs="Arial"/>
                <w:b/>
                <w:bCs/>
                <w:i/>
                <w:iCs/>
                <w:color w:val="000000"/>
                <w:sz w:val="16"/>
                <w:szCs w:val="16"/>
              </w:rPr>
            </w:pPr>
            <w:r w:rsidRPr="005D67FD">
              <w:rPr>
                <w:rFonts w:ascii="Arial" w:hAnsi="Arial" w:cs="Arial"/>
                <w:b/>
                <w:bCs/>
                <w:i/>
                <w:iCs/>
                <w:color w:val="000000"/>
                <w:sz w:val="16"/>
                <w:szCs w:val="16"/>
              </w:rPr>
              <w:t>1,990,520</w:t>
            </w:r>
          </w:p>
        </w:tc>
      </w:tr>
      <w:tr w:rsidR="005D67FD" w:rsidRPr="005D67FD" w14:paraId="4C447A65" w14:textId="77777777" w:rsidTr="005D67FD">
        <w:trPr>
          <w:trHeight w:val="204"/>
        </w:trPr>
        <w:tc>
          <w:tcPr>
            <w:tcW w:w="1228" w:type="pct"/>
            <w:tcBorders>
              <w:top w:val="nil"/>
              <w:left w:val="nil"/>
              <w:bottom w:val="single" w:sz="4" w:space="0" w:color="auto"/>
              <w:right w:val="nil"/>
            </w:tcBorders>
            <w:shd w:val="clear" w:color="auto" w:fill="auto"/>
            <w:vAlign w:val="bottom"/>
            <w:hideMark/>
          </w:tcPr>
          <w:p w14:paraId="11F71CF4" w14:textId="76CDF276" w:rsidR="00173CD7" w:rsidRPr="005D67FD" w:rsidRDefault="00173CD7" w:rsidP="00173CD7">
            <w:pPr>
              <w:spacing w:after="0" w:line="240" w:lineRule="auto"/>
              <w:rPr>
                <w:rFonts w:ascii="Arial" w:hAnsi="Arial" w:cs="Arial"/>
                <w:b/>
                <w:bCs/>
                <w:color w:val="000000"/>
                <w:sz w:val="16"/>
                <w:szCs w:val="16"/>
              </w:rPr>
            </w:pPr>
            <w:r w:rsidRPr="005D67FD">
              <w:rPr>
                <w:rFonts w:ascii="Arial" w:hAnsi="Arial" w:cs="Arial"/>
                <w:b/>
                <w:bCs/>
                <w:color w:val="000000"/>
                <w:sz w:val="16"/>
                <w:szCs w:val="16"/>
              </w:rPr>
              <w:t>Net cash from/(used by) investing activities</w:t>
            </w:r>
          </w:p>
        </w:tc>
        <w:tc>
          <w:tcPr>
            <w:tcW w:w="775" w:type="pct"/>
            <w:tcBorders>
              <w:top w:val="nil"/>
              <w:left w:val="nil"/>
              <w:bottom w:val="single" w:sz="4" w:space="0" w:color="auto"/>
              <w:right w:val="nil"/>
            </w:tcBorders>
            <w:shd w:val="clear" w:color="auto" w:fill="auto"/>
            <w:noWrap/>
            <w:vAlign w:val="bottom"/>
            <w:hideMark/>
          </w:tcPr>
          <w:p w14:paraId="501E6FBE" w14:textId="77777777" w:rsidR="00173CD7" w:rsidRPr="005D67FD" w:rsidRDefault="00173CD7" w:rsidP="005D67FD">
            <w:pPr>
              <w:spacing w:after="0" w:line="240" w:lineRule="auto"/>
              <w:jc w:val="right"/>
              <w:rPr>
                <w:rFonts w:ascii="Arial" w:hAnsi="Arial" w:cs="Arial"/>
                <w:b/>
                <w:bCs/>
                <w:color w:val="000000"/>
                <w:sz w:val="16"/>
                <w:szCs w:val="16"/>
              </w:rPr>
            </w:pPr>
            <w:r w:rsidRPr="005D67FD">
              <w:rPr>
                <w:rFonts w:ascii="Arial" w:hAnsi="Arial" w:cs="Arial"/>
                <w:b/>
                <w:bCs/>
                <w:color w:val="000000"/>
                <w:sz w:val="16"/>
                <w:szCs w:val="16"/>
              </w:rPr>
              <w:t>(3,319,714)</w:t>
            </w:r>
          </w:p>
        </w:tc>
        <w:tc>
          <w:tcPr>
            <w:tcW w:w="693" w:type="pct"/>
            <w:tcBorders>
              <w:top w:val="nil"/>
              <w:left w:val="nil"/>
              <w:bottom w:val="single" w:sz="4" w:space="0" w:color="auto"/>
              <w:right w:val="nil"/>
            </w:tcBorders>
            <w:shd w:val="clear" w:color="000000" w:fill="E6E6E6"/>
            <w:noWrap/>
            <w:vAlign w:val="bottom"/>
            <w:hideMark/>
          </w:tcPr>
          <w:p w14:paraId="3AB1A138" w14:textId="76A10AAC" w:rsidR="00173CD7" w:rsidRPr="005D67FD" w:rsidRDefault="00173CD7" w:rsidP="005D67FD">
            <w:pPr>
              <w:spacing w:after="0" w:line="240" w:lineRule="auto"/>
              <w:jc w:val="right"/>
              <w:rPr>
                <w:rFonts w:ascii="Arial" w:hAnsi="Arial" w:cs="Arial"/>
                <w:b/>
                <w:bCs/>
                <w:color w:val="000000"/>
                <w:sz w:val="16"/>
                <w:szCs w:val="16"/>
              </w:rPr>
            </w:pPr>
            <w:r w:rsidRPr="005D67FD">
              <w:rPr>
                <w:rFonts w:ascii="Arial" w:hAnsi="Arial" w:cs="Arial"/>
                <w:b/>
                <w:bCs/>
                <w:color w:val="000000"/>
                <w:sz w:val="16"/>
                <w:szCs w:val="16"/>
              </w:rPr>
              <w:t>1,407,468</w:t>
            </w:r>
          </w:p>
        </w:tc>
        <w:tc>
          <w:tcPr>
            <w:tcW w:w="824" w:type="pct"/>
            <w:gridSpan w:val="2"/>
            <w:tcBorders>
              <w:top w:val="nil"/>
              <w:left w:val="nil"/>
              <w:bottom w:val="single" w:sz="4" w:space="0" w:color="auto"/>
              <w:right w:val="nil"/>
            </w:tcBorders>
            <w:shd w:val="clear" w:color="auto" w:fill="auto"/>
            <w:noWrap/>
            <w:vAlign w:val="bottom"/>
            <w:hideMark/>
          </w:tcPr>
          <w:p w14:paraId="4B82A8FA" w14:textId="77777777" w:rsidR="00173CD7" w:rsidRPr="005D67FD" w:rsidRDefault="00173CD7" w:rsidP="005D67FD">
            <w:pPr>
              <w:spacing w:after="0" w:line="240" w:lineRule="auto"/>
              <w:jc w:val="right"/>
              <w:rPr>
                <w:rFonts w:ascii="Arial" w:hAnsi="Arial" w:cs="Arial"/>
                <w:b/>
                <w:bCs/>
                <w:color w:val="000000"/>
                <w:sz w:val="16"/>
                <w:szCs w:val="16"/>
              </w:rPr>
            </w:pPr>
            <w:r w:rsidRPr="005D67FD">
              <w:rPr>
                <w:rFonts w:ascii="Arial" w:hAnsi="Arial" w:cs="Arial"/>
                <w:b/>
                <w:bCs/>
                <w:color w:val="000000"/>
                <w:sz w:val="16"/>
                <w:szCs w:val="16"/>
              </w:rPr>
              <w:t>(4,574,218)</w:t>
            </w:r>
          </w:p>
        </w:tc>
        <w:tc>
          <w:tcPr>
            <w:tcW w:w="763" w:type="pct"/>
            <w:gridSpan w:val="2"/>
            <w:tcBorders>
              <w:top w:val="nil"/>
              <w:left w:val="nil"/>
              <w:bottom w:val="single" w:sz="4" w:space="0" w:color="auto"/>
              <w:right w:val="nil"/>
            </w:tcBorders>
            <w:shd w:val="clear" w:color="auto" w:fill="auto"/>
            <w:noWrap/>
            <w:vAlign w:val="bottom"/>
            <w:hideMark/>
          </w:tcPr>
          <w:p w14:paraId="6E994B2B" w14:textId="77777777" w:rsidR="00173CD7" w:rsidRPr="005D67FD" w:rsidRDefault="00173CD7" w:rsidP="005D67FD">
            <w:pPr>
              <w:spacing w:after="0" w:line="240" w:lineRule="auto"/>
              <w:jc w:val="right"/>
              <w:rPr>
                <w:rFonts w:ascii="Arial" w:hAnsi="Arial" w:cs="Arial"/>
                <w:b/>
                <w:bCs/>
                <w:color w:val="000000"/>
                <w:sz w:val="16"/>
                <w:szCs w:val="16"/>
              </w:rPr>
            </w:pPr>
            <w:r w:rsidRPr="005D67FD">
              <w:rPr>
                <w:rFonts w:ascii="Arial" w:hAnsi="Arial" w:cs="Arial"/>
                <w:b/>
                <w:bCs/>
                <w:color w:val="000000"/>
                <w:sz w:val="16"/>
                <w:szCs w:val="16"/>
              </w:rPr>
              <w:t>(3,780,602)</w:t>
            </w:r>
          </w:p>
        </w:tc>
        <w:tc>
          <w:tcPr>
            <w:tcW w:w="717" w:type="pct"/>
            <w:tcBorders>
              <w:top w:val="nil"/>
              <w:left w:val="nil"/>
              <w:bottom w:val="single" w:sz="4" w:space="0" w:color="auto"/>
              <w:right w:val="nil"/>
            </w:tcBorders>
            <w:shd w:val="clear" w:color="auto" w:fill="auto"/>
            <w:noWrap/>
            <w:vAlign w:val="bottom"/>
            <w:hideMark/>
          </w:tcPr>
          <w:p w14:paraId="09E5B459" w14:textId="77777777" w:rsidR="00173CD7" w:rsidRPr="005D67FD" w:rsidRDefault="00173CD7" w:rsidP="005D67FD">
            <w:pPr>
              <w:spacing w:after="0" w:line="240" w:lineRule="auto"/>
              <w:jc w:val="right"/>
              <w:rPr>
                <w:rFonts w:ascii="Arial" w:hAnsi="Arial" w:cs="Arial"/>
                <w:b/>
                <w:bCs/>
                <w:color w:val="000000"/>
                <w:sz w:val="16"/>
                <w:szCs w:val="16"/>
              </w:rPr>
            </w:pPr>
            <w:r w:rsidRPr="005D67FD">
              <w:rPr>
                <w:rFonts w:ascii="Arial" w:hAnsi="Arial" w:cs="Arial"/>
                <w:b/>
                <w:bCs/>
                <w:color w:val="000000"/>
                <w:sz w:val="16"/>
                <w:szCs w:val="16"/>
              </w:rPr>
              <w:t>(1,728,347)</w:t>
            </w:r>
          </w:p>
        </w:tc>
      </w:tr>
    </w:tbl>
    <w:p w14:paraId="3140549F" w14:textId="2E933778" w:rsidR="005D67FD" w:rsidRDefault="005D67FD"/>
    <w:p w14:paraId="60C3C394" w14:textId="77777777" w:rsidR="005D67FD" w:rsidRDefault="005D67FD">
      <w:pPr>
        <w:spacing w:after="0" w:line="240" w:lineRule="auto"/>
      </w:pPr>
      <w:r>
        <w:br w:type="page"/>
      </w:r>
    </w:p>
    <w:p w14:paraId="464626A8" w14:textId="636DAFC9" w:rsidR="005D67FD" w:rsidRPr="005D67FD" w:rsidRDefault="005D67FD" w:rsidP="005D67FD">
      <w:pPr>
        <w:spacing w:after="0" w:line="240" w:lineRule="auto"/>
        <w:rPr>
          <w:rStyle w:val="TableHeadingChar"/>
          <w:lang w:val="en-US"/>
        </w:rPr>
      </w:pPr>
      <w:r w:rsidRPr="00187A32">
        <w:rPr>
          <w:rStyle w:val="TableHeadingChar"/>
        </w:rPr>
        <w:lastRenderedPageBreak/>
        <w:t>Table 3.9: Schedule of budgeted administered cash flows (for the period ended 30 June)</w:t>
      </w:r>
      <w:r>
        <w:rPr>
          <w:rStyle w:val="TableHeadingChar"/>
          <w:lang w:val="en-US"/>
        </w:rPr>
        <w:t xml:space="preserve"> (continued)</w:t>
      </w:r>
    </w:p>
    <w:tbl>
      <w:tblPr>
        <w:tblW w:w="4815" w:type="pct"/>
        <w:tblLayout w:type="fixed"/>
        <w:tblLook w:val="04A0" w:firstRow="1" w:lastRow="0" w:firstColumn="1" w:lastColumn="0" w:noHBand="0" w:noVBand="1"/>
      </w:tblPr>
      <w:tblGrid>
        <w:gridCol w:w="1986"/>
        <w:gridCol w:w="1124"/>
        <w:gridCol w:w="1035"/>
        <w:gridCol w:w="967"/>
        <w:gridCol w:w="157"/>
        <w:gridCol w:w="949"/>
        <w:gridCol w:w="175"/>
        <w:gridCol w:w="1032"/>
      </w:tblGrid>
      <w:tr w:rsidR="005D67FD" w:rsidRPr="005D67FD" w14:paraId="4A7E6DE9" w14:textId="77777777" w:rsidTr="005D67FD">
        <w:trPr>
          <w:trHeight w:val="204"/>
        </w:trPr>
        <w:tc>
          <w:tcPr>
            <w:tcW w:w="1337" w:type="pct"/>
            <w:tcBorders>
              <w:top w:val="single" w:sz="4" w:space="0" w:color="auto"/>
              <w:left w:val="nil"/>
              <w:bottom w:val="nil"/>
              <w:right w:val="nil"/>
            </w:tcBorders>
            <w:shd w:val="clear" w:color="auto" w:fill="auto"/>
            <w:noWrap/>
            <w:vAlign w:val="bottom"/>
            <w:hideMark/>
          </w:tcPr>
          <w:p w14:paraId="343A8973" w14:textId="77777777" w:rsidR="005D67FD" w:rsidRPr="005D67FD" w:rsidRDefault="005D67FD" w:rsidP="00530E15">
            <w:pPr>
              <w:spacing w:after="0" w:line="240" w:lineRule="auto"/>
              <w:rPr>
                <w:rFonts w:ascii="Arial" w:hAnsi="Arial" w:cs="Arial"/>
                <w:b/>
                <w:bCs/>
                <w:sz w:val="16"/>
                <w:szCs w:val="16"/>
              </w:rPr>
            </w:pPr>
            <w:r w:rsidRPr="005D67FD">
              <w:rPr>
                <w:rFonts w:ascii="Arial" w:hAnsi="Arial" w:cs="Arial"/>
                <w:b/>
                <w:bCs/>
                <w:sz w:val="16"/>
                <w:szCs w:val="16"/>
              </w:rPr>
              <w:t> </w:t>
            </w:r>
          </w:p>
        </w:tc>
        <w:tc>
          <w:tcPr>
            <w:tcW w:w="757" w:type="pct"/>
            <w:tcBorders>
              <w:top w:val="single" w:sz="4" w:space="0" w:color="auto"/>
              <w:left w:val="nil"/>
              <w:bottom w:val="single" w:sz="4" w:space="0" w:color="auto"/>
              <w:right w:val="nil"/>
            </w:tcBorders>
            <w:shd w:val="clear" w:color="auto" w:fill="auto"/>
            <w:vAlign w:val="bottom"/>
            <w:hideMark/>
          </w:tcPr>
          <w:p w14:paraId="44B7C08B" w14:textId="77777777" w:rsidR="005D67FD" w:rsidRPr="005D67FD" w:rsidRDefault="005D67FD" w:rsidP="00530E15">
            <w:pPr>
              <w:spacing w:after="0" w:line="240" w:lineRule="auto"/>
              <w:jc w:val="right"/>
              <w:rPr>
                <w:rFonts w:ascii="Arial" w:hAnsi="Arial" w:cs="Arial"/>
                <w:sz w:val="16"/>
                <w:szCs w:val="16"/>
              </w:rPr>
            </w:pPr>
            <w:r w:rsidRPr="005D67FD">
              <w:rPr>
                <w:rFonts w:ascii="Arial" w:hAnsi="Arial" w:cs="Arial"/>
                <w:sz w:val="16"/>
                <w:szCs w:val="16"/>
              </w:rPr>
              <w:t>2022-23 Estimated actual</w:t>
            </w:r>
            <w:r w:rsidRPr="005D67FD">
              <w:rPr>
                <w:rFonts w:ascii="Arial" w:hAnsi="Arial" w:cs="Arial"/>
                <w:sz w:val="16"/>
                <w:szCs w:val="16"/>
              </w:rPr>
              <w:br/>
              <w:t>$'000</w:t>
            </w:r>
          </w:p>
        </w:tc>
        <w:tc>
          <w:tcPr>
            <w:tcW w:w="697" w:type="pct"/>
            <w:tcBorders>
              <w:top w:val="single" w:sz="4" w:space="0" w:color="auto"/>
              <w:left w:val="nil"/>
              <w:bottom w:val="single" w:sz="4" w:space="0" w:color="auto"/>
              <w:right w:val="nil"/>
            </w:tcBorders>
            <w:shd w:val="clear" w:color="000000" w:fill="E6E6E6"/>
            <w:vAlign w:val="bottom"/>
            <w:hideMark/>
          </w:tcPr>
          <w:p w14:paraId="58625E13" w14:textId="77777777" w:rsidR="005D67FD" w:rsidRPr="005D67FD" w:rsidRDefault="005D67FD" w:rsidP="00530E15">
            <w:pPr>
              <w:spacing w:after="0" w:line="240" w:lineRule="auto"/>
              <w:jc w:val="right"/>
              <w:rPr>
                <w:rFonts w:ascii="Arial" w:hAnsi="Arial" w:cs="Arial"/>
                <w:sz w:val="16"/>
                <w:szCs w:val="16"/>
              </w:rPr>
            </w:pPr>
            <w:r w:rsidRPr="005D67FD">
              <w:rPr>
                <w:rFonts w:ascii="Arial" w:hAnsi="Arial" w:cs="Arial"/>
                <w:sz w:val="16"/>
                <w:szCs w:val="16"/>
              </w:rPr>
              <w:t>2023-24</w:t>
            </w:r>
            <w:r w:rsidRPr="005D67FD">
              <w:rPr>
                <w:rFonts w:ascii="Arial" w:hAnsi="Arial" w:cs="Arial"/>
                <w:sz w:val="16"/>
                <w:szCs w:val="16"/>
              </w:rPr>
              <w:br/>
              <w:t>Budget</w:t>
            </w:r>
            <w:r w:rsidRPr="005D67FD">
              <w:rPr>
                <w:rFonts w:ascii="Arial" w:hAnsi="Arial" w:cs="Arial"/>
                <w:sz w:val="16"/>
                <w:szCs w:val="16"/>
              </w:rPr>
              <w:br/>
            </w:r>
            <w:r w:rsidRPr="005D67FD">
              <w:rPr>
                <w:rFonts w:ascii="Arial" w:hAnsi="Arial" w:cs="Arial"/>
                <w:sz w:val="16"/>
                <w:szCs w:val="16"/>
              </w:rPr>
              <w:br/>
              <w:t>$'000</w:t>
            </w:r>
          </w:p>
        </w:tc>
        <w:tc>
          <w:tcPr>
            <w:tcW w:w="651" w:type="pct"/>
            <w:tcBorders>
              <w:top w:val="single" w:sz="4" w:space="0" w:color="auto"/>
              <w:left w:val="nil"/>
              <w:bottom w:val="single" w:sz="4" w:space="0" w:color="auto"/>
              <w:right w:val="nil"/>
            </w:tcBorders>
            <w:shd w:val="clear" w:color="auto" w:fill="auto"/>
            <w:vAlign w:val="bottom"/>
            <w:hideMark/>
          </w:tcPr>
          <w:p w14:paraId="50BFE6FA" w14:textId="77777777" w:rsidR="005D67FD" w:rsidRPr="005D67FD" w:rsidRDefault="005D67FD" w:rsidP="00530E15">
            <w:pPr>
              <w:spacing w:after="0" w:line="240" w:lineRule="auto"/>
              <w:jc w:val="right"/>
              <w:rPr>
                <w:rFonts w:ascii="Arial" w:hAnsi="Arial" w:cs="Arial"/>
                <w:sz w:val="16"/>
                <w:szCs w:val="16"/>
              </w:rPr>
            </w:pPr>
            <w:r w:rsidRPr="005D67FD">
              <w:rPr>
                <w:rFonts w:ascii="Arial" w:hAnsi="Arial" w:cs="Arial"/>
                <w:sz w:val="16"/>
                <w:szCs w:val="16"/>
              </w:rPr>
              <w:t>2024-25 Forward estimate</w:t>
            </w:r>
            <w:r w:rsidRPr="005D67FD">
              <w:rPr>
                <w:rFonts w:ascii="Arial" w:hAnsi="Arial" w:cs="Arial"/>
                <w:sz w:val="16"/>
                <w:szCs w:val="16"/>
              </w:rPr>
              <w:br/>
              <w:t>$'000</w:t>
            </w:r>
          </w:p>
        </w:tc>
        <w:tc>
          <w:tcPr>
            <w:tcW w:w="745" w:type="pct"/>
            <w:gridSpan w:val="2"/>
            <w:tcBorders>
              <w:top w:val="single" w:sz="4" w:space="0" w:color="auto"/>
              <w:left w:val="nil"/>
              <w:bottom w:val="single" w:sz="4" w:space="0" w:color="auto"/>
              <w:right w:val="nil"/>
            </w:tcBorders>
            <w:shd w:val="clear" w:color="auto" w:fill="auto"/>
            <w:vAlign w:val="bottom"/>
            <w:hideMark/>
          </w:tcPr>
          <w:p w14:paraId="6D0CEA1F" w14:textId="77777777" w:rsidR="005D67FD" w:rsidRPr="005D67FD" w:rsidRDefault="005D67FD" w:rsidP="00530E15">
            <w:pPr>
              <w:spacing w:after="0" w:line="240" w:lineRule="auto"/>
              <w:jc w:val="right"/>
              <w:rPr>
                <w:rFonts w:ascii="Arial" w:hAnsi="Arial" w:cs="Arial"/>
                <w:sz w:val="16"/>
                <w:szCs w:val="16"/>
              </w:rPr>
            </w:pPr>
            <w:r w:rsidRPr="005D67FD">
              <w:rPr>
                <w:rFonts w:ascii="Arial" w:hAnsi="Arial" w:cs="Arial"/>
                <w:sz w:val="16"/>
                <w:szCs w:val="16"/>
              </w:rPr>
              <w:t>2025-26 Forward estimate</w:t>
            </w:r>
            <w:r w:rsidRPr="005D67FD">
              <w:rPr>
                <w:rFonts w:ascii="Arial" w:hAnsi="Arial" w:cs="Arial"/>
                <w:sz w:val="16"/>
                <w:szCs w:val="16"/>
              </w:rPr>
              <w:br/>
              <w:t>$'000</w:t>
            </w:r>
          </w:p>
        </w:tc>
        <w:tc>
          <w:tcPr>
            <w:tcW w:w="813" w:type="pct"/>
            <w:gridSpan w:val="2"/>
            <w:tcBorders>
              <w:top w:val="single" w:sz="4" w:space="0" w:color="auto"/>
              <w:left w:val="nil"/>
              <w:bottom w:val="single" w:sz="4" w:space="0" w:color="auto"/>
              <w:right w:val="nil"/>
            </w:tcBorders>
            <w:shd w:val="clear" w:color="auto" w:fill="auto"/>
            <w:vAlign w:val="bottom"/>
            <w:hideMark/>
          </w:tcPr>
          <w:p w14:paraId="237E9748" w14:textId="77777777" w:rsidR="005D67FD" w:rsidRPr="005D67FD" w:rsidRDefault="005D67FD" w:rsidP="005D67FD">
            <w:pPr>
              <w:spacing w:after="0" w:line="240" w:lineRule="auto"/>
              <w:ind w:left="-117"/>
              <w:jc w:val="right"/>
              <w:rPr>
                <w:rFonts w:ascii="Arial" w:hAnsi="Arial" w:cs="Arial"/>
                <w:sz w:val="16"/>
                <w:szCs w:val="16"/>
              </w:rPr>
            </w:pPr>
            <w:r w:rsidRPr="005D67FD">
              <w:rPr>
                <w:rFonts w:ascii="Arial" w:hAnsi="Arial" w:cs="Arial"/>
                <w:sz w:val="16"/>
                <w:szCs w:val="16"/>
              </w:rPr>
              <w:t>2026-27</w:t>
            </w:r>
            <w:r w:rsidRPr="005D67FD">
              <w:rPr>
                <w:rFonts w:ascii="Arial" w:hAnsi="Arial" w:cs="Arial"/>
                <w:sz w:val="16"/>
                <w:szCs w:val="16"/>
              </w:rPr>
              <w:br/>
              <w:t>Forward estimate</w:t>
            </w:r>
            <w:r w:rsidRPr="005D67FD">
              <w:rPr>
                <w:rFonts w:ascii="Arial" w:hAnsi="Arial" w:cs="Arial"/>
                <w:sz w:val="16"/>
                <w:szCs w:val="16"/>
              </w:rPr>
              <w:br/>
              <w:t>$'000</w:t>
            </w:r>
          </w:p>
        </w:tc>
      </w:tr>
      <w:tr w:rsidR="005D67FD" w:rsidRPr="005D67FD" w14:paraId="2519D45A" w14:textId="77777777" w:rsidTr="005D67FD">
        <w:trPr>
          <w:trHeight w:val="204"/>
        </w:trPr>
        <w:tc>
          <w:tcPr>
            <w:tcW w:w="1337" w:type="pct"/>
            <w:tcBorders>
              <w:top w:val="nil"/>
              <w:left w:val="nil"/>
              <w:bottom w:val="nil"/>
              <w:right w:val="nil"/>
            </w:tcBorders>
            <w:shd w:val="clear" w:color="auto" w:fill="auto"/>
            <w:vAlign w:val="bottom"/>
            <w:hideMark/>
          </w:tcPr>
          <w:p w14:paraId="04E49311" w14:textId="1C40BD6E" w:rsidR="00173CD7" w:rsidRPr="005D67FD" w:rsidRDefault="00173CD7" w:rsidP="00173CD7">
            <w:pPr>
              <w:spacing w:after="0" w:line="240" w:lineRule="auto"/>
              <w:rPr>
                <w:rFonts w:ascii="Arial" w:hAnsi="Arial" w:cs="Arial"/>
                <w:b/>
                <w:bCs/>
                <w:i/>
                <w:iCs/>
                <w:color w:val="000000"/>
                <w:sz w:val="16"/>
                <w:szCs w:val="16"/>
              </w:rPr>
            </w:pPr>
            <w:r w:rsidRPr="005D67FD">
              <w:rPr>
                <w:rFonts w:ascii="Arial" w:hAnsi="Arial" w:cs="Arial"/>
                <w:b/>
                <w:bCs/>
                <w:i/>
                <w:iCs/>
                <w:color w:val="000000"/>
                <w:sz w:val="16"/>
                <w:szCs w:val="16"/>
              </w:rPr>
              <w:t>Net increase/</w:t>
            </w:r>
            <w:r w:rsidR="005D67FD">
              <w:rPr>
                <w:rFonts w:ascii="Arial" w:hAnsi="Arial" w:cs="Arial"/>
                <w:b/>
                <w:bCs/>
                <w:i/>
                <w:iCs/>
                <w:color w:val="000000"/>
                <w:sz w:val="16"/>
                <w:szCs w:val="16"/>
              </w:rPr>
              <w:t xml:space="preserve"> </w:t>
            </w:r>
            <w:r w:rsidRPr="005D67FD">
              <w:rPr>
                <w:rFonts w:ascii="Arial" w:hAnsi="Arial" w:cs="Arial"/>
                <w:b/>
                <w:bCs/>
                <w:i/>
                <w:iCs/>
                <w:color w:val="000000"/>
                <w:sz w:val="16"/>
                <w:szCs w:val="16"/>
              </w:rPr>
              <w:t>(decrease) in cash held</w:t>
            </w:r>
          </w:p>
        </w:tc>
        <w:tc>
          <w:tcPr>
            <w:tcW w:w="757" w:type="pct"/>
            <w:tcBorders>
              <w:top w:val="nil"/>
              <w:left w:val="nil"/>
              <w:bottom w:val="single" w:sz="4" w:space="0" w:color="auto"/>
              <w:right w:val="nil"/>
            </w:tcBorders>
            <w:shd w:val="clear" w:color="auto" w:fill="auto"/>
            <w:noWrap/>
            <w:vAlign w:val="bottom"/>
            <w:hideMark/>
          </w:tcPr>
          <w:p w14:paraId="4FEAA082" w14:textId="77777777" w:rsidR="00173CD7" w:rsidRPr="005D67FD" w:rsidRDefault="00173CD7" w:rsidP="005D67FD">
            <w:pPr>
              <w:spacing w:after="0" w:line="240" w:lineRule="auto"/>
              <w:jc w:val="right"/>
              <w:rPr>
                <w:rFonts w:ascii="Arial" w:hAnsi="Arial" w:cs="Arial"/>
                <w:b/>
                <w:bCs/>
                <w:i/>
                <w:iCs/>
                <w:color w:val="000000"/>
                <w:sz w:val="16"/>
                <w:szCs w:val="16"/>
              </w:rPr>
            </w:pPr>
            <w:r w:rsidRPr="005D67FD">
              <w:rPr>
                <w:rFonts w:ascii="Arial" w:hAnsi="Arial" w:cs="Arial"/>
                <w:b/>
                <w:bCs/>
                <w:i/>
                <w:iCs/>
                <w:color w:val="000000"/>
                <w:sz w:val="16"/>
                <w:szCs w:val="16"/>
              </w:rPr>
              <w:t>(10,624,372)</w:t>
            </w:r>
          </w:p>
        </w:tc>
        <w:tc>
          <w:tcPr>
            <w:tcW w:w="697" w:type="pct"/>
            <w:tcBorders>
              <w:top w:val="nil"/>
              <w:left w:val="nil"/>
              <w:bottom w:val="single" w:sz="4" w:space="0" w:color="auto"/>
              <w:right w:val="nil"/>
            </w:tcBorders>
            <w:shd w:val="clear" w:color="000000" w:fill="E6E6E6"/>
            <w:noWrap/>
            <w:vAlign w:val="bottom"/>
            <w:hideMark/>
          </w:tcPr>
          <w:p w14:paraId="771C87EF" w14:textId="77777777" w:rsidR="00173CD7" w:rsidRPr="005D67FD" w:rsidRDefault="00173CD7" w:rsidP="005D67FD">
            <w:pPr>
              <w:spacing w:after="0" w:line="240" w:lineRule="auto"/>
              <w:jc w:val="right"/>
              <w:rPr>
                <w:rFonts w:ascii="Arial" w:hAnsi="Arial" w:cs="Arial"/>
                <w:b/>
                <w:bCs/>
                <w:i/>
                <w:iCs/>
                <w:color w:val="000000"/>
                <w:sz w:val="16"/>
                <w:szCs w:val="16"/>
              </w:rPr>
            </w:pPr>
            <w:r w:rsidRPr="005D67FD">
              <w:rPr>
                <w:rFonts w:ascii="Arial" w:hAnsi="Arial" w:cs="Arial"/>
                <w:b/>
                <w:bCs/>
                <w:i/>
                <w:iCs/>
                <w:color w:val="000000"/>
                <w:sz w:val="16"/>
                <w:szCs w:val="16"/>
              </w:rPr>
              <w:t>(7,837,817)</w:t>
            </w:r>
          </w:p>
        </w:tc>
        <w:tc>
          <w:tcPr>
            <w:tcW w:w="757" w:type="pct"/>
            <w:gridSpan w:val="2"/>
            <w:tcBorders>
              <w:top w:val="nil"/>
              <w:left w:val="nil"/>
              <w:bottom w:val="single" w:sz="4" w:space="0" w:color="auto"/>
              <w:right w:val="nil"/>
            </w:tcBorders>
            <w:shd w:val="clear" w:color="auto" w:fill="auto"/>
            <w:noWrap/>
            <w:vAlign w:val="bottom"/>
            <w:hideMark/>
          </w:tcPr>
          <w:p w14:paraId="1C97E240" w14:textId="77777777" w:rsidR="00173CD7" w:rsidRPr="005D67FD" w:rsidRDefault="00173CD7" w:rsidP="005D67FD">
            <w:pPr>
              <w:spacing w:after="0" w:line="240" w:lineRule="auto"/>
              <w:jc w:val="right"/>
              <w:rPr>
                <w:rFonts w:ascii="Arial" w:hAnsi="Arial" w:cs="Arial"/>
                <w:b/>
                <w:bCs/>
                <w:i/>
                <w:iCs/>
                <w:color w:val="000000"/>
                <w:sz w:val="16"/>
                <w:szCs w:val="16"/>
              </w:rPr>
            </w:pPr>
            <w:r w:rsidRPr="005D67FD">
              <w:rPr>
                <w:rFonts w:ascii="Arial" w:hAnsi="Arial" w:cs="Arial"/>
                <w:b/>
                <w:bCs/>
                <w:i/>
                <w:iCs/>
                <w:color w:val="000000"/>
                <w:sz w:val="16"/>
                <w:szCs w:val="16"/>
              </w:rPr>
              <w:t>(13,692,637)</w:t>
            </w:r>
          </w:p>
        </w:tc>
        <w:tc>
          <w:tcPr>
            <w:tcW w:w="757" w:type="pct"/>
            <w:gridSpan w:val="2"/>
            <w:tcBorders>
              <w:top w:val="nil"/>
              <w:left w:val="nil"/>
              <w:bottom w:val="single" w:sz="4" w:space="0" w:color="auto"/>
              <w:right w:val="nil"/>
            </w:tcBorders>
            <w:shd w:val="clear" w:color="auto" w:fill="auto"/>
            <w:noWrap/>
            <w:vAlign w:val="bottom"/>
            <w:hideMark/>
          </w:tcPr>
          <w:p w14:paraId="09CF5FA2" w14:textId="77777777" w:rsidR="00173CD7" w:rsidRPr="005D67FD" w:rsidRDefault="00173CD7" w:rsidP="005D67FD">
            <w:pPr>
              <w:spacing w:after="0" w:line="240" w:lineRule="auto"/>
              <w:ind w:left="-117"/>
              <w:jc w:val="right"/>
              <w:rPr>
                <w:rFonts w:ascii="Arial" w:hAnsi="Arial" w:cs="Arial"/>
                <w:b/>
                <w:bCs/>
                <w:i/>
                <w:iCs/>
                <w:color w:val="000000"/>
                <w:sz w:val="16"/>
                <w:szCs w:val="16"/>
              </w:rPr>
            </w:pPr>
            <w:r w:rsidRPr="005D67FD">
              <w:rPr>
                <w:rFonts w:ascii="Arial" w:hAnsi="Arial" w:cs="Arial"/>
                <w:b/>
                <w:bCs/>
                <w:i/>
                <w:iCs/>
                <w:color w:val="000000"/>
                <w:sz w:val="16"/>
                <w:szCs w:val="16"/>
              </w:rPr>
              <w:t>(13,032,142)</w:t>
            </w:r>
          </w:p>
        </w:tc>
        <w:tc>
          <w:tcPr>
            <w:tcW w:w="696" w:type="pct"/>
            <w:tcBorders>
              <w:top w:val="nil"/>
              <w:left w:val="nil"/>
              <w:bottom w:val="single" w:sz="4" w:space="0" w:color="auto"/>
              <w:right w:val="nil"/>
            </w:tcBorders>
            <w:shd w:val="clear" w:color="auto" w:fill="auto"/>
            <w:noWrap/>
            <w:vAlign w:val="bottom"/>
            <w:hideMark/>
          </w:tcPr>
          <w:p w14:paraId="73948E09" w14:textId="77777777" w:rsidR="00173CD7" w:rsidRPr="005D67FD" w:rsidRDefault="00173CD7" w:rsidP="005D67FD">
            <w:pPr>
              <w:spacing w:after="0" w:line="240" w:lineRule="auto"/>
              <w:ind w:left="-117"/>
              <w:jc w:val="right"/>
              <w:rPr>
                <w:rFonts w:ascii="Arial" w:hAnsi="Arial" w:cs="Arial"/>
                <w:b/>
                <w:bCs/>
                <w:i/>
                <w:iCs/>
                <w:color w:val="000000"/>
                <w:sz w:val="16"/>
                <w:szCs w:val="16"/>
              </w:rPr>
            </w:pPr>
            <w:r w:rsidRPr="005D67FD">
              <w:rPr>
                <w:rFonts w:ascii="Arial" w:hAnsi="Arial" w:cs="Arial"/>
                <w:b/>
                <w:bCs/>
                <w:i/>
                <w:iCs/>
                <w:color w:val="000000"/>
                <w:sz w:val="16"/>
                <w:szCs w:val="16"/>
              </w:rPr>
              <w:t>(9,715,239)</w:t>
            </w:r>
          </w:p>
        </w:tc>
      </w:tr>
      <w:tr w:rsidR="005D67FD" w:rsidRPr="005D67FD" w14:paraId="5A616EC9" w14:textId="77777777" w:rsidTr="005D67FD">
        <w:trPr>
          <w:trHeight w:val="204"/>
        </w:trPr>
        <w:tc>
          <w:tcPr>
            <w:tcW w:w="1337" w:type="pct"/>
            <w:tcBorders>
              <w:top w:val="nil"/>
              <w:left w:val="nil"/>
              <w:bottom w:val="nil"/>
              <w:right w:val="nil"/>
            </w:tcBorders>
            <w:shd w:val="clear" w:color="auto" w:fill="auto"/>
            <w:vAlign w:val="bottom"/>
            <w:hideMark/>
          </w:tcPr>
          <w:p w14:paraId="6AF43584" w14:textId="25E110CD" w:rsidR="00173CD7" w:rsidRPr="005D67FD" w:rsidRDefault="00173CD7" w:rsidP="005D67FD">
            <w:pPr>
              <w:spacing w:after="0" w:line="240" w:lineRule="auto"/>
              <w:ind w:left="113"/>
              <w:rPr>
                <w:rFonts w:ascii="Arial" w:hAnsi="Arial" w:cs="Arial"/>
                <w:color w:val="000000"/>
                <w:sz w:val="16"/>
                <w:szCs w:val="16"/>
              </w:rPr>
            </w:pPr>
            <w:r w:rsidRPr="005D67FD">
              <w:rPr>
                <w:rFonts w:ascii="Arial" w:hAnsi="Arial" w:cs="Arial"/>
                <w:color w:val="000000"/>
                <w:sz w:val="16"/>
                <w:szCs w:val="16"/>
              </w:rPr>
              <w:t>Cash and cash equivalents at beginning of reporting period</w:t>
            </w:r>
          </w:p>
        </w:tc>
        <w:tc>
          <w:tcPr>
            <w:tcW w:w="757" w:type="pct"/>
            <w:tcBorders>
              <w:top w:val="nil"/>
              <w:left w:val="nil"/>
              <w:bottom w:val="nil"/>
              <w:right w:val="nil"/>
            </w:tcBorders>
            <w:shd w:val="clear" w:color="auto" w:fill="auto"/>
            <w:noWrap/>
            <w:vAlign w:val="bottom"/>
            <w:hideMark/>
          </w:tcPr>
          <w:p w14:paraId="35B60B54" w14:textId="2CB92B7D" w:rsidR="00173CD7" w:rsidRPr="005D67FD" w:rsidRDefault="00173CD7"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50,039</w:t>
            </w:r>
          </w:p>
        </w:tc>
        <w:tc>
          <w:tcPr>
            <w:tcW w:w="697" w:type="pct"/>
            <w:tcBorders>
              <w:top w:val="nil"/>
              <w:left w:val="nil"/>
              <w:bottom w:val="nil"/>
              <w:right w:val="nil"/>
            </w:tcBorders>
            <w:shd w:val="clear" w:color="000000" w:fill="E6E6E6"/>
            <w:noWrap/>
            <w:vAlign w:val="bottom"/>
            <w:hideMark/>
          </w:tcPr>
          <w:p w14:paraId="23DD7174" w14:textId="56C61E12" w:rsidR="00173CD7" w:rsidRPr="005D67FD" w:rsidRDefault="00173CD7"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50,039</w:t>
            </w:r>
          </w:p>
        </w:tc>
        <w:tc>
          <w:tcPr>
            <w:tcW w:w="757" w:type="pct"/>
            <w:gridSpan w:val="2"/>
            <w:tcBorders>
              <w:top w:val="nil"/>
              <w:left w:val="nil"/>
              <w:bottom w:val="nil"/>
              <w:right w:val="nil"/>
            </w:tcBorders>
            <w:shd w:val="clear" w:color="auto" w:fill="auto"/>
            <w:noWrap/>
            <w:vAlign w:val="bottom"/>
            <w:hideMark/>
          </w:tcPr>
          <w:p w14:paraId="0156441D" w14:textId="097C7335" w:rsidR="00173CD7" w:rsidRPr="005D67FD" w:rsidRDefault="00173CD7"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50,039</w:t>
            </w:r>
          </w:p>
        </w:tc>
        <w:tc>
          <w:tcPr>
            <w:tcW w:w="757" w:type="pct"/>
            <w:gridSpan w:val="2"/>
            <w:tcBorders>
              <w:top w:val="nil"/>
              <w:left w:val="nil"/>
              <w:bottom w:val="nil"/>
              <w:right w:val="nil"/>
            </w:tcBorders>
            <w:shd w:val="clear" w:color="auto" w:fill="auto"/>
            <w:noWrap/>
            <w:vAlign w:val="bottom"/>
            <w:hideMark/>
          </w:tcPr>
          <w:p w14:paraId="657FBF42" w14:textId="065C637E" w:rsidR="00173CD7" w:rsidRPr="005D67FD" w:rsidRDefault="00173CD7" w:rsidP="005D67FD">
            <w:pPr>
              <w:spacing w:after="0" w:line="240" w:lineRule="auto"/>
              <w:ind w:left="-117"/>
              <w:jc w:val="right"/>
              <w:rPr>
                <w:rFonts w:ascii="Arial" w:hAnsi="Arial" w:cs="Arial"/>
                <w:color w:val="000000"/>
                <w:sz w:val="16"/>
                <w:szCs w:val="16"/>
              </w:rPr>
            </w:pPr>
            <w:r w:rsidRPr="005D67FD">
              <w:rPr>
                <w:rFonts w:ascii="Arial" w:hAnsi="Arial" w:cs="Arial"/>
                <w:color w:val="000000"/>
                <w:sz w:val="16"/>
                <w:szCs w:val="16"/>
              </w:rPr>
              <w:t>50,039</w:t>
            </w:r>
          </w:p>
        </w:tc>
        <w:tc>
          <w:tcPr>
            <w:tcW w:w="696" w:type="pct"/>
            <w:tcBorders>
              <w:top w:val="nil"/>
              <w:left w:val="nil"/>
              <w:bottom w:val="nil"/>
              <w:right w:val="nil"/>
            </w:tcBorders>
            <w:shd w:val="clear" w:color="auto" w:fill="auto"/>
            <w:noWrap/>
            <w:vAlign w:val="bottom"/>
            <w:hideMark/>
          </w:tcPr>
          <w:p w14:paraId="70D9460E" w14:textId="216184D5" w:rsidR="00173CD7" w:rsidRPr="005D67FD" w:rsidRDefault="00173CD7" w:rsidP="005D67FD">
            <w:pPr>
              <w:spacing w:after="0" w:line="240" w:lineRule="auto"/>
              <w:ind w:left="-117"/>
              <w:jc w:val="right"/>
              <w:rPr>
                <w:rFonts w:ascii="Arial" w:hAnsi="Arial" w:cs="Arial"/>
                <w:color w:val="000000"/>
                <w:sz w:val="16"/>
                <w:szCs w:val="16"/>
              </w:rPr>
            </w:pPr>
            <w:r w:rsidRPr="005D67FD">
              <w:rPr>
                <w:rFonts w:ascii="Arial" w:hAnsi="Arial" w:cs="Arial"/>
                <w:color w:val="000000"/>
                <w:sz w:val="16"/>
                <w:szCs w:val="16"/>
              </w:rPr>
              <w:t>50,039</w:t>
            </w:r>
          </w:p>
        </w:tc>
      </w:tr>
      <w:tr w:rsidR="005D67FD" w:rsidRPr="005D67FD" w14:paraId="7AAA3AC5" w14:textId="77777777" w:rsidTr="005D67FD">
        <w:trPr>
          <w:trHeight w:val="204"/>
        </w:trPr>
        <w:tc>
          <w:tcPr>
            <w:tcW w:w="1337" w:type="pct"/>
            <w:tcBorders>
              <w:top w:val="nil"/>
              <w:left w:val="nil"/>
              <w:bottom w:val="nil"/>
              <w:right w:val="nil"/>
            </w:tcBorders>
            <w:shd w:val="clear" w:color="auto" w:fill="auto"/>
            <w:vAlign w:val="bottom"/>
            <w:hideMark/>
          </w:tcPr>
          <w:p w14:paraId="66E3FDD8" w14:textId="77777777" w:rsidR="00173CD7" w:rsidRPr="005D67FD" w:rsidRDefault="00173CD7" w:rsidP="005D67FD">
            <w:pPr>
              <w:spacing w:after="0" w:line="240" w:lineRule="auto"/>
              <w:ind w:left="113"/>
              <w:rPr>
                <w:rFonts w:ascii="Arial" w:hAnsi="Arial" w:cs="Arial"/>
                <w:color w:val="000000"/>
                <w:sz w:val="16"/>
                <w:szCs w:val="16"/>
              </w:rPr>
            </w:pPr>
            <w:r w:rsidRPr="005D67FD">
              <w:rPr>
                <w:rFonts w:ascii="Arial" w:hAnsi="Arial" w:cs="Arial"/>
                <w:color w:val="000000"/>
                <w:sz w:val="16"/>
                <w:szCs w:val="16"/>
              </w:rPr>
              <w:t>Cash from Official Public Account for:</w:t>
            </w:r>
          </w:p>
        </w:tc>
        <w:tc>
          <w:tcPr>
            <w:tcW w:w="757" w:type="pct"/>
            <w:tcBorders>
              <w:top w:val="nil"/>
              <w:left w:val="nil"/>
              <w:bottom w:val="nil"/>
              <w:right w:val="nil"/>
            </w:tcBorders>
            <w:shd w:val="clear" w:color="auto" w:fill="auto"/>
            <w:noWrap/>
            <w:vAlign w:val="bottom"/>
            <w:hideMark/>
          </w:tcPr>
          <w:p w14:paraId="538E25BA" w14:textId="77777777" w:rsidR="00173CD7" w:rsidRPr="005D67FD" w:rsidRDefault="00173CD7" w:rsidP="005D67FD">
            <w:pPr>
              <w:spacing w:after="0" w:line="240" w:lineRule="auto"/>
              <w:ind w:firstLineChars="200" w:firstLine="320"/>
              <w:jc w:val="right"/>
              <w:rPr>
                <w:rFonts w:ascii="Arial" w:hAnsi="Arial" w:cs="Arial"/>
                <w:color w:val="000000"/>
                <w:sz w:val="16"/>
                <w:szCs w:val="16"/>
              </w:rPr>
            </w:pPr>
          </w:p>
        </w:tc>
        <w:tc>
          <w:tcPr>
            <w:tcW w:w="697" w:type="pct"/>
            <w:tcBorders>
              <w:top w:val="nil"/>
              <w:left w:val="nil"/>
              <w:bottom w:val="nil"/>
              <w:right w:val="nil"/>
            </w:tcBorders>
            <w:shd w:val="clear" w:color="000000" w:fill="E6E6E6"/>
            <w:noWrap/>
            <w:vAlign w:val="bottom"/>
            <w:hideMark/>
          </w:tcPr>
          <w:p w14:paraId="0F4A3DBE" w14:textId="3531B1BA" w:rsidR="00173CD7" w:rsidRPr="005D67FD" w:rsidRDefault="00173CD7" w:rsidP="005D67FD">
            <w:pPr>
              <w:spacing w:after="0" w:line="240" w:lineRule="auto"/>
              <w:jc w:val="right"/>
              <w:rPr>
                <w:rFonts w:ascii="Arial" w:hAnsi="Arial" w:cs="Arial"/>
                <w:color w:val="000000"/>
                <w:sz w:val="16"/>
                <w:szCs w:val="16"/>
              </w:rPr>
            </w:pPr>
          </w:p>
        </w:tc>
        <w:tc>
          <w:tcPr>
            <w:tcW w:w="757" w:type="pct"/>
            <w:gridSpan w:val="2"/>
            <w:tcBorders>
              <w:top w:val="nil"/>
              <w:left w:val="nil"/>
              <w:bottom w:val="nil"/>
              <w:right w:val="nil"/>
            </w:tcBorders>
            <w:shd w:val="clear" w:color="auto" w:fill="auto"/>
            <w:noWrap/>
            <w:vAlign w:val="bottom"/>
            <w:hideMark/>
          </w:tcPr>
          <w:p w14:paraId="2E2F6E74" w14:textId="77777777" w:rsidR="00173CD7" w:rsidRPr="005D67FD" w:rsidRDefault="00173CD7" w:rsidP="005D67FD">
            <w:pPr>
              <w:spacing w:after="0" w:line="240" w:lineRule="auto"/>
              <w:jc w:val="right"/>
              <w:rPr>
                <w:rFonts w:ascii="Arial" w:hAnsi="Arial" w:cs="Arial"/>
                <w:color w:val="000000"/>
                <w:sz w:val="16"/>
                <w:szCs w:val="16"/>
              </w:rPr>
            </w:pPr>
          </w:p>
        </w:tc>
        <w:tc>
          <w:tcPr>
            <w:tcW w:w="757" w:type="pct"/>
            <w:gridSpan w:val="2"/>
            <w:tcBorders>
              <w:top w:val="nil"/>
              <w:left w:val="nil"/>
              <w:bottom w:val="nil"/>
              <w:right w:val="nil"/>
            </w:tcBorders>
            <w:shd w:val="clear" w:color="auto" w:fill="auto"/>
            <w:noWrap/>
            <w:vAlign w:val="bottom"/>
            <w:hideMark/>
          </w:tcPr>
          <w:p w14:paraId="6CAD161B" w14:textId="77777777" w:rsidR="00173CD7" w:rsidRPr="005D67FD" w:rsidRDefault="00173CD7" w:rsidP="005D67FD">
            <w:pPr>
              <w:spacing w:after="0" w:line="240" w:lineRule="auto"/>
              <w:ind w:left="-117"/>
              <w:jc w:val="right"/>
              <w:rPr>
                <w:rFonts w:ascii="Arial" w:hAnsi="Arial" w:cs="Arial"/>
                <w:sz w:val="16"/>
                <w:szCs w:val="16"/>
              </w:rPr>
            </w:pPr>
          </w:p>
        </w:tc>
        <w:tc>
          <w:tcPr>
            <w:tcW w:w="696" w:type="pct"/>
            <w:tcBorders>
              <w:top w:val="nil"/>
              <w:left w:val="nil"/>
              <w:bottom w:val="nil"/>
              <w:right w:val="nil"/>
            </w:tcBorders>
            <w:shd w:val="clear" w:color="auto" w:fill="auto"/>
            <w:noWrap/>
            <w:vAlign w:val="bottom"/>
            <w:hideMark/>
          </w:tcPr>
          <w:p w14:paraId="4735EBF7" w14:textId="77777777" w:rsidR="00173CD7" w:rsidRPr="005D67FD" w:rsidRDefault="00173CD7" w:rsidP="005D67FD">
            <w:pPr>
              <w:spacing w:after="0" w:line="240" w:lineRule="auto"/>
              <w:ind w:left="-117"/>
              <w:jc w:val="right"/>
              <w:rPr>
                <w:rFonts w:ascii="Arial" w:hAnsi="Arial" w:cs="Arial"/>
                <w:sz w:val="16"/>
                <w:szCs w:val="16"/>
              </w:rPr>
            </w:pPr>
          </w:p>
        </w:tc>
      </w:tr>
      <w:tr w:rsidR="005D67FD" w:rsidRPr="005D67FD" w14:paraId="2B8D5A69" w14:textId="77777777" w:rsidTr="005D67FD">
        <w:trPr>
          <w:trHeight w:val="204"/>
        </w:trPr>
        <w:tc>
          <w:tcPr>
            <w:tcW w:w="1337" w:type="pct"/>
            <w:tcBorders>
              <w:top w:val="nil"/>
              <w:left w:val="nil"/>
              <w:bottom w:val="nil"/>
              <w:right w:val="nil"/>
            </w:tcBorders>
            <w:shd w:val="clear" w:color="auto" w:fill="auto"/>
            <w:noWrap/>
            <w:vAlign w:val="bottom"/>
            <w:hideMark/>
          </w:tcPr>
          <w:p w14:paraId="6F9D81D0" w14:textId="77777777" w:rsidR="00173CD7" w:rsidRPr="005D67FD" w:rsidRDefault="00173CD7" w:rsidP="005D67FD">
            <w:pPr>
              <w:spacing w:after="0" w:line="240" w:lineRule="auto"/>
              <w:ind w:left="227"/>
              <w:rPr>
                <w:rFonts w:ascii="Arial" w:hAnsi="Arial" w:cs="Arial"/>
                <w:color w:val="000000"/>
                <w:sz w:val="16"/>
                <w:szCs w:val="16"/>
              </w:rPr>
            </w:pPr>
            <w:r w:rsidRPr="005D67FD">
              <w:rPr>
                <w:rFonts w:ascii="Arial" w:hAnsi="Arial" w:cs="Arial"/>
                <w:color w:val="000000"/>
                <w:sz w:val="16"/>
                <w:szCs w:val="16"/>
              </w:rPr>
              <w:t>- Appropriations</w:t>
            </w:r>
          </w:p>
        </w:tc>
        <w:tc>
          <w:tcPr>
            <w:tcW w:w="757" w:type="pct"/>
            <w:tcBorders>
              <w:top w:val="nil"/>
              <w:left w:val="nil"/>
              <w:bottom w:val="nil"/>
              <w:right w:val="nil"/>
            </w:tcBorders>
            <w:shd w:val="clear" w:color="auto" w:fill="auto"/>
            <w:noWrap/>
            <w:vAlign w:val="bottom"/>
            <w:hideMark/>
          </w:tcPr>
          <w:p w14:paraId="0889F849" w14:textId="4E7BF7F3" w:rsidR="00173CD7" w:rsidRPr="005D67FD" w:rsidRDefault="00173CD7"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11,040,619</w:t>
            </w:r>
          </w:p>
        </w:tc>
        <w:tc>
          <w:tcPr>
            <w:tcW w:w="697" w:type="pct"/>
            <w:tcBorders>
              <w:top w:val="nil"/>
              <w:left w:val="nil"/>
              <w:bottom w:val="nil"/>
              <w:right w:val="nil"/>
            </w:tcBorders>
            <w:shd w:val="clear" w:color="000000" w:fill="E6E6E6"/>
            <w:noWrap/>
            <w:vAlign w:val="bottom"/>
            <w:hideMark/>
          </w:tcPr>
          <w:p w14:paraId="3006B567" w14:textId="04E3F4C8" w:rsidR="00173CD7" w:rsidRPr="005D67FD" w:rsidRDefault="00173CD7"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8,298,988</w:t>
            </w:r>
          </w:p>
        </w:tc>
        <w:tc>
          <w:tcPr>
            <w:tcW w:w="757" w:type="pct"/>
            <w:gridSpan w:val="2"/>
            <w:tcBorders>
              <w:top w:val="nil"/>
              <w:left w:val="nil"/>
              <w:bottom w:val="nil"/>
              <w:right w:val="nil"/>
            </w:tcBorders>
            <w:shd w:val="clear" w:color="auto" w:fill="auto"/>
            <w:noWrap/>
            <w:vAlign w:val="bottom"/>
            <w:hideMark/>
          </w:tcPr>
          <w:p w14:paraId="0C6A02B1" w14:textId="3832456B" w:rsidR="00173CD7" w:rsidRPr="005D67FD" w:rsidRDefault="00173CD7"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13,888,299</w:t>
            </w:r>
          </w:p>
        </w:tc>
        <w:tc>
          <w:tcPr>
            <w:tcW w:w="757" w:type="pct"/>
            <w:gridSpan w:val="2"/>
            <w:tcBorders>
              <w:top w:val="nil"/>
              <w:left w:val="nil"/>
              <w:bottom w:val="nil"/>
              <w:right w:val="nil"/>
            </w:tcBorders>
            <w:shd w:val="clear" w:color="auto" w:fill="auto"/>
            <w:noWrap/>
            <w:vAlign w:val="bottom"/>
            <w:hideMark/>
          </w:tcPr>
          <w:p w14:paraId="59F604B6" w14:textId="7B9DEC84" w:rsidR="00173CD7" w:rsidRPr="005D67FD" w:rsidRDefault="00173CD7" w:rsidP="005D67FD">
            <w:pPr>
              <w:spacing w:after="0" w:line="240" w:lineRule="auto"/>
              <w:ind w:left="-117"/>
              <w:jc w:val="right"/>
              <w:rPr>
                <w:rFonts w:ascii="Arial" w:hAnsi="Arial" w:cs="Arial"/>
                <w:color w:val="000000"/>
                <w:sz w:val="16"/>
                <w:szCs w:val="16"/>
              </w:rPr>
            </w:pPr>
            <w:r w:rsidRPr="005D67FD">
              <w:rPr>
                <w:rFonts w:ascii="Arial" w:hAnsi="Arial" w:cs="Arial"/>
                <w:color w:val="000000"/>
                <w:sz w:val="16"/>
                <w:szCs w:val="16"/>
              </w:rPr>
              <w:t>13,321,252</w:t>
            </w:r>
          </w:p>
        </w:tc>
        <w:tc>
          <w:tcPr>
            <w:tcW w:w="696" w:type="pct"/>
            <w:tcBorders>
              <w:top w:val="nil"/>
              <w:left w:val="nil"/>
              <w:bottom w:val="nil"/>
              <w:right w:val="nil"/>
            </w:tcBorders>
            <w:shd w:val="clear" w:color="auto" w:fill="auto"/>
            <w:noWrap/>
            <w:vAlign w:val="bottom"/>
            <w:hideMark/>
          </w:tcPr>
          <w:p w14:paraId="4E1F8DBD" w14:textId="74876B34" w:rsidR="00173CD7" w:rsidRPr="005D67FD" w:rsidRDefault="00173CD7" w:rsidP="005D67FD">
            <w:pPr>
              <w:spacing w:after="0" w:line="240" w:lineRule="auto"/>
              <w:ind w:left="-117"/>
              <w:jc w:val="right"/>
              <w:rPr>
                <w:rFonts w:ascii="Arial" w:hAnsi="Arial" w:cs="Arial"/>
                <w:color w:val="000000"/>
                <w:sz w:val="16"/>
                <w:szCs w:val="16"/>
              </w:rPr>
            </w:pPr>
            <w:r w:rsidRPr="005D67FD">
              <w:rPr>
                <w:rFonts w:ascii="Arial" w:hAnsi="Arial" w:cs="Arial"/>
                <w:color w:val="000000"/>
                <w:sz w:val="16"/>
                <w:szCs w:val="16"/>
              </w:rPr>
              <w:t>10,310,379</w:t>
            </w:r>
          </w:p>
        </w:tc>
      </w:tr>
      <w:tr w:rsidR="005D67FD" w:rsidRPr="005D67FD" w14:paraId="69CC0849" w14:textId="77777777" w:rsidTr="005D67FD">
        <w:trPr>
          <w:trHeight w:val="204"/>
        </w:trPr>
        <w:tc>
          <w:tcPr>
            <w:tcW w:w="1337" w:type="pct"/>
            <w:tcBorders>
              <w:top w:val="nil"/>
              <w:left w:val="nil"/>
              <w:bottom w:val="nil"/>
              <w:right w:val="nil"/>
            </w:tcBorders>
            <w:shd w:val="clear" w:color="auto" w:fill="auto"/>
            <w:vAlign w:val="bottom"/>
            <w:hideMark/>
          </w:tcPr>
          <w:p w14:paraId="68D2444F" w14:textId="77777777" w:rsidR="00173CD7" w:rsidRPr="005D67FD" w:rsidRDefault="00173CD7" w:rsidP="005D67FD">
            <w:pPr>
              <w:spacing w:after="0" w:line="240" w:lineRule="auto"/>
              <w:ind w:left="113"/>
              <w:rPr>
                <w:rFonts w:ascii="Arial" w:hAnsi="Arial" w:cs="Arial"/>
                <w:i/>
                <w:iCs/>
                <w:color w:val="000000"/>
                <w:sz w:val="16"/>
                <w:szCs w:val="16"/>
              </w:rPr>
            </w:pPr>
            <w:r w:rsidRPr="005D67FD">
              <w:rPr>
                <w:rFonts w:ascii="Arial" w:hAnsi="Arial" w:cs="Arial"/>
                <w:i/>
                <w:iCs/>
                <w:color w:val="000000"/>
                <w:sz w:val="16"/>
                <w:szCs w:val="16"/>
              </w:rPr>
              <w:t>Total cash from Official Public Account</w:t>
            </w:r>
          </w:p>
        </w:tc>
        <w:tc>
          <w:tcPr>
            <w:tcW w:w="757" w:type="pct"/>
            <w:tcBorders>
              <w:top w:val="single" w:sz="4" w:space="0" w:color="000000"/>
              <w:left w:val="nil"/>
              <w:bottom w:val="nil"/>
              <w:right w:val="nil"/>
            </w:tcBorders>
            <w:shd w:val="clear" w:color="000000" w:fill="FFFFFF"/>
            <w:noWrap/>
            <w:vAlign w:val="bottom"/>
            <w:hideMark/>
          </w:tcPr>
          <w:p w14:paraId="6593868E" w14:textId="0A288F6C" w:rsidR="00173CD7" w:rsidRPr="005D67FD" w:rsidRDefault="00173CD7" w:rsidP="005D67FD">
            <w:pPr>
              <w:spacing w:after="0" w:line="240" w:lineRule="auto"/>
              <w:jc w:val="right"/>
              <w:rPr>
                <w:rFonts w:ascii="Arial" w:hAnsi="Arial" w:cs="Arial"/>
                <w:i/>
                <w:iCs/>
                <w:color w:val="000000"/>
                <w:sz w:val="16"/>
                <w:szCs w:val="16"/>
              </w:rPr>
            </w:pPr>
            <w:r w:rsidRPr="005D67FD">
              <w:rPr>
                <w:rFonts w:ascii="Arial" w:hAnsi="Arial" w:cs="Arial"/>
                <w:i/>
                <w:iCs/>
                <w:color w:val="000000"/>
                <w:sz w:val="16"/>
                <w:szCs w:val="16"/>
              </w:rPr>
              <w:t>11,040,619</w:t>
            </w:r>
          </w:p>
        </w:tc>
        <w:tc>
          <w:tcPr>
            <w:tcW w:w="697" w:type="pct"/>
            <w:tcBorders>
              <w:top w:val="single" w:sz="4" w:space="0" w:color="000000"/>
              <w:left w:val="nil"/>
              <w:bottom w:val="nil"/>
              <w:right w:val="nil"/>
            </w:tcBorders>
            <w:shd w:val="clear" w:color="000000" w:fill="E6E6E6"/>
            <w:noWrap/>
            <w:vAlign w:val="bottom"/>
            <w:hideMark/>
          </w:tcPr>
          <w:p w14:paraId="679DD917" w14:textId="5112DA81" w:rsidR="00173CD7" w:rsidRPr="005D67FD" w:rsidRDefault="00173CD7" w:rsidP="005D67FD">
            <w:pPr>
              <w:spacing w:after="0" w:line="240" w:lineRule="auto"/>
              <w:jc w:val="right"/>
              <w:rPr>
                <w:rFonts w:ascii="Arial" w:hAnsi="Arial" w:cs="Arial"/>
                <w:i/>
                <w:iCs/>
                <w:color w:val="000000"/>
                <w:sz w:val="16"/>
                <w:szCs w:val="16"/>
              </w:rPr>
            </w:pPr>
            <w:r w:rsidRPr="005D67FD">
              <w:rPr>
                <w:rFonts w:ascii="Arial" w:hAnsi="Arial" w:cs="Arial"/>
                <w:i/>
                <w:iCs/>
                <w:color w:val="000000"/>
                <w:sz w:val="16"/>
                <w:szCs w:val="16"/>
              </w:rPr>
              <w:t>8,298,988</w:t>
            </w:r>
          </w:p>
        </w:tc>
        <w:tc>
          <w:tcPr>
            <w:tcW w:w="757" w:type="pct"/>
            <w:gridSpan w:val="2"/>
            <w:tcBorders>
              <w:top w:val="single" w:sz="4" w:space="0" w:color="000000"/>
              <w:left w:val="nil"/>
              <w:bottom w:val="nil"/>
              <w:right w:val="nil"/>
            </w:tcBorders>
            <w:shd w:val="clear" w:color="auto" w:fill="auto"/>
            <w:noWrap/>
            <w:vAlign w:val="bottom"/>
            <w:hideMark/>
          </w:tcPr>
          <w:p w14:paraId="2D9E2997" w14:textId="5B557083" w:rsidR="00173CD7" w:rsidRPr="005D67FD" w:rsidRDefault="00173CD7" w:rsidP="005D67FD">
            <w:pPr>
              <w:spacing w:after="0" w:line="240" w:lineRule="auto"/>
              <w:jc w:val="right"/>
              <w:rPr>
                <w:rFonts w:ascii="Arial" w:hAnsi="Arial" w:cs="Arial"/>
                <w:i/>
                <w:iCs/>
                <w:color w:val="000000"/>
                <w:sz w:val="16"/>
                <w:szCs w:val="16"/>
              </w:rPr>
            </w:pPr>
            <w:r w:rsidRPr="005D67FD">
              <w:rPr>
                <w:rFonts w:ascii="Arial" w:hAnsi="Arial" w:cs="Arial"/>
                <w:i/>
                <w:iCs/>
                <w:color w:val="000000"/>
                <w:sz w:val="16"/>
                <w:szCs w:val="16"/>
              </w:rPr>
              <w:t>13,888,299</w:t>
            </w:r>
          </w:p>
        </w:tc>
        <w:tc>
          <w:tcPr>
            <w:tcW w:w="757" w:type="pct"/>
            <w:gridSpan w:val="2"/>
            <w:tcBorders>
              <w:top w:val="single" w:sz="4" w:space="0" w:color="000000"/>
              <w:left w:val="nil"/>
              <w:bottom w:val="nil"/>
              <w:right w:val="nil"/>
            </w:tcBorders>
            <w:shd w:val="clear" w:color="auto" w:fill="auto"/>
            <w:noWrap/>
            <w:vAlign w:val="bottom"/>
            <w:hideMark/>
          </w:tcPr>
          <w:p w14:paraId="27AE3E5A" w14:textId="77CA2FC6" w:rsidR="00173CD7" w:rsidRPr="005D67FD" w:rsidRDefault="00173CD7" w:rsidP="005D67FD">
            <w:pPr>
              <w:spacing w:after="0" w:line="240" w:lineRule="auto"/>
              <w:ind w:left="-117"/>
              <w:jc w:val="right"/>
              <w:rPr>
                <w:rFonts w:ascii="Arial" w:hAnsi="Arial" w:cs="Arial"/>
                <w:i/>
                <w:iCs/>
                <w:color w:val="000000"/>
                <w:sz w:val="16"/>
                <w:szCs w:val="16"/>
              </w:rPr>
            </w:pPr>
            <w:r w:rsidRPr="005D67FD">
              <w:rPr>
                <w:rFonts w:ascii="Arial" w:hAnsi="Arial" w:cs="Arial"/>
                <w:i/>
                <w:iCs/>
                <w:color w:val="000000"/>
                <w:sz w:val="16"/>
                <w:szCs w:val="16"/>
              </w:rPr>
              <w:t>13,321,252</w:t>
            </w:r>
          </w:p>
        </w:tc>
        <w:tc>
          <w:tcPr>
            <w:tcW w:w="696" w:type="pct"/>
            <w:tcBorders>
              <w:top w:val="single" w:sz="4" w:space="0" w:color="000000"/>
              <w:left w:val="nil"/>
              <w:bottom w:val="nil"/>
              <w:right w:val="nil"/>
            </w:tcBorders>
            <w:shd w:val="clear" w:color="auto" w:fill="auto"/>
            <w:noWrap/>
            <w:vAlign w:val="bottom"/>
            <w:hideMark/>
          </w:tcPr>
          <w:p w14:paraId="629ADAE2" w14:textId="2297A522" w:rsidR="00173CD7" w:rsidRPr="005D67FD" w:rsidRDefault="00173CD7" w:rsidP="005D67FD">
            <w:pPr>
              <w:spacing w:after="0" w:line="240" w:lineRule="auto"/>
              <w:ind w:left="-117"/>
              <w:jc w:val="right"/>
              <w:rPr>
                <w:rFonts w:ascii="Arial" w:hAnsi="Arial" w:cs="Arial"/>
                <w:i/>
                <w:iCs/>
                <w:color w:val="000000"/>
                <w:sz w:val="16"/>
                <w:szCs w:val="16"/>
              </w:rPr>
            </w:pPr>
            <w:r w:rsidRPr="005D67FD">
              <w:rPr>
                <w:rFonts w:ascii="Arial" w:hAnsi="Arial" w:cs="Arial"/>
                <w:i/>
                <w:iCs/>
                <w:color w:val="000000"/>
                <w:sz w:val="16"/>
                <w:szCs w:val="16"/>
              </w:rPr>
              <w:t>10,310,379</w:t>
            </w:r>
          </w:p>
        </w:tc>
      </w:tr>
      <w:tr w:rsidR="005D67FD" w:rsidRPr="005D67FD" w14:paraId="46284F08" w14:textId="77777777" w:rsidTr="005D67FD">
        <w:trPr>
          <w:trHeight w:val="204"/>
        </w:trPr>
        <w:tc>
          <w:tcPr>
            <w:tcW w:w="1337" w:type="pct"/>
            <w:tcBorders>
              <w:top w:val="nil"/>
              <w:left w:val="nil"/>
              <w:bottom w:val="nil"/>
              <w:right w:val="nil"/>
            </w:tcBorders>
            <w:shd w:val="clear" w:color="auto" w:fill="auto"/>
            <w:noWrap/>
            <w:vAlign w:val="bottom"/>
            <w:hideMark/>
          </w:tcPr>
          <w:p w14:paraId="5366BFD8" w14:textId="77777777" w:rsidR="00173CD7" w:rsidRPr="005D67FD" w:rsidRDefault="00173CD7" w:rsidP="005D67FD">
            <w:pPr>
              <w:spacing w:after="0" w:line="240" w:lineRule="auto"/>
              <w:ind w:left="113"/>
              <w:rPr>
                <w:rFonts w:ascii="Arial" w:hAnsi="Arial" w:cs="Arial"/>
                <w:color w:val="000000"/>
                <w:sz w:val="16"/>
                <w:szCs w:val="16"/>
              </w:rPr>
            </w:pPr>
            <w:r w:rsidRPr="005D67FD">
              <w:rPr>
                <w:rFonts w:ascii="Arial" w:hAnsi="Arial" w:cs="Arial"/>
                <w:color w:val="000000"/>
                <w:sz w:val="16"/>
                <w:szCs w:val="16"/>
              </w:rPr>
              <w:t>Cash to Official Public Account for:</w:t>
            </w:r>
          </w:p>
        </w:tc>
        <w:tc>
          <w:tcPr>
            <w:tcW w:w="757" w:type="pct"/>
            <w:tcBorders>
              <w:top w:val="single" w:sz="4" w:space="0" w:color="auto"/>
              <w:left w:val="nil"/>
              <w:bottom w:val="nil"/>
              <w:right w:val="nil"/>
            </w:tcBorders>
            <w:shd w:val="clear" w:color="auto" w:fill="auto"/>
            <w:noWrap/>
            <w:vAlign w:val="bottom"/>
            <w:hideMark/>
          </w:tcPr>
          <w:p w14:paraId="27DAADD1" w14:textId="2EA6D9E7" w:rsidR="00173CD7" w:rsidRPr="005D67FD" w:rsidRDefault="00173CD7" w:rsidP="005D67FD">
            <w:pPr>
              <w:spacing w:after="0" w:line="240" w:lineRule="auto"/>
              <w:jc w:val="right"/>
              <w:rPr>
                <w:rFonts w:ascii="Arial" w:hAnsi="Arial" w:cs="Arial"/>
                <w:color w:val="000000"/>
                <w:sz w:val="16"/>
                <w:szCs w:val="16"/>
              </w:rPr>
            </w:pPr>
          </w:p>
        </w:tc>
        <w:tc>
          <w:tcPr>
            <w:tcW w:w="697" w:type="pct"/>
            <w:tcBorders>
              <w:top w:val="single" w:sz="4" w:space="0" w:color="auto"/>
              <w:left w:val="nil"/>
              <w:bottom w:val="nil"/>
              <w:right w:val="nil"/>
            </w:tcBorders>
            <w:shd w:val="clear" w:color="000000" w:fill="E6E6E6"/>
            <w:noWrap/>
            <w:vAlign w:val="bottom"/>
            <w:hideMark/>
          </w:tcPr>
          <w:p w14:paraId="0B4AF76E" w14:textId="52023082" w:rsidR="00173CD7" w:rsidRPr="005D67FD" w:rsidRDefault="00173CD7" w:rsidP="005D67FD">
            <w:pPr>
              <w:spacing w:after="0" w:line="240" w:lineRule="auto"/>
              <w:jc w:val="right"/>
              <w:rPr>
                <w:rFonts w:ascii="Arial" w:hAnsi="Arial" w:cs="Arial"/>
                <w:color w:val="000000"/>
                <w:sz w:val="16"/>
                <w:szCs w:val="16"/>
              </w:rPr>
            </w:pPr>
          </w:p>
        </w:tc>
        <w:tc>
          <w:tcPr>
            <w:tcW w:w="757" w:type="pct"/>
            <w:gridSpan w:val="2"/>
            <w:tcBorders>
              <w:top w:val="single" w:sz="4" w:space="0" w:color="auto"/>
              <w:left w:val="nil"/>
              <w:bottom w:val="nil"/>
              <w:right w:val="nil"/>
            </w:tcBorders>
            <w:shd w:val="clear" w:color="auto" w:fill="auto"/>
            <w:noWrap/>
            <w:vAlign w:val="bottom"/>
            <w:hideMark/>
          </w:tcPr>
          <w:p w14:paraId="5602FBE5" w14:textId="390BD0E8" w:rsidR="00173CD7" w:rsidRPr="005D67FD" w:rsidRDefault="00173CD7" w:rsidP="005D67FD">
            <w:pPr>
              <w:spacing w:after="0" w:line="240" w:lineRule="auto"/>
              <w:jc w:val="right"/>
              <w:rPr>
                <w:rFonts w:ascii="Arial" w:hAnsi="Arial" w:cs="Arial"/>
                <w:color w:val="000000"/>
                <w:sz w:val="16"/>
                <w:szCs w:val="16"/>
              </w:rPr>
            </w:pPr>
          </w:p>
        </w:tc>
        <w:tc>
          <w:tcPr>
            <w:tcW w:w="757" w:type="pct"/>
            <w:gridSpan w:val="2"/>
            <w:tcBorders>
              <w:top w:val="single" w:sz="4" w:space="0" w:color="auto"/>
              <w:left w:val="nil"/>
              <w:bottom w:val="nil"/>
              <w:right w:val="nil"/>
            </w:tcBorders>
            <w:shd w:val="clear" w:color="auto" w:fill="auto"/>
            <w:noWrap/>
            <w:vAlign w:val="bottom"/>
            <w:hideMark/>
          </w:tcPr>
          <w:p w14:paraId="4B865E3A" w14:textId="155A1A6B" w:rsidR="00173CD7" w:rsidRPr="005D67FD" w:rsidRDefault="00173CD7" w:rsidP="005D67FD">
            <w:pPr>
              <w:spacing w:after="0" w:line="240" w:lineRule="auto"/>
              <w:ind w:left="-117"/>
              <w:jc w:val="right"/>
              <w:rPr>
                <w:rFonts w:ascii="Arial" w:hAnsi="Arial" w:cs="Arial"/>
                <w:color w:val="000000"/>
                <w:sz w:val="16"/>
                <w:szCs w:val="16"/>
              </w:rPr>
            </w:pPr>
          </w:p>
        </w:tc>
        <w:tc>
          <w:tcPr>
            <w:tcW w:w="696" w:type="pct"/>
            <w:tcBorders>
              <w:top w:val="single" w:sz="4" w:space="0" w:color="auto"/>
              <w:left w:val="nil"/>
              <w:bottom w:val="nil"/>
              <w:right w:val="nil"/>
            </w:tcBorders>
            <w:shd w:val="clear" w:color="auto" w:fill="auto"/>
            <w:noWrap/>
            <w:vAlign w:val="bottom"/>
            <w:hideMark/>
          </w:tcPr>
          <w:p w14:paraId="7CD9AF55" w14:textId="3CB42EF2" w:rsidR="00173CD7" w:rsidRPr="005D67FD" w:rsidRDefault="00173CD7" w:rsidP="005D67FD">
            <w:pPr>
              <w:spacing w:after="0" w:line="240" w:lineRule="auto"/>
              <w:ind w:left="-117"/>
              <w:jc w:val="right"/>
              <w:rPr>
                <w:rFonts w:ascii="Arial" w:hAnsi="Arial" w:cs="Arial"/>
                <w:color w:val="000000"/>
                <w:sz w:val="16"/>
                <w:szCs w:val="16"/>
              </w:rPr>
            </w:pPr>
          </w:p>
        </w:tc>
      </w:tr>
      <w:tr w:rsidR="005D67FD" w:rsidRPr="005D67FD" w14:paraId="303B5924" w14:textId="77777777" w:rsidTr="005D67FD">
        <w:trPr>
          <w:trHeight w:val="204"/>
        </w:trPr>
        <w:tc>
          <w:tcPr>
            <w:tcW w:w="1337" w:type="pct"/>
            <w:tcBorders>
              <w:top w:val="nil"/>
              <w:left w:val="nil"/>
              <w:bottom w:val="nil"/>
              <w:right w:val="nil"/>
            </w:tcBorders>
            <w:shd w:val="clear" w:color="auto" w:fill="auto"/>
            <w:noWrap/>
            <w:vAlign w:val="bottom"/>
            <w:hideMark/>
          </w:tcPr>
          <w:p w14:paraId="136CC930" w14:textId="77777777" w:rsidR="00173CD7" w:rsidRPr="005D67FD" w:rsidRDefault="00173CD7" w:rsidP="005D67FD">
            <w:pPr>
              <w:spacing w:after="0" w:line="240" w:lineRule="auto"/>
              <w:ind w:left="227"/>
              <w:rPr>
                <w:rFonts w:ascii="Arial" w:hAnsi="Arial" w:cs="Arial"/>
                <w:color w:val="000000"/>
                <w:sz w:val="16"/>
                <w:szCs w:val="16"/>
              </w:rPr>
            </w:pPr>
            <w:r w:rsidRPr="005D67FD">
              <w:rPr>
                <w:rFonts w:ascii="Arial" w:hAnsi="Arial" w:cs="Arial"/>
                <w:color w:val="000000"/>
                <w:sz w:val="16"/>
                <w:szCs w:val="16"/>
              </w:rPr>
              <w:t>- Appropriations</w:t>
            </w:r>
          </w:p>
        </w:tc>
        <w:tc>
          <w:tcPr>
            <w:tcW w:w="757" w:type="pct"/>
            <w:tcBorders>
              <w:top w:val="nil"/>
              <w:left w:val="nil"/>
              <w:bottom w:val="nil"/>
              <w:right w:val="nil"/>
            </w:tcBorders>
            <w:shd w:val="clear" w:color="auto" w:fill="auto"/>
            <w:noWrap/>
            <w:vAlign w:val="bottom"/>
            <w:hideMark/>
          </w:tcPr>
          <w:p w14:paraId="4F6F03C3" w14:textId="77777777" w:rsidR="00173CD7" w:rsidRPr="005D67FD" w:rsidRDefault="00173CD7"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(416,247)</w:t>
            </w:r>
          </w:p>
        </w:tc>
        <w:tc>
          <w:tcPr>
            <w:tcW w:w="697" w:type="pct"/>
            <w:tcBorders>
              <w:top w:val="nil"/>
              <w:left w:val="nil"/>
              <w:bottom w:val="nil"/>
              <w:right w:val="nil"/>
            </w:tcBorders>
            <w:shd w:val="clear" w:color="000000" w:fill="E6E6E6"/>
            <w:noWrap/>
            <w:vAlign w:val="bottom"/>
            <w:hideMark/>
          </w:tcPr>
          <w:p w14:paraId="70F03B0F" w14:textId="77777777" w:rsidR="00173CD7" w:rsidRPr="005D67FD" w:rsidRDefault="00173CD7"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(461,171)</w:t>
            </w:r>
          </w:p>
        </w:tc>
        <w:tc>
          <w:tcPr>
            <w:tcW w:w="757" w:type="pct"/>
            <w:gridSpan w:val="2"/>
            <w:tcBorders>
              <w:top w:val="nil"/>
              <w:left w:val="nil"/>
              <w:bottom w:val="nil"/>
              <w:right w:val="nil"/>
            </w:tcBorders>
            <w:shd w:val="clear" w:color="auto" w:fill="auto"/>
            <w:noWrap/>
            <w:vAlign w:val="bottom"/>
            <w:hideMark/>
          </w:tcPr>
          <w:p w14:paraId="4B16ABE1" w14:textId="77777777" w:rsidR="00173CD7" w:rsidRPr="005D67FD" w:rsidRDefault="00173CD7" w:rsidP="005D67FD">
            <w:pPr>
              <w:spacing w:after="0" w:line="240" w:lineRule="auto"/>
              <w:jc w:val="right"/>
              <w:rPr>
                <w:rFonts w:ascii="Arial" w:hAnsi="Arial" w:cs="Arial"/>
                <w:color w:val="000000"/>
                <w:sz w:val="16"/>
                <w:szCs w:val="16"/>
              </w:rPr>
            </w:pPr>
            <w:r w:rsidRPr="005D67FD">
              <w:rPr>
                <w:rFonts w:ascii="Arial" w:hAnsi="Arial" w:cs="Arial"/>
                <w:color w:val="000000"/>
                <w:sz w:val="16"/>
                <w:szCs w:val="16"/>
              </w:rPr>
              <w:t>(195,662)</w:t>
            </w:r>
          </w:p>
        </w:tc>
        <w:tc>
          <w:tcPr>
            <w:tcW w:w="757" w:type="pct"/>
            <w:gridSpan w:val="2"/>
            <w:tcBorders>
              <w:top w:val="nil"/>
              <w:left w:val="nil"/>
              <w:bottom w:val="nil"/>
              <w:right w:val="nil"/>
            </w:tcBorders>
            <w:shd w:val="clear" w:color="auto" w:fill="auto"/>
            <w:noWrap/>
            <w:vAlign w:val="bottom"/>
            <w:hideMark/>
          </w:tcPr>
          <w:p w14:paraId="3FCCB346" w14:textId="77777777" w:rsidR="00173CD7" w:rsidRPr="005D67FD" w:rsidRDefault="00173CD7" w:rsidP="005D67FD">
            <w:pPr>
              <w:spacing w:after="0" w:line="240" w:lineRule="auto"/>
              <w:ind w:left="-117"/>
              <w:jc w:val="right"/>
              <w:rPr>
                <w:rFonts w:ascii="Arial" w:hAnsi="Arial" w:cs="Arial"/>
                <w:color w:val="000000"/>
                <w:sz w:val="16"/>
                <w:szCs w:val="16"/>
              </w:rPr>
            </w:pPr>
            <w:r w:rsidRPr="005D67FD">
              <w:rPr>
                <w:rFonts w:ascii="Arial" w:hAnsi="Arial" w:cs="Arial"/>
                <w:color w:val="000000"/>
                <w:sz w:val="16"/>
                <w:szCs w:val="16"/>
              </w:rPr>
              <w:t>(289,110)</w:t>
            </w:r>
          </w:p>
        </w:tc>
        <w:tc>
          <w:tcPr>
            <w:tcW w:w="696" w:type="pct"/>
            <w:tcBorders>
              <w:top w:val="nil"/>
              <w:left w:val="nil"/>
              <w:bottom w:val="nil"/>
              <w:right w:val="nil"/>
            </w:tcBorders>
            <w:shd w:val="clear" w:color="auto" w:fill="auto"/>
            <w:noWrap/>
            <w:vAlign w:val="bottom"/>
            <w:hideMark/>
          </w:tcPr>
          <w:p w14:paraId="2B066AC9" w14:textId="77777777" w:rsidR="00173CD7" w:rsidRPr="005D67FD" w:rsidRDefault="00173CD7" w:rsidP="005D67FD">
            <w:pPr>
              <w:spacing w:after="0" w:line="240" w:lineRule="auto"/>
              <w:ind w:left="-117"/>
              <w:jc w:val="right"/>
              <w:rPr>
                <w:rFonts w:ascii="Arial" w:hAnsi="Arial" w:cs="Arial"/>
                <w:color w:val="000000"/>
                <w:sz w:val="16"/>
                <w:szCs w:val="16"/>
              </w:rPr>
            </w:pPr>
            <w:r w:rsidRPr="005D67FD">
              <w:rPr>
                <w:rFonts w:ascii="Arial" w:hAnsi="Arial" w:cs="Arial"/>
                <w:color w:val="000000"/>
                <w:sz w:val="16"/>
                <w:szCs w:val="16"/>
              </w:rPr>
              <w:t>(595,140)</w:t>
            </w:r>
          </w:p>
        </w:tc>
      </w:tr>
      <w:tr w:rsidR="005D67FD" w:rsidRPr="005D67FD" w14:paraId="68CE056C" w14:textId="77777777" w:rsidTr="005D67FD">
        <w:trPr>
          <w:trHeight w:val="204"/>
        </w:trPr>
        <w:tc>
          <w:tcPr>
            <w:tcW w:w="1337" w:type="pct"/>
            <w:tcBorders>
              <w:top w:val="nil"/>
              <w:left w:val="nil"/>
              <w:bottom w:val="nil"/>
              <w:right w:val="nil"/>
            </w:tcBorders>
            <w:shd w:val="clear" w:color="auto" w:fill="auto"/>
            <w:vAlign w:val="bottom"/>
            <w:hideMark/>
          </w:tcPr>
          <w:p w14:paraId="6FD795CA" w14:textId="77777777" w:rsidR="00173CD7" w:rsidRPr="005D67FD" w:rsidRDefault="00173CD7" w:rsidP="005D67FD">
            <w:pPr>
              <w:spacing w:after="0" w:line="240" w:lineRule="auto"/>
              <w:ind w:left="113"/>
              <w:rPr>
                <w:rFonts w:ascii="Arial" w:hAnsi="Arial" w:cs="Arial"/>
                <w:i/>
                <w:iCs/>
                <w:color w:val="000000"/>
                <w:sz w:val="16"/>
                <w:szCs w:val="16"/>
              </w:rPr>
            </w:pPr>
            <w:r w:rsidRPr="005D67FD">
              <w:rPr>
                <w:rFonts w:ascii="Arial" w:hAnsi="Arial" w:cs="Arial"/>
                <w:i/>
                <w:iCs/>
                <w:color w:val="000000"/>
                <w:sz w:val="16"/>
                <w:szCs w:val="16"/>
              </w:rPr>
              <w:t>Total cash to Official Public Account</w:t>
            </w:r>
          </w:p>
        </w:tc>
        <w:tc>
          <w:tcPr>
            <w:tcW w:w="757" w:type="pct"/>
            <w:tcBorders>
              <w:top w:val="single" w:sz="4" w:space="0" w:color="000000"/>
              <w:left w:val="nil"/>
              <w:bottom w:val="nil"/>
              <w:right w:val="nil"/>
            </w:tcBorders>
            <w:shd w:val="clear" w:color="auto" w:fill="auto"/>
            <w:noWrap/>
            <w:vAlign w:val="bottom"/>
            <w:hideMark/>
          </w:tcPr>
          <w:p w14:paraId="3C9A4CCF" w14:textId="77777777" w:rsidR="00173CD7" w:rsidRPr="005D67FD" w:rsidRDefault="00173CD7" w:rsidP="005D67FD">
            <w:pPr>
              <w:spacing w:after="0" w:line="240" w:lineRule="auto"/>
              <w:jc w:val="right"/>
              <w:rPr>
                <w:rFonts w:ascii="Arial" w:hAnsi="Arial" w:cs="Arial"/>
                <w:i/>
                <w:iCs/>
                <w:color w:val="000000"/>
                <w:sz w:val="16"/>
                <w:szCs w:val="16"/>
              </w:rPr>
            </w:pPr>
            <w:r w:rsidRPr="005D67FD">
              <w:rPr>
                <w:rFonts w:ascii="Arial" w:hAnsi="Arial" w:cs="Arial"/>
                <w:i/>
                <w:iCs/>
                <w:color w:val="000000"/>
                <w:sz w:val="16"/>
                <w:szCs w:val="16"/>
              </w:rPr>
              <w:t>(416,247)</w:t>
            </w:r>
          </w:p>
        </w:tc>
        <w:tc>
          <w:tcPr>
            <w:tcW w:w="697" w:type="pct"/>
            <w:tcBorders>
              <w:top w:val="single" w:sz="4" w:space="0" w:color="000000"/>
              <w:left w:val="nil"/>
              <w:bottom w:val="nil"/>
              <w:right w:val="nil"/>
            </w:tcBorders>
            <w:shd w:val="clear" w:color="000000" w:fill="E6E6E6"/>
            <w:noWrap/>
            <w:vAlign w:val="bottom"/>
            <w:hideMark/>
          </w:tcPr>
          <w:p w14:paraId="068186BB" w14:textId="77777777" w:rsidR="00173CD7" w:rsidRPr="005D67FD" w:rsidRDefault="00173CD7" w:rsidP="005D67FD">
            <w:pPr>
              <w:spacing w:after="0" w:line="240" w:lineRule="auto"/>
              <w:jc w:val="right"/>
              <w:rPr>
                <w:rFonts w:ascii="Arial" w:hAnsi="Arial" w:cs="Arial"/>
                <w:i/>
                <w:iCs/>
                <w:color w:val="000000"/>
                <w:sz w:val="16"/>
                <w:szCs w:val="16"/>
              </w:rPr>
            </w:pPr>
            <w:r w:rsidRPr="005D67FD">
              <w:rPr>
                <w:rFonts w:ascii="Arial" w:hAnsi="Arial" w:cs="Arial"/>
                <w:i/>
                <w:iCs/>
                <w:color w:val="000000"/>
                <w:sz w:val="16"/>
                <w:szCs w:val="16"/>
              </w:rPr>
              <w:t>(461,171)</w:t>
            </w:r>
          </w:p>
        </w:tc>
        <w:tc>
          <w:tcPr>
            <w:tcW w:w="757" w:type="pct"/>
            <w:gridSpan w:val="2"/>
            <w:tcBorders>
              <w:top w:val="single" w:sz="4" w:space="0" w:color="000000"/>
              <w:left w:val="nil"/>
              <w:bottom w:val="nil"/>
              <w:right w:val="nil"/>
            </w:tcBorders>
            <w:shd w:val="clear" w:color="auto" w:fill="auto"/>
            <w:noWrap/>
            <w:vAlign w:val="bottom"/>
            <w:hideMark/>
          </w:tcPr>
          <w:p w14:paraId="321A6C22" w14:textId="77777777" w:rsidR="00173CD7" w:rsidRPr="005D67FD" w:rsidRDefault="00173CD7" w:rsidP="005D67FD">
            <w:pPr>
              <w:spacing w:after="0" w:line="240" w:lineRule="auto"/>
              <w:jc w:val="right"/>
              <w:rPr>
                <w:rFonts w:ascii="Arial" w:hAnsi="Arial" w:cs="Arial"/>
                <w:i/>
                <w:iCs/>
                <w:color w:val="000000"/>
                <w:sz w:val="16"/>
                <w:szCs w:val="16"/>
              </w:rPr>
            </w:pPr>
            <w:r w:rsidRPr="005D67FD">
              <w:rPr>
                <w:rFonts w:ascii="Arial" w:hAnsi="Arial" w:cs="Arial"/>
                <w:i/>
                <w:iCs/>
                <w:color w:val="000000"/>
                <w:sz w:val="16"/>
                <w:szCs w:val="16"/>
              </w:rPr>
              <w:t>(195,662)</w:t>
            </w:r>
          </w:p>
        </w:tc>
        <w:tc>
          <w:tcPr>
            <w:tcW w:w="757" w:type="pct"/>
            <w:gridSpan w:val="2"/>
            <w:tcBorders>
              <w:top w:val="single" w:sz="4" w:space="0" w:color="000000"/>
              <w:left w:val="nil"/>
              <w:bottom w:val="nil"/>
              <w:right w:val="nil"/>
            </w:tcBorders>
            <w:shd w:val="clear" w:color="auto" w:fill="auto"/>
            <w:noWrap/>
            <w:vAlign w:val="bottom"/>
            <w:hideMark/>
          </w:tcPr>
          <w:p w14:paraId="3AB310AB" w14:textId="77777777" w:rsidR="00173CD7" w:rsidRPr="005D67FD" w:rsidRDefault="00173CD7" w:rsidP="005D67FD">
            <w:pPr>
              <w:spacing w:after="0" w:line="240" w:lineRule="auto"/>
              <w:ind w:left="-117"/>
              <w:jc w:val="right"/>
              <w:rPr>
                <w:rFonts w:ascii="Arial" w:hAnsi="Arial" w:cs="Arial"/>
                <w:i/>
                <w:iCs/>
                <w:color w:val="000000"/>
                <w:sz w:val="16"/>
                <w:szCs w:val="16"/>
              </w:rPr>
            </w:pPr>
            <w:r w:rsidRPr="005D67FD">
              <w:rPr>
                <w:rFonts w:ascii="Arial" w:hAnsi="Arial" w:cs="Arial"/>
                <w:i/>
                <w:iCs/>
                <w:color w:val="000000"/>
                <w:sz w:val="16"/>
                <w:szCs w:val="16"/>
              </w:rPr>
              <w:t>(289,110)</w:t>
            </w:r>
          </w:p>
        </w:tc>
        <w:tc>
          <w:tcPr>
            <w:tcW w:w="696" w:type="pct"/>
            <w:tcBorders>
              <w:top w:val="single" w:sz="4" w:space="0" w:color="000000"/>
              <w:left w:val="nil"/>
              <w:bottom w:val="nil"/>
              <w:right w:val="nil"/>
            </w:tcBorders>
            <w:shd w:val="clear" w:color="auto" w:fill="auto"/>
            <w:noWrap/>
            <w:vAlign w:val="bottom"/>
            <w:hideMark/>
          </w:tcPr>
          <w:p w14:paraId="0293526E" w14:textId="77777777" w:rsidR="00173CD7" w:rsidRPr="005D67FD" w:rsidRDefault="00173CD7" w:rsidP="005D67FD">
            <w:pPr>
              <w:spacing w:after="0" w:line="240" w:lineRule="auto"/>
              <w:ind w:left="-117"/>
              <w:jc w:val="right"/>
              <w:rPr>
                <w:rFonts w:ascii="Arial" w:hAnsi="Arial" w:cs="Arial"/>
                <w:i/>
                <w:iCs/>
                <w:color w:val="000000"/>
                <w:sz w:val="16"/>
                <w:szCs w:val="16"/>
              </w:rPr>
            </w:pPr>
            <w:r w:rsidRPr="005D67FD">
              <w:rPr>
                <w:rFonts w:ascii="Arial" w:hAnsi="Arial" w:cs="Arial"/>
                <w:i/>
                <w:iCs/>
                <w:color w:val="000000"/>
                <w:sz w:val="16"/>
                <w:szCs w:val="16"/>
              </w:rPr>
              <w:t>(595,140)</w:t>
            </w:r>
          </w:p>
        </w:tc>
      </w:tr>
      <w:tr w:rsidR="005D67FD" w:rsidRPr="005D67FD" w14:paraId="4B069795" w14:textId="77777777" w:rsidTr="005D67FD">
        <w:trPr>
          <w:trHeight w:val="204"/>
        </w:trPr>
        <w:tc>
          <w:tcPr>
            <w:tcW w:w="1337" w:type="pct"/>
            <w:tcBorders>
              <w:top w:val="nil"/>
              <w:left w:val="nil"/>
              <w:bottom w:val="single" w:sz="4" w:space="0" w:color="auto"/>
              <w:right w:val="nil"/>
            </w:tcBorders>
            <w:shd w:val="clear" w:color="auto" w:fill="auto"/>
            <w:vAlign w:val="bottom"/>
            <w:hideMark/>
          </w:tcPr>
          <w:p w14:paraId="3DED3302" w14:textId="1082A085" w:rsidR="00173CD7" w:rsidRPr="005D67FD" w:rsidRDefault="00173CD7" w:rsidP="00173CD7">
            <w:pPr>
              <w:spacing w:after="0" w:line="240" w:lineRule="auto"/>
              <w:rPr>
                <w:rFonts w:ascii="Arial" w:hAnsi="Arial" w:cs="Arial"/>
                <w:b/>
                <w:bCs/>
                <w:color w:val="000000"/>
                <w:sz w:val="16"/>
                <w:szCs w:val="16"/>
              </w:rPr>
            </w:pPr>
            <w:r w:rsidRPr="005D67FD">
              <w:rPr>
                <w:rFonts w:ascii="Arial" w:hAnsi="Arial" w:cs="Arial"/>
                <w:b/>
                <w:bCs/>
                <w:color w:val="000000"/>
                <w:sz w:val="16"/>
                <w:szCs w:val="16"/>
              </w:rPr>
              <w:t>Cash and cash equivalents at end of reporting period</w:t>
            </w:r>
          </w:p>
        </w:tc>
        <w:tc>
          <w:tcPr>
            <w:tcW w:w="757" w:type="pct"/>
            <w:tcBorders>
              <w:top w:val="single" w:sz="4" w:space="0" w:color="000000"/>
              <w:left w:val="nil"/>
              <w:bottom w:val="single" w:sz="4" w:space="0" w:color="auto"/>
              <w:right w:val="nil"/>
            </w:tcBorders>
            <w:shd w:val="clear" w:color="auto" w:fill="auto"/>
            <w:noWrap/>
            <w:vAlign w:val="bottom"/>
            <w:hideMark/>
          </w:tcPr>
          <w:p w14:paraId="4FCAABB1" w14:textId="6779DCF8" w:rsidR="00173CD7" w:rsidRPr="005D67FD" w:rsidRDefault="00173CD7" w:rsidP="005D67FD">
            <w:pPr>
              <w:spacing w:after="0" w:line="240" w:lineRule="auto"/>
              <w:jc w:val="right"/>
              <w:rPr>
                <w:rFonts w:ascii="Arial" w:hAnsi="Arial" w:cs="Arial"/>
                <w:b/>
                <w:bCs/>
                <w:color w:val="000000"/>
                <w:sz w:val="16"/>
                <w:szCs w:val="16"/>
              </w:rPr>
            </w:pPr>
            <w:r w:rsidRPr="005D67FD">
              <w:rPr>
                <w:rFonts w:ascii="Arial" w:hAnsi="Arial" w:cs="Arial"/>
                <w:b/>
                <w:bCs/>
                <w:color w:val="000000"/>
                <w:sz w:val="16"/>
                <w:szCs w:val="16"/>
              </w:rPr>
              <w:t>50,039</w:t>
            </w:r>
          </w:p>
        </w:tc>
        <w:tc>
          <w:tcPr>
            <w:tcW w:w="697" w:type="pct"/>
            <w:tcBorders>
              <w:top w:val="single" w:sz="4" w:space="0" w:color="000000"/>
              <w:left w:val="nil"/>
              <w:bottom w:val="single" w:sz="4" w:space="0" w:color="auto"/>
              <w:right w:val="nil"/>
            </w:tcBorders>
            <w:shd w:val="clear" w:color="000000" w:fill="E6E6E6"/>
            <w:noWrap/>
            <w:vAlign w:val="bottom"/>
            <w:hideMark/>
          </w:tcPr>
          <w:p w14:paraId="2D298895" w14:textId="491EF4E1" w:rsidR="00173CD7" w:rsidRPr="005D67FD" w:rsidRDefault="00173CD7" w:rsidP="005D67FD">
            <w:pPr>
              <w:spacing w:after="0" w:line="240" w:lineRule="auto"/>
              <w:jc w:val="right"/>
              <w:rPr>
                <w:rFonts w:ascii="Arial" w:hAnsi="Arial" w:cs="Arial"/>
                <w:b/>
                <w:bCs/>
                <w:color w:val="000000"/>
                <w:sz w:val="16"/>
                <w:szCs w:val="16"/>
              </w:rPr>
            </w:pPr>
            <w:r w:rsidRPr="005D67FD">
              <w:rPr>
                <w:rFonts w:ascii="Arial" w:hAnsi="Arial" w:cs="Arial"/>
                <w:b/>
                <w:bCs/>
                <w:color w:val="000000"/>
                <w:sz w:val="16"/>
                <w:szCs w:val="16"/>
              </w:rPr>
              <w:t>50,039</w:t>
            </w:r>
          </w:p>
        </w:tc>
        <w:tc>
          <w:tcPr>
            <w:tcW w:w="757" w:type="pct"/>
            <w:gridSpan w:val="2"/>
            <w:tcBorders>
              <w:top w:val="single" w:sz="4" w:space="0" w:color="000000"/>
              <w:left w:val="nil"/>
              <w:bottom w:val="single" w:sz="4" w:space="0" w:color="auto"/>
              <w:right w:val="nil"/>
            </w:tcBorders>
            <w:shd w:val="clear" w:color="auto" w:fill="auto"/>
            <w:noWrap/>
            <w:vAlign w:val="bottom"/>
            <w:hideMark/>
          </w:tcPr>
          <w:p w14:paraId="2D698975" w14:textId="43A52CF6" w:rsidR="00173CD7" w:rsidRPr="005D67FD" w:rsidRDefault="00173CD7" w:rsidP="005D67FD">
            <w:pPr>
              <w:spacing w:after="0" w:line="240" w:lineRule="auto"/>
              <w:jc w:val="right"/>
              <w:rPr>
                <w:rFonts w:ascii="Arial" w:hAnsi="Arial" w:cs="Arial"/>
                <w:b/>
                <w:bCs/>
                <w:color w:val="000000"/>
                <w:sz w:val="16"/>
                <w:szCs w:val="16"/>
              </w:rPr>
            </w:pPr>
            <w:r w:rsidRPr="005D67FD">
              <w:rPr>
                <w:rFonts w:ascii="Arial" w:hAnsi="Arial" w:cs="Arial"/>
                <w:b/>
                <w:bCs/>
                <w:color w:val="000000"/>
                <w:sz w:val="16"/>
                <w:szCs w:val="16"/>
              </w:rPr>
              <w:t>50,039</w:t>
            </w:r>
          </w:p>
        </w:tc>
        <w:tc>
          <w:tcPr>
            <w:tcW w:w="757" w:type="pct"/>
            <w:gridSpan w:val="2"/>
            <w:tcBorders>
              <w:top w:val="single" w:sz="4" w:space="0" w:color="000000"/>
              <w:left w:val="nil"/>
              <w:bottom w:val="single" w:sz="4" w:space="0" w:color="auto"/>
              <w:right w:val="nil"/>
            </w:tcBorders>
            <w:shd w:val="clear" w:color="auto" w:fill="auto"/>
            <w:noWrap/>
            <w:vAlign w:val="bottom"/>
            <w:hideMark/>
          </w:tcPr>
          <w:p w14:paraId="44CB125D" w14:textId="32BAAF50" w:rsidR="00173CD7" w:rsidRPr="005D67FD" w:rsidRDefault="00173CD7" w:rsidP="005D67FD">
            <w:pPr>
              <w:spacing w:after="0" w:line="240" w:lineRule="auto"/>
              <w:ind w:left="-117"/>
              <w:jc w:val="right"/>
              <w:rPr>
                <w:rFonts w:ascii="Arial" w:hAnsi="Arial" w:cs="Arial"/>
                <w:b/>
                <w:bCs/>
                <w:color w:val="000000"/>
                <w:sz w:val="16"/>
                <w:szCs w:val="16"/>
              </w:rPr>
            </w:pPr>
            <w:r w:rsidRPr="005D67FD">
              <w:rPr>
                <w:rFonts w:ascii="Arial" w:hAnsi="Arial" w:cs="Arial"/>
                <w:b/>
                <w:bCs/>
                <w:color w:val="000000"/>
                <w:sz w:val="16"/>
                <w:szCs w:val="16"/>
              </w:rPr>
              <w:t>50,039</w:t>
            </w:r>
          </w:p>
        </w:tc>
        <w:tc>
          <w:tcPr>
            <w:tcW w:w="696" w:type="pct"/>
            <w:tcBorders>
              <w:top w:val="single" w:sz="4" w:space="0" w:color="000000"/>
              <w:left w:val="nil"/>
              <w:bottom w:val="single" w:sz="4" w:space="0" w:color="auto"/>
              <w:right w:val="nil"/>
            </w:tcBorders>
            <w:shd w:val="clear" w:color="auto" w:fill="auto"/>
            <w:noWrap/>
            <w:vAlign w:val="bottom"/>
            <w:hideMark/>
          </w:tcPr>
          <w:p w14:paraId="3D8C50DA" w14:textId="3EE450A7" w:rsidR="00173CD7" w:rsidRPr="005D67FD" w:rsidRDefault="00173CD7" w:rsidP="005D67FD">
            <w:pPr>
              <w:spacing w:after="0" w:line="240" w:lineRule="auto"/>
              <w:ind w:left="-117"/>
              <w:jc w:val="right"/>
              <w:rPr>
                <w:rFonts w:ascii="Arial" w:hAnsi="Arial" w:cs="Arial"/>
                <w:b/>
                <w:bCs/>
                <w:color w:val="000000"/>
                <w:sz w:val="16"/>
                <w:szCs w:val="16"/>
              </w:rPr>
            </w:pPr>
            <w:r w:rsidRPr="005D67FD">
              <w:rPr>
                <w:rFonts w:ascii="Arial" w:hAnsi="Arial" w:cs="Arial"/>
                <w:b/>
                <w:bCs/>
                <w:color w:val="000000"/>
                <w:sz w:val="16"/>
                <w:szCs w:val="16"/>
              </w:rPr>
              <w:t>50,039</w:t>
            </w:r>
          </w:p>
        </w:tc>
      </w:tr>
    </w:tbl>
    <w:p w14:paraId="23111E7B" w14:textId="68559D63" w:rsidR="00115843" w:rsidRDefault="00115843" w:rsidP="00115843">
      <w:pPr>
        <w:pStyle w:val="ChartandTableFootnote"/>
        <w:spacing w:before="60"/>
      </w:pPr>
      <w:r>
        <w:t>Prepared on Australian Accounting Standards basis.</w:t>
      </w:r>
    </w:p>
    <w:p w14:paraId="3783D38E" w14:textId="17E56F31" w:rsidR="00EB7700" w:rsidRPr="00EB7700" w:rsidRDefault="00EB7700" w:rsidP="00EB7700">
      <w:pPr>
        <w:spacing w:after="0" w:line="240" w:lineRule="auto"/>
        <w:rPr>
          <w:rFonts w:ascii="Arial" w:hAnsi="Arial" w:cs="Arial"/>
          <w:sz w:val="16"/>
          <w:szCs w:val="16"/>
        </w:rPr>
      </w:pPr>
      <w:r w:rsidRPr="00EE6EE6">
        <w:rPr>
          <w:rFonts w:ascii="Arial" w:hAnsi="Arial" w:cs="Arial"/>
          <w:sz w:val="16"/>
          <w:szCs w:val="16"/>
        </w:rPr>
        <w:t>Table has been prepared inclusive of 2022-23 Additional Estimates figures.</w:t>
      </w:r>
    </w:p>
    <w:p w14:paraId="62CB077C" w14:textId="77777777" w:rsidR="00115843" w:rsidRDefault="00115843" w:rsidP="00115843">
      <w:pPr>
        <w:pStyle w:val="TableHeading"/>
      </w:pPr>
      <w:r>
        <w:br w:type="page"/>
      </w:r>
      <w:r w:rsidRPr="00D30CBA">
        <w:lastRenderedPageBreak/>
        <w:t>Table</w:t>
      </w:r>
      <w:r>
        <w:t xml:space="preserve"> 3.10</w:t>
      </w:r>
      <w:r w:rsidRPr="00D30CBA">
        <w:t xml:space="preserve">: </w:t>
      </w:r>
      <w:r>
        <w:t>Schedule of administered capital budget statement (for the period ended 30 June)</w:t>
      </w:r>
    </w:p>
    <w:tbl>
      <w:tblPr>
        <w:tblW w:w="5000" w:type="pct"/>
        <w:tblLook w:val="04A0" w:firstRow="1" w:lastRow="0" w:firstColumn="1" w:lastColumn="0" w:noHBand="0" w:noVBand="1"/>
      </w:tblPr>
      <w:tblGrid>
        <w:gridCol w:w="3071"/>
        <w:gridCol w:w="928"/>
        <w:gridCol w:w="928"/>
        <w:gridCol w:w="928"/>
        <w:gridCol w:w="928"/>
        <w:gridCol w:w="927"/>
      </w:tblGrid>
      <w:tr w:rsidR="003C612D" w:rsidRPr="003C612D" w14:paraId="2BD7BE53" w14:textId="77777777" w:rsidTr="0013396A">
        <w:trPr>
          <w:trHeight w:val="204"/>
        </w:trPr>
        <w:tc>
          <w:tcPr>
            <w:tcW w:w="1991" w:type="pct"/>
            <w:tcBorders>
              <w:top w:val="single" w:sz="4" w:space="0" w:color="auto"/>
              <w:left w:val="nil"/>
              <w:bottom w:val="nil"/>
              <w:right w:val="nil"/>
            </w:tcBorders>
            <w:shd w:val="clear" w:color="auto" w:fill="auto"/>
            <w:noWrap/>
            <w:vAlign w:val="bottom"/>
            <w:hideMark/>
          </w:tcPr>
          <w:p w14:paraId="7685A31F" w14:textId="77777777" w:rsidR="003C612D" w:rsidRPr="003C612D" w:rsidRDefault="003C612D" w:rsidP="003C612D">
            <w:pPr>
              <w:spacing w:after="0" w:line="240" w:lineRule="auto"/>
              <w:rPr>
                <w:rFonts w:ascii="Arial" w:hAnsi="Arial" w:cs="Arial"/>
                <w:b/>
                <w:bCs/>
                <w:sz w:val="16"/>
                <w:szCs w:val="16"/>
              </w:rPr>
            </w:pPr>
            <w:r w:rsidRPr="003C612D">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7FCFC994" w14:textId="77777777" w:rsidR="003C612D" w:rsidRPr="003C612D" w:rsidRDefault="003C612D" w:rsidP="003C612D">
            <w:pPr>
              <w:spacing w:after="0" w:line="240" w:lineRule="auto"/>
              <w:jc w:val="right"/>
              <w:rPr>
                <w:rFonts w:ascii="Arial" w:hAnsi="Arial" w:cs="Arial"/>
                <w:sz w:val="16"/>
                <w:szCs w:val="16"/>
              </w:rPr>
            </w:pPr>
            <w:r w:rsidRPr="003C612D">
              <w:rPr>
                <w:rFonts w:ascii="Arial" w:hAnsi="Arial" w:cs="Arial"/>
                <w:sz w:val="16"/>
                <w:szCs w:val="16"/>
              </w:rPr>
              <w:t>2022-23 Estimated actual</w:t>
            </w:r>
            <w:r w:rsidRPr="003C612D">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000000" w:fill="E6E6E6"/>
            <w:vAlign w:val="bottom"/>
            <w:hideMark/>
          </w:tcPr>
          <w:p w14:paraId="61753391" w14:textId="77777777" w:rsidR="003C612D" w:rsidRPr="003C612D" w:rsidRDefault="003C612D" w:rsidP="003C612D">
            <w:pPr>
              <w:spacing w:after="0" w:line="240" w:lineRule="auto"/>
              <w:jc w:val="right"/>
              <w:rPr>
                <w:rFonts w:ascii="Arial" w:hAnsi="Arial" w:cs="Arial"/>
                <w:sz w:val="16"/>
                <w:szCs w:val="16"/>
              </w:rPr>
            </w:pPr>
            <w:r w:rsidRPr="003C612D">
              <w:rPr>
                <w:rFonts w:ascii="Arial" w:hAnsi="Arial" w:cs="Arial"/>
                <w:sz w:val="16"/>
                <w:szCs w:val="16"/>
              </w:rPr>
              <w:t>2023-24</w:t>
            </w:r>
            <w:r w:rsidRPr="003C612D">
              <w:rPr>
                <w:rFonts w:ascii="Arial" w:hAnsi="Arial" w:cs="Arial"/>
                <w:sz w:val="16"/>
                <w:szCs w:val="16"/>
              </w:rPr>
              <w:br/>
              <w:t>Budget</w:t>
            </w:r>
            <w:r w:rsidRPr="003C612D">
              <w:rPr>
                <w:rFonts w:ascii="Arial" w:hAnsi="Arial" w:cs="Arial"/>
                <w:sz w:val="16"/>
                <w:szCs w:val="16"/>
              </w:rPr>
              <w:br/>
            </w:r>
            <w:r w:rsidRPr="003C612D">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vAlign w:val="bottom"/>
            <w:hideMark/>
          </w:tcPr>
          <w:p w14:paraId="684824CE" w14:textId="77777777" w:rsidR="003C612D" w:rsidRPr="003C612D" w:rsidRDefault="003C612D" w:rsidP="003C612D">
            <w:pPr>
              <w:spacing w:after="0" w:line="240" w:lineRule="auto"/>
              <w:jc w:val="right"/>
              <w:rPr>
                <w:rFonts w:ascii="Arial" w:hAnsi="Arial" w:cs="Arial"/>
                <w:sz w:val="16"/>
                <w:szCs w:val="16"/>
              </w:rPr>
            </w:pPr>
            <w:r w:rsidRPr="003C612D">
              <w:rPr>
                <w:rFonts w:ascii="Arial" w:hAnsi="Arial" w:cs="Arial"/>
                <w:sz w:val="16"/>
                <w:szCs w:val="16"/>
              </w:rPr>
              <w:t>2024-25 Forward estimate</w:t>
            </w:r>
            <w:r w:rsidRPr="003C612D">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vAlign w:val="bottom"/>
            <w:hideMark/>
          </w:tcPr>
          <w:p w14:paraId="32B8D897" w14:textId="77777777" w:rsidR="003C612D" w:rsidRPr="003C612D" w:rsidRDefault="003C612D" w:rsidP="003C612D">
            <w:pPr>
              <w:spacing w:after="0" w:line="240" w:lineRule="auto"/>
              <w:jc w:val="right"/>
              <w:rPr>
                <w:rFonts w:ascii="Arial" w:hAnsi="Arial" w:cs="Arial"/>
                <w:sz w:val="16"/>
                <w:szCs w:val="16"/>
              </w:rPr>
            </w:pPr>
            <w:r w:rsidRPr="003C612D">
              <w:rPr>
                <w:rFonts w:ascii="Arial" w:hAnsi="Arial" w:cs="Arial"/>
                <w:sz w:val="16"/>
                <w:szCs w:val="16"/>
              </w:rPr>
              <w:t>2025-26 Forward estimate</w:t>
            </w:r>
            <w:r w:rsidRPr="003C612D">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vAlign w:val="bottom"/>
            <w:hideMark/>
          </w:tcPr>
          <w:p w14:paraId="7859E5F4" w14:textId="77777777" w:rsidR="003C612D" w:rsidRPr="003C612D" w:rsidRDefault="003C612D" w:rsidP="003C612D">
            <w:pPr>
              <w:spacing w:after="0" w:line="240" w:lineRule="auto"/>
              <w:jc w:val="right"/>
              <w:rPr>
                <w:rFonts w:ascii="Arial" w:hAnsi="Arial" w:cs="Arial"/>
                <w:sz w:val="16"/>
                <w:szCs w:val="16"/>
              </w:rPr>
            </w:pPr>
            <w:r w:rsidRPr="003C612D">
              <w:rPr>
                <w:rFonts w:ascii="Arial" w:hAnsi="Arial" w:cs="Arial"/>
                <w:sz w:val="16"/>
                <w:szCs w:val="16"/>
              </w:rPr>
              <w:t>2026-27</w:t>
            </w:r>
            <w:r w:rsidRPr="003C612D">
              <w:rPr>
                <w:rFonts w:ascii="Arial" w:hAnsi="Arial" w:cs="Arial"/>
                <w:sz w:val="16"/>
                <w:szCs w:val="16"/>
              </w:rPr>
              <w:br/>
              <w:t>Forward estimate</w:t>
            </w:r>
            <w:r w:rsidRPr="003C612D">
              <w:rPr>
                <w:rFonts w:ascii="Arial" w:hAnsi="Arial" w:cs="Arial"/>
                <w:sz w:val="16"/>
                <w:szCs w:val="16"/>
              </w:rPr>
              <w:br/>
              <w:t>$'000</w:t>
            </w:r>
          </w:p>
        </w:tc>
      </w:tr>
      <w:tr w:rsidR="003C612D" w:rsidRPr="003C612D" w14:paraId="4393FCBD" w14:textId="77777777" w:rsidTr="0013396A">
        <w:trPr>
          <w:trHeight w:val="204"/>
        </w:trPr>
        <w:tc>
          <w:tcPr>
            <w:tcW w:w="1991" w:type="pct"/>
            <w:tcBorders>
              <w:top w:val="nil"/>
              <w:left w:val="nil"/>
              <w:bottom w:val="nil"/>
              <w:right w:val="nil"/>
            </w:tcBorders>
            <w:shd w:val="clear" w:color="auto" w:fill="auto"/>
            <w:noWrap/>
            <w:vAlign w:val="bottom"/>
            <w:hideMark/>
          </w:tcPr>
          <w:p w14:paraId="0EAD3339" w14:textId="77777777" w:rsidR="003C612D" w:rsidRPr="003C612D" w:rsidRDefault="003C612D" w:rsidP="003C612D">
            <w:pPr>
              <w:spacing w:after="0" w:line="240" w:lineRule="auto"/>
              <w:rPr>
                <w:rFonts w:ascii="Arial" w:hAnsi="Arial" w:cs="Arial"/>
                <w:b/>
                <w:bCs/>
                <w:sz w:val="16"/>
                <w:szCs w:val="16"/>
              </w:rPr>
            </w:pPr>
            <w:r w:rsidRPr="003C612D">
              <w:rPr>
                <w:rFonts w:ascii="Arial" w:hAnsi="Arial" w:cs="Arial"/>
                <w:b/>
                <w:bCs/>
                <w:sz w:val="16"/>
                <w:szCs w:val="16"/>
              </w:rPr>
              <w:t>NEW CAPITAL APPROPRIATIONS</w:t>
            </w:r>
          </w:p>
        </w:tc>
        <w:tc>
          <w:tcPr>
            <w:tcW w:w="602" w:type="pct"/>
            <w:tcBorders>
              <w:top w:val="nil"/>
              <w:left w:val="nil"/>
              <w:bottom w:val="nil"/>
              <w:right w:val="nil"/>
            </w:tcBorders>
            <w:shd w:val="clear" w:color="auto" w:fill="auto"/>
            <w:noWrap/>
            <w:vAlign w:val="bottom"/>
            <w:hideMark/>
          </w:tcPr>
          <w:p w14:paraId="2592C69C" w14:textId="77777777" w:rsidR="003C612D" w:rsidRPr="003C612D" w:rsidRDefault="003C612D" w:rsidP="003C612D">
            <w:pPr>
              <w:spacing w:after="0" w:line="240" w:lineRule="auto"/>
              <w:jc w:val="right"/>
              <w:rPr>
                <w:rFonts w:ascii="Arial" w:hAnsi="Arial" w:cs="Arial"/>
                <w:b/>
                <w:bCs/>
                <w:sz w:val="16"/>
                <w:szCs w:val="16"/>
              </w:rPr>
            </w:pPr>
          </w:p>
        </w:tc>
        <w:tc>
          <w:tcPr>
            <w:tcW w:w="602" w:type="pct"/>
            <w:tcBorders>
              <w:top w:val="nil"/>
              <w:left w:val="nil"/>
              <w:bottom w:val="nil"/>
              <w:right w:val="nil"/>
            </w:tcBorders>
            <w:shd w:val="clear" w:color="000000" w:fill="E6E6E6"/>
            <w:noWrap/>
            <w:vAlign w:val="bottom"/>
            <w:hideMark/>
          </w:tcPr>
          <w:p w14:paraId="0ADA0B4B" w14:textId="51BC509A" w:rsidR="003C612D" w:rsidRPr="003C612D" w:rsidRDefault="003C612D" w:rsidP="003C612D">
            <w:pPr>
              <w:spacing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69EFEDB2" w14:textId="77777777" w:rsidR="003C612D" w:rsidRPr="003C612D" w:rsidRDefault="003C612D" w:rsidP="003C612D">
            <w:pPr>
              <w:spacing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347EC15F" w14:textId="77777777" w:rsidR="003C612D" w:rsidRPr="003C612D" w:rsidRDefault="003C612D" w:rsidP="003C612D">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7DCD2F14" w14:textId="77777777" w:rsidR="003C612D" w:rsidRPr="003C612D" w:rsidRDefault="003C612D" w:rsidP="003C612D">
            <w:pPr>
              <w:spacing w:after="0" w:line="240" w:lineRule="auto"/>
              <w:jc w:val="right"/>
              <w:rPr>
                <w:rFonts w:ascii="Times New Roman" w:hAnsi="Times New Roman"/>
              </w:rPr>
            </w:pPr>
          </w:p>
        </w:tc>
      </w:tr>
      <w:tr w:rsidR="0013396A" w:rsidRPr="003C612D" w14:paraId="7E1B95B3" w14:textId="77777777" w:rsidTr="0013396A">
        <w:trPr>
          <w:trHeight w:val="204"/>
        </w:trPr>
        <w:tc>
          <w:tcPr>
            <w:tcW w:w="1991" w:type="pct"/>
            <w:tcBorders>
              <w:top w:val="nil"/>
              <w:left w:val="nil"/>
              <w:bottom w:val="nil"/>
              <w:right w:val="nil"/>
            </w:tcBorders>
            <w:shd w:val="clear" w:color="auto" w:fill="auto"/>
            <w:noWrap/>
            <w:vAlign w:val="bottom"/>
            <w:hideMark/>
          </w:tcPr>
          <w:p w14:paraId="1F53BCD9" w14:textId="77777777" w:rsidR="0013396A" w:rsidRPr="003C612D" w:rsidRDefault="0013396A" w:rsidP="0013396A">
            <w:pPr>
              <w:spacing w:after="0" w:line="240" w:lineRule="auto"/>
              <w:ind w:left="113"/>
              <w:rPr>
                <w:rFonts w:ascii="Arial" w:hAnsi="Arial" w:cs="Arial"/>
                <w:sz w:val="16"/>
                <w:szCs w:val="16"/>
              </w:rPr>
            </w:pPr>
            <w:r w:rsidRPr="003C612D">
              <w:rPr>
                <w:rFonts w:ascii="Arial" w:hAnsi="Arial" w:cs="Arial"/>
                <w:sz w:val="16"/>
                <w:szCs w:val="16"/>
              </w:rPr>
              <w:t>Capital budget - Bill 1 (ACB)</w:t>
            </w:r>
          </w:p>
        </w:tc>
        <w:tc>
          <w:tcPr>
            <w:tcW w:w="602" w:type="pct"/>
            <w:tcBorders>
              <w:top w:val="nil"/>
              <w:left w:val="nil"/>
              <w:bottom w:val="nil"/>
              <w:right w:val="nil"/>
            </w:tcBorders>
            <w:shd w:val="clear" w:color="auto" w:fill="auto"/>
            <w:noWrap/>
            <w:vAlign w:val="bottom"/>
            <w:hideMark/>
          </w:tcPr>
          <w:p w14:paraId="6A8090AB" w14:textId="10D93CBB" w:rsidR="0013396A" w:rsidRPr="003C612D" w:rsidRDefault="0013396A" w:rsidP="0013396A">
            <w:pPr>
              <w:spacing w:after="0" w:line="240" w:lineRule="auto"/>
              <w:jc w:val="right"/>
              <w:rPr>
                <w:rFonts w:ascii="Arial" w:hAnsi="Arial" w:cs="Arial"/>
                <w:sz w:val="16"/>
                <w:szCs w:val="16"/>
              </w:rPr>
            </w:pPr>
            <w:r>
              <w:rPr>
                <w:rFonts w:ascii="Arial" w:hAnsi="Arial" w:cs="Arial"/>
                <w:sz w:val="16"/>
                <w:szCs w:val="16"/>
              </w:rPr>
              <w:t>3,109</w:t>
            </w:r>
          </w:p>
        </w:tc>
        <w:tc>
          <w:tcPr>
            <w:tcW w:w="602" w:type="pct"/>
            <w:tcBorders>
              <w:top w:val="nil"/>
              <w:left w:val="nil"/>
              <w:bottom w:val="nil"/>
              <w:right w:val="nil"/>
            </w:tcBorders>
            <w:shd w:val="clear" w:color="000000" w:fill="E6E6E6"/>
            <w:noWrap/>
            <w:vAlign w:val="bottom"/>
            <w:hideMark/>
          </w:tcPr>
          <w:p w14:paraId="613AE708" w14:textId="78FB942B" w:rsidR="0013396A" w:rsidRPr="003C612D" w:rsidRDefault="0013396A" w:rsidP="0013396A">
            <w:pPr>
              <w:spacing w:after="0" w:line="240" w:lineRule="auto"/>
              <w:jc w:val="right"/>
              <w:rPr>
                <w:rFonts w:ascii="Arial" w:hAnsi="Arial" w:cs="Arial"/>
                <w:color w:val="000000"/>
                <w:sz w:val="16"/>
                <w:szCs w:val="16"/>
              </w:rPr>
            </w:pPr>
            <w:r>
              <w:rPr>
                <w:rFonts w:ascii="Arial" w:hAnsi="Arial" w:cs="Arial"/>
                <w:color w:val="000000"/>
                <w:sz w:val="16"/>
                <w:szCs w:val="16"/>
              </w:rPr>
              <w:t>34,872</w:t>
            </w:r>
          </w:p>
        </w:tc>
        <w:tc>
          <w:tcPr>
            <w:tcW w:w="602" w:type="pct"/>
            <w:tcBorders>
              <w:top w:val="nil"/>
              <w:left w:val="nil"/>
              <w:bottom w:val="nil"/>
              <w:right w:val="nil"/>
            </w:tcBorders>
            <w:shd w:val="clear" w:color="auto" w:fill="auto"/>
            <w:noWrap/>
            <w:vAlign w:val="bottom"/>
            <w:hideMark/>
          </w:tcPr>
          <w:p w14:paraId="2BBE01DD" w14:textId="66702556" w:rsidR="0013396A" w:rsidRPr="003C612D" w:rsidRDefault="0013396A" w:rsidP="0013396A">
            <w:pPr>
              <w:spacing w:after="0" w:line="240" w:lineRule="auto"/>
              <w:jc w:val="right"/>
              <w:rPr>
                <w:rFonts w:ascii="Arial" w:hAnsi="Arial" w:cs="Arial"/>
                <w:sz w:val="16"/>
                <w:szCs w:val="16"/>
              </w:rPr>
            </w:pPr>
            <w:r>
              <w:rPr>
                <w:rFonts w:ascii="Arial" w:hAnsi="Arial" w:cs="Arial"/>
                <w:sz w:val="16"/>
                <w:szCs w:val="16"/>
              </w:rPr>
              <w:t>38,311</w:t>
            </w:r>
          </w:p>
        </w:tc>
        <w:tc>
          <w:tcPr>
            <w:tcW w:w="602" w:type="pct"/>
            <w:tcBorders>
              <w:top w:val="nil"/>
              <w:left w:val="nil"/>
              <w:bottom w:val="nil"/>
              <w:right w:val="nil"/>
            </w:tcBorders>
            <w:shd w:val="clear" w:color="auto" w:fill="auto"/>
            <w:noWrap/>
            <w:vAlign w:val="bottom"/>
            <w:hideMark/>
          </w:tcPr>
          <w:p w14:paraId="335A3A9A" w14:textId="77554DD9" w:rsidR="0013396A" w:rsidRPr="003C612D" w:rsidRDefault="0013396A" w:rsidP="0013396A">
            <w:pPr>
              <w:spacing w:after="0" w:line="240" w:lineRule="auto"/>
              <w:jc w:val="right"/>
              <w:rPr>
                <w:rFonts w:ascii="Arial" w:hAnsi="Arial" w:cs="Arial"/>
                <w:sz w:val="16"/>
                <w:szCs w:val="16"/>
              </w:rPr>
            </w:pPr>
            <w:r>
              <w:rPr>
                <w:rFonts w:ascii="Arial" w:hAnsi="Arial" w:cs="Arial"/>
                <w:sz w:val="16"/>
                <w:szCs w:val="16"/>
              </w:rPr>
              <w:t>18,253</w:t>
            </w:r>
          </w:p>
        </w:tc>
        <w:tc>
          <w:tcPr>
            <w:tcW w:w="602" w:type="pct"/>
            <w:tcBorders>
              <w:top w:val="nil"/>
              <w:left w:val="nil"/>
              <w:bottom w:val="nil"/>
              <w:right w:val="nil"/>
            </w:tcBorders>
            <w:shd w:val="clear" w:color="auto" w:fill="auto"/>
            <w:noWrap/>
            <w:vAlign w:val="bottom"/>
            <w:hideMark/>
          </w:tcPr>
          <w:p w14:paraId="2786EC14" w14:textId="1E987678" w:rsidR="0013396A" w:rsidRPr="003C612D" w:rsidRDefault="0013396A" w:rsidP="0013396A">
            <w:pPr>
              <w:spacing w:after="0" w:line="240" w:lineRule="auto"/>
              <w:jc w:val="right"/>
              <w:rPr>
                <w:rFonts w:ascii="Arial" w:hAnsi="Arial" w:cs="Arial"/>
                <w:sz w:val="16"/>
                <w:szCs w:val="16"/>
              </w:rPr>
            </w:pPr>
            <w:r>
              <w:rPr>
                <w:rFonts w:ascii="Arial" w:hAnsi="Arial" w:cs="Arial"/>
                <w:sz w:val="16"/>
                <w:szCs w:val="16"/>
              </w:rPr>
              <w:t>18,401</w:t>
            </w:r>
          </w:p>
        </w:tc>
      </w:tr>
      <w:tr w:rsidR="0013396A" w:rsidRPr="003C612D" w14:paraId="76D12944" w14:textId="77777777" w:rsidTr="0013396A">
        <w:trPr>
          <w:trHeight w:val="204"/>
        </w:trPr>
        <w:tc>
          <w:tcPr>
            <w:tcW w:w="1991" w:type="pct"/>
            <w:tcBorders>
              <w:top w:val="nil"/>
              <w:left w:val="nil"/>
              <w:bottom w:val="nil"/>
              <w:right w:val="nil"/>
            </w:tcBorders>
            <w:shd w:val="clear" w:color="000000" w:fill="FFFFFF"/>
            <w:vAlign w:val="bottom"/>
            <w:hideMark/>
          </w:tcPr>
          <w:p w14:paraId="034AFD73" w14:textId="7C38D50A" w:rsidR="0013396A" w:rsidRPr="003C612D" w:rsidRDefault="0013396A" w:rsidP="0013396A">
            <w:pPr>
              <w:spacing w:after="0" w:line="240" w:lineRule="auto"/>
              <w:ind w:left="113"/>
              <w:rPr>
                <w:rFonts w:ascii="Arial" w:hAnsi="Arial" w:cs="Arial"/>
                <w:sz w:val="16"/>
                <w:szCs w:val="16"/>
              </w:rPr>
            </w:pPr>
            <w:r w:rsidRPr="003C612D">
              <w:rPr>
                <w:rFonts w:ascii="Arial" w:hAnsi="Arial" w:cs="Arial"/>
                <w:sz w:val="16"/>
                <w:szCs w:val="16"/>
              </w:rPr>
              <w:t xml:space="preserve">Administered Assets and Liabilities </w:t>
            </w:r>
            <w:r>
              <w:rPr>
                <w:rFonts w:ascii="Arial" w:hAnsi="Arial" w:cs="Arial"/>
                <w:sz w:val="16"/>
                <w:szCs w:val="16"/>
              </w:rPr>
              <w:noBreakHyphen/>
            </w:r>
            <w:r w:rsidRPr="003C612D">
              <w:rPr>
                <w:rFonts w:ascii="Arial" w:hAnsi="Arial" w:cs="Arial"/>
                <w:sz w:val="16"/>
                <w:szCs w:val="16"/>
              </w:rPr>
              <w:t xml:space="preserve"> Bill 2</w:t>
            </w:r>
          </w:p>
        </w:tc>
        <w:tc>
          <w:tcPr>
            <w:tcW w:w="602" w:type="pct"/>
            <w:tcBorders>
              <w:top w:val="nil"/>
              <w:left w:val="nil"/>
              <w:bottom w:val="nil"/>
              <w:right w:val="nil"/>
            </w:tcBorders>
            <w:shd w:val="clear" w:color="000000" w:fill="FFFFFF"/>
            <w:noWrap/>
            <w:vAlign w:val="bottom"/>
            <w:hideMark/>
          </w:tcPr>
          <w:p w14:paraId="6EE9DD58" w14:textId="5A059E27" w:rsidR="0013396A" w:rsidRPr="003C612D" w:rsidRDefault="0013396A" w:rsidP="0013396A">
            <w:pPr>
              <w:spacing w:after="0" w:line="240" w:lineRule="auto"/>
              <w:jc w:val="right"/>
              <w:rPr>
                <w:rFonts w:ascii="Arial" w:hAnsi="Arial" w:cs="Arial"/>
                <w:sz w:val="16"/>
                <w:szCs w:val="16"/>
              </w:rPr>
            </w:pPr>
            <w:r>
              <w:rPr>
                <w:rFonts w:ascii="Arial" w:hAnsi="Arial" w:cs="Arial"/>
                <w:sz w:val="16"/>
                <w:szCs w:val="16"/>
              </w:rPr>
              <w:t>3,634,268</w:t>
            </w:r>
          </w:p>
        </w:tc>
        <w:tc>
          <w:tcPr>
            <w:tcW w:w="602" w:type="pct"/>
            <w:tcBorders>
              <w:top w:val="nil"/>
              <w:left w:val="nil"/>
              <w:bottom w:val="nil"/>
              <w:right w:val="nil"/>
            </w:tcBorders>
            <w:shd w:val="clear" w:color="000000" w:fill="E6E6E6"/>
            <w:noWrap/>
            <w:vAlign w:val="bottom"/>
            <w:hideMark/>
          </w:tcPr>
          <w:p w14:paraId="1CDD7E7F" w14:textId="24911FBA" w:rsidR="0013396A" w:rsidRPr="003C612D" w:rsidRDefault="0013396A" w:rsidP="0013396A">
            <w:pPr>
              <w:spacing w:after="0" w:line="240" w:lineRule="auto"/>
              <w:jc w:val="right"/>
              <w:rPr>
                <w:rFonts w:ascii="Arial" w:hAnsi="Arial" w:cs="Arial"/>
                <w:color w:val="000000"/>
                <w:sz w:val="16"/>
                <w:szCs w:val="16"/>
              </w:rPr>
            </w:pPr>
            <w:r>
              <w:rPr>
                <w:rFonts w:ascii="Arial" w:hAnsi="Arial" w:cs="Arial"/>
                <w:color w:val="000000"/>
                <w:sz w:val="16"/>
                <w:szCs w:val="16"/>
              </w:rPr>
              <w:t>3,228,475</w:t>
            </w:r>
          </w:p>
        </w:tc>
        <w:tc>
          <w:tcPr>
            <w:tcW w:w="602" w:type="pct"/>
            <w:tcBorders>
              <w:top w:val="nil"/>
              <w:left w:val="nil"/>
              <w:bottom w:val="nil"/>
              <w:right w:val="nil"/>
            </w:tcBorders>
            <w:shd w:val="clear" w:color="000000" w:fill="FFFFFF"/>
            <w:noWrap/>
            <w:vAlign w:val="bottom"/>
            <w:hideMark/>
          </w:tcPr>
          <w:p w14:paraId="784A8C8D" w14:textId="6E7AE913" w:rsidR="0013396A" w:rsidRPr="003C612D" w:rsidRDefault="0013396A" w:rsidP="0013396A">
            <w:pPr>
              <w:spacing w:after="0" w:line="240" w:lineRule="auto"/>
              <w:jc w:val="right"/>
              <w:rPr>
                <w:rFonts w:ascii="Arial" w:hAnsi="Arial" w:cs="Arial"/>
                <w:sz w:val="16"/>
                <w:szCs w:val="16"/>
              </w:rPr>
            </w:pPr>
            <w:r>
              <w:rPr>
                <w:rFonts w:ascii="Arial" w:hAnsi="Arial" w:cs="Arial"/>
                <w:sz w:val="16"/>
                <w:szCs w:val="16"/>
              </w:rPr>
              <w:t>3,433,261</w:t>
            </w:r>
          </w:p>
        </w:tc>
        <w:tc>
          <w:tcPr>
            <w:tcW w:w="602" w:type="pct"/>
            <w:tcBorders>
              <w:top w:val="nil"/>
              <w:left w:val="nil"/>
              <w:bottom w:val="nil"/>
              <w:right w:val="nil"/>
            </w:tcBorders>
            <w:shd w:val="clear" w:color="000000" w:fill="FFFFFF"/>
            <w:noWrap/>
            <w:vAlign w:val="bottom"/>
            <w:hideMark/>
          </w:tcPr>
          <w:p w14:paraId="5EFEE2D3" w14:textId="7C4C7B2E" w:rsidR="0013396A" w:rsidRPr="003C612D" w:rsidRDefault="0013396A" w:rsidP="0013396A">
            <w:pPr>
              <w:spacing w:after="0" w:line="240" w:lineRule="auto"/>
              <w:jc w:val="right"/>
              <w:rPr>
                <w:rFonts w:ascii="Arial" w:hAnsi="Arial" w:cs="Arial"/>
                <w:sz w:val="16"/>
                <w:szCs w:val="16"/>
              </w:rPr>
            </w:pPr>
            <w:r>
              <w:rPr>
                <w:rFonts w:ascii="Arial" w:hAnsi="Arial" w:cs="Arial"/>
                <w:sz w:val="16"/>
                <w:szCs w:val="16"/>
              </w:rPr>
              <w:t>2,852,889</w:t>
            </w:r>
          </w:p>
        </w:tc>
        <w:tc>
          <w:tcPr>
            <w:tcW w:w="602" w:type="pct"/>
            <w:tcBorders>
              <w:top w:val="nil"/>
              <w:left w:val="nil"/>
              <w:bottom w:val="nil"/>
              <w:right w:val="nil"/>
            </w:tcBorders>
            <w:shd w:val="clear" w:color="000000" w:fill="FFFFFF"/>
            <w:noWrap/>
            <w:vAlign w:val="bottom"/>
            <w:hideMark/>
          </w:tcPr>
          <w:p w14:paraId="73509E2D" w14:textId="1D1E8887" w:rsidR="0013396A" w:rsidRPr="003C612D" w:rsidRDefault="0013396A" w:rsidP="0013396A">
            <w:pPr>
              <w:spacing w:after="0" w:line="240" w:lineRule="auto"/>
              <w:jc w:val="right"/>
              <w:rPr>
                <w:rFonts w:ascii="Arial" w:hAnsi="Arial" w:cs="Arial"/>
                <w:sz w:val="16"/>
                <w:szCs w:val="16"/>
              </w:rPr>
            </w:pPr>
            <w:r>
              <w:rPr>
                <w:rFonts w:ascii="Arial" w:hAnsi="Arial" w:cs="Arial"/>
                <w:sz w:val="16"/>
                <w:szCs w:val="16"/>
              </w:rPr>
              <w:t>948,132</w:t>
            </w:r>
          </w:p>
        </w:tc>
      </w:tr>
      <w:tr w:rsidR="0013396A" w:rsidRPr="003C612D" w14:paraId="24944B2E" w14:textId="77777777" w:rsidTr="0013396A">
        <w:trPr>
          <w:trHeight w:val="204"/>
        </w:trPr>
        <w:tc>
          <w:tcPr>
            <w:tcW w:w="1991" w:type="pct"/>
            <w:tcBorders>
              <w:top w:val="nil"/>
              <w:left w:val="nil"/>
              <w:bottom w:val="nil"/>
              <w:right w:val="nil"/>
            </w:tcBorders>
            <w:shd w:val="clear" w:color="auto" w:fill="auto"/>
            <w:noWrap/>
            <w:vAlign w:val="bottom"/>
            <w:hideMark/>
          </w:tcPr>
          <w:p w14:paraId="51291EE5" w14:textId="77777777" w:rsidR="0013396A" w:rsidRPr="003C612D" w:rsidRDefault="0013396A" w:rsidP="0013396A">
            <w:pPr>
              <w:spacing w:after="0" w:line="240" w:lineRule="auto"/>
              <w:rPr>
                <w:rFonts w:ascii="Arial" w:hAnsi="Arial" w:cs="Arial"/>
                <w:b/>
                <w:bCs/>
                <w:sz w:val="16"/>
                <w:szCs w:val="16"/>
              </w:rPr>
            </w:pPr>
            <w:r w:rsidRPr="003C612D">
              <w:rPr>
                <w:rFonts w:ascii="Arial" w:hAnsi="Arial" w:cs="Arial"/>
                <w:b/>
                <w:bCs/>
                <w:sz w:val="16"/>
                <w:szCs w:val="16"/>
              </w:rPr>
              <w:t>Total new capital appropriations</w:t>
            </w:r>
          </w:p>
        </w:tc>
        <w:tc>
          <w:tcPr>
            <w:tcW w:w="602" w:type="pct"/>
            <w:tcBorders>
              <w:top w:val="single" w:sz="4" w:space="0" w:color="auto"/>
              <w:left w:val="nil"/>
              <w:bottom w:val="single" w:sz="4" w:space="0" w:color="auto"/>
              <w:right w:val="nil"/>
            </w:tcBorders>
            <w:shd w:val="clear" w:color="auto" w:fill="auto"/>
            <w:noWrap/>
            <w:vAlign w:val="bottom"/>
            <w:hideMark/>
          </w:tcPr>
          <w:p w14:paraId="31932783" w14:textId="37685D6A" w:rsidR="0013396A" w:rsidRPr="003C612D" w:rsidRDefault="0013396A" w:rsidP="0013396A">
            <w:pPr>
              <w:spacing w:after="0" w:line="240" w:lineRule="auto"/>
              <w:jc w:val="right"/>
              <w:rPr>
                <w:rFonts w:ascii="Arial" w:hAnsi="Arial" w:cs="Arial"/>
                <w:b/>
                <w:bCs/>
                <w:sz w:val="16"/>
                <w:szCs w:val="16"/>
              </w:rPr>
            </w:pPr>
            <w:r>
              <w:rPr>
                <w:rFonts w:ascii="Arial" w:hAnsi="Arial" w:cs="Arial"/>
                <w:b/>
                <w:bCs/>
                <w:sz w:val="16"/>
                <w:szCs w:val="16"/>
              </w:rPr>
              <w:t>3,637,377</w:t>
            </w:r>
          </w:p>
        </w:tc>
        <w:tc>
          <w:tcPr>
            <w:tcW w:w="602" w:type="pct"/>
            <w:tcBorders>
              <w:top w:val="single" w:sz="4" w:space="0" w:color="000000"/>
              <w:left w:val="nil"/>
              <w:bottom w:val="single" w:sz="4" w:space="0" w:color="000000"/>
              <w:right w:val="nil"/>
            </w:tcBorders>
            <w:shd w:val="clear" w:color="000000" w:fill="E6E6E6"/>
            <w:noWrap/>
            <w:vAlign w:val="bottom"/>
            <w:hideMark/>
          </w:tcPr>
          <w:p w14:paraId="755F8AC7" w14:textId="39D47217" w:rsidR="0013396A" w:rsidRPr="003C612D" w:rsidRDefault="0013396A" w:rsidP="0013396A">
            <w:pPr>
              <w:spacing w:after="0" w:line="240" w:lineRule="auto"/>
              <w:jc w:val="right"/>
              <w:rPr>
                <w:rFonts w:ascii="Arial" w:hAnsi="Arial" w:cs="Arial"/>
                <w:b/>
                <w:bCs/>
                <w:color w:val="000000"/>
                <w:sz w:val="16"/>
                <w:szCs w:val="16"/>
              </w:rPr>
            </w:pPr>
            <w:r>
              <w:rPr>
                <w:rFonts w:ascii="Arial" w:hAnsi="Arial" w:cs="Arial"/>
                <w:b/>
                <w:bCs/>
                <w:color w:val="000000"/>
                <w:sz w:val="16"/>
                <w:szCs w:val="16"/>
              </w:rPr>
              <w:t>3,263,347</w:t>
            </w:r>
          </w:p>
        </w:tc>
        <w:tc>
          <w:tcPr>
            <w:tcW w:w="602" w:type="pct"/>
            <w:tcBorders>
              <w:top w:val="single" w:sz="4" w:space="0" w:color="auto"/>
              <w:left w:val="nil"/>
              <w:bottom w:val="single" w:sz="4" w:space="0" w:color="auto"/>
              <w:right w:val="nil"/>
            </w:tcBorders>
            <w:shd w:val="clear" w:color="auto" w:fill="auto"/>
            <w:noWrap/>
            <w:vAlign w:val="bottom"/>
            <w:hideMark/>
          </w:tcPr>
          <w:p w14:paraId="6D5BEB5A" w14:textId="2629BA3E" w:rsidR="0013396A" w:rsidRPr="003C612D" w:rsidRDefault="0013396A" w:rsidP="0013396A">
            <w:pPr>
              <w:spacing w:after="0" w:line="240" w:lineRule="auto"/>
              <w:jc w:val="right"/>
              <w:rPr>
                <w:rFonts w:ascii="Arial" w:hAnsi="Arial" w:cs="Arial"/>
                <w:b/>
                <w:bCs/>
                <w:sz w:val="16"/>
                <w:szCs w:val="16"/>
              </w:rPr>
            </w:pPr>
            <w:r>
              <w:rPr>
                <w:rFonts w:ascii="Arial" w:hAnsi="Arial" w:cs="Arial"/>
                <w:b/>
                <w:bCs/>
                <w:sz w:val="16"/>
                <w:szCs w:val="16"/>
              </w:rPr>
              <w:t>3,471,572</w:t>
            </w:r>
          </w:p>
        </w:tc>
        <w:tc>
          <w:tcPr>
            <w:tcW w:w="602" w:type="pct"/>
            <w:tcBorders>
              <w:top w:val="single" w:sz="4" w:space="0" w:color="auto"/>
              <w:left w:val="nil"/>
              <w:bottom w:val="single" w:sz="4" w:space="0" w:color="auto"/>
              <w:right w:val="nil"/>
            </w:tcBorders>
            <w:shd w:val="clear" w:color="auto" w:fill="auto"/>
            <w:noWrap/>
            <w:vAlign w:val="bottom"/>
            <w:hideMark/>
          </w:tcPr>
          <w:p w14:paraId="7A60CDA8" w14:textId="29DAA6DB" w:rsidR="0013396A" w:rsidRPr="003C612D" w:rsidRDefault="0013396A" w:rsidP="0013396A">
            <w:pPr>
              <w:spacing w:after="0" w:line="240" w:lineRule="auto"/>
              <w:jc w:val="right"/>
              <w:rPr>
                <w:rFonts w:ascii="Arial" w:hAnsi="Arial" w:cs="Arial"/>
                <w:b/>
                <w:bCs/>
                <w:sz w:val="16"/>
                <w:szCs w:val="16"/>
              </w:rPr>
            </w:pPr>
            <w:r>
              <w:rPr>
                <w:rFonts w:ascii="Arial" w:hAnsi="Arial" w:cs="Arial"/>
                <w:b/>
                <w:bCs/>
                <w:sz w:val="16"/>
                <w:szCs w:val="16"/>
              </w:rPr>
              <w:t>2,871,142</w:t>
            </w:r>
          </w:p>
        </w:tc>
        <w:tc>
          <w:tcPr>
            <w:tcW w:w="602" w:type="pct"/>
            <w:tcBorders>
              <w:top w:val="single" w:sz="4" w:space="0" w:color="auto"/>
              <w:left w:val="nil"/>
              <w:bottom w:val="single" w:sz="4" w:space="0" w:color="auto"/>
              <w:right w:val="nil"/>
            </w:tcBorders>
            <w:shd w:val="clear" w:color="auto" w:fill="auto"/>
            <w:noWrap/>
            <w:vAlign w:val="bottom"/>
            <w:hideMark/>
          </w:tcPr>
          <w:p w14:paraId="6EBEB0DF" w14:textId="443FDA3A" w:rsidR="0013396A" w:rsidRPr="003C612D" w:rsidRDefault="0013396A" w:rsidP="0013396A">
            <w:pPr>
              <w:spacing w:after="0" w:line="240" w:lineRule="auto"/>
              <w:jc w:val="right"/>
              <w:rPr>
                <w:rFonts w:ascii="Arial" w:hAnsi="Arial" w:cs="Arial"/>
                <w:b/>
                <w:bCs/>
                <w:sz w:val="16"/>
                <w:szCs w:val="16"/>
              </w:rPr>
            </w:pPr>
            <w:r>
              <w:rPr>
                <w:rFonts w:ascii="Arial" w:hAnsi="Arial" w:cs="Arial"/>
                <w:b/>
                <w:bCs/>
                <w:sz w:val="16"/>
                <w:szCs w:val="16"/>
              </w:rPr>
              <w:t>966,533</w:t>
            </w:r>
          </w:p>
        </w:tc>
      </w:tr>
      <w:tr w:rsidR="0013396A" w:rsidRPr="006C4365" w14:paraId="48BBD487" w14:textId="77777777" w:rsidTr="0013396A">
        <w:trPr>
          <w:trHeight w:val="204"/>
        </w:trPr>
        <w:tc>
          <w:tcPr>
            <w:tcW w:w="1991" w:type="pct"/>
            <w:tcBorders>
              <w:top w:val="nil"/>
              <w:left w:val="nil"/>
              <w:bottom w:val="nil"/>
              <w:right w:val="nil"/>
            </w:tcBorders>
            <w:shd w:val="clear" w:color="auto" w:fill="auto"/>
            <w:noWrap/>
            <w:vAlign w:val="bottom"/>
            <w:hideMark/>
          </w:tcPr>
          <w:p w14:paraId="6814FA67" w14:textId="77777777" w:rsidR="0013396A" w:rsidRPr="006C4365" w:rsidRDefault="0013396A" w:rsidP="0013396A">
            <w:pPr>
              <w:spacing w:after="0" w:line="240" w:lineRule="auto"/>
              <w:ind w:left="113"/>
              <w:rPr>
                <w:rFonts w:ascii="Arial" w:hAnsi="Arial" w:cs="Arial"/>
                <w:b/>
                <w:bCs/>
                <w:iCs/>
                <w:sz w:val="16"/>
                <w:szCs w:val="16"/>
              </w:rPr>
            </w:pPr>
            <w:r w:rsidRPr="006C4365">
              <w:rPr>
                <w:rFonts w:ascii="Arial" w:hAnsi="Arial" w:cs="Arial"/>
                <w:b/>
                <w:bCs/>
                <w:iCs/>
                <w:sz w:val="16"/>
                <w:szCs w:val="16"/>
              </w:rPr>
              <w:t>Provided for:</w:t>
            </w:r>
          </w:p>
        </w:tc>
        <w:tc>
          <w:tcPr>
            <w:tcW w:w="602" w:type="pct"/>
            <w:tcBorders>
              <w:top w:val="nil"/>
              <w:left w:val="nil"/>
              <w:bottom w:val="nil"/>
              <w:right w:val="nil"/>
            </w:tcBorders>
            <w:shd w:val="clear" w:color="auto" w:fill="auto"/>
            <w:noWrap/>
            <w:vAlign w:val="bottom"/>
            <w:hideMark/>
          </w:tcPr>
          <w:p w14:paraId="07D72154" w14:textId="77777777" w:rsidR="0013396A" w:rsidRPr="006C4365" w:rsidRDefault="0013396A" w:rsidP="0013396A">
            <w:pPr>
              <w:spacing w:after="0" w:line="240" w:lineRule="auto"/>
              <w:jc w:val="right"/>
              <w:rPr>
                <w:rFonts w:ascii="Arial" w:hAnsi="Arial" w:cs="Arial"/>
                <w:b/>
                <w:bCs/>
                <w:iCs/>
                <w:sz w:val="16"/>
                <w:szCs w:val="16"/>
              </w:rPr>
            </w:pPr>
          </w:p>
        </w:tc>
        <w:tc>
          <w:tcPr>
            <w:tcW w:w="602" w:type="pct"/>
            <w:tcBorders>
              <w:top w:val="nil"/>
              <w:left w:val="nil"/>
              <w:bottom w:val="nil"/>
              <w:right w:val="nil"/>
            </w:tcBorders>
            <w:shd w:val="clear" w:color="000000" w:fill="E6E6E6"/>
            <w:noWrap/>
            <w:vAlign w:val="bottom"/>
            <w:hideMark/>
          </w:tcPr>
          <w:p w14:paraId="63265A2C" w14:textId="60A3C586" w:rsidR="0013396A" w:rsidRPr="006C4365" w:rsidRDefault="0013396A" w:rsidP="0013396A">
            <w:pPr>
              <w:spacing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515E2ED6" w14:textId="77777777" w:rsidR="0013396A" w:rsidRPr="006C4365" w:rsidRDefault="0013396A" w:rsidP="0013396A">
            <w:pPr>
              <w:spacing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2537B451" w14:textId="77777777" w:rsidR="0013396A" w:rsidRPr="006C4365" w:rsidRDefault="0013396A" w:rsidP="0013396A">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650D4278" w14:textId="77777777" w:rsidR="0013396A" w:rsidRPr="006C4365" w:rsidRDefault="0013396A" w:rsidP="0013396A">
            <w:pPr>
              <w:spacing w:after="0" w:line="240" w:lineRule="auto"/>
              <w:jc w:val="right"/>
              <w:rPr>
                <w:rFonts w:ascii="Times New Roman" w:hAnsi="Times New Roman"/>
              </w:rPr>
            </w:pPr>
          </w:p>
        </w:tc>
      </w:tr>
      <w:tr w:rsidR="0013396A" w:rsidRPr="006C4365" w14:paraId="35056149" w14:textId="77777777" w:rsidTr="0013396A">
        <w:trPr>
          <w:trHeight w:val="204"/>
        </w:trPr>
        <w:tc>
          <w:tcPr>
            <w:tcW w:w="1991" w:type="pct"/>
            <w:tcBorders>
              <w:top w:val="nil"/>
              <w:left w:val="nil"/>
              <w:bottom w:val="nil"/>
              <w:right w:val="nil"/>
            </w:tcBorders>
            <w:shd w:val="clear" w:color="auto" w:fill="auto"/>
            <w:noWrap/>
            <w:vAlign w:val="bottom"/>
            <w:hideMark/>
          </w:tcPr>
          <w:p w14:paraId="68D51E33" w14:textId="77777777" w:rsidR="0013396A" w:rsidRPr="006C4365" w:rsidRDefault="0013396A" w:rsidP="0013396A">
            <w:pPr>
              <w:spacing w:after="0" w:line="240" w:lineRule="auto"/>
              <w:ind w:left="227"/>
              <w:rPr>
                <w:rFonts w:ascii="Arial" w:hAnsi="Arial" w:cs="Arial"/>
                <w:iCs/>
                <w:sz w:val="16"/>
                <w:szCs w:val="16"/>
              </w:rPr>
            </w:pPr>
            <w:r w:rsidRPr="006C4365">
              <w:rPr>
                <w:rFonts w:ascii="Arial" w:hAnsi="Arial" w:cs="Arial"/>
                <w:iCs/>
                <w:sz w:val="16"/>
                <w:szCs w:val="16"/>
              </w:rPr>
              <w:t>Purchase of non-financial assets</w:t>
            </w:r>
          </w:p>
        </w:tc>
        <w:tc>
          <w:tcPr>
            <w:tcW w:w="602" w:type="pct"/>
            <w:tcBorders>
              <w:top w:val="nil"/>
              <w:left w:val="nil"/>
              <w:bottom w:val="nil"/>
              <w:right w:val="nil"/>
            </w:tcBorders>
            <w:shd w:val="clear" w:color="auto" w:fill="auto"/>
            <w:noWrap/>
            <w:vAlign w:val="bottom"/>
            <w:hideMark/>
          </w:tcPr>
          <w:p w14:paraId="52F47E97" w14:textId="05DD9973" w:rsidR="0013396A" w:rsidRPr="006C4365" w:rsidRDefault="0013396A" w:rsidP="0013396A">
            <w:pPr>
              <w:spacing w:after="0" w:line="240" w:lineRule="auto"/>
              <w:jc w:val="right"/>
              <w:rPr>
                <w:rFonts w:ascii="Arial" w:hAnsi="Arial" w:cs="Arial"/>
                <w:iCs/>
                <w:sz w:val="16"/>
                <w:szCs w:val="16"/>
              </w:rPr>
            </w:pPr>
            <w:r w:rsidRPr="006C4365">
              <w:rPr>
                <w:rFonts w:ascii="Arial" w:hAnsi="Arial" w:cs="Arial"/>
                <w:iCs/>
                <w:sz w:val="16"/>
                <w:szCs w:val="16"/>
              </w:rPr>
              <w:t>302,041</w:t>
            </w:r>
          </w:p>
        </w:tc>
        <w:tc>
          <w:tcPr>
            <w:tcW w:w="602" w:type="pct"/>
            <w:tcBorders>
              <w:top w:val="nil"/>
              <w:left w:val="nil"/>
              <w:bottom w:val="nil"/>
              <w:right w:val="nil"/>
            </w:tcBorders>
            <w:shd w:val="clear" w:color="000000" w:fill="E6E6E6"/>
            <w:noWrap/>
            <w:vAlign w:val="bottom"/>
            <w:hideMark/>
          </w:tcPr>
          <w:p w14:paraId="08A94E8F" w14:textId="2154763E" w:rsidR="0013396A" w:rsidRPr="006C4365" w:rsidRDefault="0013396A" w:rsidP="0013396A">
            <w:pPr>
              <w:spacing w:after="0" w:line="240" w:lineRule="auto"/>
              <w:jc w:val="right"/>
              <w:rPr>
                <w:rFonts w:ascii="Arial" w:hAnsi="Arial" w:cs="Arial"/>
                <w:color w:val="000000"/>
                <w:sz w:val="16"/>
                <w:szCs w:val="16"/>
              </w:rPr>
            </w:pPr>
            <w:r w:rsidRPr="006C4365">
              <w:rPr>
                <w:rFonts w:ascii="Arial" w:hAnsi="Arial" w:cs="Arial"/>
                <w:iCs/>
                <w:color w:val="000000"/>
                <w:sz w:val="16"/>
                <w:szCs w:val="16"/>
              </w:rPr>
              <w:t>127,496</w:t>
            </w:r>
          </w:p>
        </w:tc>
        <w:tc>
          <w:tcPr>
            <w:tcW w:w="602" w:type="pct"/>
            <w:tcBorders>
              <w:top w:val="nil"/>
              <w:left w:val="nil"/>
              <w:bottom w:val="nil"/>
              <w:right w:val="nil"/>
            </w:tcBorders>
            <w:shd w:val="clear" w:color="auto" w:fill="auto"/>
            <w:noWrap/>
            <w:vAlign w:val="bottom"/>
            <w:hideMark/>
          </w:tcPr>
          <w:p w14:paraId="62378669" w14:textId="4048FB78" w:rsidR="0013396A" w:rsidRPr="006C4365" w:rsidRDefault="0013396A" w:rsidP="0013396A">
            <w:pPr>
              <w:spacing w:after="0" w:line="240" w:lineRule="auto"/>
              <w:jc w:val="right"/>
              <w:rPr>
                <w:rFonts w:ascii="Arial" w:hAnsi="Arial" w:cs="Arial"/>
                <w:iCs/>
                <w:sz w:val="16"/>
                <w:szCs w:val="16"/>
              </w:rPr>
            </w:pPr>
            <w:r w:rsidRPr="006C4365">
              <w:rPr>
                <w:rFonts w:ascii="Arial" w:hAnsi="Arial" w:cs="Arial"/>
                <w:iCs/>
                <w:sz w:val="16"/>
                <w:szCs w:val="16"/>
              </w:rPr>
              <w:t>9,711</w:t>
            </w:r>
          </w:p>
        </w:tc>
        <w:tc>
          <w:tcPr>
            <w:tcW w:w="602" w:type="pct"/>
            <w:tcBorders>
              <w:top w:val="nil"/>
              <w:left w:val="nil"/>
              <w:bottom w:val="nil"/>
              <w:right w:val="nil"/>
            </w:tcBorders>
            <w:shd w:val="clear" w:color="auto" w:fill="auto"/>
            <w:noWrap/>
            <w:vAlign w:val="bottom"/>
            <w:hideMark/>
          </w:tcPr>
          <w:p w14:paraId="072C4868" w14:textId="4AE4075B" w:rsidR="0013396A" w:rsidRPr="006C4365" w:rsidRDefault="0013396A" w:rsidP="0013396A">
            <w:pPr>
              <w:spacing w:after="0" w:line="240" w:lineRule="auto"/>
              <w:jc w:val="right"/>
              <w:rPr>
                <w:rFonts w:ascii="Arial" w:hAnsi="Arial" w:cs="Arial"/>
                <w:iCs/>
                <w:sz w:val="16"/>
                <w:szCs w:val="16"/>
              </w:rPr>
            </w:pPr>
            <w:r w:rsidRPr="006C4365">
              <w:rPr>
                <w:rFonts w:ascii="Arial" w:hAnsi="Arial" w:cs="Arial"/>
                <w:iCs/>
                <w:sz w:val="16"/>
                <w:szCs w:val="16"/>
              </w:rPr>
              <w:t>299,968</w:t>
            </w:r>
          </w:p>
        </w:tc>
        <w:tc>
          <w:tcPr>
            <w:tcW w:w="602" w:type="pct"/>
            <w:tcBorders>
              <w:top w:val="nil"/>
              <w:left w:val="nil"/>
              <w:bottom w:val="nil"/>
              <w:right w:val="nil"/>
            </w:tcBorders>
            <w:shd w:val="clear" w:color="auto" w:fill="auto"/>
            <w:noWrap/>
            <w:vAlign w:val="bottom"/>
            <w:hideMark/>
          </w:tcPr>
          <w:p w14:paraId="48E28497" w14:textId="28FB02F4" w:rsidR="0013396A" w:rsidRPr="006C4365" w:rsidRDefault="0013396A" w:rsidP="0013396A">
            <w:pPr>
              <w:spacing w:after="0" w:line="240" w:lineRule="auto"/>
              <w:jc w:val="right"/>
              <w:rPr>
                <w:rFonts w:ascii="Arial" w:hAnsi="Arial" w:cs="Arial"/>
                <w:iCs/>
                <w:sz w:val="16"/>
                <w:szCs w:val="16"/>
              </w:rPr>
            </w:pPr>
            <w:r w:rsidRPr="006C4365">
              <w:rPr>
                <w:rFonts w:ascii="Arial" w:hAnsi="Arial" w:cs="Arial"/>
                <w:iCs/>
                <w:sz w:val="16"/>
                <w:szCs w:val="16"/>
              </w:rPr>
              <w:t>156,275</w:t>
            </w:r>
          </w:p>
        </w:tc>
      </w:tr>
      <w:tr w:rsidR="0013396A" w:rsidRPr="006C4365" w14:paraId="42E196FA" w14:textId="77777777" w:rsidTr="0013396A">
        <w:trPr>
          <w:trHeight w:val="204"/>
        </w:trPr>
        <w:tc>
          <w:tcPr>
            <w:tcW w:w="1991" w:type="pct"/>
            <w:tcBorders>
              <w:top w:val="nil"/>
              <w:left w:val="nil"/>
              <w:bottom w:val="nil"/>
              <w:right w:val="nil"/>
            </w:tcBorders>
            <w:shd w:val="clear" w:color="auto" w:fill="auto"/>
            <w:noWrap/>
            <w:vAlign w:val="bottom"/>
            <w:hideMark/>
          </w:tcPr>
          <w:p w14:paraId="2A71EB7D" w14:textId="77777777" w:rsidR="0013396A" w:rsidRPr="006C4365" w:rsidRDefault="0013396A" w:rsidP="0013396A">
            <w:pPr>
              <w:spacing w:after="0" w:line="240" w:lineRule="auto"/>
              <w:ind w:left="227"/>
              <w:rPr>
                <w:rFonts w:ascii="Arial" w:hAnsi="Arial" w:cs="Arial"/>
                <w:iCs/>
                <w:sz w:val="16"/>
                <w:szCs w:val="16"/>
              </w:rPr>
            </w:pPr>
            <w:r w:rsidRPr="006C4365">
              <w:rPr>
                <w:rFonts w:ascii="Arial" w:hAnsi="Arial" w:cs="Arial"/>
                <w:iCs/>
                <w:sz w:val="16"/>
                <w:szCs w:val="16"/>
              </w:rPr>
              <w:t>Other Items</w:t>
            </w:r>
          </w:p>
        </w:tc>
        <w:tc>
          <w:tcPr>
            <w:tcW w:w="602" w:type="pct"/>
            <w:tcBorders>
              <w:top w:val="nil"/>
              <w:left w:val="nil"/>
              <w:bottom w:val="nil"/>
              <w:right w:val="nil"/>
            </w:tcBorders>
            <w:shd w:val="clear" w:color="auto" w:fill="auto"/>
            <w:noWrap/>
            <w:vAlign w:val="bottom"/>
            <w:hideMark/>
          </w:tcPr>
          <w:p w14:paraId="6F63D633" w14:textId="40AD1CC3" w:rsidR="0013396A" w:rsidRPr="006C4365" w:rsidRDefault="0013396A" w:rsidP="0013396A">
            <w:pPr>
              <w:spacing w:after="0" w:line="240" w:lineRule="auto"/>
              <w:jc w:val="right"/>
              <w:rPr>
                <w:rFonts w:ascii="Arial" w:hAnsi="Arial" w:cs="Arial"/>
                <w:iCs/>
                <w:sz w:val="16"/>
                <w:szCs w:val="16"/>
              </w:rPr>
            </w:pPr>
            <w:r w:rsidRPr="006C4365">
              <w:rPr>
                <w:rFonts w:ascii="Arial" w:hAnsi="Arial" w:cs="Arial"/>
                <w:iCs/>
                <w:sz w:val="16"/>
                <w:szCs w:val="16"/>
              </w:rPr>
              <w:t>3,335,336</w:t>
            </w:r>
          </w:p>
        </w:tc>
        <w:tc>
          <w:tcPr>
            <w:tcW w:w="602" w:type="pct"/>
            <w:tcBorders>
              <w:top w:val="nil"/>
              <w:left w:val="nil"/>
              <w:bottom w:val="nil"/>
              <w:right w:val="nil"/>
            </w:tcBorders>
            <w:shd w:val="clear" w:color="000000" w:fill="E6E6E6"/>
            <w:noWrap/>
            <w:vAlign w:val="bottom"/>
            <w:hideMark/>
          </w:tcPr>
          <w:p w14:paraId="641D60C8" w14:textId="4C3541AD" w:rsidR="0013396A" w:rsidRPr="006C4365" w:rsidRDefault="0013396A" w:rsidP="0013396A">
            <w:pPr>
              <w:spacing w:after="0" w:line="240" w:lineRule="auto"/>
              <w:jc w:val="right"/>
              <w:rPr>
                <w:rFonts w:ascii="Arial" w:hAnsi="Arial" w:cs="Arial"/>
                <w:color w:val="000000"/>
                <w:sz w:val="16"/>
                <w:szCs w:val="16"/>
              </w:rPr>
            </w:pPr>
            <w:r w:rsidRPr="006C4365">
              <w:rPr>
                <w:rFonts w:ascii="Arial" w:hAnsi="Arial" w:cs="Arial"/>
                <w:iCs/>
                <w:color w:val="000000"/>
                <w:sz w:val="16"/>
                <w:szCs w:val="16"/>
              </w:rPr>
              <w:t>3,135,851</w:t>
            </w:r>
          </w:p>
        </w:tc>
        <w:tc>
          <w:tcPr>
            <w:tcW w:w="602" w:type="pct"/>
            <w:tcBorders>
              <w:top w:val="nil"/>
              <w:left w:val="nil"/>
              <w:bottom w:val="nil"/>
              <w:right w:val="nil"/>
            </w:tcBorders>
            <w:shd w:val="clear" w:color="auto" w:fill="auto"/>
            <w:noWrap/>
            <w:vAlign w:val="bottom"/>
            <w:hideMark/>
          </w:tcPr>
          <w:p w14:paraId="5616B50B" w14:textId="322565B6" w:rsidR="0013396A" w:rsidRPr="006C4365" w:rsidRDefault="0013396A" w:rsidP="0013396A">
            <w:pPr>
              <w:spacing w:after="0" w:line="240" w:lineRule="auto"/>
              <w:jc w:val="right"/>
              <w:rPr>
                <w:rFonts w:ascii="Arial" w:hAnsi="Arial" w:cs="Arial"/>
                <w:iCs/>
                <w:sz w:val="16"/>
                <w:szCs w:val="16"/>
              </w:rPr>
            </w:pPr>
            <w:r w:rsidRPr="006C4365">
              <w:rPr>
                <w:rFonts w:ascii="Arial" w:hAnsi="Arial" w:cs="Arial"/>
                <w:iCs/>
                <w:sz w:val="16"/>
                <w:szCs w:val="16"/>
              </w:rPr>
              <w:t>3,461,861</w:t>
            </w:r>
          </w:p>
        </w:tc>
        <w:tc>
          <w:tcPr>
            <w:tcW w:w="602" w:type="pct"/>
            <w:tcBorders>
              <w:top w:val="nil"/>
              <w:left w:val="nil"/>
              <w:bottom w:val="nil"/>
              <w:right w:val="nil"/>
            </w:tcBorders>
            <w:shd w:val="clear" w:color="auto" w:fill="auto"/>
            <w:noWrap/>
            <w:vAlign w:val="bottom"/>
            <w:hideMark/>
          </w:tcPr>
          <w:p w14:paraId="402C3F69" w14:textId="5FBBC51E" w:rsidR="0013396A" w:rsidRPr="006C4365" w:rsidRDefault="0013396A" w:rsidP="0013396A">
            <w:pPr>
              <w:spacing w:after="0" w:line="240" w:lineRule="auto"/>
              <w:jc w:val="right"/>
              <w:rPr>
                <w:rFonts w:ascii="Arial" w:hAnsi="Arial" w:cs="Arial"/>
                <w:iCs/>
                <w:sz w:val="16"/>
                <w:szCs w:val="16"/>
              </w:rPr>
            </w:pPr>
            <w:r w:rsidRPr="006C4365">
              <w:rPr>
                <w:rFonts w:ascii="Arial" w:hAnsi="Arial" w:cs="Arial"/>
                <w:iCs/>
                <w:sz w:val="16"/>
                <w:szCs w:val="16"/>
              </w:rPr>
              <w:t>2,571,174</w:t>
            </w:r>
          </w:p>
        </w:tc>
        <w:tc>
          <w:tcPr>
            <w:tcW w:w="602" w:type="pct"/>
            <w:tcBorders>
              <w:top w:val="nil"/>
              <w:left w:val="nil"/>
              <w:bottom w:val="nil"/>
              <w:right w:val="nil"/>
            </w:tcBorders>
            <w:shd w:val="clear" w:color="auto" w:fill="auto"/>
            <w:noWrap/>
            <w:vAlign w:val="bottom"/>
            <w:hideMark/>
          </w:tcPr>
          <w:p w14:paraId="7C8985DE" w14:textId="4185ED1C" w:rsidR="0013396A" w:rsidRPr="006C4365" w:rsidRDefault="0013396A" w:rsidP="0013396A">
            <w:pPr>
              <w:spacing w:after="0" w:line="240" w:lineRule="auto"/>
              <w:jc w:val="right"/>
              <w:rPr>
                <w:rFonts w:ascii="Arial" w:hAnsi="Arial" w:cs="Arial"/>
                <w:iCs/>
                <w:sz w:val="16"/>
                <w:szCs w:val="16"/>
              </w:rPr>
            </w:pPr>
            <w:r w:rsidRPr="006C4365">
              <w:rPr>
                <w:rFonts w:ascii="Arial" w:hAnsi="Arial" w:cs="Arial"/>
                <w:iCs/>
                <w:sz w:val="16"/>
                <w:szCs w:val="16"/>
              </w:rPr>
              <w:t>810,258</w:t>
            </w:r>
          </w:p>
        </w:tc>
      </w:tr>
      <w:tr w:rsidR="0013396A" w:rsidRPr="006C4365" w14:paraId="26C46E3C" w14:textId="77777777" w:rsidTr="0013396A">
        <w:trPr>
          <w:trHeight w:val="204"/>
        </w:trPr>
        <w:tc>
          <w:tcPr>
            <w:tcW w:w="1991" w:type="pct"/>
            <w:tcBorders>
              <w:top w:val="nil"/>
              <w:left w:val="nil"/>
              <w:bottom w:val="nil"/>
              <w:right w:val="nil"/>
            </w:tcBorders>
            <w:shd w:val="clear" w:color="auto" w:fill="auto"/>
            <w:noWrap/>
            <w:vAlign w:val="bottom"/>
            <w:hideMark/>
          </w:tcPr>
          <w:p w14:paraId="6369BC13" w14:textId="77777777" w:rsidR="0013396A" w:rsidRPr="006C4365" w:rsidRDefault="0013396A" w:rsidP="0013396A">
            <w:pPr>
              <w:spacing w:after="0" w:line="240" w:lineRule="auto"/>
              <w:ind w:left="113"/>
              <w:rPr>
                <w:rFonts w:ascii="Arial" w:hAnsi="Arial" w:cs="Arial"/>
                <w:b/>
                <w:bCs/>
                <w:iCs/>
                <w:sz w:val="16"/>
                <w:szCs w:val="16"/>
              </w:rPr>
            </w:pPr>
            <w:r w:rsidRPr="006C4365">
              <w:rPr>
                <w:rFonts w:ascii="Arial" w:hAnsi="Arial" w:cs="Arial"/>
                <w:b/>
                <w:bCs/>
                <w:iCs/>
                <w:sz w:val="16"/>
                <w:szCs w:val="16"/>
              </w:rPr>
              <w:t>Total items</w:t>
            </w:r>
          </w:p>
        </w:tc>
        <w:tc>
          <w:tcPr>
            <w:tcW w:w="602" w:type="pct"/>
            <w:tcBorders>
              <w:top w:val="single" w:sz="4" w:space="0" w:color="auto"/>
              <w:left w:val="nil"/>
              <w:bottom w:val="single" w:sz="4" w:space="0" w:color="auto"/>
              <w:right w:val="nil"/>
            </w:tcBorders>
            <w:shd w:val="clear" w:color="auto" w:fill="auto"/>
            <w:noWrap/>
            <w:vAlign w:val="bottom"/>
            <w:hideMark/>
          </w:tcPr>
          <w:p w14:paraId="6A611B23" w14:textId="49E62383" w:rsidR="0013396A" w:rsidRPr="006C4365" w:rsidRDefault="0013396A" w:rsidP="0013396A">
            <w:pPr>
              <w:spacing w:after="0" w:line="240" w:lineRule="auto"/>
              <w:jc w:val="right"/>
              <w:rPr>
                <w:rFonts w:ascii="Arial" w:hAnsi="Arial" w:cs="Arial"/>
                <w:b/>
                <w:bCs/>
                <w:iCs/>
                <w:sz w:val="16"/>
                <w:szCs w:val="16"/>
              </w:rPr>
            </w:pPr>
            <w:r w:rsidRPr="006C4365">
              <w:rPr>
                <w:rFonts w:ascii="Arial" w:hAnsi="Arial" w:cs="Arial"/>
                <w:b/>
                <w:bCs/>
                <w:iCs/>
                <w:sz w:val="16"/>
                <w:szCs w:val="16"/>
              </w:rPr>
              <w:t>3,637,377</w:t>
            </w:r>
          </w:p>
        </w:tc>
        <w:tc>
          <w:tcPr>
            <w:tcW w:w="602" w:type="pct"/>
            <w:tcBorders>
              <w:top w:val="single" w:sz="4" w:space="0" w:color="auto"/>
              <w:left w:val="nil"/>
              <w:bottom w:val="single" w:sz="4" w:space="0" w:color="auto"/>
              <w:right w:val="nil"/>
            </w:tcBorders>
            <w:shd w:val="clear" w:color="000000" w:fill="E6E6E6"/>
            <w:noWrap/>
            <w:vAlign w:val="bottom"/>
            <w:hideMark/>
          </w:tcPr>
          <w:p w14:paraId="2A5AFFAF" w14:textId="1CED385A" w:rsidR="0013396A" w:rsidRPr="006C4365" w:rsidRDefault="0013396A" w:rsidP="0013396A">
            <w:pPr>
              <w:spacing w:after="0" w:line="240" w:lineRule="auto"/>
              <w:jc w:val="right"/>
              <w:rPr>
                <w:rFonts w:ascii="Arial" w:hAnsi="Arial" w:cs="Arial"/>
                <w:b/>
                <w:bCs/>
                <w:color w:val="000000"/>
                <w:sz w:val="16"/>
                <w:szCs w:val="16"/>
              </w:rPr>
            </w:pPr>
            <w:r w:rsidRPr="006C4365">
              <w:rPr>
                <w:rFonts w:ascii="Arial" w:hAnsi="Arial" w:cs="Arial"/>
                <w:b/>
                <w:bCs/>
                <w:color w:val="000000"/>
                <w:sz w:val="16"/>
                <w:szCs w:val="16"/>
              </w:rPr>
              <w:t>3,263,347</w:t>
            </w:r>
          </w:p>
        </w:tc>
        <w:tc>
          <w:tcPr>
            <w:tcW w:w="602" w:type="pct"/>
            <w:tcBorders>
              <w:top w:val="single" w:sz="4" w:space="0" w:color="auto"/>
              <w:left w:val="nil"/>
              <w:bottom w:val="single" w:sz="4" w:space="0" w:color="auto"/>
              <w:right w:val="nil"/>
            </w:tcBorders>
            <w:shd w:val="clear" w:color="auto" w:fill="auto"/>
            <w:noWrap/>
            <w:vAlign w:val="bottom"/>
            <w:hideMark/>
          </w:tcPr>
          <w:p w14:paraId="000F9A9E" w14:textId="53978D6A" w:rsidR="0013396A" w:rsidRPr="006C4365" w:rsidRDefault="0013396A" w:rsidP="0013396A">
            <w:pPr>
              <w:spacing w:after="0" w:line="240" w:lineRule="auto"/>
              <w:jc w:val="right"/>
              <w:rPr>
                <w:rFonts w:ascii="Arial" w:hAnsi="Arial" w:cs="Arial"/>
                <w:b/>
                <w:bCs/>
                <w:iCs/>
                <w:sz w:val="16"/>
                <w:szCs w:val="16"/>
              </w:rPr>
            </w:pPr>
            <w:r w:rsidRPr="006C4365">
              <w:rPr>
                <w:rFonts w:ascii="Arial" w:hAnsi="Arial" w:cs="Arial"/>
                <w:b/>
                <w:bCs/>
                <w:iCs/>
                <w:sz w:val="16"/>
                <w:szCs w:val="16"/>
              </w:rPr>
              <w:t>3,471,572</w:t>
            </w:r>
          </w:p>
        </w:tc>
        <w:tc>
          <w:tcPr>
            <w:tcW w:w="602" w:type="pct"/>
            <w:tcBorders>
              <w:top w:val="single" w:sz="4" w:space="0" w:color="auto"/>
              <w:left w:val="nil"/>
              <w:bottom w:val="single" w:sz="4" w:space="0" w:color="auto"/>
              <w:right w:val="nil"/>
            </w:tcBorders>
            <w:shd w:val="clear" w:color="auto" w:fill="auto"/>
            <w:noWrap/>
            <w:vAlign w:val="bottom"/>
            <w:hideMark/>
          </w:tcPr>
          <w:p w14:paraId="71AB6228" w14:textId="7819089A" w:rsidR="0013396A" w:rsidRPr="006C4365" w:rsidRDefault="0013396A" w:rsidP="0013396A">
            <w:pPr>
              <w:spacing w:after="0" w:line="240" w:lineRule="auto"/>
              <w:jc w:val="right"/>
              <w:rPr>
                <w:rFonts w:ascii="Arial" w:hAnsi="Arial" w:cs="Arial"/>
                <w:b/>
                <w:bCs/>
                <w:iCs/>
                <w:sz w:val="16"/>
                <w:szCs w:val="16"/>
              </w:rPr>
            </w:pPr>
            <w:r w:rsidRPr="006C4365">
              <w:rPr>
                <w:rFonts w:ascii="Arial" w:hAnsi="Arial" w:cs="Arial"/>
                <w:b/>
                <w:bCs/>
                <w:iCs/>
                <w:sz w:val="16"/>
                <w:szCs w:val="16"/>
              </w:rPr>
              <w:t>2,871,142</w:t>
            </w:r>
          </w:p>
        </w:tc>
        <w:tc>
          <w:tcPr>
            <w:tcW w:w="602" w:type="pct"/>
            <w:tcBorders>
              <w:top w:val="single" w:sz="4" w:space="0" w:color="auto"/>
              <w:left w:val="nil"/>
              <w:bottom w:val="single" w:sz="4" w:space="0" w:color="auto"/>
              <w:right w:val="nil"/>
            </w:tcBorders>
            <w:shd w:val="clear" w:color="auto" w:fill="auto"/>
            <w:noWrap/>
            <w:vAlign w:val="bottom"/>
            <w:hideMark/>
          </w:tcPr>
          <w:p w14:paraId="56E192AA" w14:textId="736BE7C4" w:rsidR="0013396A" w:rsidRPr="006C4365" w:rsidRDefault="0013396A" w:rsidP="0013396A">
            <w:pPr>
              <w:spacing w:after="0" w:line="240" w:lineRule="auto"/>
              <w:jc w:val="right"/>
              <w:rPr>
                <w:rFonts w:ascii="Arial" w:hAnsi="Arial" w:cs="Arial"/>
                <w:b/>
                <w:bCs/>
                <w:iCs/>
                <w:sz w:val="16"/>
                <w:szCs w:val="16"/>
              </w:rPr>
            </w:pPr>
            <w:r w:rsidRPr="006C4365">
              <w:rPr>
                <w:rFonts w:ascii="Arial" w:hAnsi="Arial" w:cs="Arial"/>
                <w:b/>
                <w:bCs/>
                <w:iCs/>
                <w:sz w:val="16"/>
                <w:szCs w:val="16"/>
              </w:rPr>
              <w:t>966,533</w:t>
            </w:r>
          </w:p>
        </w:tc>
      </w:tr>
      <w:tr w:rsidR="0013396A" w:rsidRPr="003C612D" w14:paraId="060606E4" w14:textId="77777777" w:rsidTr="0013396A">
        <w:trPr>
          <w:trHeight w:val="204"/>
        </w:trPr>
        <w:tc>
          <w:tcPr>
            <w:tcW w:w="1991" w:type="pct"/>
            <w:tcBorders>
              <w:top w:val="nil"/>
              <w:left w:val="nil"/>
              <w:bottom w:val="nil"/>
              <w:right w:val="nil"/>
            </w:tcBorders>
            <w:shd w:val="clear" w:color="auto" w:fill="auto"/>
            <w:vAlign w:val="bottom"/>
            <w:hideMark/>
          </w:tcPr>
          <w:p w14:paraId="58C5AB8B" w14:textId="25B02498" w:rsidR="0013396A" w:rsidRPr="003C612D" w:rsidRDefault="0013396A" w:rsidP="0013396A">
            <w:pPr>
              <w:spacing w:after="0" w:line="240" w:lineRule="auto"/>
              <w:rPr>
                <w:rFonts w:ascii="Arial" w:hAnsi="Arial" w:cs="Arial"/>
                <w:b/>
                <w:bCs/>
                <w:sz w:val="16"/>
                <w:szCs w:val="16"/>
              </w:rPr>
            </w:pPr>
            <w:r w:rsidRPr="003C612D">
              <w:rPr>
                <w:rFonts w:ascii="Arial" w:hAnsi="Arial" w:cs="Arial"/>
                <w:b/>
                <w:bCs/>
                <w:sz w:val="16"/>
                <w:szCs w:val="16"/>
              </w:rPr>
              <w:t>PURCHASE OF NON-FINANCIAL ASSETS</w:t>
            </w:r>
          </w:p>
        </w:tc>
        <w:tc>
          <w:tcPr>
            <w:tcW w:w="602" w:type="pct"/>
            <w:tcBorders>
              <w:top w:val="nil"/>
              <w:left w:val="nil"/>
              <w:bottom w:val="nil"/>
              <w:right w:val="nil"/>
            </w:tcBorders>
            <w:shd w:val="clear" w:color="auto" w:fill="auto"/>
            <w:noWrap/>
            <w:vAlign w:val="bottom"/>
            <w:hideMark/>
          </w:tcPr>
          <w:p w14:paraId="3252D2BB" w14:textId="77777777" w:rsidR="0013396A" w:rsidRPr="003C612D" w:rsidRDefault="0013396A" w:rsidP="0013396A">
            <w:pPr>
              <w:spacing w:after="0" w:line="240" w:lineRule="auto"/>
              <w:jc w:val="right"/>
              <w:rPr>
                <w:rFonts w:ascii="Arial" w:hAnsi="Arial" w:cs="Arial"/>
                <w:b/>
                <w:bCs/>
                <w:sz w:val="16"/>
                <w:szCs w:val="16"/>
              </w:rPr>
            </w:pPr>
          </w:p>
        </w:tc>
        <w:tc>
          <w:tcPr>
            <w:tcW w:w="602" w:type="pct"/>
            <w:tcBorders>
              <w:top w:val="nil"/>
              <w:left w:val="nil"/>
              <w:bottom w:val="nil"/>
              <w:right w:val="nil"/>
            </w:tcBorders>
            <w:shd w:val="clear" w:color="000000" w:fill="E6E6E6"/>
            <w:noWrap/>
            <w:vAlign w:val="bottom"/>
            <w:hideMark/>
          </w:tcPr>
          <w:p w14:paraId="2E6B249B" w14:textId="0DA732BB" w:rsidR="0013396A" w:rsidRPr="003C612D" w:rsidRDefault="0013396A" w:rsidP="0013396A">
            <w:pPr>
              <w:spacing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5F680B86" w14:textId="77777777" w:rsidR="0013396A" w:rsidRPr="003C612D" w:rsidRDefault="0013396A" w:rsidP="0013396A">
            <w:pPr>
              <w:spacing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358EFCE1" w14:textId="77777777" w:rsidR="0013396A" w:rsidRPr="003C612D" w:rsidRDefault="0013396A" w:rsidP="0013396A">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49881E7A" w14:textId="77777777" w:rsidR="0013396A" w:rsidRPr="003C612D" w:rsidRDefault="0013396A" w:rsidP="0013396A">
            <w:pPr>
              <w:spacing w:after="0" w:line="240" w:lineRule="auto"/>
              <w:jc w:val="right"/>
              <w:rPr>
                <w:rFonts w:ascii="Times New Roman" w:hAnsi="Times New Roman"/>
              </w:rPr>
            </w:pPr>
          </w:p>
        </w:tc>
      </w:tr>
      <w:tr w:rsidR="0013396A" w:rsidRPr="003C612D" w14:paraId="5E6BE3F2" w14:textId="77777777" w:rsidTr="0013396A">
        <w:trPr>
          <w:trHeight w:val="204"/>
        </w:trPr>
        <w:tc>
          <w:tcPr>
            <w:tcW w:w="1991" w:type="pct"/>
            <w:tcBorders>
              <w:top w:val="nil"/>
              <w:left w:val="nil"/>
              <w:bottom w:val="nil"/>
              <w:right w:val="nil"/>
            </w:tcBorders>
            <w:shd w:val="clear" w:color="auto" w:fill="auto"/>
            <w:noWrap/>
            <w:vAlign w:val="bottom"/>
            <w:hideMark/>
          </w:tcPr>
          <w:p w14:paraId="304300C4" w14:textId="1536BD03" w:rsidR="0013396A" w:rsidRPr="003C612D" w:rsidRDefault="0013396A" w:rsidP="0013396A">
            <w:pPr>
              <w:spacing w:after="0" w:line="240" w:lineRule="auto"/>
              <w:ind w:left="113"/>
              <w:rPr>
                <w:rFonts w:ascii="Arial" w:hAnsi="Arial" w:cs="Arial"/>
                <w:sz w:val="16"/>
                <w:szCs w:val="16"/>
              </w:rPr>
            </w:pPr>
            <w:r w:rsidRPr="003C612D">
              <w:rPr>
                <w:rFonts w:ascii="Arial" w:hAnsi="Arial" w:cs="Arial"/>
                <w:sz w:val="16"/>
                <w:szCs w:val="16"/>
              </w:rPr>
              <w:t>Funded by capital appropriations</w:t>
            </w:r>
            <w:r w:rsidRPr="003C612D">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158131ED" w14:textId="6251F265" w:rsidR="0013396A" w:rsidRPr="003C612D" w:rsidRDefault="0013396A" w:rsidP="0013396A">
            <w:pPr>
              <w:spacing w:after="0" w:line="240" w:lineRule="auto"/>
              <w:jc w:val="right"/>
              <w:rPr>
                <w:rFonts w:ascii="Arial" w:hAnsi="Arial" w:cs="Arial"/>
                <w:sz w:val="16"/>
                <w:szCs w:val="16"/>
              </w:rPr>
            </w:pPr>
            <w:r>
              <w:rPr>
                <w:rFonts w:ascii="Arial" w:hAnsi="Arial" w:cs="Arial"/>
                <w:sz w:val="16"/>
                <w:szCs w:val="16"/>
              </w:rPr>
              <w:t>54,165</w:t>
            </w:r>
          </w:p>
        </w:tc>
        <w:tc>
          <w:tcPr>
            <w:tcW w:w="602" w:type="pct"/>
            <w:tcBorders>
              <w:top w:val="nil"/>
              <w:left w:val="nil"/>
              <w:bottom w:val="nil"/>
              <w:right w:val="nil"/>
            </w:tcBorders>
            <w:shd w:val="clear" w:color="000000" w:fill="E6E6E6"/>
            <w:noWrap/>
            <w:vAlign w:val="bottom"/>
            <w:hideMark/>
          </w:tcPr>
          <w:p w14:paraId="186518F5" w14:textId="7CCCEAF3" w:rsidR="0013396A" w:rsidRPr="003C612D" w:rsidRDefault="0013396A" w:rsidP="0013396A">
            <w:pPr>
              <w:spacing w:after="0" w:line="240" w:lineRule="auto"/>
              <w:jc w:val="right"/>
              <w:rPr>
                <w:rFonts w:ascii="Arial" w:hAnsi="Arial" w:cs="Arial"/>
                <w:color w:val="000000"/>
                <w:sz w:val="16"/>
                <w:szCs w:val="16"/>
              </w:rPr>
            </w:pPr>
            <w:r>
              <w:rPr>
                <w:rFonts w:ascii="Arial" w:hAnsi="Arial" w:cs="Arial"/>
                <w:color w:val="000000"/>
                <w:sz w:val="16"/>
                <w:szCs w:val="16"/>
              </w:rPr>
              <w:t>45,542</w:t>
            </w:r>
          </w:p>
        </w:tc>
        <w:tc>
          <w:tcPr>
            <w:tcW w:w="602" w:type="pct"/>
            <w:tcBorders>
              <w:top w:val="nil"/>
              <w:left w:val="nil"/>
              <w:bottom w:val="nil"/>
              <w:right w:val="nil"/>
            </w:tcBorders>
            <w:shd w:val="clear" w:color="auto" w:fill="auto"/>
            <w:noWrap/>
            <w:vAlign w:val="bottom"/>
            <w:hideMark/>
          </w:tcPr>
          <w:p w14:paraId="797B29E5" w14:textId="5C5E5972" w:rsidR="0013396A" w:rsidRPr="003C612D" w:rsidRDefault="0013396A" w:rsidP="0013396A">
            <w:pPr>
              <w:spacing w:after="0" w:line="240" w:lineRule="auto"/>
              <w:jc w:val="right"/>
              <w:rPr>
                <w:rFonts w:ascii="Arial" w:hAnsi="Arial" w:cs="Arial"/>
                <w:sz w:val="16"/>
                <w:szCs w:val="16"/>
              </w:rPr>
            </w:pPr>
            <w:r>
              <w:rPr>
                <w:rFonts w:ascii="Arial" w:hAnsi="Arial" w:cs="Arial"/>
                <w:sz w:val="16"/>
                <w:szCs w:val="16"/>
              </w:rPr>
              <w:t>32,397</w:t>
            </w:r>
          </w:p>
        </w:tc>
        <w:tc>
          <w:tcPr>
            <w:tcW w:w="602" w:type="pct"/>
            <w:tcBorders>
              <w:top w:val="nil"/>
              <w:left w:val="nil"/>
              <w:bottom w:val="nil"/>
              <w:right w:val="nil"/>
            </w:tcBorders>
            <w:shd w:val="clear" w:color="auto" w:fill="auto"/>
            <w:noWrap/>
            <w:vAlign w:val="bottom"/>
            <w:hideMark/>
          </w:tcPr>
          <w:p w14:paraId="05032D8E" w14:textId="2A9A5D48" w:rsidR="0013396A" w:rsidRPr="003C612D" w:rsidRDefault="0013396A" w:rsidP="0013396A">
            <w:pPr>
              <w:spacing w:after="0" w:line="240" w:lineRule="auto"/>
              <w:jc w:val="right"/>
              <w:rPr>
                <w:rFonts w:ascii="Arial" w:hAnsi="Arial" w:cs="Arial"/>
                <w:sz w:val="16"/>
                <w:szCs w:val="16"/>
              </w:rPr>
            </w:pPr>
            <w:r>
              <w:rPr>
                <w:rFonts w:ascii="Arial" w:hAnsi="Arial" w:cs="Arial"/>
                <w:sz w:val="16"/>
                <w:szCs w:val="16"/>
              </w:rPr>
              <w:t>46,885</w:t>
            </w:r>
          </w:p>
        </w:tc>
        <w:tc>
          <w:tcPr>
            <w:tcW w:w="602" w:type="pct"/>
            <w:tcBorders>
              <w:top w:val="nil"/>
              <w:left w:val="nil"/>
              <w:bottom w:val="nil"/>
              <w:right w:val="nil"/>
            </w:tcBorders>
            <w:shd w:val="clear" w:color="auto" w:fill="auto"/>
            <w:noWrap/>
            <w:vAlign w:val="bottom"/>
            <w:hideMark/>
          </w:tcPr>
          <w:p w14:paraId="65F761B2" w14:textId="7EF95816" w:rsidR="0013396A" w:rsidRPr="003C612D" w:rsidRDefault="0013396A" w:rsidP="0013396A">
            <w:pPr>
              <w:spacing w:after="0" w:line="240" w:lineRule="auto"/>
              <w:jc w:val="right"/>
              <w:rPr>
                <w:rFonts w:ascii="Arial" w:hAnsi="Arial" w:cs="Arial"/>
                <w:sz w:val="16"/>
                <w:szCs w:val="16"/>
              </w:rPr>
            </w:pPr>
            <w:r>
              <w:rPr>
                <w:rFonts w:ascii="Arial" w:hAnsi="Arial" w:cs="Arial"/>
                <w:sz w:val="16"/>
                <w:szCs w:val="16"/>
              </w:rPr>
              <w:t>-</w:t>
            </w:r>
          </w:p>
        </w:tc>
      </w:tr>
      <w:tr w:rsidR="0013396A" w:rsidRPr="003C612D" w14:paraId="49AD80A2" w14:textId="77777777" w:rsidTr="0013396A">
        <w:trPr>
          <w:trHeight w:val="204"/>
        </w:trPr>
        <w:tc>
          <w:tcPr>
            <w:tcW w:w="1991" w:type="pct"/>
            <w:tcBorders>
              <w:top w:val="nil"/>
              <w:left w:val="nil"/>
              <w:bottom w:val="nil"/>
              <w:right w:val="nil"/>
            </w:tcBorders>
            <w:shd w:val="clear" w:color="auto" w:fill="auto"/>
            <w:vAlign w:val="bottom"/>
            <w:hideMark/>
          </w:tcPr>
          <w:p w14:paraId="6C14A589" w14:textId="5FCA4BB7" w:rsidR="0013396A" w:rsidRPr="003C612D" w:rsidRDefault="0013396A" w:rsidP="0013396A">
            <w:pPr>
              <w:spacing w:after="0" w:line="240" w:lineRule="auto"/>
              <w:ind w:left="113"/>
              <w:rPr>
                <w:rFonts w:ascii="Arial" w:hAnsi="Arial" w:cs="Arial"/>
                <w:sz w:val="16"/>
                <w:szCs w:val="16"/>
              </w:rPr>
            </w:pPr>
            <w:r w:rsidRPr="003C612D">
              <w:rPr>
                <w:rFonts w:ascii="Arial" w:hAnsi="Arial" w:cs="Arial"/>
                <w:sz w:val="16"/>
                <w:szCs w:val="16"/>
              </w:rPr>
              <w:t xml:space="preserve">Funded by capital appropriation </w:t>
            </w:r>
            <w:r>
              <w:rPr>
                <w:rFonts w:ascii="Arial" w:hAnsi="Arial" w:cs="Arial"/>
                <w:sz w:val="16"/>
                <w:szCs w:val="16"/>
              </w:rPr>
              <w:noBreakHyphen/>
            </w:r>
            <w:r w:rsidRPr="003C612D">
              <w:rPr>
                <w:rFonts w:ascii="Arial" w:hAnsi="Arial" w:cs="Arial"/>
                <w:sz w:val="16"/>
                <w:szCs w:val="16"/>
              </w:rPr>
              <w:t xml:space="preserve"> ACB</w:t>
            </w:r>
            <w:r w:rsidRPr="003C612D">
              <w:rPr>
                <w:rFonts w:ascii="Arial" w:hAnsi="Arial" w:cs="Arial"/>
                <w:sz w:val="16"/>
                <w:szCs w:val="16"/>
                <w:vertAlign w:val="superscript"/>
              </w:rPr>
              <w:t>(b)</w:t>
            </w:r>
          </w:p>
        </w:tc>
        <w:tc>
          <w:tcPr>
            <w:tcW w:w="602" w:type="pct"/>
            <w:tcBorders>
              <w:top w:val="nil"/>
              <w:left w:val="nil"/>
              <w:bottom w:val="nil"/>
              <w:right w:val="nil"/>
            </w:tcBorders>
            <w:shd w:val="clear" w:color="auto" w:fill="auto"/>
            <w:noWrap/>
            <w:vAlign w:val="bottom"/>
            <w:hideMark/>
          </w:tcPr>
          <w:p w14:paraId="6F1F64D0" w14:textId="3EB54864" w:rsidR="0013396A" w:rsidRPr="003C612D" w:rsidRDefault="0013396A" w:rsidP="0013396A">
            <w:pPr>
              <w:spacing w:after="0" w:line="240" w:lineRule="auto"/>
              <w:jc w:val="right"/>
              <w:rPr>
                <w:rFonts w:ascii="Arial" w:hAnsi="Arial" w:cs="Arial"/>
                <w:sz w:val="16"/>
                <w:szCs w:val="16"/>
              </w:rPr>
            </w:pPr>
            <w:r>
              <w:rPr>
                <w:rFonts w:ascii="Arial" w:hAnsi="Arial" w:cs="Arial"/>
                <w:sz w:val="16"/>
                <w:szCs w:val="16"/>
              </w:rPr>
              <w:t>28,166</w:t>
            </w:r>
          </w:p>
        </w:tc>
        <w:tc>
          <w:tcPr>
            <w:tcW w:w="602" w:type="pct"/>
            <w:tcBorders>
              <w:top w:val="nil"/>
              <w:left w:val="nil"/>
              <w:bottom w:val="nil"/>
              <w:right w:val="nil"/>
            </w:tcBorders>
            <w:shd w:val="clear" w:color="000000" w:fill="E6E6E6"/>
            <w:noWrap/>
            <w:vAlign w:val="bottom"/>
            <w:hideMark/>
          </w:tcPr>
          <w:p w14:paraId="226B7D12" w14:textId="4BA6FCAB" w:rsidR="0013396A" w:rsidRPr="003C612D" w:rsidRDefault="0013396A" w:rsidP="0013396A">
            <w:pPr>
              <w:spacing w:after="0" w:line="240" w:lineRule="auto"/>
              <w:jc w:val="right"/>
              <w:rPr>
                <w:rFonts w:ascii="Arial" w:hAnsi="Arial" w:cs="Arial"/>
                <w:color w:val="000000"/>
                <w:sz w:val="16"/>
                <w:szCs w:val="16"/>
              </w:rPr>
            </w:pPr>
            <w:r>
              <w:rPr>
                <w:rFonts w:ascii="Arial" w:hAnsi="Arial" w:cs="Arial"/>
                <w:color w:val="000000"/>
                <w:sz w:val="16"/>
                <w:szCs w:val="16"/>
              </w:rPr>
              <w:t>73,951</w:t>
            </w:r>
          </w:p>
        </w:tc>
        <w:tc>
          <w:tcPr>
            <w:tcW w:w="602" w:type="pct"/>
            <w:tcBorders>
              <w:top w:val="nil"/>
              <w:left w:val="nil"/>
              <w:bottom w:val="nil"/>
              <w:right w:val="nil"/>
            </w:tcBorders>
            <w:shd w:val="clear" w:color="auto" w:fill="auto"/>
            <w:noWrap/>
            <w:vAlign w:val="bottom"/>
            <w:hideMark/>
          </w:tcPr>
          <w:p w14:paraId="10A9D89C" w14:textId="60380BE1" w:rsidR="0013396A" w:rsidRPr="003C612D" w:rsidRDefault="0013396A" w:rsidP="0013396A">
            <w:pPr>
              <w:spacing w:after="0" w:line="240" w:lineRule="auto"/>
              <w:jc w:val="right"/>
              <w:rPr>
                <w:rFonts w:ascii="Arial" w:hAnsi="Arial" w:cs="Arial"/>
                <w:sz w:val="16"/>
                <w:szCs w:val="16"/>
              </w:rPr>
            </w:pPr>
            <w:r>
              <w:rPr>
                <w:rFonts w:ascii="Arial" w:hAnsi="Arial" w:cs="Arial"/>
                <w:sz w:val="16"/>
                <w:szCs w:val="16"/>
              </w:rPr>
              <w:t>38,273</w:t>
            </w:r>
          </w:p>
        </w:tc>
        <w:tc>
          <w:tcPr>
            <w:tcW w:w="602" w:type="pct"/>
            <w:tcBorders>
              <w:top w:val="nil"/>
              <w:left w:val="nil"/>
              <w:bottom w:val="nil"/>
              <w:right w:val="nil"/>
            </w:tcBorders>
            <w:shd w:val="clear" w:color="auto" w:fill="auto"/>
            <w:noWrap/>
            <w:vAlign w:val="bottom"/>
            <w:hideMark/>
          </w:tcPr>
          <w:p w14:paraId="5EE78D92" w14:textId="612C95D2" w:rsidR="0013396A" w:rsidRPr="003C612D" w:rsidRDefault="0013396A" w:rsidP="0013396A">
            <w:pPr>
              <w:spacing w:after="0" w:line="240" w:lineRule="auto"/>
              <w:jc w:val="right"/>
              <w:rPr>
                <w:rFonts w:ascii="Arial" w:hAnsi="Arial" w:cs="Arial"/>
                <w:sz w:val="16"/>
                <w:szCs w:val="16"/>
              </w:rPr>
            </w:pPr>
            <w:r>
              <w:rPr>
                <w:rFonts w:ascii="Arial" w:hAnsi="Arial" w:cs="Arial"/>
                <w:sz w:val="16"/>
                <w:szCs w:val="16"/>
              </w:rPr>
              <w:t>18,253</w:t>
            </w:r>
          </w:p>
        </w:tc>
        <w:tc>
          <w:tcPr>
            <w:tcW w:w="602" w:type="pct"/>
            <w:tcBorders>
              <w:top w:val="nil"/>
              <w:left w:val="nil"/>
              <w:bottom w:val="nil"/>
              <w:right w:val="nil"/>
            </w:tcBorders>
            <w:shd w:val="clear" w:color="auto" w:fill="auto"/>
            <w:noWrap/>
            <w:vAlign w:val="bottom"/>
            <w:hideMark/>
          </w:tcPr>
          <w:p w14:paraId="742EFD04" w14:textId="067C8663" w:rsidR="0013396A" w:rsidRPr="003C612D" w:rsidRDefault="0013396A" w:rsidP="0013396A">
            <w:pPr>
              <w:spacing w:after="0" w:line="240" w:lineRule="auto"/>
              <w:jc w:val="right"/>
              <w:rPr>
                <w:rFonts w:ascii="Arial" w:hAnsi="Arial" w:cs="Arial"/>
                <w:sz w:val="16"/>
                <w:szCs w:val="16"/>
              </w:rPr>
            </w:pPr>
            <w:r>
              <w:rPr>
                <w:rFonts w:ascii="Arial" w:hAnsi="Arial" w:cs="Arial"/>
                <w:sz w:val="16"/>
                <w:szCs w:val="16"/>
              </w:rPr>
              <w:t>18,401</w:t>
            </w:r>
          </w:p>
        </w:tc>
      </w:tr>
      <w:tr w:rsidR="0013396A" w:rsidRPr="003C612D" w14:paraId="41D68043" w14:textId="77777777" w:rsidTr="0013396A">
        <w:trPr>
          <w:trHeight w:val="204"/>
        </w:trPr>
        <w:tc>
          <w:tcPr>
            <w:tcW w:w="1991" w:type="pct"/>
            <w:tcBorders>
              <w:top w:val="nil"/>
              <w:left w:val="nil"/>
              <w:bottom w:val="nil"/>
              <w:right w:val="nil"/>
            </w:tcBorders>
            <w:shd w:val="clear" w:color="auto" w:fill="auto"/>
            <w:noWrap/>
            <w:vAlign w:val="bottom"/>
            <w:hideMark/>
          </w:tcPr>
          <w:p w14:paraId="202C9C32" w14:textId="77777777" w:rsidR="0013396A" w:rsidRPr="003C612D" w:rsidRDefault="0013396A" w:rsidP="0013396A">
            <w:pPr>
              <w:spacing w:after="0" w:line="240" w:lineRule="auto"/>
              <w:rPr>
                <w:rFonts w:ascii="Arial" w:hAnsi="Arial" w:cs="Arial"/>
                <w:b/>
                <w:bCs/>
                <w:sz w:val="16"/>
                <w:szCs w:val="16"/>
              </w:rPr>
            </w:pPr>
            <w:r w:rsidRPr="003C612D">
              <w:rPr>
                <w:rFonts w:ascii="Arial" w:hAnsi="Arial" w:cs="Arial"/>
                <w:b/>
                <w:bCs/>
                <w:sz w:val="16"/>
                <w:szCs w:val="16"/>
              </w:rPr>
              <w:t>TOTAL</w:t>
            </w:r>
          </w:p>
        </w:tc>
        <w:tc>
          <w:tcPr>
            <w:tcW w:w="602" w:type="pct"/>
            <w:tcBorders>
              <w:top w:val="single" w:sz="4" w:space="0" w:color="auto"/>
              <w:left w:val="nil"/>
              <w:bottom w:val="single" w:sz="4" w:space="0" w:color="auto"/>
              <w:right w:val="nil"/>
            </w:tcBorders>
            <w:shd w:val="clear" w:color="auto" w:fill="auto"/>
            <w:noWrap/>
            <w:vAlign w:val="bottom"/>
            <w:hideMark/>
          </w:tcPr>
          <w:p w14:paraId="6A70FFBB" w14:textId="723C496C" w:rsidR="0013396A" w:rsidRPr="003C612D" w:rsidRDefault="0013396A" w:rsidP="0013396A">
            <w:pPr>
              <w:spacing w:after="0" w:line="240" w:lineRule="auto"/>
              <w:jc w:val="right"/>
              <w:rPr>
                <w:rFonts w:ascii="Arial" w:hAnsi="Arial" w:cs="Arial"/>
                <w:b/>
                <w:bCs/>
                <w:sz w:val="16"/>
                <w:szCs w:val="16"/>
              </w:rPr>
            </w:pPr>
            <w:r>
              <w:rPr>
                <w:rFonts w:ascii="Arial" w:hAnsi="Arial" w:cs="Arial"/>
                <w:b/>
                <w:bCs/>
                <w:sz w:val="16"/>
                <w:szCs w:val="16"/>
              </w:rPr>
              <w:t>82,331</w:t>
            </w:r>
          </w:p>
        </w:tc>
        <w:tc>
          <w:tcPr>
            <w:tcW w:w="602" w:type="pct"/>
            <w:tcBorders>
              <w:top w:val="single" w:sz="4" w:space="0" w:color="000000"/>
              <w:left w:val="nil"/>
              <w:bottom w:val="single" w:sz="4" w:space="0" w:color="auto"/>
              <w:right w:val="nil"/>
            </w:tcBorders>
            <w:shd w:val="clear" w:color="000000" w:fill="E6E6E6"/>
            <w:noWrap/>
            <w:vAlign w:val="bottom"/>
            <w:hideMark/>
          </w:tcPr>
          <w:p w14:paraId="0C0F9369" w14:textId="0DD99CB0" w:rsidR="0013396A" w:rsidRPr="003C612D" w:rsidRDefault="0013396A" w:rsidP="0013396A">
            <w:pPr>
              <w:spacing w:after="0" w:line="240" w:lineRule="auto"/>
              <w:jc w:val="right"/>
              <w:rPr>
                <w:rFonts w:ascii="Arial" w:hAnsi="Arial" w:cs="Arial"/>
                <w:b/>
                <w:bCs/>
                <w:color w:val="000000"/>
                <w:sz w:val="16"/>
                <w:szCs w:val="16"/>
              </w:rPr>
            </w:pPr>
            <w:r>
              <w:rPr>
                <w:rFonts w:ascii="Arial" w:hAnsi="Arial" w:cs="Arial"/>
                <w:b/>
                <w:bCs/>
                <w:color w:val="000000"/>
                <w:sz w:val="16"/>
                <w:szCs w:val="16"/>
              </w:rPr>
              <w:t>119,493</w:t>
            </w:r>
          </w:p>
        </w:tc>
        <w:tc>
          <w:tcPr>
            <w:tcW w:w="602" w:type="pct"/>
            <w:tcBorders>
              <w:top w:val="single" w:sz="4" w:space="0" w:color="auto"/>
              <w:left w:val="nil"/>
              <w:bottom w:val="single" w:sz="4" w:space="0" w:color="auto"/>
              <w:right w:val="nil"/>
            </w:tcBorders>
            <w:shd w:val="clear" w:color="auto" w:fill="auto"/>
            <w:noWrap/>
            <w:vAlign w:val="bottom"/>
            <w:hideMark/>
          </w:tcPr>
          <w:p w14:paraId="4C96DAE4" w14:textId="705CC781" w:rsidR="0013396A" w:rsidRPr="003C612D" w:rsidRDefault="0013396A" w:rsidP="0013396A">
            <w:pPr>
              <w:spacing w:after="0" w:line="240" w:lineRule="auto"/>
              <w:jc w:val="right"/>
              <w:rPr>
                <w:rFonts w:ascii="Arial" w:hAnsi="Arial" w:cs="Arial"/>
                <w:b/>
                <w:bCs/>
                <w:sz w:val="16"/>
                <w:szCs w:val="16"/>
              </w:rPr>
            </w:pPr>
            <w:r>
              <w:rPr>
                <w:rFonts w:ascii="Arial" w:hAnsi="Arial" w:cs="Arial"/>
                <w:b/>
                <w:bCs/>
                <w:sz w:val="16"/>
                <w:szCs w:val="16"/>
              </w:rPr>
              <w:t>70,670</w:t>
            </w:r>
          </w:p>
        </w:tc>
        <w:tc>
          <w:tcPr>
            <w:tcW w:w="602" w:type="pct"/>
            <w:tcBorders>
              <w:top w:val="single" w:sz="4" w:space="0" w:color="auto"/>
              <w:left w:val="nil"/>
              <w:bottom w:val="single" w:sz="4" w:space="0" w:color="auto"/>
              <w:right w:val="nil"/>
            </w:tcBorders>
            <w:shd w:val="clear" w:color="auto" w:fill="auto"/>
            <w:noWrap/>
            <w:vAlign w:val="bottom"/>
            <w:hideMark/>
          </w:tcPr>
          <w:p w14:paraId="52583C10" w14:textId="325E8937" w:rsidR="0013396A" w:rsidRPr="003C612D" w:rsidRDefault="0013396A" w:rsidP="0013396A">
            <w:pPr>
              <w:spacing w:after="0" w:line="240" w:lineRule="auto"/>
              <w:jc w:val="right"/>
              <w:rPr>
                <w:rFonts w:ascii="Arial" w:hAnsi="Arial" w:cs="Arial"/>
                <w:b/>
                <w:bCs/>
                <w:sz w:val="16"/>
                <w:szCs w:val="16"/>
              </w:rPr>
            </w:pPr>
            <w:r>
              <w:rPr>
                <w:rFonts w:ascii="Arial" w:hAnsi="Arial" w:cs="Arial"/>
                <w:b/>
                <w:bCs/>
                <w:sz w:val="16"/>
                <w:szCs w:val="16"/>
              </w:rPr>
              <w:t>65,138</w:t>
            </w:r>
          </w:p>
        </w:tc>
        <w:tc>
          <w:tcPr>
            <w:tcW w:w="602" w:type="pct"/>
            <w:tcBorders>
              <w:top w:val="single" w:sz="4" w:space="0" w:color="auto"/>
              <w:left w:val="nil"/>
              <w:bottom w:val="single" w:sz="4" w:space="0" w:color="auto"/>
              <w:right w:val="nil"/>
            </w:tcBorders>
            <w:shd w:val="clear" w:color="auto" w:fill="auto"/>
            <w:noWrap/>
            <w:vAlign w:val="bottom"/>
            <w:hideMark/>
          </w:tcPr>
          <w:p w14:paraId="1E05067C" w14:textId="6FC2C570" w:rsidR="0013396A" w:rsidRPr="003C612D" w:rsidRDefault="0013396A" w:rsidP="0013396A">
            <w:pPr>
              <w:spacing w:after="0" w:line="240" w:lineRule="auto"/>
              <w:jc w:val="right"/>
              <w:rPr>
                <w:rFonts w:ascii="Arial" w:hAnsi="Arial" w:cs="Arial"/>
                <w:b/>
                <w:bCs/>
                <w:sz w:val="16"/>
                <w:szCs w:val="16"/>
              </w:rPr>
            </w:pPr>
            <w:r>
              <w:rPr>
                <w:rFonts w:ascii="Arial" w:hAnsi="Arial" w:cs="Arial"/>
                <w:b/>
                <w:bCs/>
                <w:sz w:val="16"/>
                <w:szCs w:val="16"/>
              </w:rPr>
              <w:t>18,401</w:t>
            </w:r>
          </w:p>
        </w:tc>
      </w:tr>
      <w:tr w:rsidR="0013396A" w:rsidRPr="003C612D" w14:paraId="46111067" w14:textId="77777777" w:rsidTr="0013396A">
        <w:trPr>
          <w:trHeight w:val="204"/>
        </w:trPr>
        <w:tc>
          <w:tcPr>
            <w:tcW w:w="1991" w:type="pct"/>
            <w:tcBorders>
              <w:top w:val="nil"/>
              <w:left w:val="nil"/>
              <w:bottom w:val="nil"/>
              <w:right w:val="nil"/>
            </w:tcBorders>
            <w:shd w:val="clear" w:color="auto" w:fill="auto"/>
            <w:vAlign w:val="bottom"/>
            <w:hideMark/>
          </w:tcPr>
          <w:p w14:paraId="5D03738A" w14:textId="2C4AF242" w:rsidR="0013396A" w:rsidRPr="003C612D" w:rsidRDefault="0013396A" w:rsidP="0013396A">
            <w:pPr>
              <w:spacing w:after="0" w:line="240" w:lineRule="auto"/>
              <w:rPr>
                <w:rFonts w:ascii="Arial" w:hAnsi="Arial" w:cs="Arial"/>
                <w:b/>
                <w:bCs/>
                <w:sz w:val="16"/>
                <w:szCs w:val="16"/>
              </w:rPr>
            </w:pPr>
            <w:r w:rsidRPr="003C612D">
              <w:rPr>
                <w:rFonts w:ascii="Arial" w:hAnsi="Arial" w:cs="Arial"/>
                <w:b/>
                <w:bCs/>
                <w:sz w:val="16"/>
                <w:szCs w:val="16"/>
              </w:rPr>
              <w:t>RECONCILIATION OF CASH USED TO ACQUIRE ASSETS TO ASSET MOVEMENT TABLE</w:t>
            </w:r>
          </w:p>
        </w:tc>
        <w:tc>
          <w:tcPr>
            <w:tcW w:w="602" w:type="pct"/>
            <w:tcBorders>
              <w:top w:val="nil"/>
              <w:left w:val="nil"/>
              <w:bottom w:val="nil"/>
              <w:right w:val="nil"/>
            </w:tcBorders>
            <w:shd w:val="clear" w:color="auto" w:fill="auto"/>
            <w:noWrap/>
            <w:vAlign w:val="bottom"/>
            <w:hideMark/>
          </w:tcPr>
          <w:p w14:paraId="68744FDE" w14:textId="77777777" w:rsidR="0013396A" w:rsidRPr="003C612D" w:rsidRDefault="0013396A" w:rsidP="0013396A">
            <w:pPr>
              <w:spacing w:after="0" w:line="240" w:lineRule="auto"/>
              <w:jc w:val="right"/>
              <w:rPr>
                <w:rFonts w:ascii="Arial" w:hAnsi="Arial" w:cs="Arial"/>
                <w:b/>
                <w:bCs/>
                <w:sz w:val="16"/>
                <w:szCs w:val="16"/>
              </w:rPr>
            </w:pPr>
          </w:p>
        </w:tc>
        <w:tc>
          <w:tcPr>
            <w:tcW w:w="602" w:type="pct"/>
            <w:tcBorders>
              <w:top w:val="nil"/>
              <w:left w:val="nil"/>
              <w:bottom w:val="nil"/>
              <w:right w:val="nil"/>
            </w:tcBorders>
            <w:shd w:val="clear" w:color="000000" w:fill="E6E6E6"/>
            <w:noWrap/>
            <w:vAlign w:val="bottom"/>
            <w:hideMark/>
          </w:tcPr>
          <w:p w14:paraId="5128F694" w14:textId="1E1D5E50" w:rsidR="0013396A" w:rsidRPr="003C612D" w:rsidRDefault="0013396A" w:rsidP="0013396A">
            <w:pPr>
              <w:spacing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2B885A11" w14:textId="77777777" w:rsidR="0013396A" w:rsidRPr="003C612D" w:rsidRDefault="0013396A" w:rsidP="0013396A">
            <w:pPr>
              <w:spacing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28F410E6" w14:textId="77777777" w:rsidR="0013396A" w:rsidRPr="003C612D" w:rsidRDefault="0013396A" w:rsidP="0013396A">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36390F69" w14:textId="77777777" w:rsidR="0013396A" w:rsidRPr="003C612D" w:rsidRDefault="0013396A" w:rsidP="0013396A">
            <w:pPr>
              <w:spacing w:after="0" w:line="240" w:lineRule="auto"/>
              <w:jc w:val="right"/>
              <w:rPr>
                <w:rFonts w:ascii="Times New Roman" w:hAnsi="Times New Roman"/>
              </w:rPr>
            </w:pPr>
          </w:p>
        </w:tc>
      </w:tr>
      <w:tr w:rsidR="0013396A" w:rsidRPr="003C612D" w14:paraId="3F9E05C3" w14:textId="77777777" w:rsidTr="0013396A">
        <w:trPr>
          <w:trHeight w:val="204"/>
        </w:trPr>
        <w:tc>
          <w:tcPr>
            <w:tcW w:w="1991" w:type="pct"/>
            <w:tcBorders>
              <w:top w:val="nil"/>
              <w:left w:val="nil"/>
              <w:bottom w:val="nil"/>
              <w:right w:val="nil"/>
            </w:tcBorders>
            <w:shd w:val="clear" w:color="auto" w:fill="auto"/>
            <w:noWrap/>
            <w:vAlign w:val="bottom"/>
            <w:hideMark/>
          </w:tcPr>
          <w:p w14:paraId="17AF106B" w14:textId="77777777" w:rsidR="0013396A" w:rsidRPr="003C612D" w:rsidRDefault="0013396A" w:rsidP="0013396A">
            <w:pPr>
              <w:spacing w:after="0" w:line="240" w:lineRule="auto"/>
              <w:ind w:left="113"/>
              <w:rPr>
                <w:rFonts w:ascii="Arial" w:hAnsi="Arial" w:cs="Arial"/>
                <w:sz w:val="16"/>
                <w:szCs w:val="16"/>
              </w:rPr>
            </w:pPr>
            <w:r w:rsidRPr="003C612D">
              <w:rPr>
                <w:rFonts w:ascii="Arial" w:hAnsi="Arial" w:cs="Arial"/>
                <w:sz w:val="16"/>
                <w:szCs w:val="16"/>
              </w:rPr>
              <w:t>Total accrual purchases</w:t>
            </w:r>
          </w:p>
        </w:tc>
        <w:tc>
          <w:tcPr>
            <w:tcW w:w="602" w:type="pct"/>
            <w:tcBorders>
              <w:top w:val="nil"/>
              <w:left w:val="nil"/>
              <w:bottom w:val="nil"/>
              <w:right w:val="nil"/>
            </w:tcBorders>
            <w:shd w:val="clear" w:color="auto" w:fill="auto"/>
            <w:noWrap/>
            <w:vAlign w:val="bottom"/>
            <w:hideMark/>
          </w:tcPr>
          <w:p w14:paraId="321599E9" w14:textId="67B7EA04" w:rsidR="0013396A" w:rsidRPr="003C612D" w:rsidRDefault="0013396A" w:rsidP="0013396A">
            <w:pPr>
              <w:spacing w:after="0" w:line="240" w:lineRule="auto"/>
              <w:jc w:val="right"/>
              <w:rPr>
                <w:rFonts w:ascii="Arial" w:hAnsi="Arial" w:cs="Arial"/>
                <w:sz w:val="16"/>
                <w:szCs w:val="16"/>
              </w:rPr>
            </w:pPr>
            <w:r>
              <w:rPr>
                <w:rFonts w:ascii="Arial" w:hAnsi="Arial" w:cs="Arial"/>
                <w:sz w:val="16"/>
                <w:szCs w:val="16"/>
              </w:rPr>
              <w:t>82,331</w:t>
            </w:r>
          </w:p>
        </w:tc>
        <w:tc>
          <w:tcPr>
            <w:tcW w:w="602" w:type="pct"/>
            <w:tcBorders>
              <w:top w:val="nil"/>
              <w:left w:val="nil"/>
              <w:bottom w:val="nil"/>
              <w:right w:val="nil"/>
            </w:tcBorders>
            <w:shd w:val="clear" w:color="000000" w:fill="E6E6E6"/>
            <w:noWrap/>
            <w:vAlign w:val="bottom"/>
            <w:hideMark/>
          </w:tcPr>
          <w:p w14:paraId="01BE4C9A" w14:textId="15999C2F" w:rsidR="0013396A" w:rsidRPr="003C612D" w:rsidRDefault="0013396A" w:rsidP="0013396A">
            <w:pPr>
              <w:spacing w:after="0" w:line="240" w:lineRule="auto"/>
              <w:jc w:val="right"/>
              <w:rPr>
                <w:rFonts w:ascii="Arial" w:hAnsi="Arial" w:cs="Arial"/>
                <w:color w:val="000000"/>
                <w:sz w:val="16"/>
                <w:szCs w:val="16"/>
              </w:rPr>
            </w:pPr>
            <w:r>
              <w:rPr>
                <w:rFonts w:ascii="Arial" w:hAnsi="Arial" w:cs="Arial"/>
                <w:color w:val="000000"/>
                <w:sz w:val="16"/>
                <w:szCs w:val="16"/>
              </w:rPr>
              <w:t>119,493</w:t>
            </w:r>
          </w:p>
        </w:tc>
        <w:tc>
          <w:tcPr>
            <w:tcW w:w="602" w:type="pct"/>
            <w:tcBorders>
              <w:top w:val="nil"/>
              <w:left w:val="nil"/>
              <w:bottom w:val="nil"/>
              <w:right w:val="nil"/>
            </w:tcBorders>
            <w:shd w:val="clear" w:color="auto" w:fill="auto"/>
            <w:noWrap/>
            <w:vAlign w:val="bottom"/>
            <w:hideMark/>
          </w:tcPr>
          <w:p w14:paraId="7C8D51F6" w14:textId="41096CCC" w:rsidR="0013396A" w:rsidRPr="003C612D" w:rsidRDefault="0013396A" w:rsidP="0013396A">
            <w:pPr>
              <w:spacing w:after="0" w:line="240" w:lineRule="auto"/>
              <w:jc w:val="right"/>
              <w:rPr>
                <w:rFonts w:ascii="Arial" w:hAnsi="Arial" w:cs="Arial"/>
                <w:sz w:val="16"/>
                <w:szCs w:val="16"/>
              </w:rPr>
            </w:pPr>
            <w:r>
              <w:rPr>
                <w:rFonts w:ascii="Arial" w:hAnsi="Arial" w:cs="Arial"/>
                <w:sz w:val="16"/>
                <w:szCs w:val="16"/>
              </w:rPr>
              <w:t>70,670</w:t>
            </w:r>
          </w:p>
        </w:tc>
        <w:tc>
          <w:tcPr>
            <w:tcW w:w="602" w:type="pct"/>
            <w:tcBorders>
              <w:top w:val="nil"/>
              <w:left w:val="nil"/>
              <w:bottom w:val="nil"/>
              <w:right w:val="nil"/>
            </w:tcBorders>
            <w:shd w:val="clear" w:color="auto" w:fill="auto"/>
            <w:noWrap/>
            <w:vAlign w:val="bottom"/>
            <w:hideMark/>
          </w:tcPr>
          <w:p w14:paraId="548E360A" w14:textId="219FB104" w:rsidR="0013396A" w:rsidRPr="003C612D" w:rsidRDefault="0013396A" w:rsidP="0013396A">
            <w:pPr>
              <w:spacing w:after="0" w:line="240" w:lineRule="auto"/>
              <w:jc w:val="right"/>
              <w:rPr>
                <w:rFonts w:ascii="Arial" w:hAnsi="Arial" w:cs="Arial"/>
                <w:sz w:val="16"/>
                <w:szCs w:val="16"/>
              </w:rPr>
            </w:pPr>
            <w:r>
              <w:rPr>
                <w:rFonts w:ascii="Arial" w:hAnsi="Arial" w:cs="Arial"/>
                <w:sz w:val="16"/>
                <w:szCs w:val="16"/>
              </w:rPr>
              <w:t>65,138</w:t>
            </w:r>
          </w:p>
        </w:tc>
        <w:tc>
          <w:tcPr>
            <w:tcW w:w="602" w:type="pct"/>
            <w:tcBorders>
              <w:top w:val="nil"/>
              <w:left w:val="nil"/>
              <w:bottom w:val="nil"/>
              <w:right w:val="nil"/>
            </w:tcBorders>
            <w:shd w:val="clear" w:color="auto" w:fill="auto"/>
            <w:noWrap/>
            <w:vAlign w:val="bottom"/>
            <w:hideMark/>
          </w:tcPr>
          <w:p w14:paraId="6EBC0F26" w14:textId="0656B74E" w:rsidR="0013396A" w:rsidRPr="003C612D" w:rsidRDefault="0013396A" w:rsidP="0013396A">
            <w:pPr>
              <w:spacing w:after="0" w:line="240" w:lineRule="auto"/>
              <w:jc w:val="right"/>
              <w:rPr>
                <w:rFonts w:ascii="Arial" w:hAnsi="Arial" w:cs="Arial"/>
                <w:sz w:val="16"/>
                <w:szCs w:val="16"/>
              </w:rPr>
            </w:pPr>
            <w:r>
              <w:rPr>
                <w:rFonts w:ascii="Arial" w:hAnsi="Arial" w:cs="Arial"/>
                <w:sz w:val="16"/>
                <w:szCs w:val="16"/>
              </w:rPr>
              <w:t>18,401</w:t>
            </w:r>
          </w:p>
        </w:tc>
      </w:tr>
      <w:tr w:rsidR="0013396A" w:rsidRPr="003C612D" w14:paraId="63F5A7F1" w14:textId="77777777" w:rsidTr="0013396A">
        <w:trPr>
          <w:trHeight w:val="204"/>
        </w:trPr>
        <w:tc>
          <w:tcPr>
            <w:tcW w:w="1991" w:type="pct"/>
            <w:tcBorders>
              <w:top w:val="nil"/>
              <w:left w:val="nil"/>
              <w:bottom w:val="single" w:sz="4" w:space="0" w:color="auto"/>
              <w:right w:val="nil"/>
            </w:tcBorders>
            <w:shd w:val="clear" w:color="auto" w:fill="auto"/>
            <w:vAlign w:val="bottom"/>
            <w:hideMark/>
          </w:tcPr>
          <w:p w14:paraId="2C4FE57B" w14:textId="77777777" w:rsidR="0013396A" w:rsidRPr="003C612D" w:rsidRDefault="0013396A" w:rsidP="0013396A">
            <w:pPr>
              <w:spacing w:after="0" w:line="240" w:lineRule="auto"/>
              <w:rPr>
                <w:rFonts w:ascii="Arial" w:hAnsi="Arial" w:cs="Arial"/>
                <w:b/>
                <w:bCs/>
                <w:sz w:val="16"/>
                <w:szCs w:val="16"/>
              </w:rPr>
            </w:pPr>
            <w:r w:rsidRPr="003C612D">
              <w:rPr>
                <w:rFonts w:ascii="Arial" w:hAnsi="Arial" w:cs="Arial"/>
                <w:b/>
                <w:bCs/>
                <w:sz w:val="16"/>
                <w:szCs w:val="16"/>
              </w:rPr>
              <w:t>Total cash used to acquire assets</w:t>
            </w:r>
          </w:p>
        </w:tc>
        <w:tc>
          <w:tcPr>
            <w:tcW w:w="602" w:type="pct"/>
            <w:tcBorders>
              <w:top w:val="single" w:sz="4" w:space="0" w:color="auto"/>
              <w:left w:val="nil"/>
              <w:bottom w:val="single" w:sz="4" w:space="0" w:color="auto"/>
              <w:right w:val="nil"/>
            </w:tcBorders>
            <w:shd w:val="clear" w:color="auto" w:fill="auto"/>
            <w:noWrap/>
            <w:vAlign w:val="bottom"/>
            <w:hideMark/>
          </w:tcPr>
          <w:p w14:paraId="102358C8" w14:textId="47C2DE70" w:rsidR="0013396A" w:rsidRPr="003C612D" w:rsidRDefault="0013396A" w:rsidP="0013396A">
            <w:pPr>
              <w:spacing w:after="0" w:line="240" w:lineRule="auto"/>
              <w:jc w:val="right"/>
              <w:rPr>
                <w:rFonts w:ascii="Arial" w:hAnsi="Arial" w:cs="Arial"/>
                <w:b/>
                <w:bCs/>
                <w:sz w:val="16"/>
                <w:szCs w:val="16"/>
              </w:rPr>
            </w:pPr>
            <w:r>
              <w:rPr>
                <w:rFonts w:ascii="Arial" w:hAnsi="Arial" w:cs="Arial"/>
                <w:b/>
                <w:bCs/>
                <w:sz w:val="16"/>
                <w:szCs w:val="16"/>
              </w:rPr>
              <w:t>82,331</w:t>
            </w:r>
          </w:p>
        </w:tc>
        <w:tc>
          <w:tcPr>
            <w:tcW w:w="602" w:type="pct"/>
            <w:tcBorders>
              <w:top w:val="single" w:sz="4" w:space="0" w:color="auto"/>
              <w:left w:val="nil"/>
              <w:bottom w:val="single" w:sz="4" w:space="0" w:color="auto"/>
              <w:right w:val="nil"/>
            </w:tcBorders>
            <w:shd w:val="clear" w:color="000000" w:fill="E6E6E6"/>
            <w:noWrap/>
            <w:vAlign w:val="bottom"/>
            <w:hideMark/>
          </w:tcPr>
          <w:p w14:paraId="3711B3DE" w14:textId="19DC43E2" w:rsidR="0013396A" w:rsidRPr="003C612D" w:rsidRDefault="0013396A" w:rsidP="0013396A">
            <w:pPr>
              <w:spacing w:after="0" w:line="240" w:lineRule="auto"/>
              <w:jc w:val="right"/>
              <w:rPr>
                <w:rFonts w:ascii="Arial" w:hAnsi="Arial" w:cs="Arial"/>
                <w:b/>
                <w:bCs/>
                <w:color w:val="000000"/>
                <w:sz w:val="16"/>
                <w:szCs w:val="16"/>
              </w:rPr>
            </w:pPr>
            <w:r>
              <w:rPr>
                <w:rFonts w:ascii="Arial" w:hAnsi="Arial" w:cs="Arial"/>
                <w:b/>
                <w:bCs/>
                <w:color w:val="000000"/>
                <w:sz w:val="16"/>
                <w:szCs w:val="16"/>
              </w:rPr>
              <w:t>119,493</w:t>
            </w:r>
          </w:p>
        </w:tc>
        <w:tc>
          <w:tcPr>
            <w:tcW w:w="602" w:type="pct"/>
            <w:tcBorders>
              <w:top w:val="single" w:sz="4" w:space="0" w:color="auto"/>
              <w:left w:val="nil"/>
              <w:bottom w:val="single" w:sz="4" w:space="0" w:color="auto"/>
              <w:right w:val="nil"/>
            </w:tcBorders>
            <w:shd w:val="clear" w:color="auto" w:fill="auto"/>
            <w:noWrap/>
            <w:vAlign w:val="bottom"/>
            <w:hideMark/>
          </w:tcPr>
          <w:p w14:paraId="3D2E22DE" w14:textId="3224FCBC" w:rsidR="0013396A" w:rsidRPr="003C612D" w:rsidRDefault="0013396A" w:rsidP="0013396A">
            <w:pPr>
              <w:spacing w:after="0" w:line="240" w:lineRule="auto"/>
              <w:jc w:val="right"/>
              <w:rPr>
                <w:rFonts w:ascii="Arial" w:hAnsi="Arial" w:cs="Arial"/>
                <w:b/>
                <w:bCs/>
                <w:sz w:val="16"/>
                <w:szCs w:val="16"/>
              </w:rPr>
            </w:pPr>
            <w:r>
              <w:rPr>
                <w:rFonts w:ascii="Arial" w:hAnsi="Arial" w:cs="Arial"/>
                <w:b/>
                <w:bCs/>
                <w:sz w:val="16"/>
                <w:szCs w:val="16"/>
              </w:rPr>
              <w:t>70,670</w:t>
            </w:r>
          </w:p>
        </w:tc>
        <w:tc>
          <w:tcPr>
            <w:tcW w:w="602" w:type="pct"/>
            <w:tcBorders>
              <w:top w:val="single" w:sz="4" w:space="0" w:color="auto"/>
              <w:left w:val="nil"/>
              <w:bottom w:val="single" w:sz="4" w:space="0" w:color="auto"/>
              <w:right w:val="nil"/>
            </w:tcBorders>
            <w:shd w:val="clear" w:color="auto" w:fill="auto"/>
            <w:noWrap/>
            <w:vAlign w:val="bottom"/>
            <w:hideMark/>
          </w:tcPr>
          <w:p w14:paraId="2DFC629C" w14:textId="500084A6" w:rsidR="0013396A" w:rsidRPr="003C612D" w:rsidRDefault="0013396A" w:rsidP="0013396A">
            <w:pPr>
              <w:spacing w:after="0" w:line="240" w:lineRule="auto"/>
              <w:jc w:val="right"/>
              <w:rPr>
                <w:rFonts w:ascii="Arial" w:hAnsi="Arial" w:cs="Arial"/>
                <w:b/>
                <w:bCs/>
                <w:sz w:val="16"/>
                <w:szCs w:val="16"/>
              </w:rPr>
            </w:pPr>
            <w:r>
              <w:rPr>
                <w:rFonts w:ascii="Arial" w:hAnsi="Arial" w:cs="Arial"/>
                <w:b/>
                <w:bCs/>
                <w:sz w:val="16"/>
                <w:szCs w:val="16"/>
              </w:rPr>
              <w:t>65,138</w:t>
            </w:r>
          </w:p>
        </w:tc>
        <w:tc>
          <w:tcPr>
            <w:tcW w:w="602" w:type="pct"/>
            <w:tcBorders>
              <w:top w:val="single" w:sz="4" w:space="0" w:color="auto"/>
              <w:left w:val="nil"/>
              <w:bottom w:val="single" w:sz="4" w:space="0" w:color="auto"/>
              <w:right w:val="nil"/>
            </w:tcBorders>
            <w:shd w:val="clear" w:color="auto" w:fill="auto"/>
            <w:noWrap/>
            <w:vAlign w:val="bottom"/>
            <w:hideMark/>
          </w:tcPr>
          <w:p w14:paraId="465FCAD8" w14:textId="3EEDB1AA" w:rsidR="0013396A" w:rsidRPr="003C612D" w:rsidRDefault="0013396A" w:rsidP="0013396A">
            <w:pPr>
              <w:spacing w:after="0" w:line="240" w:lineRule="auto"/>
              <w:jc w:val="right"/>
              <w:rPr>
                <w:rFonts w:ascii="Arial" w:hAnsi="Arial" w:cs="Arial"/>
                <w:b/>
                <w:bCs/>
                <w:sz w:val="16"/>
                <w:szCs w:val="16"/>
              </w:rPr>
            </w:pPr>
            <w:r>
              <w:rPr>
                <w:rFonts w:ascii="Arial" w:hAnsi="Arial" w:cs="Arial"/>
                <w:b/>
                <w:bCs/>
                <w:sz w:val="16"/>
                <w:szCs w:val="16"/>
              </w:rPr>
              <w:t>18,401</w:t>
            </w:r>
          </w:p>
        </w:tc>
      </w:tr>
    </w:tbl>
    <w:p w14:paraId="400791FA" w14:textId="051961EF" w:rsidR="00115843" w:rsidRDefault="00115843" w:rsidP="00115843">
      <w:pPr>
        <w:pStyle w:val="ChartandTableFootnote"/>
        <w:spacing w:before="60"/>
      </w:pPr>
      <w:r w:rsidRPr="00B7521F">
        <w:t>Prepared on Australian Accounting Standards basis.</w:t>
      </w:r>
    </w:p>
    <w:p w14:paraId="39CECBF1" w14:textId="729425DE" w:rsidR="00EB7700" w:rsidRPr="00EB7700" w:rsidRDefault="00EB7700" w:rsidP="00EB7700">
      <w:pPr>
        <w:spacing w:after="0" w:line="240" w:lineRule="auto"/>
        <w:rPr>
          <w:rFonts w:ascii="Arial" w:hAnsi="Arial" w:cs="Arial"/>
          <w:sz w:val="16"/>
          <w:szCs w:val="16"/>
        </w:rPr>
      </w:pPr>
      <w:r w:rsidRPr="00EE6EE6">
        <w:rPr>
          <w:rFonts w:ascii="Arial" w:hAnsi="Arial" w:cs="Arial"/>
          <w:sz w:val="16"/>
          <w:szCs w:val="16"/>
        </w:rPr>
        <w:t>Table has been prepared inclusive of 2022-23 Additional Estimates figures.</w:t>
      </w:r>
    </w:p>
    <w:p w14:paraId="7D77FA5C" w14:textId="77777777" w:rsidR="00115843" w:rsidRPr="00B7521F" w:rsidRDefault="00115843" w:rsidP="00977C28">
      <w:pPr>
        <w:pStyle w:val="ChartandTableFootnoteAlpha"/>
        <w:numPr>
          <w:ilvl w:val="0"/>
          <w:numId w:val="99"/>
        </w:numPr>
        <w:ind w:left="426" w:hanging="426"/>
        <w:jc w:val="left"/>
        <w:rPr>
          <w:rFonts w:cs="Arial"/>
          <w:szCs w:val="16"/>
        </w:rPr>
      </w:pPr>
      <w:r w:rsidRPr="00B7521F">
        <w:rPr>
          <w:rFonts w:cs="Arial"/>
          <w:szCs w:val="16"/>
        </w:rPr>
        <w:t>Includes both current Bill 2 and prior Act 2/4/6 appropriations.</w:t>
      </w:r>
    </w:p>
    <w:p w14:paraId="7ECC93C1" w14:textId="3FD505E1" w:rsidR="00EE76C4" w:rsidRDefault="00115843" w:rsidP="00977C28">
      <w:pPr>
        <w:pStyle w:val="ChartandTableFootnoteAlpha"/>
        <w:numPr>
          <w:ilvl w:val="0"/>
          <w:numId w:val="99"/>
        </w:numPr>
        <w:ind w:left="426" w:hanging="426"/>
        <w:jc w:val="left"/>
        <w:rPr>
          <w:rFonts w:cs="Arial"/>
          <w:szCs w:val="16"/>
        </w:rPr>
      </w:pPr>
      <w:r w:rsidRPr="00B7521F">
        <w:rPr>
          <w:rFonts w:cs="Arial"/>
          <w:szCs w:val="16"/>
        </w:rPr>
        <w:t xml:space="preserve">Includes purchases from current and previous years’ </w:t>
      </w:r>
      <w:r w:rsidR="00AB3B87">
        <w:rPr>
          <w:rFonts w:cs="Arial"/>
          <w:szCs w:val="16"/>
        </w:rPr>
        <w:t>A</w:t>
      </w:r>
      <w:r>
        <w:rPr>
          <w:rFonts w:cs="Arial"/>
          <w:szCs w:val="16"/>
        </w:rPr>
        <w:t xml:space="preserve">dministered </w:t>
      </w:r>
      <w:r w:rsidR="00AB3B87">
        <w:rPr>
          <w:rFonts w:cs="Arial"/>
          <w:szCs w:val="16"/>
        </w:rPr>
        <w:t>C</w:t>
      </w:r>
      <w:r>
        <w:rPr>
          <w:rFonts w:cs="Arial"/>
          <w:szCs w:val="16"/>
        </w:rPr>
        <w:t xml:space="preserve">apital </w:t>
      </w:r>
      <w:r w:rsidR="00AB3B87">
        <w:rPr>
          <w:rFonts w:cs="Arial"/>
          <w:szCs w:val="16"/>
        </w:rPr>
        <w:t>B</w:t>
      </w:r>
      <w:r>
        <w:rPr>
          <w:rFonts w:cs="Arial"/>
          <w:szCs w:val="16"/>
        </w:rPr>
        <w:t>udgets (</w:t>
      </w:r>
      <w:r w:rsidRPr="00B7521F">
        <w:rPr>
          <w:rFonts w:cs="Arial"/>
          <w:szCs w:val="16"/>
        </w:rPr>
        <w:t>ACBs</w:t>
      </w:r>
      <w:r>
        <w:rPr>
          <w:rFonts w:cs="Arial"/>
          <w:szCs w:val="16"/>
        </w:rPr>
        <w:t>)</w:t>
      </w:r>
      <w:r w:rsidRPr="00B7521F">
        <w:rPr>
          <w:rFonts w:cs="Arial"/>
          <w:szCs w:val="16"/>
        </w:rPr>
        <w:t>.</w:t>
      </w:r>
    </w:p>
    <w:p w14:paraId="6A4F7216" w14:textId="77777777" w:rsidR="00EE76C4" w:rsidRDefault="00EE76C4">
      <w:pPr>
        <w:spacing w:after="0" w:line="240" w:lineRule="auto"/>
        <w:rPr>
          <w:rFonts w:ascii="Arial" w:hAnsi="Arial" w:cs="Arial"/>
          <w:sz w:val="16"/>
          <w:szCs w:val="16"/>
        </w:rPr>
      </w:pPr>
      <w:r>
        <w:rPr>
          <w:rFonts w:cs="Arial"/>
          <w:szCs w:val="16"/>
        </w:rPr>
        <w:br w:type="page"/>
      </w:r>
    </w:p>
    <w:p w14:paraId="70E41416" w14:textId="51778402" w:rsidR="00115843" w:rsidRPr="00C17B32" w:rsidRDefault="00115843" w:rsidP="00115843">
      <w:pPr>
        <w:pStyle w:val="TableHeading"/>
        <w:keepNext w:val="0"/>
        <w:spacing w:after="0" w:line="260" w:lineRule="exact"/>
        <w:jc w:val="both"/>
      </w:pPr>
      <w:r>
        <w:lastRenderedPageBreak/>
        <w:t>Table 3.11: Statement of administered asset movements (Budget year 202</w:t>
      </w:r>
      <w:r w:rsidR="00C6640B">
        <w:rPr>
          <w:lang w:val="en-US"/>
        </w:rPr>
        <w:t>3</w:t>
      </w:r>
      <w:r>
        <w:t>-</w:t>
      </w:r>
      <w:r w:rsidR="00C6640B">
        <w:rPr>
          <w:lang w:val="en-US"/>
        </w:rPr>
        <w:t>24</w:t>
      </w:r>
      <w:r>
        <w:t>)</w:t>
      </w:r>
    </w:p>
    <w:tbl>
      <w:tblPr>
        <w:tblW w:w="5187" w:type="pct"/>
        <w:tblLook w:val="04A0" w:firstRow="1" w:lastRow="0" w:firstColumn="1" w:lastColumn="0" w:noHBand="0" w:noVBand="1"/>
      </w:tblPr>
      <w:tblGrid>
        <w:gridCol w:w="2626"/>
        <w:gridCol w:w="812"/>
        <w:gridCol w:w="866"/>
        <w:gridCol w:w="964"/>
        <w:gridCol w:w="821"/>
        <w:gridCol w:w="981"/>
        <w:gridCol w:w="928"/>
      </w:tblGrid>
      <w:tr w:rsidR="007E3E5B" w:rsidRPr="007E3E5B" w14:paraId="7B78F469" w14:textId="77777777" w:rsidTr="007E3E5B">
        <w:trPr>
          <w:trHeight w:val="204"/>
        </w:trPr>
        <w:tc>
          <w:tcPr>
            <w:tcW w:w="1642" w:type="pct"/>
            <w:tcBorders>
              <w:top w:val="single" w:sz="4" w:space="0" w:color="auto"/>
              <w:left w:val="nil"/>
              <w:bottom w:val="nil"/>
              <w:right w:val="nil"/>
            </w:tcBorders>
            <w:shd w:val="clear" w:color="auto" w:fill="auto"/>
            <w:noWrap/>
            <w:vAlign w:val="bottom"/>
            <w:hideMark/>
          </w:tcPr>
          <w:p w14:paraId="04A4B349" w14:textId="77777777" w:rsidR="007E3E5B" w:rsidRPr="007E3E5B" w:rsidRDefault="007E3E5B" w:rsidP="007E3E5B">
            <w:pPr>
              <w:spacing w:after="0" w:line="240" w:lineRule="auto"/>
              <w:rPr>
                <w:rFonts w:ascii="Arial" w:hAnsi="Arial" w:cs="Arial"/>
                <w:sz w:val="16"/>
                <w:szCs w:val="16"/>
              </w:rPr>
            </w:pPr>
            <w:r w:rsidRPr="007E3E5B">
              <w:rPr>
                <w:rFonts w:ascii="Arial" w:hAnsi="Arial" w:cs="Arial"/>
                <w:sz w:val="16"/>
                <w:szCs w:val="16"/>
              </w:rPr>
              <w:t> </w:t>
            </w:r>
          </w:p>
        </w:tc>
        <w:tc>
          <w:tcPr>
            <w:tcW w:w="508" w:type="pct"/>
            <w:tcBorders>
              <w:top w:val="single" w:sz="4" w:space="0" w:color="auto"/>
              <w:left w:val="nil"/>
              <w:bottom w:val="single" w:sz="4" w:space="0" w:color="auto"/>
              <w:right w:val="nil"/>
            </w:tcBorders>
            <w:shd w:val="clear" w:color="auto" w:fill="auto"/>
            <w:vAlign w:val="bottom"/>
            <w:hideMark/>
          </w:tcPr>
          <w:p w14:paraId="3D7EAF7E" w14:textId="77777777" w:rsidR="007E3E5B" w:rsidRPr="007E3E5B" w:rsidRDefault="007E3E5B" w:rsidP="007E3E5B">
            <w:pPr>
              <w:spacing w:after="0" w:line="240" w:lineRule="auto"/>
              <w:jc w:val="right"/>
              <w:rPr>
                <w:rFonts w:ascii="Arial" w:hAnsi="Arial" w:cs="Arial"/>
                <w:sz w:val="16"/>
                <w:szCs w:val="16"/>
              </w:rPr>
            </w:pPr>
            <w:r w:rsidRPr="007E3E5B">
              <w:rPr>
                <w:rFonts w:ascii="Arial" w:hAnsi="Arial" w:cs="Arial"/>
                <w:sz w:val="16"/>
                <w:szCs w:val="16"/>
              </w:rPr>
              <w:t>Land</w:t>
            </w:r>
            <w:r w:rsidRPr="007E3E5B">
              <w:rPr>
                <w:rFonts w:ascii="Arial" w:hAnsi="Arial" w:cs="Arial"/>
                <w:sz w:val="16"/>
                <w:szCs w:val="16"/>
              </w:rPr>
              <w:br/>
            </w:r>
            <w:r w:rsidRPr="007E3E5B">
              <w:rPr>
                <w:rFonts w:ascii="Arial" w:hAnsi="Arial" w:cs="Arial"/>
                <w:sz w:val="16"/>
                <w:szCs w:val="16"/>
              </w:rPr>
              <w:br/>
            </w:r>
            <w:r w:rsidRPr="007E3E5B">
              <w:rPr>
                <w:rFonts w:ascii="Arial" w:hAnsi="Arial" w:cs="Arial"/>
                <w:sz w:val="16"/>
                <w:szCs w:val="16"/>
              </w:rPr>
              <w:br/>
            </w:r>
            <w:r w:rsidRPr="007E3E5B">
              <w:rPr>
                <w:rFonts w:ascii="Arial" w:hAnsi="Arial" w:cs="Arial"/>
                <w:sz w:val="16"/>
                <w:szCs w:val="16"/>
              </w:rPr>
              <w:br/>
              <w:t>$'000</w:t>
            </w:r>
          </w:p>
        </w:tc>
        <w:tc>
          <w:tcPr>
            <w:tcW w:w="541" w:type="pct"/>
            <w:tcBorders>
              <w:top w:val="single" w:sz="4" w:space="0" w:color="auto"/>
              <w:left w:val="nil"/>
              <w:bottom w:val="single" w:sz="4" w:space="0" w:color="auto"/>
              <w:right w:val="nil"/>
            </w:tcBorders>
            <w:shd w:val="clear" w:color="auto" w:fill="auto"/>
            <w:vAlign w:val="bottom"/>
            <w:hideMark/>
          </w:tcPr>
          <w:p w14:paraId="401F428D" w14:textId="77777777" w:rsidR="007E3E5B" w:rsidRPr="007E3E5B" w:rsidRDefault="007E3E5B" w:rsidP="007E3E5B">
            <w:pPr>
              <w:spacing w:after="0" w:line="240" w:lineRule="auto"/>
              <w:jc w:val="right"/>
              <w:rPr>
                <w:rFonts w:ascii="Arial" w:hAnsi="Arial" w:cs="Arial"/>
                <w:sz w:val="16"/>
                <w:szCs w:val="16"/>
              </w:rPr>
            </w:pPr>
            <w:r w:rsidRPr="007E3E5B">
              <w:rPr>
                <w:rFonts w:ascii="Arial" w:hAnsi="Arial" w:cs="Arial"/>
                <w:sz w:val="16"/>
                <w:szCs w:val="16"/>
              </w:rPr>
              <w:t>Buildings</w:t>
            </w:r>
            <w:r w:rsidRPr="007E3E5B">
              <w:rPr>
                <w:rFonts w:ascii="Arial" w:hAnsi="Arial" w:cs="Arial"/>
                <w:sz w:val="16"/>
                <w:szCs w:val="16"/>
              </w:rPr>
              <w:br/>
            </w:r>
            <w:r w:rsidRPr="007E3E5B">
              <w:rPr>
                <w:rFonts w:ascii="Arial" w:hAnsi="Arial" w:cs="Arial"/>
                <w:sz w:val="16"/>
                <w:szCs w:val="16"/>
              </w:rPr>
              <w:br/>
            </w:r>
            <w:r w:rsidRPr="007E3E5B">
              <w:rPr>
                <w:rFonts w:ascii="Arial" w:hAnsi="Arial" w:cs="Arial"/>
                <w:sz w:val="16"/>
                <w:szCs w:val="16"/>
              </w:rPr>
              <w:br/>
            </w:r>
            <w:r w:rsidRPr="007E3E5B">
              <w:rPr>
                <w:rFonts w:ascii="Arial" w:hAnsi="Arial" w:cs="Arial"/>
                <w:sz w:val="16"/>
                <w:szCs w:val="16"/>
              </w:rPr>
              <w:br/>
              <w:t>$'000</w:t>
            </w:r>
          </w:p>
        </w:tc>
        <w:tc>
          <w:tcPr>
            <w:tcW w:w="603" w:type="pct"/>
            <w:tcBorders>
              <w:top w:val="single" w:sz="4" w:space="0" w:color="auto"/>
              <w:left w:val="nil"/>
              <w:bottom w:val="single" w:sz="4" w:space="0" w:color="auto"/>
              <w:right w:val="nil"/>
            </w:tcBorders>
            <w:shd w:val="clear" w:color="auto" w:fill="auto"/>
            <w:vAlign w:val="bottom"/>
            <w:hideMark/>
          </w:tcPr>
          <w:p w14:paraId="0A48E388" w14:textId="77777777" w:rsidR="007E3E5B" w:rsidRPr="007E3E5B" w:rsidRDefault="007E3E5B" w:rsidP="007E3E5B">
            <w:pPr>
              <w:spacing w:after="0" w:line="240" w:lineRule="auto"/>
              <w:jc w:val="right"/>
              <w:rPr>
                <w:rFonts w:ascii="Arial" w:hAnsi="Arial" w:cs="Arial"/>
                <w:sz w:val="16"/>
                <w:szCs w:val="16"/>
              </w:rPr>
            </w:pPr>
            <w:r w:rsidRPr="007E3E5B">
              <w:rPr>
                <w:rFonts w:ascii="Arial" w:hAnsi="Arial" w:cs="Arial"/>
                <w:sz w:val="16"/>
                <w:szCs w:val="16"/>
              </w:rPr>
              <w:t>Other</w:t>
            </w:r>
            <w:r w:rsidRPr="007E3E5B">
              <w:rPr>
                <w:rFonts w:ascii="Arial" w:hAnsi="Arial" w:cs="Arial"/>
                <w:sz w:val="16"/>
                <w:szCs w:val="16"/>
              </w:rPr>
              <w:br/>
              <w:t>property,</w:t>
            </w:r>
            <w:r w:rsidRPr="007E3E5B">
              <w:rPr>
                <w:rFonts w:ascii="Arial" w:hAnsi="Arial" w:cs="Arial"/>
                <w:sz w:val="16"/>
                <w:szCs w:val="16"/>
              </w:rPr>
              <w:br/>
              <w:t>plant and</w:t>
            </w:r>
            <w:r w:rsidRPr="007E3E5B">
              <w:rPr>
                <w:rFonts w:ascii="Arial" w:hAnsi="Arial" w:cs="Arial"/>
                <w:sz w:val="16"/>
                <w:szCs w:val="16"/>
              </w:rPr>
              <w:br/>
              <w:t>equipment</w:t>
            </w:r>
            <w:r w:rsidRPr="007E3E5B">
              <w:rPr>
                <w:rFonts w:ascii="Arial" w:hAnsi="Arial" w:cs="Arial"/>
                <w:sz w:val="16"/>
                <w:szCs w:val="16"/>
              </w:rPr>
              <w:br/>
              <w:t>$'000</w:t>
            </w:r>
          </w:p>
        </w:tc>
        <w:tc>
          <w:tcPr>
            <w:tcW w:w="513" w:type="pct"/>
            <w:tcBorders>
              <w:top w:val="single" w:sz="4" w:space="0" w:color="auto"/>
              <w:left w:val="nil"/>
              <w:bottom w:val="single" w:sz="4" w:space="0" w:color="auto"/>
              <w:right w:val="nil"/>
            </w:tcBorders>
            <w:shd w:val="clear" w:color="auto" w:fill="auto"/>
            <w:vAlign w:val="bottom"/>
            <w:hideMark/>
          </w:tcPr>
          <w:p w14:paraId="294D96C0" w14:textId="77777777" w:rsidR="007E3E5B" w:rsidRPr="007E3E5B" w:rsidRDefault="007E3E5B" w:rsidP="007E3E5B">
            <w:pPr>
              <w:spacing w:after="0" w:line="240" w:lineRule="auto"/>
              <w:jc w:val="right"/>
              <w:rPr>
                <w:rFonts w:ascii="Arial" w:hAnsi="Arial" w:cs="Arial"/>
                <w:sz w:val="16"/>
                <w:szCs w:val="16"/>
              </w:rPr>
            </w:pPr>
            <w:r w:rsidRPr="007E3E5B">
              <w:rPr>
                <w:rFonts w:ascii="Arial" w:hAnsi="Arial" w:cs="Arial"/>
                <w:sz w:val="16"/>
                <w:szCs w:val="16"/>
              </w:rPr>
              <w:t>Heritage</w:t>
            </w:r>
            <w:r w:rsidRPr="007E3E5B">
              <w:rPr>
                <w:rFonts w:ascii="Arial" w:hAnsi="Arial" w:cs="Arial"/>
                <w:sz w:val="16"/>
                <w:szCs w:val="16"/>
              </w:rPr>
              <w:br/>
              <w:t>and</w:t>
            </w:r>
            <w:r w:rsidRPr="007E3E5B">
              <w:rPr>
                <w:rFonts w:ascii="Arial" w:hAnsi="Arial" w:cs="Arial"/>
                <w:sz w:val="16"/>
                <w:szCs w:val="16"/>
              </w:rPr>
              <w:br/>
              <w:t>cultural</w:t>
            </w:r>
            <w:r w:rsidRPr="007E3E5B">
              <w:rPr>
                <w:rFonts w:ascii="Arial" w:hAnsi="Arial" w:cs="Arial"/>
                <w:sz w:val="16"/>
                <w:szCs w:val="16"/>
              </w:rPr>
              <w:br/>
            </w:r>
            <w:r w:rsidRPr="007E3E5B">
              <w:rPr>
                <w:rFonts w:ascii="Arial" w:hAnsi="Arial" w:cs="Arial"/>
                <w:sz w:val="16"/>
                <w:szCs w:val="16"/>
              </w:rPr>
              <w:br/>
              <w:t>$'000</w:t>
            </w:r>
          </w:p>
        </w:tc>
        <w:tc>
          <w:tcPr>
            <w:tcW w:w="613" w:type="pct"/>
            <w:tcBorders>
              <w:top w:val="single" w:sz="4" w:space="0" w:color="auto"/>
              <w:left w:val="nil"/>
              <w:bottom w:val="single" w:sz="4" w:space="0" w:color="auto"/>
              <w:right w:val="nil"/>
            </w:tcBorders>
            <w:shd w:val="clear" w:color="auto" w:fill="auto"/>
            <w:vAlign w:val="bottom"/>
            <w:hideMark/>
          </w:tcPr>
          <w:p w14:paraId="209CFC06" w14:textId="77777777" w:rsidR="007E3E5B" w:rsidRPr="007E3E5B" w:rsidRDefault="007E3E5B" w:rsidP="007E3E5B">
            <w:pPr>
              <w:spacing w:after="0" w:line="240" w:lineRule="auto"/>
              <w:jc w:val="right"/>
              <w:rPr>
                <w:rFonts w:ascii="Arial" w:hAnsi="Arial" w:cs="Arial"/>
                <w:sz w:val="16"/>
                <w:szCs w:val="16"/>
              </w:rPr>
            </w:pPr>
            <w:r w:rsidRPr="007E3E5B">
              <w:rPr>
                <w:rFonts w:ascii="Arial" w:hAnsi="Arial" w:cs="Arial"/>
                <w:sz w:val="16"/>
                <w:szCs w:val="16"/>
              </w:rPr>
              <w:t>Computer</w:t>
            </w:r>
            <w:r w:rsidRPr="007E3E5B">
              <w:rPr>
                <w:rFonts w:ascii="Arial" w:hAnsi="Arial" w:cs="Arial"/>
                <w:sz w:val="16"/>
                <w:szCs w:val="16"/>
              </w:rPr>
              <w:br/>
              <w:t>software and</w:t>
            </w:r>
            <w:r w:rsidRPr="007E3E5B">
              <w:rPr>
                <w:rFonts w:ascii="Arial" w:hAnsi="Arial" w:cs="Arial"/>
                <w:sz w:val="16"/>
                <w:szCs w:val="16"/>
              </w:rPr>
              <w:br/>
              <w:t>intangibles</w:t>
            </w:r>
            <w:r w:rsidRPr="007E3E5B">
              <w:rPr>
                <w:rFonts w:ascii="Arial" w:hAnsi="Arial" w:cs="Arial"/>
                <w:sz w:val="16"/>
                <w:szCs w:val="16"/>
              </w:rPr>
              <w:br/>
            </w:r>
            <w:r w:rsidRPr="007E3E5B">
              <w:rPr>
                <w:rFonts w:ascii="Arial" w:hAnsi="Arial" w:cs="Arial"/>
                <w:sz w:val="16"/>
                <w:szCs w:val="16"/>
              </w:rPr>
              <w:br/>
              <w:t>$'000</w:t>
            </w:r>
          </w:p>
        </w:tc>
        <w:tc>
          <w:tcPr>
            <w:tcW w:w="580" w:type="pct"/>
            <w:tcBorders>
              <w:top w:val="single" w:sz="4" w:space="0" w:color="auto"/>
              <w:left w:val="nil"/>
              <w:bottom w:val="single" w:sz="4" w:space="0" w:color="auto"/>
              <w:right w:val="nil"/>
            </w:tcBorders>
            <w:shd w:val="clear" w:color="auto" w:fill="auto"/>
            <w:vAlign w:val="bottom"/>
            <w:hideMark/>
          </w:tcPr>
          <w:p w14:paraId="417D3577" w14:textId="77777777" w:rsidR="007E3E5B" w:rsidRPr="007E3E5B" w:rsidRDefault="007E3E5B" w:rsidP="007E3E5B">
            <w:pPr>
              <w:spacing w:after="0" w:line="240" w:lineRule="auto"/>
              <w:jc w:val="right"/>
              <w:rPr>
                <w:rFonts w:ascii="Arial" w:hAnsi="Arial" w:cs="Arial"/>
                <w:sz w:val="16"/>
                <w:szCs w:val="16"/>
              </w:rPr>
            </w:pPr>
            <w:r w:rsidRPr="007E3E5B">
              <w:rPr>
                <w:rFonts w:ascii="Arial" w:hAnsi="Arial" w:cs="Arial"/>
                <w:sz w:val="16"/>
                <w:szCs w:val="16"/>
              </w:rPr>
              <w:t>Total</w:t>
            </w:r>
            <w:r w:rsidRPr="007E3E5B">
              <w:rPr>
                <w:rFonts w:ascii="Arial" w:hAnsi="Arial" w:cs="Arial"/>
                <w:sz w:val="16"/>
                <w:szCs w:val="16"/>
              </w:rPr>
              <w:br/>
            </w:r>
            <w:r w:rsidRPr="007E3E5B">
              <w:rPr>
                <w:rFonts w:ascii="Arial" w:hAnsi="Arial" w:cs="Arial"/>
                <w:sz w:val="16"/>
                <w:szCs w:val="16"/>
              </w:rPr>
              <w:br/>
            </w:r>
            <w:r w:rsidRPr="007E3E5B">
              <w:rPr>
                <w:rFonts w:ascii="Arial" w:hAnsi="Arial" w:cs="Arial"/>
                <w:sz w:val="16"/>
                <w:szCs w:val="16"/>
              </w:rPr>
              <w:br/>
            </w:r>
            <w:r w:rsidRPr="007E3E5B">
              <w:rPr>
                <w:rFonts w:ascii="Arial" w:hAnsi="Arial" w:cs="Arial"/>
                <w:sz w:val="16"/>
                <w:szCs w:val="16"/>
              </w:rPr>
              <w:br/>
              <w:t>$'000</w:t>
            </w:r>
          </w:p>
        </w:tc>
      </w:tr>
      <w:tr w:rsidR="007E3E5B" w:rsidRPr="007E3E5B" w14:paraId="48F7002B" w14:textId="77777777" w:rsidTr="007E3E5B">
        <w:trPr>
          <w:trHeight w:val="204"/>
        </w:trPr>
        <w:tc>
          <w:tcPr>
            <w:tcW w:w="1642" w:type="pct"/>
            <w:tcBorders>
              <w:top w:val="nil"/>
              <w:left w:val="nil"/>
              <w:bottom w:val="nil"/>
              <w:right w:val="nil"/>
            </w:tcBorders>
            <w:shd w:val="clear" w:color="auto" w:fill="auto"/>
            <w:vAlign w:val="bottom"/>
            <w:hideMark/>
          </w:tcPr>
          <w:p w14:paraId="6A456CB5" w14:textId="77777777" w:rsidR="007E3E5B" w:rsidRPr="007E3E5B" w:rsidRDefault="007E3E5B" w:rsidP="007E3E5B">
            <w:pPr>
              <w:spacing w:after="0" w:line="240" w:lineRule="auto"/>
              <w:rPr>
                <w:rFonts w:ascii="Arial" w:hAnsi="Arial" w:cs="Arial"/>
                <w:b/>
                <w:bCs/>
                <w:sz w:val="16"/>
                <w:szCs w:val="16"/>
              </w:rPr>
            </w:pPr>
            <w:r w:rsidRPr="007E3E5B">
              <w:rPr>
                <w:rFonts w:ascii="Arial" w:hAnsi="Arial" w:cs="Arial"/>
                <w:b/>
                <w:bCs/>
                <w:sz w:val="16"/>
                <w:szCs w:val="16"/>
              </w:rPr>
              <w:t>As at 1 July 2023</w:t>
            </w:r>
          </w:p>
        </w:tc>
        <w:tc>
          <w:tcPr>
            <w:tcW w:w="508" w:type="pct"/>
            <w:tcBorders>
              <w:top w:val="nil"/>
              <w:left w:val="nil"/>
              <w:bottom w:val="nil"/>
              <w:right w:val="nil"/>
            </w:tcBorders>
            <w:shd w:val="clear" w:color="auto" w:fill="auto"/>
            <w:noWrap/>
            <w:vAlign w:val="bottom"/>
            <w:hideMark/>
          </w:tcPr>
          <w:p w14:paraId="046852AB" w14:textId="77777777" w:rsidR="007E3E5B" w:rsidRPr="007E3E5B" w:rsidRDefault="007E3E5B" w:rsidP="007E3E5B">
            <w:pPr>
              <w:spacing w:after="0" w:line="240" w:lineRule="auto"/>
              <w:jc w:val="right"/>
              <w:rPr>
                <w:rFonts w:ascii="Arial" w:hAnsi="Arial" w:cs="Arial"/>
                <w:b/>
                <w:bCs/>
                <w:sz w:val="16"/>
                <w:szCs w:val="16"/>
              </w:rPr>
            </w:pPr>
          </w:p>
        </w:tc>
        <w:tc>
          <w:tcPr>
            <w:tcW w:w="541" w:type="pct"/>
            <w:tcBorders>
              <w:top w:val="nil"/>
              <w:left w:val="nil"/>
              <w:bottom w:val="nil"/>
              <w:right w:val="nil"/>
            </w:tcBorders>
            <w:shd w:val="clear" w:color="auto" w:fill="auto"/>
            <w:noWrap/>
            <w:vAlign w:val="bottom"/>
            <w:hideMark/>
          </w:tcPr>
          <w:p w14:paraId="313827B7" w14:textId="77777777" w:rsidR="007E3E5B" w:rsidRPr="007E3E5B" w:rsidRDefault="007E3E5B" w:rsidP="007E3E5B">
            <w:pPr>
              <w:spacing w:after="0" w:line="240" w:lineRule="auto"/>
              <w:jc w:val="right"/>
              <w:rPr>
                <w:rFonts w:ascii="Times New Roman" w:hAnsi="Times New Roman"/>
              </w:rPr>
            </w:pPr>
          </w:p>
        </w:tc>
        <w:tc>
          <w:tcPr>
            <w:tcW w:w="603" w:type="pct"/>
            <w:tcBorders>
              <w:top w:val="nil"/>
              <w:left w:val="nil"/>
              <w:bottom w:val="nil"/>
              <w:right w:val="nil"/>
            </w:tcBorders>
            <w:shd w:val="clear" w:color="auto" w:fill="auto"/>
            <w:noWrap/>
            <w:vAlign w:val="bottom"/>
            <w:hideMark/>
          </w:tcPr>
          <w:p w14:paraId="525856CB" w14:textId="77777777" w:rsidR="007E3E5B" w:rsidRPr="007E3E5B" w:rsidRDefault="007E3E5B" w:rsidP="007E3E5B">
            <w:pPr>
              <w:spacing w:after="0" w:line="240" w:lineRule="auto"/>
              <w:jc w:val="right"/>
              <w:rPr>
                <w:rFonts w:ascii="Times New Roman" w:hAnsi="Times New Roman"/>
              </w:rPr>
            </w:pPr>
          </w:p>
        </w:tc>
        <w:tc>
          <w:tcPr>
            <w:tcW w:w="513" w:type="pct"/>
            <w:tcBorders>
              <w:top w:val="nil"/>
              <w:left w:val="nil"/>
              <w:bottom w:val="nil"/>
              <w:right w:val="nil"/>
            </w:tcBorders>
            <w:shd w:val="clear" w:color="auto" w:fill="auto"/>
            <w:noWrap/>
            <w:vAlign w:val="bottom"/>
            <w:hideMark/>
          </w:tcPr>
          <w:p w14:paraId="2206963F" w14:textId="77777777" w:rsidR="007E3E5B" w:rsidRPr="007E3E5B" w:rsidRDefault="007E3E5B" w:rsidP="007E3E5B">
            <w:pPr>
              <w:spacing w:after="0" w:line="240" w:lineRule="auto"/>
              <w:jc w:val="right"/>
              <w:rPr>
                <w:rFonts w:ascii="Times New Roman" w:hAnsi="Times New Roman"/>
              </w:rPr>
            </w:pPr>
          </w:p>
        </w:tc>
        <w:tc>
          <w:tcPr>
            <w:tcW w:w="613" w:type="pct"/>
            <w:tcBorders>
              <w:top w:val="nil"/>
              <w:left w:val="nil"/>
              <w:bottom w:val="nil"/>
              <w:right w:val="nil"/>
            </w:tcBorders>
            <w:shd w:val="clear" w:color="auto" w:fill="auto"/>
            <w:noWrap/>
            <w:vAlign w:val="bottom"/>
            <w:hideMark/>
          </w:tcPr>
          <w:p w14:paraId="71BEA2F6" w14:textId="77777777" w:rsidR="007E3E5B" w:rsidRPr="007E3E5B" w:rsidRDefault="007E3E5B" w:rsidP="007E3E5B">
            <w:pPr>
              <w:spacing w:after="0" w:line="240" w:lineRule="auto"/>
              <w:jc w:val="right"/>
              <w:rPr>
                <w:rFonts w:ascii="Times New Roman" w:hAnsi="Times New Roman"/>
              </w:rPr>
            </w:pPr>
          </w:p>
        </w:tc>
        <w:tc>
          <w:tcPr>
            <w:tcW w:w="580" w:type="pct"/>
            <w:tcBorders>
              <w:top w:val="nil"/>
              <w:left w:val="nil"/>
              <w:bottom w:val="nil"/>
              <w:right w:val="nil"/>
            </w:tcBorders>
            <w:shd w:val="clear" w:color="auto" w:fill="auto"/>
            <w:noWrap/>
            <w:vAlign w:val="bottom"/>
            <w:hideMark/>
          </w:tcPr>
          <w:p w14:paraId="397E9A6C" w14:textId="77777777" w:rsidR="007E3E5B" w:rsidRPr="007E3E5B" w:rsidRDefault="007E3E5B" w:rsidP="007E3E5B">
            <w:pPr>
              <w:spacing w:after="0" w:line="240" w:lineRule="auto"/>
              <w:jc w:val="right"/>
              <w:rPr>
                <w:rFonts w:ascii="Times New Roman" w:hAnsi="Times New Roman"/>
              </w:rPr>
            </w:pPr>
          </w:p>
        </w:tc>
      </w:tr>
      <w:tr w:rsidR="007E3E5B" w:rsidRPr="007E3E5B" w14:paraId="47D0CD92" w14:textId="77777777" w:rsidTr="007E3E5B">
        <w:trPr>
          <w:trHeight w:val="204"/>
        </w:trPr>
        <w:tc>
          <w:tcPr>
            <w:tcW w:w="1642" w:type="pct"/>
            <w:tcBorders>
              <w:top w:val="nil"/>
              <w:left w:val="nil"/>
              <w:bottom w:val="nil"/>
              <w:right w:val="nil"/>
            </w:tcBorders>
            <w:shd w:val="clear" w:color="auto" w:fill="auto"/>
            <w:vAlign w:val="bottom"/>
            <w:hideMark/>
          </w:tcPr>
          <w:p w14:paraId="46CE50C8" w14:textId="77777777" w:rsidR="007E3E5B" w:rsidRPr="007E3E5B" w:rsidRDefault="007E3E5B" w:rsidP="007E3E5B">
            <w:pPr>
              <w:spacing w:after="0" w:line="240" w:lineRule="auto"/>
              <w:ind w:left="113"/>
              <w:rPr>
                <w:rFonts w:ascii="Arial" w:hAnsi="Arial" w:cs="Arial"/>
                <w:sz w:val="16"/>
                <w:szCs w:val="16"/>
              </w:rPr>
            </w:pPr>
            <w:r w:rsidRPr="007E3E5B">
              <w:rPr>
                <w:rFonts w:ascii="Arial" w:hAnsi="Arial" w:cs="Arial"/>
                <w:sz w:val="16"/>
                <w:szCs w:val="16"/>
              </w:rPr>
              <w:t xml:space="preserve">Gross book value </w:t>
            </w:r>
          </w:p>
        </w:tc>
        <w:tc>
          <w:tcPr>
            <w:tcW w:w="508" w:type="pct"/>
            <w:tcBorders>
              <w:top w:val="nil"/>
              <w:left w:val="nil"/>
              <w:bottom w:val="nil"/>
              <w:right w:val="nil"/>
            </w:tcBorders>
            <w:shd w:val="clear" w:color="auto" w:fill="auto"/>
            <w:noWrap/>
            <w:vAlign w:val="bottom"/>
            <w:hideMark/>
          </w:tcPr>
          <w:p w14:paraId="73FDD65B" w14:textId="4DA65B33" w:rsidR="007E3E5B" w:rsidRPr="007E3E5B" w:rsidRDefault="007E3E5B" w:rsidP="007E3E5B">
            <w:pPr>
              <w:spacing w:after="0" w:line="240" w:lineRule="auto"/>
              <w:jc w:val="right"/>
              <w:rPr>
                <w:rFonts w:ascii="Arial" w:hAnsi="Arial" w:cs="Arial"/>
                <w:sz w:val="16"/>
                <w:szCs w:val="16"/>
              </w:rPr>
            </w:pPr>
            <w:r w:rsidRPr="007E3E5B">
              <w:rPr>
                <w:rFonts w:ascii="Arial" w:hAnsi="Arial" w:cs="Arial"/>
                <w:sz w:val="16"/>
                <w:szCs w:val="16"/>
              </w:rPr>
              <w:t>67,201</w:t>
            </w:r>
          </w:p>
        </w:tc>
        <w:tc>
          <w:tcPr>
            <w:tcW w:w="541" w:type="pct"/>
            <w:tcBorders>
              <w:top w:val="nil"/>
              <w:left w:val="nil"/>
              <w:bottom w:val="nil"/>
              <w:right w:val="nil"/>
            </w:tcBorders>
            <w:shd w:val="clear" w:color="auto" w:fill="auto"/>
            <w:noWrap/>
            <w:vAlign w:val="bottom"/>
            <w:hideMark/>
          </w:tcPr>
          <w:p w14:paraId="6C1548C2" w14:textId="02058102" w:rsidR="007E3E5B" w:rsidRPr="007E3E5B" w:rsidRDefault="007E3E5B" w:rsidP="007E3E5B">
            <w:pPr>
              <w:spacing w:after="0" w:line="240" w:lineRule="auto"/>
              <w:jc w:val="right"/>
              <w:rPr>
                <w:rFonts w:ascii="Arial" w:hAnsi="Arial" w:cs="Arial"/>
                <w:sz w:val="16"/>
                <w:szCs w:val="16"/>
              </w:rPr>
            </w:pPr>
            <w:r w:rsidRPr="007E3E5B">
              <w:rPr>
                <w:rFonts w:ascii="Arial" w:hAnsi="Arial" w:cs="Arial"/>
                <w:sz w:val="16"/>
                <w:szCs w:val="16"/>
              </w:rPr>
              <w:t>157,680</w:t>
            </w:r>
          </w:p>
        </w:tc>
        <w:tc>
          <w:tcPr>
            <w:tcW w:w="603" w:type="pct"/>
            <w:tcBorders>
              <w:top w:val="nil"/>
              <w:left w:val="nil"/>
              <w:bottom w:val="nil"/>
              <w:right w:val="nil"/>
            </w:tcBorders>
            <w:shd w:val="clear" w:color="auto" w:fill="auto"/>
            <w:noWrap/>
            <w:vAlign w:val="bottom"/>
            <w:hideMark/>
          </w:tcPr>
          <w:p w14:paraId="0795234E" w14:textId="2832D629" w:rsidR="007E3E5B" w:rsidRPr="007E3E5B" w:rsidRDefault="007E3E5B" w:rsidP="007E3E5B">
            <w:pPr>
              <w:spacing w:after="0" w:line="240" w:lineRule="auto"/>
              <w:jc w:val="right"/>
              <w:rPr>
                <w:rFonts w:ascii="Arial" w:hAnsi="Arial" w:cs="Arial"/>
                <w:sz w:val="16"/>
                <w:szCs w:val="16"/>
              </w:rPr>
            </w:pPr>
            <w:r w:rsidRPr="007E3E5B">
              <w:rPr>
                <w:rFonts w:ascii="Arial" w:hAnsi="Arial" w:cs="Arial"/>
                <w:sz w:val="16"/>
                <w:szCs w:val="16"/>
              </w:rPr>
              <w:t>549,822</w:t>
            </w:r>
          </w:p>
        </w:tc>
        <w:tc>
          <w:tcPr>
            <w:tcW w:w="513" w:type="pct"/>
            <w:tcBorders>
              <w:top w:val="nil"/>
              <w:left w:val="nil"/>
              <w:bottom w:val="nil"/>
              <w:right w:val="nil"/>
            </w:tcBorders>
            <w:shd w:val="clear" w:color="auto" w:fill="auto"/>
            <w:noWrap/>
            <w:vAlign w:val="bottom"/>
            <w:hideMark/>
          </w:tcPr>
          <w:p w14:paraId="7F781F4E" w14:textId="414EB1B9" w:rsidR="007E3E5B" w:rsidRPr="007E3E5B" w:rsidRDefault="007E3E5B" w:rsidP="007E3E5B">
            <w:pPr>
              <w:spacing w:after="0" w:line="240" w:lineRule="auto"/>
              <w:jc w:val="right"/>
              <w:rPr>
                <w:rFonts w:ascii="Arial" w:hAnsi="Arial" w:cs="Arial"/>
                <w:sz w:val="16"/>
                <w:szCs w:val="16"/>
              </w:rPr>
            </w:pPr>
            <w:r w:rsidRPr="007E3E5B">
              <w:rPr>
                <w:rFonts w:ascii="Arial" w:hAnsi="Arial" w:cs="Arial"/>
                <w:sz w:val="16"/>
                <w:szCs w:val="16"/>
              </w:rPr>
              <w:t>186,126</w:t>
            </w:r>
          </w:p>
        </w:tc>
        <w:tc>
          <w:tcPr>
            <w:tcW w:w="613" w:type="pct"/>
            <w:tcBorders>
              <w:top w:val="nil"/>
              <w:left w:val="nil"/>
              <w:bottom w:val="nil"/>
              <w:right w:val="nil"/>
            </w:tcBorders>
            <w:shd w:val="clear" w:color="auto" w:fill="auto"/>
            <w:noWrap/>
            <w:vAlign w:val="bottom"/>
            <w:hideMark/>
          </w:tcPr>
          <w:p w14:paraId="3E55E77A" w14:textId="0304D3FD" w:rsidR="007E3E5B" w:rsidRPr="007E3E5B" w:rsidRDefault="007E3E5B" w:rsidP="007E3E5B">
            <w:pPr>
              <w:spacing w:after="0" w:line="240" w:lineRule="auto"/>
              <w:jc w:val="right"/>
              <w:rPr>
                <w:rFonts w:ascii="Arial" w:hAnsi="Arial" w:cs="Arial"/>
                <w:sz w:val="16"/>
                <w:szCs w:val="16"/>
              </w:rPr>
            </w:pPr>
            <w:r w:rsidRPr="007E3E5B">
              <w:rPr>
                <w:rFonts w:ascii="Arial" w:hAnsi="Arial" w:cs="Arial"/>
                <w:sz w:val="16"/>
                <w:szCs w:val="16"/>
              </w:rPr>
              <w:t>4,477</w:t>
            </w:r>
          </w:p>
        </w:tc>
        <w:tc>
          <w:tcPr>
            <w:tcW w:w="580" w:type="pct"/>
            <w:tcBorders>
              <w:top w:val="nil"/>
              <w:left w:val="nil"/>
              <w:bottom w:val="nil"/>
              <w:right w:val="nil"/>
            </w:tcBorders>
            <w:shd w:val="clear" w:color="auto" w:fill="auto"/>
            <w:noWrap/>
            <w:vAlign w:val="bottom"/>
            <w:hideMark/>
          </w:tcPr>
          <w:p w14:paraId="009DFBC8" w14:textId="6B4532DA" w:rsidR="007E3E5B" w:rsidRPr="007E3E5B" w:rsidRDefault="007E3E5B" w:rsidP="007E3E5B">
            <w:pPr>
              <w:spacing w:after="0" w:line="240" w:lineRule="auto"/>
              <w:jc w:val="right"/>
              <w:rPr>
                <w:rFonts w:ascii="Arial" w:hAnsi="Arial" w:cs="Arial"/>
                <w:sz w:val="16"/>
                <w:szCs w:val="16"/>
              </w:rPr>
            </w:pPr>
            <w:r w:rsidRPr="007E3E5B">
              <w:rPr>
                <w:rFonts w:ascii="Arial" w:hAnsi="Arial" w:cs="Arial"/>
                <w:sz w:val="16"/>
                <w:szCs w:val="16"/>
              </w:rPr>
              <w:t>965,306</w:t>
            </w:r>
          </w:p>
        </w:tc>
      </w:tr>
      <w:tr w:rsidR="007E3E5B" w:rsidRPr="007E3E5B" w14:paraId="5B10BCE5" w14:textId="77777777" w:rsidTr="007E3E5B">
        <w:trPr>
          <w:trHeight w:val="204"/>
        </w:trPr>
        <w:tc>
          <w:tcPr>
            <w:tcW w:w="1642" w:type="pct"/>
            <w:tcBorders>
              <w:top w:val="nil"/>
              <w:left w:val="nil"/>
              <w:bottom w:val="nil"/>
              <w:right w:val="nil"/>
            </w:tcBorders>
            <w:shd w:val="clear" w:color="auto" w:fill="auto"/>
            <w:vAlign w:val="bottom"/>
            <w:hideMark/>
          </w:tcPr>
          <w:p w14:paraId="19224B77" w14:textId="089124FE" w:rsidR="007E3E5B" w:rsidRPr="007E3E5B" w:rsidRDefault="007E3E5B" w:rsidP="007E3E5B">
            <w:pPr>
              <w:spacing w:after="0" w:line="240" w:lineRule="auto"/>
              <w:ind w:left="113"/>
              <w:rPr>
                <w:rFonts w:ascii="Arial" w:hAnsi="Arial" w:cs="Arial"/>
                <w:sz w:val="16"/>
                <w:szCs w:val="16"/>
              </w:rPr>
            </w:pPr>
            <w:r w:rsidRPr="007E3E5B">
              <w:rPr>
                <w:rFonts w:ascii="Arial" w:hAnsi="Arial" w:cs="Arial"/>
                <w:sz w:val="16"/>
                <w:szCs w:val="16"/>
              </w:rPr>
              <w:t>Accumulated depreciation/</w:t>
            </w:r>
            <w:r w:rsidR="00E53E4F">
              <w:rPr>
                <w:rFonts w:ascii="Arial" w:hAnsi="Arial" w:cs="Arial"/>
                <w:sz w:val="16"/>
                <w:szCs w:val="16"/>
              </w:rPr>
              <w:t xml:space="preserve"> </w:t>
            </w:r>
            <w:r w:rsidRPr="007E3E5B">
              <w:rPr>
                <w:rFonts w:ascii="Arial" w:hAnsi="Arial" w:cs="Arial"/>
                <w:sz w:val="16"/>
                <w:szCs w:val="16"/>
              </w:rPr>
              <w:t>amortisation and impairment</w:t>
            </w:r>
          </w:p>
        </w:tc>
        <w:tc>
          <w:tcPr>
            <w:tcW w:w="508" w:type="pct"/>
            <w:tcBorders>
              <w:top w:val="nil"/>
              <w:left w:val="nil"/>
              <w:bottom w:val="nil"/>
              <w:right w:val="nil"/>
            </w:tcBorders>
            <w:shd w:val="clear" w:color="auto" w:fill="auto"/>
            <w:noWrap/>
            <w:vAlign w:val="bottom"/>
            <w:hideMark/>
          </w:tcPr>
          <w:p w14:paraId="53B5DAE3" w14:textId="58BCB9E6" w:rsidR="007E3E5B" w:rsidRPr="007E3E5B" w:rsidRDefault="007E3E5B" w:rsidP="007E3E5B">
            <w:pPr>
              <w:spacing w:after="0" w:line="240" w:lineRule="auto"/>
              <w:jc w:val="right"/>
              <w:rPr>
                <w:rFonts w:ascii="Arial" w:hAnsi="Arial" w:cs="Arial"/>
                <w:sz w:val="16"/>
                <w:szCs w:val="16"/>
              </w:rPr>
            </w:pPr>
            <w:r w:rsidRPr="007E3E5B">
              <w:rPr>
                <w:rFonts w:ascii="Arial" w:hAnsi="Arial" w:cs="Arial"/>
                <w:sz w:val="16"/>
                <w:szCs w:val="16"/>
              </w:rPr>
              <w:t>-</w:t>
            </w:r>
          </w:p>
        </w:tc>
        <w:tc>
          <w:tcPr>
            <w:tcW w:w="541" w:type="pct"/>
            <w:tcBorders>
              <w:top w:val="nil"/>
              <w:left w:val="nil"/>
              <w:bottom w:val="nil"/>
              <w:right w:val="nil"/>
            </w:tcBorders>
            <w:shd w:val="clear" w:color="auto" w:fill="auto"/>
            <w:noWrap/>
            <w:vAlign w:val="bottom"/>
            <w:hideMark/>
          </w:tcPr>
          <w:p w14:paraId="029B1B53" w14:textId="77777777" w:rsidR="007E3E5B" w:rsidRPr="007E3E5B" w:rsidRDefault="007E3E5B" w:rsidP="007E3E5B">
            <w:pPr>
              <w:spacing w:after="0" w:line="240" w:lineRule="auto"/>
              <w:jc w:val="right"/>
              <w:rPr>
                <w:rFonts w:ascii="Arial" w:hAnsi="Arial" w:cs="Arial"/>
                <w:sz w:val="16"/>
                <w:szCs w:val="16"/>
              </w:rPr>
            </w:pPr>
            <w:r w:rsidRPr="007E3E5B">
              <w:rPr>
                <w:rFonts w:ascii="Arial" w:hAnsi="Arial" w:cs="Arial"/>
                <w:sz w:val="16"/>
                <w:szCs w:val="16"/>
              </w:rPr>
              <w:t>(12,562)</w:t>
            </w:r>
          </w:p>
        </w:tc>
        <w:tc>
          <w:tcPr>
            <w:tcW w:w="603" w:type="pct"/>
            <w:tcBorders>
              <w:top w:val="nil"/>
              <w:left w:val="nil"/>
              <w:bottom w:val="nil"/>
              <w:right w:val="nil"/>
            </w:tcBorders>
            <w:shd w:val="clear" w:color="auto" w:fill="auto"/>
            <w:noWrap/>
            <w:vAlign w:val="bottom"/>
            <w:hideMark/>
          </w:tcPr>
          <w:p w14:paraId="1373DF00" w14:textId="77777777" w:rsidR="007E3E5B" w:rsidRPr="007E3E5B" w:rsidRDefault="007E3E5B" w:rsidP="007E3E5B">
            <w:pPr>
              <w:spacing w:after="0" w:line="240" w:lineRule="auto"/>
              <w:jc w:val="right"/>
              <w:rPr>
                <w:rFonts w:ascii="Arial" w:hAnsi="Arial" w:cs="Arial"/>
                <w:sz w:val="16"/>
                <w:szCs w:val="16"/>
              </w:rPr>
            </w:pPr>
            <w:r w:rsidRPr="007E3E5B">
              <w:rPr>
                <w:rFonts w:ascii="Arial" w:hAnsi="Arial" w:cs="Arial"/>
                <w:sz w:val="16"/>
                <w:szCs w:val="16"/>
              </w:rPr>
              <w:t>(44,403)</w:t>
            </w:r>
          </w:p>
        </w:tc>
        <w:tc>
          <w:tcPr>
            <w:tcW w:w="513" w:type="pct"/>
            <w:tcBorders>
              <w:top w:val="nil"/>
              <w:left w:val="nil"/>
              <w:bottom w:val="nil"/>
              <w:right w:val="nil"/>
            </w:tcBorders>
            <w:shd w:val="clear" w:color="auto" w:fill="auto"/>
            <w:noWrap/>
            <w:vAlign w:val="bottom"/>
            <w:hideMark/>
          </w:tcPr>
          <w:p w14:paraId="5F3EBE0B" w14:textId="77777777" w:rsidR="007E3E5B" w:rsidRPr="007E3E5B" w:rsidRDefault="007E3E5B" w:rsidP="007E3E5B">
            <w:pPr>
              <w:spacing w:after="0" w:line="240" w:lineRule="auto"/>
              <w:jc w:val="right"/>
              <w:rPr>
                <w:rFonts w:ascii="Arial" w:hAnsi="Arial" w:cs="Arial"/>
                <w:sz w:val="16"/>
                <w:szCs w:val="16"/>
              </w:rPr>
            </w:pPr>
            <w:r w:rsidRPr="007E3E5B">
              <w:rPr>
                <w:rFonts w:ascii="Arial" w:hAnsi="Arial" w:cs="Arial"/>
                <w:sz w:val="16"/>
                <w:szCs w:val="16"/>
              </w:rPr>
              <w:t>(2,434)</w:t>
            </w:r>
          </w:p>
        </w:tc>
        <w:tc>
          <w:tcPr>
            <w:tcW w:w="613" w:type="pct"/>
            <w:tcBorders>
              <w:top w:val="nil"/>
              <w:left w:val="nil"/>
              <w:bottom w:val="nil"/>
              <w:right w:val="nil"/>
            </w:tcBorders>
            <w:shd w:val="clear" w:color="auto" w:fill="auto"/>
            <w:noWrap/>
            <w:vAlign w:val="bottom"/>
            <w:hideMark/>
          </w:tcPr>
          <w:p w14:paraId="050DA1F0" w14:textId="77777777" w:rsidR="007E3E5B" w:rsidRPr="007E3E5B" w:rsidRDefault="007E3E5B" w:rsidP="007E3E5B">
            <w:pPr>
              <w:spacing w:after="0" w:line="240" w:lineRule="auto"/>
              <w:jc w:val="right"/>
              <w:rPr>
                <w:rFonts w:ascii="Arial" w:hAnsi="Arial" w:cs="Arial"/>
                <w:sz w:val="16"/>
                <w:szCs w:val="16"/>
              </w:rPr>
            </w:pPr>
            <w:r w:rsidRPr="007E3E5B">
              <w:rPr>
                <w:rFonts w:ascii="Arial" w:hAnsi="Arial" w:cs="Arial"/>
                <w:sz w:val="16"/>
                <w:szCs w:val="16"/>
              </w:rPr>
              <w:t>(73)</w:t>
            </w:r>
          </w:p>
        </w:tc>
        <w:tc>
          <w:tcPr>
            <w:tcW w:w="580" w:type="pct"/>
            <w:tcBorders>
              <w:top w:val="nil"/>
              <w:left w:val="nil"/>
              <w:bottom w:val="nil"/>
              <w:right w:val="nil"/>
            </w:tcBorders>
            <w:shd w:val="clear" w:color="auto" w:fill="auto"/>
            <w:noWrap/>
            <w:vAlign w:val="bottom"/>
            <w:hideMark/>
          </w:tcPr>
          <w:p w14:paraId="770A23EA" w14:textId="77777777" w:rsidR="007E3E5B" w:rsidRPr="007E3E5B" w:rsidRDefault="007E3E5B" w:rsidP="007E3E5B">
            <w:pPr>
              <w:spacing w:after="0" w:line="240" w:lineRule="auto"/>
              <w:jc w:val="right"/>
              <w:rPr>
                <w:rFonts w:ascii="Arial" w:hAnsi="Arial" w:cs="Arial"/>
                <w:sz w:val="16"/>
                <w:szCs w:val="16"/>
              </w:rPr>
            </w:pPr>
            <w:r w:rsidRPr="007E3E5B">
              <w:rPr>
                <w:rFonts w:ascii="Arial" w:hAnsi="Arial" w:cs="Arial"/>
                <w:sz w:val="16"/>
                <w:szCs w:val="16"/>
              </w:rPr>
              <w:t>(59,472)</w:t>
            </w:r>
          </w:p>
        </w:tc>
      </w:tr>
      <w:tr w:rsidR="007E3E5B" w:rsidRPr="007E3E5B" w14:paraId="25F32B36" w14:textId="77777777" w:rsidTr="007E3E5B">
        <w:trPr>
          <w:trHeight w:val="204"/>
        </w:trPr>
        <w:tc>
          <w:tcPr>
            <w:tcW w:w="1642" w:type="pct"/>
            <w:tcBorders>
              <w:top w:val="nil"/>
              <w:left w:val="nil"/>
              <w:bottom w:val="nil"/>
              <w:right w:val="nil"/>
            </w:tcBorders>
            <w:shd w:val="clear" w:color="auto" w:fill="auto"/>
            <w:vAlign w:val="bottom"/>
            <w:hideMark/>
          </w:tcPr>
          <w:p w14:paraId="2C2B84D2" w14:textId="77777777" w:rsidR="007E3E5B" w:rsidRPr="007E3E5B" w:rsidRDefault="007E3E5B" w:rsidP="007E3E5B">
            <w:pPr>
              <w:spacing w:after="0" w:line="240" w:lineRule="auto"/>
              <w:rPr>
                <w:rFonts w:ascii="Arial" w:hAnsi="Arial" w:cs="Arial"/>
                <w:b/>
                <w:bCs/>
                <w:sz w:val="16"/>
                <w:szCs w:val="16"/>
              </w:rPr>
            </w:pPr>
            <w:r w:rsidRPr="007E3E5B">
              <w:rPr>
                <w:rFonts w:ascii="Arial" w:hAnsi="Arial" w:cs="Arial"/>
                <w:b/>
                <w:bCs/>
                <w:sz w:val="16"/>
                <w:szCs w:val="16"/>
              </w:rPr>
              <w:t>Opening net book balance</w:t>
            </w:r>
          </w:p>
        </w:tc>
        <w:tc>
          <w:tcPr>
            <w:tcW w:w="508" w:type="pct"/>
            <w:tcBorders>
              <w:top w:val="single" w:sz="4" w:space="0" w:color="auto"/>
              <w:left w:val="nil"/>
              <w:bottom w:val="single" w:sz="4" w:space="0" w:color="auto"/>
              <w:right w:val="nil"/>
            </w:tcBorders>
            <w:shd w:val="clear" w:color="auto" w:fill="auto"/>
            <w:noWrap/>
            <w:vAlign w:val="bottom"/>
            <w:hideMark/>
          </w:tcPr>
          <w:p w14:paraId="1C9327C9" w14:textId="5B34A244" w:rsidR="007E3E5B" w:rsidRPr="007E3E5B" w:rsidRDefault="007E3E5B" w:rsidP="007E3E5B">
            <w:pPr>
              <w:spacing w:after="0" w:line="240" w:lineRule="auto"/>
              <w:jc w:val="right"/>
              <w:rPr>
                <w:rFonts w:ascii="Arial" w:hAnsi="Arial" w:cs="Arial"/>
                <w:b/>
                <w:bCs/>
                <w:sz w:val="16"/>
                <w:szCs w:val="16"/>
              </w:rPr>
            </w:pPr>
            <w:r w:rsidRPr="007E3E5B">
              <w:rPr>
                <w:rFonts w:ascii="Arial" w:hAnsi="Arial" w:cs="Arial"/>
                <w:b/>
                <w:bCs/>
                <w:sz w:val="16"/>
                <w:szCs w:val="16"/>
              </w:rPr>
              <w:t>67,201</w:t>
            </w:r>
          </w:p>
        </w:tc>
        <w:tc>
          <w:tcPr>
            <w:tcW w:w="541" w:type="pct"/>
            <w:tcBorders>
              <w:top w:val="single" w:sz="4" w:space="0" w:color="auto"/>
              <w:left w:val="nil"/>
              <w:bottom w:val="single" w:sz="4" w:space="0" w:color="auto"/>
              <w:right w:val="nil"/>
            </w:tcBorders>
            <w:shd w:val="clear" w:color="auto" w:fill="auto"/>
            <w:noWrap/>
            <w:vAlign w:val="bottom"/>
            <w:hideMark/>
          </w:tcPr>
          <w:p w14:paraId="546A0609" w14:textId="0D41F242" w:rsidR="007E3E5B" w:rsidRPr="007E3E5B" w:rsidRDefault="007E3E5B" w:rsidP="007E3E5B">
            <w:pPr>
              <w:spacing w:after="0" w:line="240" w:lineRule="auto"/>
              <w:jc w:val="right"/>
              <w:rPr>
                <w:rFonts w:ascii="Arial" w:hAnsi="Arial" w:cs="Arial"/>
                <w:b/>
                <w:bCs/>
                <w:sz w:val="16"/>
                <w:szCs w:val="16"/>
              </w:rPr>
            </w:pPr>
            <w:r w:rsidRPr="007E3E5B">
              <w:rPr>
                <w:rFonts w:ascii="Arial" w:hAnsi="Arial" w:cs="Arial"/>
                <w:b/>
                <w:bCs/>
                <w:sz w:val="16"/>
                <w:szCs w:val="16"/>
              </w:rPr>
              <w:t>145,118</w:t>
            </w:r>
          </w:p>
        </w:tc>
        <w:tc>
          <w:tcPr>
            <w:tcW w:w="603" w:type="pct"/>
            <w:tcBorders>
              <w:top w:val="single" w:sz="4" w:space="0" w:color="auto"/>
              <w:left w:val="nil"/>
              <w:bottom w:val="single" w:sz="4" w:space="0" w:color="auto"/>
              <w:right w:val="nil"/>
            </w:tcBorders>
            <w:shd w:val="clear" w:color="auto" w:fill="auto"/>
            <w:noWrap/>
            <w:vAlign w:val="bottom"/>
            <w:hideMark/>
          </w:tcPr>
          <w:p w14:paraId="02767412" w14:textId="35F78281" w:rsidR="007E3E5B" w:rsidRPr="007E3E5B" w:rsidRDefault="007E3E5B" w:rsidP="007E3E5B">
            <w:pPr>
              <w:spacing w:after="0" w:line="240" w:lineRule="auto"/>
              <w:jc w:val="right"/>
              <w:rPr>
                <w:rFonts w:ascii="Arial" w:hAnsi="Arial" w:cs="Arial"/>
                <w:b/>
                <w:bCs/>
                <w:sz w:val="16"/>
                <w:szCs w:val="16"/>
              </w:rPr>
            </w:pPr>
            <w:r w:rsidRPr="007E3E5B">
              <w:rPr>
                <w:rFonts w:ascii="Arial" w:hAnsi="Arial" w:cs="Arial"/>
                <w:b/>
                <w:bCs/>
                <w:sz w:val="16"/>
                <w:szCs w:val="16"/>
              </w:rPr>
              <w:t>505,419</w:t>
            </w:r>
          </w:p>
        </w:tc>
        <w:tc>
          <w:tcPr>
            <w:tcW w:w="513" w:type="pct"/>
            <w:tcBorders>
              <w:top w:val="single" w:sz="4" w:space="0" w:color="auto"/>
              <w:left w:val="nil"/>
              <w:bottom w:val="single" w:sz="4" w:space="0" w:color="auto"/>
              <w:right w:val="nil"/>
            </w:tcBorders>
            <w:shd w:val="clear" w:color="auto" w:fill="auto"/>
            <w:noWrap/>
            <w:vAlign w:val="bottom"/>
            <w:hideMark/>
          </w:tcPr>
          <w:p w14:paraId="154F8021" w14:textId="73564F00" w:rsidR="007E3E5B" w:rsidRPr="007E3E5B" w:rsidRDefault="007E3E5B" w:rsidP="007E3E5B">
            <w:pPr>
              <w:spacing w:after="0" w:line="240" w:lineRule="auto"/>
              <w:jc w:val="right"/>
              <w:rPr>
                <w:rFonts w:ascii="Arial" w:hAnsi="Arial" w:cs="Arial"/>
                <w:b/>
                <w:bCs/>
                <w:sz w:val="16"/>
                <w:szCs w:val="16"/>
              </w:rPr>
            </w:pPr>
            <w:r w:rsidRPr="007E3E5B">
              <w:rPr>
                <w:rFonts w:ascii="Arial" w:hAnsi="Arial" w:cs="Arial"/>
                <w:b/>
                <w:bCs/>
                <w:sz w:val="16"/>
                <w:szCs w:val="16"/>
              </w:rPr>
              <w:t>183,692</w:t>
            </w:r>
          </w:p>
        </w:tc>
        <w:tc>
          <w:tcPr>
            <w:tcW w:w="613" w:type="pct"/>
            <w:tcBorders>
              <w:top w:val="single" w:sz="4" w:space="0" w:color="auto"/>
              <w:left w:val="nil"/>
              <w:bottom w:val="single" w:sz="4" w:space="0" w:color="auto"/>
              <w:right w:val="nil"/>
            </w:tcBorders>
            <w:shd w:val="clear" w:color="auto" w:fill="auto"/>
            <w:noWrap/>
            <w:vAlign w:val="bottom"/>
            <w:hideMark/>
          </w:tcPr>
          <w:p w14:paraId="25F31E33" w14:textId="51219F6C" w:rsidR="007E3E5B" w:rsidRPr="007E3E5B" w:rsidRDefault="007E3E5B" w:rsidP="007E3E5B">
            <w:pPr>
              <w:spacing w:after="0" w:line="240" w:lineRule="auto"/>
              <w:jc w:val="right"/>
              <w:rPr>
                <w:rFonts w:ascii="Arial" w:hAnsi="Arial" w:cs="Arial"/>
                <w:b/>
                <w:bCs/>
                <w:sz w:val="16"/>
                <w:szCs w:val="16"/>
              </w:rPr>
            </w:pPr>
            <w:r w:rsidRPr="007E3E5B">
              <w:rPr>
                <w:rFonts w:ascii="Arial" w:hAnsi="Arial" w:cs="Arial"/>
                <w:b/>
                <w:bCs/>
                <w:sz w:val="16"/>
                <w:szCs w:val="16"/>
              </w:rPr>
              <w:t>4,404</w:t>
            </w:r>
          </w:p>
        </w:tc>
        <w:tc>
          <w:tcPr>
            <w:tcW w:w="580" w:type="pct"/>
            <w:tcBorders>
              <w:top w:val="single" w:sz="4" w:space="0" w:color="auto"/>
              <w:left w:val="nil"/>
              <w:bottom w:val="single" w:sz="4" w:space="0" w:color="auto"/>
              <w:right w:val="nil"/>
            </w:tcBorders>
            <w:shd w:val="clear" w:color="auto" w:fill="auto"/>
            <w:noWrap/>
            <w:vAlign w:val="bottom"/>
            <w:hideMark/>
          </w:tcPr>
          <w:p w14:paraId="7ADA5B72" w14:textId="11EDC5C8" w:rsidR="007E3E5B" w:rsidRPr="007E3E5B" w:rsidRDefault="007E3E5B" w:rsidP="007E3E5B">
            <w:pPr>
              <w:spacing w:after="0" w:line="240" w:lineRule="auto"/>
              <w:jc w:val="right"/>
              <w:rPr>
                <w:rFonts w:ascii="Arial" w:hAnsi="Arial" w:cs="Arial"/>
                <w:b/>
                <w:bCs/>
                <w:sz w:val="16"/>
                <w:szCs w:val="16"/>
              </w:rPr>
            </w:pPr>
            <w:r w:rsidRPr="007E3E5B">
              <w:rPr>
                <w:rFonts w:ascii="Arial" w:hAnsi="Arial" w:cs="Arial"/>
                <w:b/>
                <w:bCs/>
                <w:sz w:val="16"/>
                <w:szCs w:val="16"/>
              </w:rPr>
              <w:t>905,834</w:t>
            </w:r>
          </w:p>
        </w:tc>
      </w:tr>
      <w:tr w:rsidR="007E3E5B" w:rsidRPr="007E3E5B" w14:paraId="6EC0F7E2" w14:textId="77777777" w:rsidTr="007E3E5B">
        <w:trPr>
          <w:trHeight w:val="204"/>
        </w:trPr>
        <w:tc>
          <w:tcPr>
            <w:tcW w:w="1642" w:type="pct"/>
            <w:tcBorders>
              <w:top w:val="nil"/>
              <w:left w:val="nil"/>
              <w:bottom w:val="nil"/>
              <w:right w:val="nil"/>
            </w:tcBorders>
            <w:shd w:val="clear" w:color="auto" w:fill="auto"/>
            <w:vAlign w:val="bottom"/>
            <w:hideMark/>
          </w:tcPr>
          <w:p w14:paraId="7CCD87C3" w14:textId="77777777" w:rsidR="007E3E5B" w:rsidRPr="007E3E5B" w:rsidRDefault="007E3E5B" w:rsidP="007E3E5B">
            <w:pPr>
              <w:spacing w:after="0" w:line="240" w:lineRule="auto"/>
              <w:rPr>
                <w:rFonts w:ascii="Arial" w:hAnsi="Arial" w:cs="Arial"/>
                <w:b/>
                <w:bCs/>
                <w:sz w:val="16"/>
                <w:szCs w:val="16"/>
              </w:rPr>
            </w:pPr>
            <w:r w:rsidRPr="007E3E5B">
              <w:rPr>
                <w:rFonts w:ascii="Arial" w:hAnsi="Arial" w:cs="Arial"/>
                <w:b/>
                <w:bCs/>
                <w:sz w:val="16"/>
                <w:szCs w:val="16"/>
              </w:rPr>
              <w:t>CAPITAL ASSET ADDITIONS</w:t>
            </w:r>
          </w:p>
        </w:tc>
        <w:tc>
          <w:tcPr>
            <w:tcW w:w="508" w:type="pct"/>
            <w:tcBorders>
              <w:top w:val="nil"/>
              <w:left w:val="nil"/>
              <w:bottom w:val="nil"/>
              <w:right w:val="nil"/>
            </w:tcBorders>
            <w:shd w:val="clear" w:color="auto" w:fill="auto"/>
            <w:noWrap/>
            <w:vAlign w:val="bottom"/>
            <w:hideMark/>
          </w:tcPr>
          <w:p w14:paraId="73DE392D" w14:textId="77777777" w:rsidR="007E3E5B" w:rsidRPr="007E3E5B" w:rsidRDefault="007E3E5B" w:rsidP="007E3E5B">
            <w:pPr>
              <w:spacing w:after="0" w:line="240" w:lineRule="auto"/>
              <w:ind w:firstLineChars="100" w:firstLine="161"/>
              <w:jc w:val="right"/>
              <w:rPr>
                <w:rFonts w:ascii="Arial" w:hAnsi="Arial" w:cs="Arial"/>
                <w:b/>
                <w:bCs/>
                <w:sz w:val="16"/>
                <w:szCs w:val="16"/>
              </w:rPr>
            </w:pPr>
          </w:p>
        </w:tc>
        <w:tc>
          <w:tcPr>
            <w:tcW w:w="541" w:type="pct"/>
            <w:tcBorders>
              <w:top w:val="nil"/>
              <w:left w:val="nil"/>
              <w:bottom w:val="nil"/>
              <w:right w:val="nil"/>
            </w:tcBorders>
            <w:shd w:val="clear" w:color="auto" w:fill="auto"/>
            <w:noWrap/>
            <w:vAlign w:val="bottom"/>
            <w:hideMark/>
          </w:tcPr>
          <w:p w14:paraId="2F445E92" w14:textId="77777777" w:rsidR="007E3E5B" w:rsidRPr="007E3E5B" w:rsidRDefault="007E3E5B" w:rsidP="007E3E5B">
            <w:pPr>
              <w:spacing w:after="0" w:line="240" w:lineRule="auto"/>
              <w:jc w:val="right"/>
              <w:rPr>
                <w:rFonts w:ascii="Times New Roman" w:hAnsi="Times New Roman"/>
              </w:rPr>
            </w:pPr>
          </w:p>
        </w:tc>
        <w:tc>
          <w:tcPr>
            <w:tcW w:w="603" w:type="pct"/>
            <w:tcBorders>
              <w:top w:val="nil"/>
              <w:left w:val="nil"/>
              <w:bottom w:val="nil"/>
              <w:right w:val="nil"/>
            </w:tcBorders>
            <w:shd w:val="clear" w:color="auto" w:fill="auto"/>
            <w:noWrap/>
            <w:vAlign w:val="bottom"/>
            <w:hideMark/>
          </w:tcPr>
          <w:p w14:paraId="6CECDE2E" w14:textId="77777777" w:rsidR="007E3E5B" w:rsidRPr="007E3E5B" w:rsidRDefault="007E3E5B" w:rsidP="007E3E5B">
            <w:pPr>
              <w:spacing w:after="0" w:line="240" w:lineRule="auto"/>
              <w:jc w:val="right"/>
              <w:rPr>
                <w:rFonts w:ascii="Times New Roman" w:hAnsi="Times New Roman"/>
              </w:rPr>
            </w:pPr>
          </w:p>
        </w:tc>
        <w:tc>
          <w:tcPr>
            <w:tcW w:w="513" w:type="pct"/>
            <w:tcBorders>
              <w:top w:val="nil"/>
              <w:left w:val="nil"/>
              <w:bottom w:val="nil"/>
              <w:right w:val="nil"/>
            </w:tcBorders>
            <w:shd w:val="clear" w:color="auto" w:fill="auto"/>
            <w:noWrap/>
            <w:vAlign w:val="bottom"/>
            <w:hideMark/>
          </w:tcPr>
          <w:p w14:paraId="56146E11" w14:textId="77777777" w:rsidR="007E3E5B" w:rsidRPr="007E3E5B" w:rsidRDefault="007E3E5B" w:rsidP="007E3E5B">
            <w:pPr>
              <w:spacing w:after="0" w:line="240" w:lineRule="auto"/>
              <w:jc w:val="right"/>
              <w:rPr>
                <w:rFonts w:ascii="Times New Roman" w:hAnsi="Times New Roman"/>
              </w:rPr>
            </w:pPr>
          </w:p>
        </w:tc>
        <w:tc>
          <w:tcPr>
            <w:tcW w:w="613" w:type="pct"/>
            <w:tcBorders>
              <w:top w:val="nil"/>
              <w:left w:val="nil"/>
              <w:bottom w:val="nil"/>
              <w:right w:val="nil"/>
            </w:tcBorders>
            <w:shd w:val="clear" w:color="auto" w:fill="auto"/>
            <w:noWrap/>
            <w:vAlign w:val="bottom"/>
            <w:hideMark/>
          </w:tcPr>
          <w:p w14:paraId="68CF569E" w14:textId="77777777" w:rsidR="007E3E5B" w:rsidRPr="007E3E5B" w:rsidRDefault="007E3E5B" w:rsidP="007E3E5B">
            <w:pPr>
              <w:spacing w:after="0" w:line="240" w:lineRule="auto"/>
              <w:jc w:val="right"/>
              <w:rPr>
                <w:rFonts w:ascii="Times New Roman" w:hAnsi="Times New Roman"/>
              </w:rPr>
            </w:pPr>
          </w:p>
        </w:tc>
        <w:tc>
          <w:tcPr>
            <w:tcW w:w="580" w:type="pct"/>
            <w:tcBorders>
              <w:top w:val="nil"/>
              <w:left w:val="nil"/>
              <w:bottom w:val="nil"/>
              <w:right w:val="nil"/>
            </w:tcBorders>
            <w:shd w:val="clear" w:color="auto" w:fill="auto"/>
            <w:noWrap/>
            <w:vAlign w:val="bottom"/>
            <w:hideMark/>
          </w:tcPr>
          <w:p w14:paraId="753AE06F" w14:textId="77777777" w:rsidR="007E3E5B" w:rsidRPr="007E3E5B" w:rsidRDefault="007E3E5B" w:rsidP="007E3E5B">
            <w:pPr>
              <w:spacing w:after="0" w:line="240" w:lineRule="auto"/>
              <w:jc w:val="right"/>
              <w:rPr>
                <w:rFonts w:ascii="Times New Roman" w:hAnsi="Times New Roman"/>
              </w:rPr>
            </w:pPr>
          </w:p>
        </w:tc>
      </w:tr>
      <w:tr w:rsidR="007E3E5B" w:rsidRPr="007E3E5B" w14:paraId="34873BC3" w14:textId="77777777" w:rsidTr="007E3E5B">
        <w:trPr>
          <w:trHeight w:val="204"/>
        </w:trPr>
        <w:tc>
          <w:tcPr>
            <w:tcW w:w="1642" w:type="pct"/>
            <w:tcBorders>
              <w:top w:val="nil"/>
              <w:left w:val="nil"/>
              <w:bottom w:val="nil"/>
              <w:right w:val="nil"/>
            </w:tcBorders>
            <w:shd w:val="clear" w:color="auto" w:fill="auto"/>
            <w:vAlign w:val="bottom"/>
            <w:hideMark/>
          </w:tcPr>
          <w:p w14:paraId="7BF29927" w14:textId="33428B26" w:rsidR="007E3E5B" w:rsidRPr="007E3E5B" w:rsidRDefault="007E3E5B" w:rsidP="007E3E5B">
            <w:pPr>
              <w:spacing w:after="0" w:line="240" w:lineRule="auto"/>
              <w:ind w:left="113"/>
              <w:rPr>
                <w:rFonts w:ascii="Arial" w:hAnsi="Arial" w:cs="Arial"/>
                <w:b/>
                <w:bCs/>
                <w:sz w:val="16"/>
                <w:szCs w:val="16"/>
              </w:rPr>
            </w:pPr>
            <w:r w:rsidRPr="007E3E5B">
              <w:rPr>
                <w:rFonts w:ascii="Arial" w:hAnsi="Arial" w:cs="Arial"/>
                <w:b/>
                <w:bCs/>
                <w:sz w:val="16"/>
                <w:szCs w:val="16"/>
              </w:rPr>
              <w:t>Estimated expenditure on new or replacement assets</w:t>
            </w:r>
          </w:p>
        </w:tc>
        <w:tc>
          <w:tcPr>
            <w:tcW w:w="508" w:type="pct"/>
            <w:tcBorders>
              <w:top w:val="nil"/>
              <w:left w:val="nil"/>
              <w:bottom w:val="nil"/>
              <w:right w:val="nil"/>
            </w:tcBorders>
            <w:shd w:val="clear" w:color="auto" w:fill="auto"/>
            <w:noWrap/>
            <w:vAlign w:val="bottom"/>
            <w:hideMark/>
          </w:tcPr>
          <w:p w14:paraId="24EA5758" w14:textId="77777777" w:rsidR="007E3E5B" w:rsidRPr="007E3E5B" w:rsidRDefault="007E3E5B" w:rsidP="007E3E5B">
            <w:pPr>
              <w:spacing w:after="0" w:line="240" w:lineRule="auto"/>
              <w:ind w:firstLineChars="100" w:firstLine="161"/>
              <w:jc w:val="right"/>
              <w:rPr>
                <w:rFonts w:ascii="Arial" w:hAnsi="Arial" w:cs="Arial"/>
                <w:b/>
                <w:bCs/>
                <w:sz w:val="16"/>
                <w:szCs w:val="16"/>
              </w:rPr>
            </w:pPr>
          </w:p>
        </w:tc>
        <w:tc>
          <w:tcPr>
            <w:tcW w:w="541" w:type="pct"/>
            <w:tcBorders>
              <w:top w:val="nil"/>
              <w:left w:val="nil"/>
              <w:bottom w:val="nil"/>
              <w:right w:val="nil"/>
            </w:tcBorders>
            <w:shd w:val="clear" w:color="auto" w:fill="auto"/>
            <w:noWrap/>
            <w:vAlign w:val="bottom"/>
            <w:hideMark/>
          </w:tcPr>
          <w:p w14:paraId="4D258D48" w14:textId="77777777" w:rsidR="007E3E5B" w:rsidRPr="007E3E5B" w:rsidRDefault="007E3E5B" w:rsidP="007E3E5B">
            <w:pPr>
              <w:spacing w:after="0" w:line="240" w:lineRule="auto"/>
              <w:jc w:val="right"/>
              <w:rPr>
                <w:rFonts w:ascii="Times New Roman" w:hAnsi="Times New Roman"/>
              </w:rPr>
            </w:pPr>
          </w:p>
        </w:tc>
        <w:tc>
          <w:tcPr>
            <w:tcW w:w="603" w:type="pct"/>
            <w:tcBorders>
              <w:top w:val="nil"/>
              <w:left w:val="nil"/>
              <w:bottom w:val="nil"/>
              <w:right w:val="nil"/>
            </w:tcBorders>
            <w:shd w:val="clear" w:color="auto" w:fill="auto"/>
            <w:noWrap/>
            <w:vAlign w:val="bottom"/>
            <w:hideMark/>
          </w:tcPr>
          <w:p w14:paraId="34A9D37B" w14:textId="77777777" w:rsidR="007E3E5B" w:rsidRPr="007E3E5B" w:rsidRDefault="007E3E5B" w:rsidP="007E3E5B">
            <w:pPr>
              <w:spacing w:after="0" w:line="240" w:lineRule="auto"/>
              <w:jc w:val="right"/>
              <w:rPr>
                <w:rFonts w:ascii="Times New Roman" w:hAnsi="Times New Roman"/>
              </w:rPr>
            </w:pPr>
          </w:p>
        </w:tc>
        <w:tc>
          <w:tcPr>
            <w:tcW w:w="513" w:type="pct"/>
            <w:tcBorders>
              <w:top w:val="nil"/>
              <w:left w:val="nil"/>
              <w:bottom w:val="nil"/>
              <w:right w:val="nil"/>
            </w:tcBorders>
            <w:shd w:val="clear" w:color="auto" w:fill="auto"/>
            <w:noWrap/>
            <w:vAlign w:val="bottom"/>
            <w:hideMark/>
          </w:tcPr>
          <w:p w14:paraId="7222E4BB" w14:textId="77777777" w:rsidR="007E3E5B" w:rsidRPr="007E3E5B" w:rsidRDefault="007E3E5B" w:rsidP="007E3E5B">
            <w:pPr>
              <w:spacing w:after="0" w:line="240" w:lineRule="auto"/>
              <w:jc w:val="right"/>
              <w:rPr>
                <w:rFonts w:ascii="Times New Roman" w:hAnsi="Times New Roman"/>
              </w:rPr>
            </w:pPr>
          </w:p>
        </w:tc>
        <w:tc>
          <w:tcPr>
            <w:tcW w:w="613" w:type="pct"/>
            <w:tcBorders>
              <w:top w:val="nil"/>
              <w:left w:val="nil"/>
              <w:bottom w:val="nil"/>
              <w:right w:val="nil"/>
            </w:tcBorders>
            <w:shd w:val="clear" w:color="auto" w:fill="auto"/>
            <w:noWrap/>
            <w:vAlign w:val="bottom"/>
            <w:hideMark/>
          </w:tcPr>
          <w:p w14:paraId="3FADCBFA" w14:textId="77777777" w:rsidR="007E3E5B" w:rsidRPr="007E3E5B" w:rsidRDefault="007E3E5B" w:rsidP="007E3E5B">
            <w:pPr>
              <w:spacing w:after="0" w:line="240" w:lineRule="auto"/>
              <w:jc w:val="right"/>
              <w:rPr>
                <w:rFonts w:ascii="Times New Roman" w:hAnsi="Times New Roman"/>
              </w:rPr>
            </w:pPr>
          </w:p>
        </w:tc>
        <w:tc>
          <w:tcPr>
            <w:tcW w:w="580" w:type="pct"/>
            <w:tcBorders>
              <w:top w:val="nil"/>
              <w:left w:val="nil"/>
              <w:bottom w:val="nil"/>
              <w:right w:val="nil"/>
            </w:tcBorders>
            <w:shd w:val="clear" w:color="auto" w:fill="auto"/>
            <w:noWrap/>
            <w:vAlign w:val="bottom"/>
            <w:hideMark/>
          </w:tcPr>
          <w:p w14:paraId="0976FAFC" w14:textId="77777777" w:rsidR="007E3E5B" w:rsidRPr="007E3E5B" w:rsidRDefault="007E3E5B" w:rsidP="007E3E5B">
            <w:pPr>
              <w:spacing w:after="0" w:line="240" w:lineRule="auto"/>
              <w:jc w:val="right"/>
              <w:rPr>
                <w:rFonts w:ascii="Times New Roman" w:hAnsi="Times New Roman"/>
              </w:rPr>
            </w:pPr>
          </w:p>
        </w:tc>
      </w:tr>
      <w:tr w:rsidR="007E3E5B" w:rsidRPr="007E3E5B" w14:paraId="6197DEFB" w14:textId="77777777" w:rsidTr="007E3E5B">
        <w:trPr>
          <w:trHeight w:val="204"/>
        </w:trPr>
        <w:tc>
          <w:tcPr>
            <w:tcW w:w="1642" w:type="pct"/>
            <w:tcBorders>
              <w:top w:val="nil"/>
              <w:left w:val="nil"/>
              <w:bottom w:val="nil"/>
              <w:right w:val="nil"/>
            </w:tcBorders>
            <w:shd w:val="clear" w:color="auto" w:fill="auto"/>
            <w:vAlign w:val="bottom"/>
            <w:hideMark/>
          </w:tcPr>
          <w:p w14:paraId="430C73BE" w14:textId="39299192" w:rsidR="007E3E5B" w:rsidRPr="007E3E5B" w:rsidRDefault="007E3E5B" w:rsidP="007E3E5B">
            <w:pPr>
              <w:spacing w:after="0" w:line="240" w:lineRule="auto"/>
              <w:ind w:left="227"/>
              <w:rPr>
                <w:rFonts w:ascii="Arial" w:hAnsi="Arial" w:cs="Arial"/>
                <w:sz w:val="16"/>
                <w:szCs w:val="16"/>
              </w:rPr>
            </w:pPr>
            <w:r w:rsidRPr="007E3E5B">
              <w:rPr>
                <w:rFonts w:ascii="Arial" w:hAnsi="Arial" w:cs="Arial"/>
                <w:sz w:val="16"/>
                <w:szCs w:val="16"/>
              </w:rPr>
              <w:t>By purchase - appropriation equity</w:t>
            </w:r>
            <w:r w:rsidRPr="007E3E5B">
              <w:rPr>
                <w:rFonts w:ascii="Arial" w:hAnsi="Arial" w:cs="Arial"/>
                <w:sz w:val="16"/>
                <w:szCs w:val="16"/>
                <w:vertAlign w:val="superscript"/>
              </w:rPr>
              <w:t>(a)</w:t>
            </w:r>
          </w:p>
        </w:tc>
        <w:tc>
          <w:tcPr>
            <w:tcW w:w="508" w:type="pct"/>
            <w:tcBorders>
              <w:top w:val="nil"/>
              <w:left w:val="nil"/>
              <w:bottom w:val="nil"/>
              <w:right w:val="nil"/>
            </w:tcBorders>
            <w:shd w:val="clear" w:color="auto" w:fill="auto"/>
            <w:noWrap/>
            <w:vAlign w:val="bottom"/>
            <w:hideMark/>
          </w:tcPr>
          <w:p w14:paraId="4FC119F0" w14:textId="69C9516F" w:rsidR="007E3E5B" w:rsidRPr="007E3E5B" w:rsidRDefault="007E3E5B" w:rsidP="007E3E5B">
            <w:pPr>
              <w:spacing w:after="0" w:line="240" w:lineRule="auto"/>
              <w:jc w:val="right"/>
              <w:rPr>
                <w:rFonts w:ascii="Arial" w:hAnsi="Arial" w:cs="Arial"/>
                <w:sz w:val="16"/>
                <w:szCs w:val="16"/>
              </w:rPr>
            </w:pPr>
            <w:r w:rsidRPr="007E3E5B">
              <w:rPr>
                <w:rFonts w:ascii="Arial" w:hAnsi="Arial" w:cs="Arial"/>
                <w:sz w:val="16"/>
                <w:szCs w:val="16"/>
              </w:rPr>
              <w:t>-</w:t>
            </w:r>
          </w:p>
        </w:tc>
        <w:tc>
          <w:tcPr>
            <w:tcW w:w="541" w:type="pct"/>
            <w:tcBorders>
              <w:top w:val="nil"/>
              <w:left w:val="nil"/>
              <w:bottom w:val="nil"/>
              <w:right w:val="nil"/>
            </w:tcBorders>
            <w:shd w:val="clear" w:color="auto" w:fill="auto"/>
            <w:noWrap/>
            <w:vAlign w:val="bottom"/>
            <w:hideMark/>
          </w:tcPr>
          <w:p w14:paraId="3E0CE4D4" w14:textId="6B460FF9" w:rsidR="007E3E5B" w:rsidRPr="007E3E5B" w:rsidRDefault="007E3E5B" w:rsidP="007E3E5B">
            <w:pPr>
              <w:spacing w:after="0" w:line="240" w:lineRule="auto"/>
              <w:jc w:val="right"/>
              <w:rPr>
                <w:rFonts w:ascii="Arial" w:hAnsi="Arial" w:cs="Arial"/>
                <w:sz w:val="16"/>
                <w:szCs w:val="16"/>
              </w:rPr>
            </w:pPr>
            <w:r w:rsidRPr="007E3E5B">
              <w:rPr>
                <w:rFonts w:ascii="Arial" w:hAnsi="Arial" w:cs="Arial"/>
                <w:sz w:val="16"/>
                <w:szCs w:val="16"/>
              </w:rPr>
              <w:t>6,253</w:t>
            </w:r>
          </w:p>
        </w:tc>
        <w:tc>
          <w:tcPr>
            <w:tcW w:w="603" w:type="pct"/>
            <w:tcBorders>
              <w:top w:val="nil"/>
              <w:left w:val="nil"/>
              <w:bottom w:val="nil"/>
              <w:right w:val="nil"/>
            </w:tcBorders>
            <w:shd w:val="clear" w:color="auto" w:fill="auto"/>
            <w:noWrap/>
            <w:vAlign w:val="bottom"/>
            <w:hideMark/>
          </w:tcPr>
          <w:p w14:paraId="0FB36E4A" w14:textId="79DFBEF0" w:rsidR="007E3E5B" w:rsidRPr="007E3E5B" w:rsidRDefault="007E3E5B" w:rsidP="007E3E5B">
            <w:pPr>
              <w:spacing w:after="0" w:line="240" w:lineRule="auto"/>
              <w:jc w:val="right"/>
              <w:rPr>
                <w:rFonts w:ascii="Arial" w:hAnsi="Arial" w:cs="Arial"/>
                <w:sz w:val="16"/>
                <w:szCs w:val="16"/>
              </w:rPr>
            </w:pPr>
            <w:r w:rsidRPr="007E3E5B">
              <w:rPr>
                <w:rFonts w:ascii="Arial" w:hAnsi="Arial" w:cs="Arial"/>
                <w:sz w:val="16"/>
                <w:szCs w:val="16"/>
              </w:rPr>
              <w:t>38,734</w:t>
            </w:r>
          </w:p>
        </w:tc>
        <w:tc>
          <w:tcPr>
            <w:tcW w:w="513" w:type="pct"/>
            <w:tcBorders>
              <w:top w:val="nil"/>
              <w:left w:val="nil"/>
              <w:bottom w:val="nil"/>
              <w:right w:val="nil"/>
            </w:tcBorders>
            <w:shd w:val="clear" w:color="auto" w:fill="auto"/>
            <w:noWrap/>
            <w:vAlign w:val="bottom"/>
            <w:hideMark/>
          </w:tcPr>
          <w:p w14:paraId="719AB51E" w14:textId="17ACE437" w:rsidR="007E3E5B" w:rsidRPr="007E3E5B" w:rsidRDefault="007E3E5B" w:rsidP="007E3E5B">
            <w:pPr>
              <w:spacing w:after="0" w:line="240" w:lineRule="auto"/>
              <w:jc w:val="right"/>
              <w:rPr>
                <w:rFonts w:ascii="Arial" w:hAnsi="Arial" w:cs="Arial"/>
                <w:sz w:val="16"/>
                <w:szCs w:val="16"/>
              </w:rPr>
            </w:pPr>
            <w:r w:rsidRPr="007E3E5B">
              <w:rPr>
                <w:rFonts w:ascii="Arial" w:hAnsi="Arial" w:cs="Arial"/>
                <w:sz w:val="16"/>
                <w:szCs w:val="16"/>
              </w:rPr>
              <w:t>555</w:t>
            </w:r>
          </w:p>
        </w:tc>
        <w:tc>
          <w:tcPr>
            <w:tcW w:w="613" w:type="pct"/>
            <w:tcBorders>
              <w:top w:val="nil"/>
              <w:left w:val="nil"/>
              <w:bottom w:val="nil"/>
              <w:right w:val="nil"/>
            </w:tcBorders>
            <w:shd w:val="clear" w:color="auto" w:fill="auto"/>
            <w:noWrap/>
            <w:vAlign w:val="bottom"/>
            <w:hideMark/>
          </w:tcPr>
          <w:p w14:paraId="57232E7E" w14:textId="5EBBE287" w:rsidR="007E3E5B" w:rsidRPr="007E3E5B" w:rsidRDefault="007E3E5B" w:rsidP="007E3E5B">
            <w:pPr>
              <w:spacing w:after="0" w:line="240" w:lineRule="auto"/>
              <w:jc w:val="right"/>
              <w:rPr>
                <w:rFonts w:ascii="Arial" w:hAnsi="Arial" w:cs="Arial"/>
                <w:sz w:val="16"/>
                <w:szCs w:val="16"/>
              </w:rPr>
            </w:pPr>
            <w:r w:rsidRPr="007E3E5B">
              <w:rPr>
                <w:rFonts w:ascii="Arial" w:hAnsi="Arial" w:cs="Arial"/>
                <w:sz w:val="16"/>
                <w:szCs w:val="16"/>
              </w:rPr>
              <w:t>-</w:t>
            </w:r>
          </w:p>
        </w:tc>
        <w:tc>
          <w:tcPr>
            <w:tcW w:w="580" w:type="pct"/>
            <w:tcBorders>
              <w:top w:val="nil"/>
              <w:left w:val="nil"/>
              <w:bottom w:val="nil"/>
              <w:right w:val="nil"/>
            </w:tcBorders>
            <w:shd w:val="clear" w:color="auto" w:fill="auto"/>
            <w:noWrap/>
            <w:vAlign w:val="bottom"/>
            <w:hideMark/>
          </w:tcPr>
          <w:p w14:paraId="7BBB7581" w14:textId="68EE38FF" w:rsidR="007E3E5B" w:rsidRPr="007E3E5B" w:rsidRDefault="007E3E5B" w:rsidP="007E3E5B">
            <w:pPr>
              <w:spacing w:after="0" w:line="240" w:lineRule="auto"/>
              <w:jc w:val="right"/>
              <w:rPr>
                <w:rFonts w:ascii="Arial" w:hAnsi="Arial" w:cs="Arial"/>
                <w:sz w:val="16"/>
                <w:szCs w:val="16"/>
              </w:rPr>
            </w:pPr>
            <w:r w:rsidRPr="007E3E5B">
              <w:rPr>
                <w:rFonts w:ascii="Arial" w:hAnsi="Arial" w:cs="Arial"/>
                <w:sz w:val="16"/>
                <w:szCs w:val="16"/>
              </w:rPr>
              <w:t>45,542</w:t>
            </w:r>
          </w:p>
        </w:tc>
      </w:tr>
      <w:tr w:rsidR="007E3E5B" w:rsidRPr="007E3E5B" w14:paraId="4F5DE8E7" w14:textId="77777777" w:rsidTr="007E3E5B">
        <w:trPr>
          <w:trHeight w:val="204"/>
        </w:trPr>
        <w:tc>
          <w:tcPr>
            <w:tcW w:w="1642" w:type="pct"/>
            <w:tcBorders>
              <w:top w:val="nil"/>
              <w:left w:val="nil"/>
              <w:bottom w:val="nil"/>
              <w:right w:val="nil"/>
            </w:tcBorders>
            <w:shd w:val="clear" w:color="auto" w:fill="auto"/>
            <w:vAlign w:val="bottom"/>
            <w:hideMark/>
          </w:tcPr>
          <w:p w14:paraId="1A522C9C" w14:textId="5611F57A" w:rsidR="007E3E5B" w:rsidRPr="007E3E5B" w:rsidRDefault="007E3E5B" w:rsidP="007E3E5B">
            <w:pPr>
              <w:spacing w:after="0" w:line="240" w:lineRule="auto"/>
              <w:ind w:left="227"/>
              <w:rPr>
                <w:rFonts w:ascii="Arial" w:hAnsi="Arial" w:cs="Arial"/>
                <w:sz w:val="16"/>
                <w:szCs w:val="16"/>
              </w:rPr>
            </w:pPr>
            <w:r w:rsidRPr="007E3E5B">
              <w:rPr>
                <w:rFonts w:ascii="Arial" w:hAnsi="Arial" w:cs="Arial"/>
                <w:sz w:val="16"/>
                <w:szCs w:val="16"/>
              </w:rPr>
              <w:t>By purchase - appropriation ordinary annual services</w:t>
            </w:r>
            <w:r w:rsidRPr="007E3E5B">
              <w:rPr>
                <w:rFonts w:ascii="Arial" w:hAnsi="Arial" w:cs="Arial"/>
                <w:sz w:val="16"/>
                <w:szCs w:val="16"/>
                <w:vertAlign w:val="superscript"/>
              </w:rPr>
              <w:t>(b)</w:t>
            </w:r>
          </w:p>
        </w:tc>
        <w:tc>
          <w:tcPr>
            <w:tcW w:w="508" w:type="pct"/>
            <w:tcBorders>
              <w:top w:val="nil"/>
              <w:left w:val="nil"/>
              <w:bottom w:val="nil"/>
              <w:right w:val="nil"/>
            </w:tcBorders>
            <w:shd w:val="clear" w:color="auto" w:fill="auto"/>
            <w:noWrap/>
            <w:vAlign w:val="bottom"/>
            <w:hideMark/>
          </w:tcPr>
          <w:p w14:paraId="5D8625F3" w14:textId="160D7451" w:rsidR="007E3E5B" w:rsidRPr="007E3E5B" w:rsidRDefault="007E3E5B" w:rsidP="007E3E5B">
            <w:pPr>
              <w:spacing w:after="0" w:line="240" w:lineRule="auto"/>
              <w:jc w:val="right"/>
              <w:rPr>
                <w:rFonts w:ascii="Arial" w:hAnsi="Arial" w:cs="Arial"/>
                <w:sz w:val="16"/>
                <w:szCs w:val="16"/>
              </w:rPr>
            </w:pPr>
            <w:r w:rsidRPr="007E3E5B">
              <w:rPr>
                <w:rFonts w:ascii="Arial" w:hAnsi="Arial" w:cs="Arial"/>
                <w:sz w:val="16"/>
                <w:szCs w:val="16"/>
              </w:rPr>
              <w:t>-</w:t>
            </w:r>
          </w:p>
        </w:tc>
        <w:tc>
          <w:tcPr>
            <w:tcW w:w="541" w:type="pct"/>
            <w:tcBorders>
              <w:top w:val="nil"/>
              <w:left w:val="nil"/>
              <w:bottom w:val="nil"/>
              <w:right w:val="nil"/>
            </w:tcBorders>
            <w:shd w:val="clear" w:color="auto" w:fill="auto"/>
            <w:noWrap/>
            <w:vAlign w:val="bottom"/>
            <w:hideMark/>
          </w:tcPr>
          <w:p w14:paraId="7E6ACDD7" w14:textId="102F5EC2" w:rsidR="007E3E5B" w:rsidRPr="007E3E5B" w:rsidRDefault="007E3E5B" w:rsidP="007E3E5B">
            <w:pPr>
              <w:spacing w:after="0" w:line="240" w:lineRule="auto"/>
              <w:jc w:val="right"/>
              <w:rPr>
                <w:rFonts w:ascii="Arial" w:hAnsi="Arial" w:cs="Arial"/>
                <w:sz w:val="16"/>
                <w:szCs w:val="16"/>
              </w:rPr>
            </w:pPr>
            <w:r>
              <w:rPr>
                <w:rFonts w:ascii="Arial" w:hAnsi="Arial" w:cs="Arial"/>
                <w:sz w:val="16"/>
                <w:szCs w:val="16"/>
              </w:rPr>
              <w:t>-</w:t>
            </w:r>
          </w:p>
        </w:tc>
        <w:tc>
          <w:tcPr>
            <w:tcW w:w="603" w:type="pct"/>
            <w:tcBorders>
              <w:top w:val="nil"/>
              <w:left w:val="nil"/>
              <w:bottom w:val="nil"/>
              <w:right w:val="nil"/>
            </w:tcBorders>
            <w:shd w:val="clear" w:color="auto" w:fill="auto"/>
            <w:noWrap/>
            <w:vAlign w:val="bottom"/>
            <w:hideMark/>
          </w:tcPr>
          <w:p w14:paraId="6267A6E4" w14:textId="1D340D90" w:rsidR="007E3E5B" w:rsidRPr="007E3E5B" w:rsidRDefault="007E3E5B" w:rsidP="007E3E5B">
            <w:pPr>
              <w:spacing w:after="0" w:line="240" w:lineRule="auto"/>
              <w:jc w:val="right"/>
              <w:rPr>
                <w:rFonts w:ascii="Arial" w:hAnsi="Arial" w:cs="Arial"/>
                <w:sz w:val="16"/>
                <w:szCs w:val="16"/>
              </w:rPr>
            </w:pPr>
            <w:r w:rsidRPr="007E3E5B">
              <w:rPr>
                <w:rFonts w:ascii="Arial" w:hAnsi="Arial" w:cs="Arial"/>
                <w:sz w:val="16"/>
                <w:szCs w:val="16"/>
              </w:rPr>
              <w:t>73,951</w:t>
            </w:r>
          </w:p>
        </w:tc>
        <w:tc>
          <w:tcPr>
            <w:tcW w:w="513" w:type="pct"/>
            <w:tcBorders>
              <w:top w:val="nil"/>
              <w:left w:val="nil"/>
              <w:bottom w:val="nil"/>
              <w:right w:val="nil"/>
            </w:tcBorders>
            <w:shd w:val="clear" w:color="auto" w:fill="auto"/>
            <w:noWrap/>
            <w:vAlign w:val="bottom"/>
            <w:hideMark/>
          </w:tcPr>
          <w:p w14:paraId="3D7A6759" w14:textId="70F90163" w:rsidR="007E3E5B" w:rsidRPr="007E3E5B" w:rsidRDefault="007E3E5B" w:rsidP="007E3E5B">
            <w:pPr>
              <w:spacing w:after="0" w:line="240" w:lineRule="auto"/>
              <w:jc w:val="right"/>
              <w:rPr>
                <w:rFonts w:ascii="Arial" w:hAnsi="Arial" w:cs="Arial"/>
                <w:sz w:val="16"/>
                <w:szCs w:val="16"/>
              </w:rPr>
            </w:pPr>
            <w:r w:rsidRPr="007E3E5B">
              <w:rPr>
                <w:rFonts w:ascii="Arial" w:hAnsi="Arial" w:cs="Arial"/>
                <w:sz w:val="16"/>
                <w:szCs w:val="16"/>
              </w:rPr>
              <w:t>-</w:t>
            </w:r>
          </w:p>
        </w:tc>
        <w:tc>
          <w:tcPr>
            <w:tcW w:w="613" w:type="pct"/>
            <w:tcBorders>
              <w:top w:val="nil"/>
              <w:left w:val="nil"/>
              <w:bottom w:val="nil"/>
              <w:right w:val="nil"/>
            </w:tcBorders>
            <w:shd w:val="clear" w:color="auto" w:fill="auto"/>
            <w:noWrap/>
            <w:vAlign w:val="bottom"/>
            <w:hideMark/>
          </w:tcPr>
          <w:p w14:paraId="1BDB981A" w14:textId="1BB71606" w:rsidR="007E3E5B" w:rsidRPr="007E3E5B" w:rsidRDefault="007E3E5B" w:rsidP="007E3E5B">
            <w:pPr>
              <w:spacing w:after="0" w:line="240" w:lineRule="auto"/>
              <w:jc w:val="right"/>
              <w:rPr>
                <w:rFonts w:ascii="Arial" w:hAnsi="Arial" w:cs="Arial"/>
                <w:sz w:val="16"/>
                <w:szCs w:val="16"/>
              </w:rPr>
            </w:pPr>
            <w:r w:rsidRPr="007E3E5B">
              <w:rPr>
                <w:rFonts w:ascii="Arial" w:hAnsi="Arial" w:cs="Arial"/>
                <w:sz w:val="16"/>
                <w:szCs w:val="16"/>
              </w:rPr>
              <w:t>-</w:t>
            </w:r>
          </w:p>
        </w:tc>
        <w:tc>
          <w:tcPr>
            <w:tcW w:w="580" w:type="pct"/>
            <w:tcBorders>
              <w:top w:val="nil"/>
              <w:left w:val="nil"/>
              <w:bottom w:val="nil"/>
              <w:right w:val="nil"/>
            </w:tcBorders>
            <w:shd w:val="clear" w:color="auto" w:fill="auto"/>
            <w:noWrap/>
            <w:vAlign w:val="bottom"/>
            <w:hideMark/>
          </w:tcPr>
          <w:p w14:paraId="5266DDF5" w14:textId="59D49CC0" w:rsidR="007E3E5B" w:rsidRPr="007E3E5B" w:rsidRDefault="007E3E5B" w:rsidP="007E3E5B">
            <w:pPr>
              <w:spacing w:after="0" w:line="240" w:lineRule="auto"/>
              <w:jc w:val="right"/>
              <w:rPr>
                <w:rFonts w:ascii="Arial" w:hAnsi="Arial" w:cs="Arial"/>
                <w:sz w:val="16"/>
                <w:szCs w:val="16"/>
              </w:rPr>
            </w:pPr>
            <w:r w:rsidRPr="007E3E5B">
              <w:rPr>
                <w:rFonts w:ascii="Arial" w:hAnsi="Arial" w:cs="Arial"/>
                <w:sz w:val="16"/>
                <w:szCs w:val="16"/>
              </w:rPr>
              <w:t>73,951</w:t>
            </w:r>
          </w:p>
        </w:tc>
      </w:tr>
      <w:tr w:rsidR="007E3E5B" w:rsidRPr="007E3E5B" w14:paraId="0CE772A3" w14:textId="77777777" w:rsidTr="007E3E5B">
        <w:trPr>
          <w:trHeight w:val="204"/>
        </w:trPr>
        <w:tc>
          <w:tcPr>
            <w:tcW w:w="1642" w:type="pct"/>
            <w:tcBorders>
              <w:top w:val="nil"/>
              <w:left w:val="nil"/>
              <w:bottom w:val="nil"/>
              <w:right w:val="nil"/>
            </w:tcBorders>
            <w:shd w:val="clear" w:color="auto" w:fill="auto"/>
            <w:vAlign w:val="bottom"/>
            <w:hideMark/>
          </w:tcPr>
          <w:p w14:paraId="60BCCB25" w14:textId="77777777" w:rsidR="007E3E5B" w:rsidRPr="007E3E5B" w:rsidRDefault="007E3E5B" w:rsidP="007E3E5B">
            <w:pPr>
              <w:spacing w:after="0" w:line="240" w:lineRule="auto"/>
              <w:ind w:left="113"/>
              <w:rPr>
                <w:rFonts w:ascii="Arial" w:hAnsi="Arial" w:cs="Arial"/>
                <w:b/>
                <w:bCs/>
                <w:sz w:val="16"/>
                <w:szCs w:val="16"/>
              </w:rPr>
            </w:pPr>
            <w:r w:rsidRPr="007E3E5B">
              <w:rPr>
                <w:rFonts w:ascii="Arial" w:hAnsi="Arial" w:cs="Arial"/>
                <w:b/>
                <w:bCs/>
                <w:sz w:val="16"/>
                <w:szCs w:val="16"/>
              </w:rPr>
              <w:t>Total additions</w:t>
            </w:r>
          </w:p>
        </w:tc>
        <w:tc>
          <w:tcPr>
            <w:tcW w:w="508" w:type="pct"/>
            <w:tcBorders>
              <w:top w:val="single" w:sz="4" w:space="0" w:color="auto"/>
              <w:left w:val="nil"/>
              <w:bottom w:val="nil"/>
              <w:right w:val="nil"/>
            </w:tcBorders>
            <w:shd w:val="clear" w:color="auto" w:fill="auto"/>
            <w:noWrap/>
            <w:vAlign w:val="bottom"/>
            <w:hideMark/>
          </w:tcPr>
          <w:p w14:paraId="45CA337E" w14:textId="4C8E50E9" w:rsidR="007E3E5B" w:rsidRPr="007E3E5B" w:rsidRDefault="007E3E5B" w:rsidP="007E3E5B">
            <w:pPr>
              <w:spacing w:after="0" w:line="240" w:lineRule="auto"/>
              <w:jc w:val="right"/>
              <w:rPr>
                <w:rFonts w:ascii="Arial" w:hAnsi="Arial" w:cs="Arial"/>
                <w:b/>
                <w:bCs/>
                <w:sz w:val="16"/>
                <w:szCs w:val="16"/>
              </w:rPr>
            </w:pPr>
            <w:r w:rsidRPr="007E3E5B">
              <w:rPr>
                <w:rFonts w:ascii="Arial" w:hAnsi="Arial" w:cs="Arial"/>
                <w:b/>
                <w:bCs/>
                <w:sz w:val="16"/>
                <w:szCs w:val="16"/>
              </w:rPr>
              <w:t>-</w:t>
            </w:r>
          </w:p>
        </w:tc>
        <w:tc>
          <w:tcPr>
            <w:tcW w:w="541" w:type="pct"/>
            <w:tcBorders>
              <w:top w:val="single" w:sz="4" w:space="0" w:color="auto"/>
              <w:left w:val="nil"/>
              <w:bottom w:val="nil"/>
              <w:right w:val="nil"/>
            </w:tcBorders>
            <w:shd w:val="clear" w:color="auto" w:fill="auto"/>
            <w:noWrap/>
            <w:vAlign w:val="bottom"/>
            <w:hideMark/>
          </w:tcPr>
          <w:p w14:paraId="79263592" w14:textId="0AC2C859" w:rsidR="007E3E5B" w:rsidRPr="007E3E5B" w:rsidRDefault="007E3E5B" w:rsidP="007E3E5B">
            <w:pPr>
              <w:spacing w:after="0" w:line="240" w:lineRule="auto"/>
              <w:jc w:val="right"/>
              <w:rPr>
                <w:rFonts w:ascii="Arial" w:hAnsi="Arial" w:cs="Arial"/>
                <w:b/>
                <w:bCs/>
                <w:sz w:val="16"/>
                <w:szCs w:val="16"/>
              </w:rPr>
            </w:pPr>
            <w:r w:rsidRPr="007E3E5B">
              <w:rPr>
                <w:rFonts w:ascii="Arial" w:hAnsi="Arial" w:cs="Arial"/>
                <w:b/>
                <w:bCs/>
                <w:sz w:val="16"/>
                <w:szCs w:val="16"/>
              </w:rPr>
              <w:t>6,253</w:t>
            </w:r>
          </w:p>
        </w:tc>
        <w:tc>
          <w:tcPr>
            <w:tcW w:w="603" w:type="pct"/>
            <w:tcBorders>
              <w:top w:val="single" w:sz="4" w:space="0" w:color="auto"/>
              <w:left w:val="nil"/>
              <w:bottom w:val="nil"/>
              <w:right w:val="nil"/>
            </w:tcBorders>
            <w:shd w:val="clear" w:color="auto" w:fill="auto"/>
            <w:noWrap/>
            <w:vAlign w:val="bottom"/>
            <w:hideMark/>
          </w:tcPr>
          <w:p w14:paraId="49E22936" w14:textId="6D8CBFAB" w:rsidR="007E3E5B" w:rsidRPr="007E3E5B" w:rsidRDefault="007E3E5B" w:rsidP="007E3E5B">
            <w:pPr>
              <w:spacing w:after="0" w:line="240" w:lineRule="auto"/>
              <w:jc w:val="right"/>
              <w:rPr>
                <w:rFonts w:ascii="Arial" w:hAnsi="Arial" w:cs="Arial"/>
                <w:b/>
                <w:bCs/>
                <w:sz w:val="16"/>
                <w:szCs w:val="16"/>
              </w:rPr>
            </w:pPr>
            <w:r w:rsidRPr="007E3E5B">
              <w:rPr>
                <w:rFonts w:ascii="Arial" w:hAnsi="Arial" w:cs="Arial"/>
                <w:b/>
                <w:bCs/>
                <w:sz w:val="16"/>
                <w:szCs w:val="16"/>
              </w:rPr>
              <w:t>112,685</w:t>
            </w:r>
          </w:p>
        </w:tc>
        <w:tc>
          <w:tcPr>
            <w:tcW w:w="513" w:type="pct"/>
            <w:tcBorders>
              <w:top w:val="single" w:sz="4" w:space="0" w:color="auto"/>
              <w:left w:val="nil"/>
              <w:bottom w:val="nil"/>
              <w:right w:val="nil"/>
            </w:tcBorders>
            <w:shd w:val="clear" w:color="auto" w:fill="auto"/>
            <w:noWrap/>
            <w:vAlign w:val="bottom"/>
            <w:hideMark/>
          </w:tcPr>
          <w:p w14:paraId="0453CA2C" w14:textId="4BA1EBF2" w:rsidR="007E3E5B" w:rsidRPr="007E3E5B" w:rsidRDefault="007E3E5B" w:rsidP="007E3E5B">
            <w:pPr>
              <w:spacing w:after="0" w:line="240" w:lineRule="auto"/>
              <w:jc w:val="right"/>
              <w:rPr>
                <w:rFonts w:ascii="Arial" w:hAnsi="Arial" w:cs="Arial"/>
                <w:b/>
                <w:bCs/>
                <w:sz w:val="16"/>
                <w:szCs w:val="16"/>
              </w:rPr>
            </w:pPr>
            <w:r w:rsidRPr="007E3E5B">
              <w:rPr>
                <w:rFonts w:ascii="Arial" w:hAnsi="Arial" w:cs="Arial"/>
                <w:b/>
                <w:bCs/>
                <w:sz w:val="16"/>
                <w:szCs w:val="16"/>
              </w:rPr>
              <w:t>555</w:t>
            </w:r>
          </w:p>
        </w:tc>
        <w:tc>
          <w:tcPr>
            <w:tcW w:w="613" w:type="pct"/>
            <w:tcBorders>
              <w:top w:val="single" w:sz="4" w:space="0" w:color="auto"/>
              <w:left w:val="nil"/>
              <w:bottom w:val="nil"/>
              <w:right w:val="nil"/>
            </w:tcBorders>
            <w:shd w:val="clear" w:color="auto" w:fill="auto"/>
            <w:noWrap/>
            <w:vAlign w:val="bottom"/>
            <w:hideMark/>
          </w:tcPr>
          <w:p w14:paraId="1D7FAD63" w14:textId="1DE58140" w:rsidR="007E3E5B" w:rsidRPr="007E3E5B" w:rsidRDefault="007E3E5B" w:rsidP="007E3E5B">
            <w:pPr>
              <w:spacing w:after="0" w:line="240" w:lineRule="auto"/>
              <w:jc w:val="right"/>
              <w:rPr>
                <w:rFonts w:ascii="Arial" w:hAnsi="Arial" w:cs="Arial"/>
                <w:b/>
                <w:bCs/>
                <w:sz w:val="16"/>
                <w:szCs w:val="16"/>
              </w:rPr>
            </w:pPr>
            <w:r w:rsidRPr="007E3E5B">
              <w:rPr>
                <w:rFonts w:ascii="Arial" w:hAnsi="Arial" w:cs="Arial"/>
                <w:b/>
                <w:bCs/>
                <w:sz w:val="16"/>
                <w:szCs w:val="16"/>
              </w:rPr>
              <w:t>-</w:t>
            </w:r>
          </w:p>
        </w:tc>
        <w:tc>
          <w:tcPr>
            <w:tcW w:w="580" w:type="pct"/>
            <w:tcBorders>
              <w:top w:val="single" w:sz="4" w:space="0" w:color="auto"/>
              <w:left w:val="nil"/>
              <w:bottom w:val="nil"/>
              <w:right w:val="nil"/>
            </w:tcBorders>
            <w:shd w:val="clear" w:color="auto" w:fill="auto"/>
            <w:noWrap/>
            <w:vAlign w:val="bottom"/>
            <w:hideMark/>
          </w:tcPr>
          <w:p w14:paraId="462B79AB" w14:textId="089C4207" w:rsidR="007E3E5B" w:rsidRPr="007E3E5B" w:rsidRDefault="007E3E5B" w:rsidP="007E3E5B">
            <w:pPr>
              <w:spacing w:after="0" w:line="240" w:lineRule="auto"/>
              <w:jc w:val="right"/>
              <w:rPr>
                <w:rFonts w:ascii="Arial" w:hAnsi="Arial" w:cs="Arial"/>
                <w:b/>
                <w:bCs/>
                <w:sz w:val="16"/>
                <w:szCs w:val="16"/>
              </w:rPr>
            </w:pPr>
            <w:r w:rsidRPr="007E3E5B">
              <w:rPr>
                <w:rFonts w:ascii="Arial" w:hAnsi="Arial" w:cs="Arial"/>
                <w:b/>
                <w:bCs/>
                <w:sz w:val="16"/>
                <w:szCs w:val="16"/>
              </w:rPr>
              <w:t>119,493</w:t>
            </w:r>
          </w:p>
        </w:tc>
      </w:tr>
      <w:tr w:rsidR="007E3E5B" w:rsidRPr="007E3E5B" w14:paraId="63E7B38C" w14:textId="77777777" w:rsidTr="00CD467D">
        <w:trPr>
          <w:trHeight w:val="204"/>
        </w:trPr>
        <w:tc>
          <w:tcPr>
            <w:tcW w:w="1642" w:type="pct"/>
            <w:tcBorders>
              <w:top w:val="nil"/>
              <w:left w:val="nil"/>
              <w:bottom w:val="nil"/>
              <w:right w:val="nil"/>
            </w:tcBorders>
            <w:shd w:val="clear" w:color="auto" w:fill="auto"/>
            <w:vAlign w:val="bottom"/>
            <w:hideMark/>
          </w:tcPr>
          <w:p w14:paraId="35998679" w14:textId="77777777" w:rsidR="007E3E5B" w:rsidRPr="007E3E5B" w:rsidRDefault="007E3E5B" w:rsidP="007E3E5B">
            <w:pPr>
              <w:spacing w:after="0" w:line="240" w:lineRule="auto"/>
              <w:ind w:left="113"/>
              <w:rPr>
                <w:rFonts w:ascii="Arial" w:hAnsi="Arial" w:cs="Arial"/>
                <w:b/>
                <w:bCs/>
                <w:sz w:val="16"/>
                <w:szCs w:val="16"/>
              </w:rPr>
            </w:pPr>
            <w:r w:rsidRPr="007E3E5B">
              <w:rPr>
                <w:rFonts w:ascii="Arial" w:hAnsi="Arial" w:cs="Arial"/>
                <w:b/>
                <w:bCs/>
                <w:sz w:val="16"/>
                <w:szCs w:val="16"/>
              </w:rPr>
              <w:t>Other movements</w:t>
            </w:r>
          </w:p>
        </w:tc>
        <w:tc>
          <w:tcPr>
            <w:tcW w:w="508" w:type="pct"/>
            <w:tcBorders>
              <w:top w:val="single" w:sz="4" w:space="0" w:color="auto"/>
              <w:left w:val="nil"/>
              <w:right w:val="nil"/>
            </w:tcBorders>
            <w:shd w:val="clear" w:color="auto" w:fill="auto"/>
            <w:noWrap/>
            <w:vAlign w:val="bottom"/>
            <w:hideMark/>
          </w:tcPr>
          <w:p w14:paraId="5DC8ACCB" w14:textId="6D9DCED9" w:rsidR="007E3E5B" w:rsidRPr="007E3E5B" w:rsidRDefault="007E3E5B" w:rsidP="007E3E5B">
            <w:pPr>
              <w:spacing w:after="0" w:line="240" w:lineRule="auto"/>
              <w:jc w:val="right"/>
              <w:rPr>
                <w:rFonts w:ascii="Arial" w:hAnsi="Arial" w:cs="Arial"/>
                <w:b/>
                <w:bCs/>
                <w:sz w:val="16"/>
                <w:szCs w:val="16"/>
              </w:rPr>
            </w:pPr>
          </w:p>
        </w:tc>
        <w:tc>
          <w:tcPr>
            <w:tcW w:w="541" w:type="pct"/>
            <w:tcBorders>
              <w:top w:val="single" w:sz="4" w:space="0" w:color="auto"/>
              <w:left w:val="nil"/>
              <w:right w:val="nil"/>
            </w:tcBorders>
            <w:shd w:val="clear" w:color="auto" w:fill="auto"/>
            <w:noWrap/>
            <w:vAlign w:val="bottom"/>
            <w:hideMark/>
          </w:tcPr>
          <w:p w14:paraId="7699C39B" w14:textId="5A153F89" w:rsidR="007E3E5B" w:rsidRPr="007E3E5B" w:rsidRDefault="007E3E5B" w:rsidP="007E3E5B">
            <w:pPr>
              <w:spacing w:after="0" w:line="240" w:lineRule="auto"/>
              <w:jc w:val="right"/>
              <w:rPr>
                <w:rFonts w:ascii="Arial" w:hAnsi="Arial" w:cs="Arial"/>
                <w:b/>
                <w:bCs/>
                <w:sz w:val="16"/>
                <w:szCs w:val="16"/>
              </w:rPr>
            </w:pPr>
          </w:p>
        </w:tc>
        <w:tc>
          <w:tcPr>
            <w:tcW w:w="603" w:type="pct"/>
            <w:tcBorders>
              <w:top w:val="single" w:sz="4" w:space="0" w:color="auto"/>
              <w:left w:val="nil"/>
              <w:right w:val="nil"/>
            </w:tcBorders>
            <w:shd w:val="clear" w:color="auto" w:fill="auto"/>
            <w:noWrap/>
            <w:vAlign w:val="bottom"/>
            <w:hideMark/>
          </w:tcPr>
          <w:p w14:paraId="03F205AD" w14:textId="7C334967" w:rsidR="007E3E5B" w:rsidRPr="007E3E5B" w:rsidRDefault="007E3E5B" w:rsidP="007E3E5B">
            <w:pPr>
              <w:spacing w:after="0" w:line="240" w:lineRule="auto"/>
              <w:jc w:val="right"/>
              <w:rPr>
                <w:rFonts w:ascii="Arial" w:hAnsi="Arial" w:cs="Arial"/>
                <w:b/>
                <w:bCs/>
                <w:sz w:val="16"/>
                <w:szCs w:val="16"/>
              </w:rPr>
            </w:pPr>
          </w:p>
        </w:tc>
        <w:tc>
          <w:tcPr>
            <w:tcW w:w="513" w:type="pct"/>
            <w:tcBorders>
              <w:top w:val="single" w:sz="4" w:space="0" w:color="auto"/>
              <w:left w:val="nil"/>
              <w:right w:val="nil"/>
            </w:tcBorders>
            <w:shd w:val="clear" w:color="auto" w:fill="auto"/>
            <w:noWrap/>
            <w:vAlign w:val="bottom"/>
            <w:hideMark/>
          </w:tcPr>
          <w:p w14:paraId="76D074C4" w14:textId="5693DE11" w:rsidR="007E3E5B" w:rsidRPr="007E3E5B" w:rsidRDefault="007E3E5B" w:rsidP="007E3E5B">
            <w:pPr>
              <w:spacing w:after="0" w:line="240" w:lineRule="auto"/>
              <w:jc w:val="right"/>
              <w:rPr>
                <w:rFonts w:ascii="Arial" w:hAnsi="Arial" w:cs="Arial"/>
                <w:b/>
                <w:bCs/>
                <w:sz w:val="16"/>
                <w:szCs w:val="16"/>
              </w:rPr>
            </w:pPr>
          </w:p>
        </w:tc>
        <w:tc>
          <w:tcPr>
            <w:tcW w:w="613" w:type="pct"/>
            <w:tcBorders>
              <w:top w:val="single" w:sz="4" w:space="0" w:color="auto"/>
              <w:left w:val="nil"/>
              <w:right w:val="nil"/>
            </w:tcBorders>
            <w:shd w:val="clear" w:color="auto" w:fill="auto"/>
            <w:noWrap/>
            <w:vAlign w:val="bottom"/>
            <w:hideMark/>
          </w:tcPr>
          <w:p w14:paraId="361C88E0" w14:textId="01BB1084" w:rsidR="007E3E5B" w:rsidRPr="007E3E5B" w:rsidRDefault="007E3E5B" w:rsidP="007E3E5B">
            <w:pPr>
              <w:spacing w:after="0" w:line="240" w:lineRule="auto"/>
              <w:jc w:val="right"/>
              <w:rPr>
                <w:rFonts w:ascii="Arial" w:hAnsi="Arial" w:cs="Arial"/>
                <w:b/>
                <w:bCs/>
                <w:sz w:val="16"/>
                <w:szCs w:val="16"/>
              </w:rPr>
            </w:pPr>
          </w:p>
        </w:tc>
        <w:tc>
          <w:tcPr>
            <w:tcW w:w="580" w:type="pct"/>
            <w:tcBorders>
              <w:top w:val="single" w:sz="4" w:space="0" w:color="auto"/>
              <w:left w:val="nil"/>
              <w:right w:val="nil"/>
            </w:tcBorders>
            <w:shd w:val="clear" w:color="auto" w:fill="auto"/>
            <w:noWrap/>
            <w:vAlign w:val="bottom"/>
            <w:hideMark/>
          </w:tcPr>
          <w:p w14:paraId="7FBBD502" w14:textId="00753F5F" w:rsidR="007E3E5B" w:rsidRPr="007E3E5B" w:rsidRDefault="007E3E5B" w:rsidP="007E3E5B">
            <w:pPr>
              <w:spacing w:after="0" w:line="240" w:lineRule="auto"/>
              <w:jc w:val="right"/>
              <w:rPr>
                <w:rFonts w:ascii="Arial" w:hAnsi="Arial" w:cs="Arial"/>
                <w:b/>
                <w:bCs/>
                <w:sz w:val="16"/>
                <w:szCs w:val="16"/>
              </w:rPr>
            </w:pPr>
          </w:p>
        </w:tc>
      </w:tr>
      <w:tr w:rsidR="007E3E5B" w:rsidRPr="007E3E5B" w14:paraId="4094A3CA" w14:textId="77777777" w:rsidTr="00CD467D">
        <w:trPr>
          <w:trHeight w:val="204"/>
        </w:trPr>
        <w:tc>
          <w:tcPr>
            <w:tcW w:w="1642" w:type="pct"/>
            <w:tcBorders>
              <w:top w:val="nil"/>
              <w:left w:val="nil"/>
              <w:bottom w:val="nil"/>
              <w:right w:val="nil"/>
            </w:tcBorders>
            <w:shd w:val="clear" w:color="auto" w:fill="auto"/>
            <w:vAlign w:val="bottom"/>
            <w:hideMark/>
          </w:tcPr>
          <w:p w14:paraId="4ADFEB95" w14:textId="5DF37341" w:rsidR="007E3E5B" w:rsidRPr="007E3E5B" w:rsidRDefault="007E3E5B" w:rsidP="00E53E4F">
            <w:pPr>
              <w:spacing w:after="0" w:line="240" w:lineRule="auto"/>
              <w:ind w:left="227"/>
              <w:rPr>
                <w:rFonts w:ascii="Arial" w:hAnsi="Arial" w:cs="Arial"/>
                <w:bCs/>
                <w:sz w:val="16"/>
                <w:szCs w:val="16"/>
              </w:rPr>
            </w:pPr>
            <w:r w:rsidRPr="007E3E5B">
              <w:rPr>
                <w:rFonts w:ascii="Arial" w:hAnsi="Arial" w:cs="Arial"/>
                <w:bCs/>
                <w:sz w:val="16"/>
                <w:szCs w:val="16"/>
              </w:rPr>
              <w:t>Depreciation/amortisation expense</w:t>
            </w:r>
          </w:p>
        </w:tc>
        <w:tc>
          <w:tcPr>
            <w:tcW w:w="508" w:type="pct"/>
            <w:tcBorders>
              <w:left w:val="nil"/>
              <w:right w:val="nil"/>
            </w:tcBorders>
            <w:shd w:val="clear" w:color="auto" w:fill="auto"/>
            <w:noWrap/>
            <w:vAlign w:val="bottom"/>
            <w:hideMark/>
          </w:tcPr>
          <w:p w14:paraId="0B5D9849" w14:textId="2D0CC175" w:rsidR="007E3E5B" w:rsidRPr="007E3E5B" w:rsidRDefault="007E3E5B" w:rsidP="007E3E5B">
            <w:pPr>
              <w:spacing w:after="0" w:line="240" w:lineRule="auto"/>
              <w:jc w:val="right"/>
              <w:rPr>
                <w:rFonts w:ascii="Arial" w:hAnsi="Arial" w:cs="Arial"/>
                <w:bCs/>
                <w:sz w:val="16"/>
                <w:szCs w:val="16"/>
              </w:rPr>
            </w:pPr>
            <w:r w:rsidRPr="007E3E5B">
              <w:rPr>
                <w:rFonts w:ascii="Arial" w:hAnsi="Arial" w:cs="Arial"/>
                <w:bCs/>
                <w:sz w:val="16"/>
                <w:szCs w:val="16"/>
              </w:rPr>
              <w:t>-</w:t>
            </w:r>
          </w:p>
        </w:tc>
        <w:tc>
          <w:tcPr>
            <w:tcW w:w="541" w:type="pct"/>
            <w:tcBorders>
              <w:left w:val="nil"/>
              <w:right w:val="nil"/>
            </w:tcBorders>
            <w:shd w:val="clear" w:color="auto" w:fill="auto"/>
            <w:noWrap/>
            <w:vAlign w:val="bottom"/>
            <w:hideMark/>
          </w:tcPr>
          <w:p w14:paraId="20A7E43D" w14:textId="77777777" w:rsidR="007E3E5B" w:rsidRPr="007E3E5B" w:rsidRDefault="007E3E5B" w:rsidP="007E3E5B">
            <w:pPr>
              <w:spacing w:after="0" w:line="240" w:lineRule="auto"/>
              <w:jc w:val="right"/>
              <w:rPr>
                <w:rFonts w:ascii="Arial" w:hAnsi="Arial" w:cs="Arial"/>
                <w:bCs/>
                <w:sz w:val="16"/>
                <w:szCs w:val="16"/>
              </w:rPr>
            </w:pPr>
            <w:r w:rsidRPr="007E3E5B">
              <w:rPr>
                <w:rFonts w:ascii="Arial" w:hAnsi="Arial" w:cs="Arial"/>
                <w:bCs/>
                <w:sz w:val="16"/>
                <w:szCs w:val="16"/>
              </w:rPr>
              <w:t>(9,137)</w:t>
            </w:r>
          </w:p>
        </w:tc>
        <w:tc>
          <w:tcPr>
            <w:tcW w:w="603" w:type="pct"/>
            <w:tcBorders>
              <w:left w:val="nil"/>
              <w:right w:val="nil"/>
            </w:tcBorders>
            <w:shd w:val="clear" w:color="auto" w:fill="auto"/>
            <w:noWrap/>
            <w:vAlign w:val="bottom"/>
            <w:hideMark/>
          </w:tcPr>
          <w:p w14:paraId="63EBC915" w14:textId="77777777" w:rsidR="007E3E5B" w:rsidRPr="007E3E5B" w:rsidRDefault="007E3E5B" w:rsidP="007E3E5B">
            <w:pPr>
              <w:spacing w:after="0" w:line="240" w:lineRule="auto"/>
              <w:jc w:val="right"/>
              <w:rPr>
                <w:rFonts w:ascii="Arial" w:hAnsi="Arial" w:cs="Arial"/>
                <w:bCs/>
                <w:sz w:val="16"/>
                <w:szCs w:val="16"/>
              </w:rPr>
            </w:pPr>
            <w:r w:rsidRPr="007E3E5B">
              <w:rPr>
                <w:rFonts w:ascii="Arial" w:hAnsi="Arial" w:cs="Arial"/>
                <w:bCs/>
                <w:sz w:val="16"/>
                <w:szCs w:val="16"/>
              </w:rPr>
              <w:t>(36,176)</w:t>
            </w:r>
          </w:p>
        </w:tc>
        <w:tc>
          <w:tcPr>
            <w:tcW w:w="513" w:type="pct"/>
            <w:tcBorders>
              <w:left w:val="nil"/>
              <w:right w:val="nil"/>
            </w:tcBorders>
            <w:shd w:val="clear" w:color="auto" w:fill="auto"/>
            <w:noWrap/>
            <w:vAlign w:val="bottom"/>
            <w:hideMark/>
          </w:tcPr>
          <w:p w14:paraId="678E0B0F" w14:textId="77777777" w:rsidR="007E3E5B" w:rsidRPr="007E3E5B" w:rsidRDefault="007E3E5B" w:rsidP="007E3E5B">
            <w:pPr>
              <w:spacing w:after="0" w:line="240" w:lineRule="auto"/>
              <w:jc w:val="right"/>
              <w:rPr>
                <w:rFonts w:ascii="Arial" w:hAnsi="Arial" w:cs="Arial"/>
                <w:bCs/>
                <w:sz w:val="16"/>
                <w:szCs w:val="16"/>
              </w:rPr>
            </w:pPr>
            <w:r w:rsidRPr="007E3E5B">
              <w:rPr>
                <w:rFonts w:ascii="Arial" w:hAnsi="Arial" w:cs="Arial"/>
                <w:bCs/>
                <w:sz w:val="16"/>
                <w:szCs w:val="16"/>
              </w:rPr>
              <w:t>(2,437)</w:t>
            </w:r>
          </w:p>
        </w:tc>
        <w:tc>
          <w:tcPr>
            <w:tcW w:w="613" w:type="pct"/>
            <w:tcBorders>
              <w:left w:val="nil"/>
              <w:right w:val="nil"/>
            </w:tcBorders>
            <w:shd w:val="clear" w:color="auto" w:fill="auto"/>
            <w:noWrap/>
            <w:vAlign w:val="bottom"/>
            <w:hideMark/>
          </w:tcPr>
          <w:p w14:paraId="4F4B35E2" w14:textId="5D667AD7" w:rsidR="007E3E5B" w:rsidRPr="007E3E5B" w:rsidRDefault="007E3E5B" w:rsidP="007E3E5B">
            <w:pPr>
              <w:spacing w:after="0" w:line="240" w:lineRule="auto"/>
              <w:jc w:val="right"/>
              <w:rPr>
                <w:rFonts w:ascii="Arial" w:hAnsi="Arial" w:cs="Arial"/>
                <w:bCs/>
                <w:sz w:val="16"/>
                <w:szCs w:val="16"/>
              </w:rPr>
            </w:pPr>
            <w:r w:rsidRPr="007E3E5B">
              <w:rPr>
                <w:rFonts w:ascii="Arial" w:hAnsi="Arial" w:cs="Arial"/>
                <w:bCs/>
                <w:sz w:val="16"/>
                <w:szCs w:val="16"/>
              </w:rPr>
              <w:t>-</w:t>
            </w:r>
          </w:p>
        </w:tc>
        <w:tc>
          <w:tcPr>
            <w:tcW w:w="580" w:type="pct"/>
            <w:tcBorders>
              <w:left w:val="nil"/>
              <w:right w:val="nil"/>
            </w:tcBorders>
            <w:shd w:val="clear" w:color="auto" w:fill="auto"/>
            <w:noWrap/>
            <w:vAlign w:val="bottom"/>
            <w:hideMark/>
          </w:tcPr>
          <w:p w14:paraId="135F0D79" w14:textId="77777777" w:rsidR="007E3E5B" w:rsidRPr="007E3E5B" w:rsidRDefault="007E3E5B" w:rsidP="007E3E5B">
            <w:pPr>
              <w:spacing w:after="0" w:line="240" w:lineRule="auto"/>
              <w:jc w:val="right"/>
              <w:rPr>
                <w:rFonts w:ascii="Arial" w:hAnsi="Arial" w:cs="Arial"/>
                <w:bCs/>
                <w:sz w:val="16"/>
                <w:szCs w:val="16"/>
              </w:rPr>
            </w:pPr>
            <w:r w:rsidRPr="007E3E5B">
              <w:rPr>
                <w:rFonts w:ascii="Arial" w:hAnsi="Arial" w:cs="Arial"/>
                <w:bCs/>
                <w:sz w:val="16"/>
                <w:szCs w:val="16"/>
              </w:rPr>
              <w:t>(47,750)</w:t>
            </w:r>
          </w:p>
        </w:tc>
      </w:tr>
      <w:tr w:rsidR="007E3E5B" w:rsidRPr="007E3E5B" w14:paraId="70DC6613" w14:textId="77777777" w:rsidTr="00CD467D">
        <w:trPr>
          <w:trHeight w:val="204"/>
        </w:trPr>
        <w:tc>
          <w:tcPr>
            <w:tcW w:w="1642" w:type="pct"/>
            <w:tcBorders>
              <w:top w:val="nil"/>
              <w:left w:val="nil"/>
              <w:bottom w:val="nil"/>
              <w:right w:val="nil"/>
            </w:tcBorders>
            <w:shd w:val="clear" w:color="auto" w:fill="auto"/>
            <w:vAlign w:val="bottom"/>
            <w:hideMark/>
          </w:tcPr>
          <w:p w14:paraId="215C4524" w14:textId="77777777" w:rsidR="007E3E5B" w:rsidRPr="007E3E5B" w:rsidRDefault="007E3E5B" w:rsidP="00E53E4F">
            <w:pPr>
              <w:spacing w:after="0" w:line="240" w:lineRule="auto"/>
              <w:ind w:left="227"/>
              <w:rPr>
                <w:rFonts w:ascii="Arial" w:hAnsi="Arial" w:cs="Arial"/>
                <w:bCs/>
                <w:sz w:val="16"/>
                <w:szCs w:val="16"/>
              </w:rPr>
            </w:pPr>
            <w:r w:rsidRPr="007E3E5B">
              <w:rPr>
                <w:rFonts w:ascii="Arial" w:hAnsi="Arial" w:cs="Arial"/>
                <w:bCs/>
                <w:sz w:val="16"/>
                <w:szCs w:val="16"/>
              </w:rPr>
              <w:t>Other</w:t>
            </w:r>
          </w:p>
        </w:tc>
        <w:tc>
          <w:tcPr>
            <w:tcW w:w="508" w:type="pct"/>
            <w:tcBorders>
              <w:left w:val="nil"/>
              <w:bottom w:val="nil"/>
              <w:right w:val="nil"/>
            </w:tcBorders>
            <w:shd w:val="clear" w:color="auto" w:fill="auto"/>
            <w:noWrap/>
            <w:vAlign w:val="bottom"/>
            <w:hideMark/>
          </w:tcPr>
          <w:p w14:paraId="6BD537DD" w14:textId="77777777" w:rsidR="007E3E5B" w:rsidRPr="007E3E5B" w:rsidRDefault="007E3E5B" w:rsidP="007E3E5B">
            <w:pPr>
              <w:spacing w:after="0" w:line="240" w:lineRule="auto"/>
              <w:jc w:val="right"/>
              <w:rPr>
                <w:rFonts w:ascii="Arial" w:hAnsi="Arial" w:cs="Arial"/>
                <w:bCs/>
                <w:sz w:val="16"/>
                <w:szCs w:val="16"/>
              </w:rPr>
            </w:pPr>
            <w:r w:rsidRPr="007E3E5B">
              <w:rPr>
                <w:rFonts w:ascii="Arial" w:hAnsi="Arial" w:cs="Arial"/>
                <w:bCs/>
                <w:sz w:val="16"/>
                <w:szCs w:val="16"/>
              </w:rPr>
              <w:t>(19,770)</w:t>
            </w:r>
          </w:p>
        </w:tc>
        <w:tc>
          <w:tcPr>
            <w:tcW w:w="541" w:type="pct"/>
            <w:tcBorders>
              <w:left w:val="nil"/>
              <w:bottom w:val="nil"/>
              <w:right w:val="nil"/>
            </w:tcBorders>
            <w:shd w:val="clear" w:color="auto" w:fill="auto"/>
            <w:noWrap/>
            <w:vAlign w:val="bottom"/>
            <w:hideMark/>
          </w:tcPr>
          <w:p w14:paraId="6DCD058E" w14:textId="3F8372E5" w:rsidR="007E3E5B" w:rsidRPr="007E3E5B" w:rsidRDefault="007E3E5B" w:rsidP="007E3E5B">
            <w:pPr>
              <w:spacing w:after="0" w:line="240" w:lineRule="auto"/>
              <w:jc w:val="right"/>
              <w:rPr>
                <w:rFonts w:ascii="Arial" w:hAnsi="Arial" w:cs="Arial"/>
                <w:bCs/>
                <w:sz w:val="16"/>
                <w:szCs w:val="16"/>
              </w:rPr>
            </w:pPr>
            <w:r w:rsidRPr="007E3E5B">
              <w:rPr>
                <w:rFonts w:ascii="Arial" w:hAnsi="Arial" w:cs="Arial"/>
                <w:bCs/>
                <w:sz w:val="16"/>
                <w:szCs w:val="16"/>
              </w:rPr>
              <w:t>-</w:t>
            </w:r>
          </w:p>
        </w:tc>
        <w:tc>
          <w:tcPr>
            <w:tcW w:w="603" w:type="pct"/>
            <w:tcBorders>
              <w:left w:val="nil"/>
              <w:bottom w:val="nil"/>
              <w:right w:val="nil"/>
            </w:tcBorders>
            <w:shd w:val="clear" w:color="auto" w:fill="auto"/>
            <w:noWrap/>
            <w:vAlign w:val="bottom"/>
            <w:hideMark/>
          </w:tcPr>
          <w:p w14:paraId="6D5B048E" w14:textId="30DB82D3" w:rsidR="007E3E5B" w:rsidRPr="007E3E5B" w:rsidRDefault="007E3E5B" w:rsidP="007E3E5B">
            <w:pPr>
              <w:spacing w:after="0" w:line="240" w:lineRule="auto"/>
              <w:jc w:val="right"/>
              <w:rPr>
                <w:rFonts w:ascii="Arial" w:hAnsi="Arial" w:cs="Arial"/>
                <w:bCs/>
                <w:sz w:val="16"/>
                <w:szCs w:val="16"/>
              </w:rPr>
            </w:pPr>
            <w:r w:rsidRPr="007E3E5B">
              <w:rPr>
                <w:rFonts w:ascii="Arial" w:hAnsi="Arial" w:cs="Arial"/>
                <w:bCs/>
                <w:sz w:val="16"/>
                <w:szCs w:val="16"/>
              </w:rPr>
              <w:t>-</w:t>
            </w:r>
          </w:p>
        </w:tc>
        <w:tc>
          <w:tcPr>
            <w:tcW w:w="513" w:type="pct"/>
            <w:tcBorders>
              <w:left w:val="nil"/>
              <w:bottom w:val="nil"/>
              <w:right w:val="nil"/>
            </w:tcBorders>
            <w:shd w:val="clear" w:color="auto" w:fill="auto"/>
            <w:noWrap/>
            <w:vAlign w:val="bottom"/>
            <w:hideMark/>
          </w:tcPr>
          <w:p w14:paraId="57CAB20C" w14:textId="7036A500" w:rsidR="007E3E5B" w:rsidRPr="007E3E5B" w:rsidRDefault="007E3E5B" w:rsidP="007E3E5B">
            <w:pPr>
              <w:spacing w:after="0" w:line="240" w:lineRule="auto"/>
              <w:jc w:val="right"/>
              <w:rPr>
                <w:rFonts w:ascii="Arial" w:hAnsi="Arial" w:cs="Arial"/>
                <w:bCs/>
                <w:sz w:val="16"/>
                <w:szCs w:val="16"/>
              </w:rPr>
            </w:pPr>
            <w:r w:rsidRPr="007E3E5B">
              <w:rPr>
                <w:rFonts w:ascii="Arial" w:hAnsi="Arial" w:cs="Arial"/>
                <w:bCs/>
                <w:sz w:val="16"/>
                <w:szCs w:val="16"/>
              </w:rPr>
              <w:t>-</w:t>
            </w:r>
          </w:p>
        </w:tc>
        <w:tc>
          <w:tcPr>
            <w:tcW w:w="613" w:type="pct"/>
            <w:tcBorders>
              <w:left w:val="nil"/>
              <w:bottom w:val="nil"/>
              <w:right w:val="nil"/>
            </w:tcBorders>
            <w:shd w:val="clear" w:color="auto" w:fill="auto"/>
            <w:noWrap/>
            <w:vAlign w:val="bottom"/>
            <w:hideMark/>
          </w:tcPr>
          <w:p w14:paraId="161D56F2" w14:textId="7B64F4B8" w:rsidR="007E3E5B" w:rsidRPr="007E3E5B" w:rsidRDefault="007E3E5B" w:rsidP="007E3E5B">
            <w:pPr>
              <w:spacing w:after="0" w:line="240" w:lineRule="auto"/>
              <w:jc w:val="right"/>
              <w:rPr>
                <w:rFonts w:ascii="Arial" w:hAnsi="Arial" w:cs="Arial"/>
                <w:bCs/>
                <w:sz w:val="16"/>
                <w:szCs w:val="16"/>
              </w:rPr>
            </w:pPr>
            <w:r w:rsidRPr="007E3E5B">
              <w:rPr>
                <w:rFonts w:ascii="Arial" w:hAnsi="Arial" w:cs="Arial"/>
                <w:bCs/>
                <w:sz w:val="16"/>
                <w:szCs w:val="16"/>
              </w:rPr>
              <w:t>-</w:t>
            </w:r>
          </w:p>
        </w:tc>
        <w:tc>
          <w:tcPr>
            <w:tcW w:w="580" w:type="pct"/>
            <w:tcBorders>
              <w:left w:val="nil"/>
              <w:bottom w:val="nil"/>
              <w:right w:val="nil"/>
            </w:tcBorders>
            <w:shd w:val="clear" w:color="auto" w:fill="auto"/>
            <w:noWrap/>
            <w:vAlign w:val="bottom"/>
            <w:hideMark/>
          </w:tcPr>
          <w:p w14:paraId="7E9D3A8E" w14:textId="77777777" w:rsidR="007E3E5B" w:rsidRPr="007E3E5B" w:rsidRDefault="007E3E5B" w:rsidP="007E3E5B">
            <w:pPr>
              <w:spacing w:after="0" w:line="240" w:lineRule="auto"/>
              <w:jc w:val="right"/>
              <w:rPr>
                <w:rFonts w:ascii="Arial" w:hAnsi="Arial" w:cs="Arial"/>
                <w:bCs/>
                <w:sz w:val="16"/>
                <w:szCs w:val="16"/>
              </w:rPr>
            </w:pPr>
            <w:r w:rsidRPr="007E3E5B">
              <w:rPr>
                <w:rFonts w:ascii="Arial" w:hAnsi="Arial" w:cs="Arial"/>
                <w:bCs/>
                <w:sz w:val="16"/>
                <w:szCs w:val="16"/>
              </w:rPr>
              <w:t>(19,770)</w:t>
            </w:r>
          </w:p>
        </w:tc>
      </w:tr>
      <w:tr w:rsidR="007E3E5B" w:rsidRPr="007E3E5B" w14:paraId="63435062" w14:textId="77777777" w:rsidTr="007E3E5B">
        <w:trPr>
          <w:trHeight w:val="204"/>
        </w:trPr>
        <w:tc>
          <w:tcPr>
            <w:tcW w:w="1642" w:type="pct"/>
            <w:tcBorders>
              <w:top w:val="nil"/>
              <w:left w:val="nil"/>
              <w:bottom w:val="nil"/>
              <w:right w:val="nil"/>
            </w:tcBorders>
            <w:shd w:val="clear" w:color="auto" w:fill="auto"/>
            <w:vAlign w:val="bottom"/>
            <w:hideMark/>
          </w:tcPr>
          <w:p w14:paraId="5244D6EB" w14:textId="77777777" w:rsidR="007E3E5B" w:rsidRPr="007E3E5B" w:rsidRDefault="007E3E5B" w:rsidP="007E3E5B">
            <w:pPr>
              <w:spacing w:after="0" w:line="240" w:lineRule="auto"/>
              <w:ind w:left="113"/>
              <w:rPr>
                <w:rFonts w:ascii="Arial" w:hAnsi="Arial" w:cs="Arial"/>
                <w:b/>
                <w:bCs/>
                <w:sz w:val="16"/>
                <w:szCs w:val="16"/>
              </w:rPr>
            </w:pPr>
            <w:r w:rsidRPr="007E3E5B">
              <w:rPr>
                <w:rFonts w:ascii="Arial" w:hAnsi="Arial" w:cs="Arial"/>
                <w:b/>
                <w:bCs/>
                <w:sz w:val="16"/>
                <w:szCs w:val="16"/>
              </w:rPr>
              <w:t>Total other movements</w:t>
            </w:r>
          </w:p>
        </w:tc>
        <w:tc>
          <w:tcPr>
            <w:tcW w:w="508" w:type="pct"/>
            <w:tcBorders>
              <w:top w:val="single" w:sz="4" w:space="0" w:color="auto"/>
              <w:left w:val="nil"/>
              <w:bottom w:val="nil"/>
              <w:right w:val="nil"/>
            </w:tcBorders>
            <w:shd w:val="clear" w:color="auto" w:fill="auto"/>
            <w:noWrap/>
            <w:vAlign w:val="bottom"/>
            <w:hideMark/>
          </w:tcPr>
          <w:p w14:paraId="35F5E47E" w14:textId="77777777" w:rsidR="007E3E5B" w:rsidRPr="007E3E5B" w:rsidRDefault="007E3E5B" w:rsidP="007E3E5B">
            <w:pPr>
              <w:spacing w:after="0" w:line="240" w:lineRule="auto"/>
              <w:jc w:val="right"/>
              <w:rPr>
                <w:rFonts w:ascii="Arial" w:hAnsi="Arial" w:cs="Arial"/>
                <w:b/>
                <w:bCs/>
                <w:sz w:val="16"/>
                <w:szCs w:val="16"/>
              </w:rPr>
            </w:pPr>
            <w:r w:rsidRPr="007E3E5B">
              <w:rPr>
                <w:rFonts w:ascii="Arial" w:hAnsi="Arial" w:cs="Arial"/>
                <w:b/>
                <w:bCs/>
                <w:sz w:val="16"/>
                <w:szCs w:val="16"/>
              </w:rPr>
              <w:t>(19,770)</w:t>
            </w:r>
          </w:p>
        </w:tc>
        <w:tc>
          <w:tcPr>
            <w:tcW w:w="541" w:type="pct"/>
            <w:tcBorders>
              <w:top w:val="single" w:sz="4" w:space="0" w:color="auto"/>
              <w:left w:val="nil"/>
              <w:bottom w:val="nil"/>
              <w:right w:val="nil"/>
            </w:tcBorders>
            <w:shd w:val="clear" w:color="auto" w:fill="auto"/>
            <w:noWrap/>
            <w:vAlign w:val="bottom"/>
            <w:hideMark/>
          </w:tcPr>
          <w:p w14:paraId="354B7790" w14:textId="77777777" w:rsidR="007E3E5B" w:rsidRPr="007E3E5B" w:rsidRDefault="007E3E5B" w:rsidP="007E3E5B">
            <w:pPr>
              <w:spacing w:after="0" w:line="240" w:lineRule="auto"/>
              <w:jc w:val="right"/>
              <w:rPr>
                <w:rFonts w:ascii="Arial" w:hAnsi="Arial" w:cs="Arial"/>
                <w:b/>
                <w:bCs/>
                <w:sz w:val="16"/>
                <w:szCs w:val="16"/>
              </w:rPr>
            </w:pPr>
            <w:r w:rsidRPr="007E3E5B">
              <w:rPr>
                <w:rFonts w:ascii="Arial" w:hAnsi="Arial" w:cs="Arial"/>
                <w:b/>
                <w:bCs/>
                <w:sz w:val="16"/>
                <w:szCs w:val="16"/>
              </w:rPr>
              <w:t>(9,137)</w:t>
            </w:r>
          </w:p>
        </w:tc>
        <w:tc>
          <w:tcPr>
            <w:tcW w:w="603" w:type="pct"/>
            <w:tcBorders>
              <w:top w:val="single" w:sz="4" w:space="0" w:color="auto"/>
              <w:left w:val="nil"/>
              <w:bottom w:val="nil"/>
              <w:right w:val="nil"/>
            </w:tcBorders>
            <w:shd w:val="clear" w:color="auto" w:fill="auto"/>
            <w:noWrap/>
            <w:vAlign w:val="bottom"/>
            <w:hideMark/>
          </w:tcPr>
          <w:p w14:paraId="2B369539" w14:textId="77777777" w:rsidR="007E3E5B" w:rsidRPr="007E3E5B" w:rsidRDefault="007E3E5B" w:rsidP="007E3E5B">
            <w:pPr>
              <w:spacing w:after="0" w:line="240" w:lineRule="auto"/>
              <w:jc w:val="right"/>
              <w:rPr>
                <w:rFonts w:ascii="Arial" w:hAnsi="Arial" w:cs="Arial"/>
                <w:b/>
                <w:bCs/>
                <w:sz w:val="16"/>
                <w:szCs w:val="16"/>
              </w:rPr>
            </w:pPr>
            <w:r w:rsidRPr="007E3E5B">
              <w:rPr>
                <w:rFonts w:ascii="Arial" w:hAnsi="Arial" w:cs="Arial"/>
                <w:b/>
                <w:bCs/>
                <w:sz w:val="16"/>
                <w:szCs w:val="16"/>
              </w:rPr>
              <w:t>(36,176)</w:t>
            </w:r>
          </w:p>
        </w:tc>
        <w:tc>
          <w:tcPr>
            <w:tcW w:w="513" w:type="pct"/>
            <w:tcBorders>
              <w:top w:val="single" w:sz="4" w:space="0" w:color="auto"/>
              <w:left w:val="nil"/>
              <w:bottom w:val="nil"/>
              <w:right w:val="nil"/>
            </w:tcBorders>
            <w:shd w:val="clear" w:color="auto" w:fill="auto"/>
            <w:noWrap/>
            <w:vAlign w:val="bottom"/>
            <w:hideMark/>
          </w:tcPr>
          <w:p w14:paraId="6807713D" w14:textId="77777777" w:rsidR="007E3E5B" w:rsidRPr="007E3E5B" w:rsidRDefault="007E3E5B" w:rsidP="007E3E5B">
            <w:pPr>
              <w:spacing w:after="0" w:line="240" w:lineRule="auto"/>
              <w:jc w:val="right"/>
              <w:rPr>
                <w:rFonts w:ascii="Arial" w:hAnsi="Arial" w:cs="Arial"/>
                <w:b/>
                <w:bCs/>
                <w:sz w:val="16"/>
                <w:szCs w:val="16"/>
              </w:rPr>
            </w:pPr>
            <w:r w:rsidRPr="007E3E5B">
              <w:rPr>
                <w:rFonts w:ascii="Arial" w:hAnsi="Arial" w:cs="Arial"/>
                <w:b/>
                <w:bCs/>
                <w:sz w:val="16"/>
                <w:szCs w:val="16"/>
              </w:rPr>
              <w:t>(2,437)</w:t>
            </w:r>
          </w:p>
        </w:tc>
        <w:tc>
          <w:tcPr>
            <w:tcW w:w="613" w:type="pct"/>
            <w:tcBorders>
              <w:top w:val="single" w:sz="4" w:space="0" w:color="auto"/>
              <w:left w:val="nil"/>
              <w:bottom w:val="nil"/>
              <w:right w:val="nil"/>
            </w:tcBorders>
            <w:shd w:val="clear" w:color="auto" w:fill="auto"/>
            <w:noWrap/>
            <w:vAlign w:val="bottom"/>
            <w:hideMark/>
          </w:tcPr>
          <w:p w14:paraId="00902095" w14:textId="6B0D43A2" w:rsidR="007E3E5B" w:rsidRPr="007E3E5B" w:rsidRDefault="007E3E5B" w:rsidP="007E3E5B">
            <w:pPr>
              <w:spacing w:after="0" w:line="240" w:lineRule="auto"/>
              <w:jc w:val="right"/>
              <w:rPr>
                <w:rFonts w:ascii="Arial" w:hAnsi="Arial" w:cs="Arial"/>
                <w:b/>
                <w:bCs/>
                <w:sz w:val="16"/>
                <w:szCs w:val="16"/>
              </w:rPr>
            </w:pPr>
            <w:r w:rsidRPr="007E3E5B">
              <w:rPr>
                <w:rFonts w:ascii="Arial" w:hAnsi="Arial" w:cs="Arial"/>
                <w:b/>
                <w:bCs/>
                <w:sz w:val="16"/>
                <w:szCs w:val="16"/>
              </w:rPr>
              <w:t>-</w:t>
            </w:r>
          </w:p>
        </w:tc>
        <w:tc>
          <w:tcPr>
            <w:tcW w:w="580" w:type="pct"/>
            <w:tcBorders>
              <w:top w:val="single" w:sz="4" w:space="0" w:color="auto"/>
              <w:left w:val="nil"/>
              <w:bottom w:val="nil"/>
              <w:right w:val="nil"/>
            </w:tcBorders>
            <w:shd w:val="clear" w:color="auto" w:fill="auto"/>
            <w:noWrap/>
            <w:vAlign w:val="bottom"/>
            <w:hideMark/>
          </w:tcPr>
          <w:p w14:paraId="343EAB6D" w14:textId="77777777" w:rsidR="007E3E5B" w:rsidRPr="007E3E5B" w:rsidRDefault="007E3E5B" w:rsidP="007E3E5B">
            <w:pPr>
              <w:spacing w:after="0" w:line="240" w:lineRule="auto"/>
              <w:jc w:val="right"/>
              <w:rPr>
                <w:rFonts w:ascii="Arial" w:hAnsi="Arial" w:cs="Arial"/>
                <w:b/>
                <w:bCs/>
                <w:sz w:val="16"/>
                <w:szCs w:val="16"/>
              </w:rPr>
            </w:pPr>
            <w:r w:rsidRPr="007E3E5B">
              <w:rPr>
                <w:rFonts w:ascii="Arial" w:hAnsi="Arial" w:cs="Arial"/>
                <w:b/>
                <w:bCs/>
                <w:sz w:val="16"/>
                <w:szCs w:val="16"/>
              </w:rPr>
              <w:t>(67,520)</w:t>
            </w:r>
          </w:p>
        </w:tc>
      </w:tr>
      <w:tr w:rsidR="007E3E5B" w:rsidRPr="007E3E5B" w14:paraId="668F4031" w14:textId="77777777" w:rsidTr="00E53E4F">
        <w:trPr>
          <w:trHeight w:val="204"/>
        </w:trPr>
        <w:tc>
          <w:tcPr>
            <w:tcW w:w="1642" w:type="pct"/>
            <w:tcBorders>
              <w:top w:val="nil"/>
              <w:left w:val="nil"/>
              <w:right w:val="nil"/>
            </w:tcBorders>
            <w:shd w:val="clear" w:color="auto" w:fill="auto"/>
            <w:vAlign w:val="bottom"/>
            <w:hideMark/>
          </w:tcPr>
          <w:p w14:paraId="286FB880" w14:textId="77777777" w:rsidR="007E3E5B" w:rsidRPr="007E3E5B" w:rsidRDefault="007E3E5B" w:rsidP="007E3E5B">
            <w:pPr>
              <w:spacing w:after="0" w:line="240" w:lineRule="auto"/>
              <w:rPr>
                <w:rFonts w:ascii="Arial" w:hAnsi="Arial" w:cs="Arial"/>
                <w:b/>
                <w:bCs/>
                <w:sz w:val="16"/>
                <w:szCs w:val="16"/>
              </w:rPr>
            </w:pPr>
            <w:r w:rsidRPr="007E3E5B">
              <w:rPr>
                <w:rFonts w:ascii="Arial" w:hAnsi="Arial" w:cs="Arial"/>
                <w:b/>
                <w:bCs/>
                <w:sz w:val="16"/>
                <w:szCs w:val="16"/>
              </w:rPr>
              <w:t>As at 30 June 2024</w:t>
            </w:r>
          </w:p>
        </w:tc>
        <w:tc>
          <w:tcPr>
            <w:tcW w:w="508" w:type="pct"/>
            <w:tcBorders>
              <w:top w:val="single" w:sz="4" w:space="0" w:color="auto"/>
              <w:left w:val="nil"/>
              <w:right w:val="nil"/>
            </w:tcBorders>
            <w:shd w:val="clear" w:color="auto" w:fill="auto"/>
            <w:noWrap/>
            <w:vAlign w:val="bottom"/>
            <w:hideMark/>
          </w:tcPr>
          <w:p w14:paraId="6105D014" w14:textId="77777777" w:rsidR="007E3E5B" w:rsidRPr="007E3E5B" w:rsidRDefault="007E3E5B" w:rsidP="007E3E5B">
            <w:pPr>
              <w:spacing w:after="0" w:line="240" w:lineRule="auto"/>
              <w:jc w:val="right"/>
              <w:rPr>
                <w:rFonts w:ascii="Arial" w:hAnsi="Arial" w:cs="Arial"/>
                <w:b/>
                <w:bCs/>
                <w:sz w:val="16"/>
                <w:szCs w:val="16"/>
              </w:rPr>
            </w:pPr>
          </w:p>
        </w:tc>
        <w:tc>
          <w:tcPr>
            <w:tcW w:w="541" w:type="pct"/>
            <w:tcBorders>
              <w:top w:val="single" w:sz="4" w:space="0" w:color="auto"/>
              <w:left w:val="nil"/>
              <w:right w:val="nil"/>
            </w:tcBorders>
            <w:shd w:val="clear" w:color="auto" w:fill="auto"/>
            <w:noWrap/>
            <w:vAlign w:val="bottom"/>
            <w:hideMark/>
          </w:tcPr>
          <w:p w14:paraId="370C7758" w14:textId="77777777" w:rsidR="007E3E5B" w:rsidRPr="007E3E5B" w:rsidRDefault="007E3E5B" w:rsidP="007E3E5B">
            <w:pPr>
              <w:spacing w:after="0" w:line="240" w:lineRule="auto"/>
              <w:jc w:val="right"/>
              <w:rPr>
                <w:rFonts w:ascii="Arial" w:hAnsi="Arial" w:cs="Arial"/>
                <w:b/>
                <w:bCs/>
                <w:sz w:val="16"/>
                <w:szCs w:val="16"/>
              </w:rPr>
            </w:pPr>
          </w:p>
        </w:tc>
        <w:tc>
          <w:tcPr>
            <w:tcW w:w="603" w:type="pct"/>
            <w:tcBorders>
              <w:top w:val="single" w:sz="4" w:space="0" w:color="auto"/>
              <w:left w:val="nil"/>
              <w:right w:val="nil"/>
            </w:tcBorders>
            <w:shd w:val="clear" w:color="auto" w:fill="auto"/>
            <w:noWrap/>
            <w:vAlign w:val="bottom"/>
            <w:hideMark/>
          </w:tcPr>
          <w:p w14:paraId="744B29E8" w14:textId="77777777" w:rsidR="007E3E5B" w:rsidRPr="007E3E5B" w:rsidRDefault="007E3E5B" w:rsidP="007E3E5B">
            <w:pPr>
              <w:spacing w:after="0" w:line="240" w:lineRule="auto"/>
              <w:jc w:val="right"/>
              <w:rPr>
                <w:rFonts w:ascii="Arial" w:hAnsi="Arial" w:cs="Arial"/>
                <w:b/>
                <w:bCs/>
                <w:sz w:val="16"/>
                <w:szCs w:val="16"/>
              </w:rPr>
            </w:pPr>
          </w:p>
        </w:tc>
        <w:tc>
          <w:tcPr>
            <w:tcW w:w="513" w:type="pct"/>
            <w:tcBorders>
              <w:top w:val="single" w:sz="4" w:space="0" w:color="auto"/>
              <w:left w:val="nil"/>
              <w:right w:val="nil"/>
            </w:tcBorders>
            <w:shd w:val="clear" w:color="auto" w:fill="auto"/>
            <w:noWrap/>
            <w:vAlign w:val="bottom"/>
            <w:hideMark/>
          </w:tcPr>
          <w:p w14:paraId="0293994E" w14:textId="77777777" w:rsidR="007E3E5B" w:rsidRPr="007E3E5B" w:rsidRDefault="007E3E5B" w:rsidP="007E3E5B">
            <w:pPr>
              <w:spacing w:after="0" w:line="240" w:lineRule="auto"/>
              <w:jc w:val="right"/>
              <w:rPr>
                <w:rFonts w:ascii="Arial" w:hAnsi="Arial" w:cs="Arial"/>
                <w:b/>
                <w:bCs/>
                <w:sz w:val="16"/>
                <w:szCs w:val="16"/>
              </w:rPr>
            </w:pPr>
          </w:p>
        </w:tc>
        <w:tc>
          <w:tcPr>
            <w:tcW w:w="613" w:type="pct"/>
            <w:tcBorders>
              <w:top w:val="single" w:sz="4" w:space="0" w:color="auto"/>
              <w:left w:val="nil"/>
              <w:right w:val="nil"/>
            </w:tcBorders>
            <w:shd w:val="clear" w:color="auto" w:fill="auto"/>
            <w:noWrap/>
            <w:vAlign w:val="bottom"/>
            <w:hideMark/>
          </w:tcPr>
          <w:p w14:paraId="736CE7BA" w14:textId="77777777" w:rsidR="007E3E5B" w:rsidRPr="007E3E5B" w:rsidRDefault="007E3E5B" w:rsidP="007E3E5B">
            <w:pPr>
              <w:spacing w:after="0" w:line="240" w:lineRule="auto"/>
              <w:jc w:val="right"/>
              <w:rPr>
                <w:rFonts w:ascii="Arial" w:hAnsi="Arial" w:cs="Arial"/>
                <w:b/>
                <w:bCs/>
                <w:sz w:val="16"/>
                <w:szCs w:val="16"/>
              </w:rPr>
            </w:pPr>
          </w:p>
        </w:tc>
        <w:tc>
          <w:tcPr>
            <w:tcW w:w="580" w:type="pct"/>
            <w:tcBorders>
              <w:top w:val="single" w:sz="4" w:space="0" w:color="auto"/>
              <w:left w:val="nil"/>
              <w:right w:val="nil"/>
            </w:tcBorders>
            <w:shd w:val="clear" w:color="auto" w:fill="auto"/>
            <w:noWrap/>
            <w:vAlign w:val="bottom"/>
            <w:hideMark/>
          </w:tcPr>
          <w:p w14:paraId="3402B2B9" w14:textId="77777777" w:rsidR="007E3E5B" w:rsidRPr="007E3E5B" w:rsidRDefault="007E3E5B" w:rsidP="007E3E5B">
            <w:pPr>
              <w:spacing w:after="0" w:line="240" w:lineRule="auto"/>
              <w:jc w:val="right"/>
              <w:rPr>
                <w:rFonts w:ascii="Arial" w:hAnsi="Arial" w:cs="Arial"/>
                <w:b/>
                <w:bCs/>
                <w:sz w:val="16"/>
                <w:szCs w:val="16"/>
              </w:rPr>
            </w:pPr>
          </w:p>
        </w:tc>
      </w:tr>
      <w:tr w:rsidR="007E3E5B" w:rsidRPr="00E53E4F" w14:paraId="03508B18" w14:textId="77777777" w:rsidTr="00E53E4F">
        <w:trPr>
          <w:trHeight w:val="204"/>
        </w:trPr>
        <w:tc>
          <w:tcPr>
            <w:tcW w:w="1642" w:type="pct"/>
            <w:tcBorders>
              <w:top w:val="nil"/>
              <w:left w:val="nil"/>
              <w:bottom w:val="nil"/>
              <w:right w:val="nil"/>
            </w:tcBorders>
            <w:shd w:val="clear" w:color="auto" w:fill="auto"/>
            <w:vAlign w:val="bottom"/>
            <w:hideMark/>
          </w:tcPr>
          <w:p w14:paraId="209E819A" w14:textId="77777777" w:rsidR="007E3E5B" w:rsidRPr="007E3E5B" w:rsidRDefault="007E3E5B" w:rsidP="007E3E5B">
            <w:pPr>
              <w:spacing w:after="0" w:line="240" w:lineRule="auto"/>
              <w:rPr>
                <w:rFonts w:ascii="Arial" w:hAnsi="Arial" w:cs="Arial"/>
                <w:bCs/>
                <w:sz w:val="16"/>
                <w:szCs w:val="16"/>
              </w:rPr>
            </w:pPr>
            <w:r w:rsidRPr="007E3E5B">
              <w:rPr>
                <w:rFonts w:ascii="Arial" w:hAnsi="Arial" w:cs="Arial"/>
                <w:bCs/>
                <w:sz w:val="16"/>
                <w:szCs w:val="16"/>
              </w:rPr>
              <w:t>Gross book value</w:t>
            </w:r>
          </w:p>
        </w:tc>
        <w:tc>
          <w:tcPr>
            <w:tcW w:w="508" w:type="pct"/>
            <w:tcBorders>
              <w:left w:val="nil"/>
              <w:right w:val="nil"/>
            </w:tcBorders>
            <w:shd w:val="clear" w:color="auto" w:fill="auto"/>
            <w:noWrap/>
            <w:vAlign w:val="bottom"/>
            <w:hideMark/>
          </w:tcPr>
          <w:p w14:paraId="7BDEB6B3" w14:textId="76E88360" w:rsidR="007E3E5B" w:rsidRPr="007E3E5B" w:rsidRDefault="007E3E5B" w:rsidP="007E3E5B">
            <w:pPr>
              <w:spacing w:after="0" w:line="240" w:lineRule="auto"/>
              <w:jc w:val="right"/>
              <w:rPr>
                <w:rFonts w:ascii="Arial" w:hAnsi="Arial" w:cs="Arial"/>
                <w:bCs/>
                <w:sz w:val="16"/>
                <w:szCs w:val="16"/>
              </w:rPr>
            </w:pPr>
            <w:r w:rsidRPr="007E3E5B">
              <w:rPr>
                <w:rFonts w:ascii="Arial" w:hAnsi="Arial" w:cs="Arial"/>
                <w:bCs/>
                <w:sz w:val="16"/>
                <w:szCs w:val="16"/>
              </w:rPr>
              <w:t>47,431</w:t>
            </w:r>
          </w:p>
        </w:tc>
        <w:tc>
          <w:tcPr>
            <w:tcW w:w="541" w:type="pct"/>
            <w:tcBorders>
              <w:left w:val="nil"/>
              <w:right w:val="nil"/>
            </w:tcBorders>
            <w:shd w:val="clear" w:color="auto" w:fill="auto"/>
            <w:noWrap/>
            <w:vAlign w:val="bottom"/>
            <w:hideMark/>
          </w:tcPr>
          <w:p w14:paraId="2A13F55A" w14:textId="5104FEDF" w:rsidR="007E3E5B" w:rsidRPr="007E3E5B" w:rsidRDefault="007E3E5B" w:rsidP="007E3E5B">
            <w:pPr>
              <w:spacing w:after="0" w:line="240" w:lineRule="auto"/>
              <w:jc w:val="right"/>
              <w:rPr>
                <w:rFonts w:ascii="Arial" w:hAnsi="Arial" w:cs="Arial"/>
                <w:bCs/>
                <w:sz w:val="16"/>
                <w:szCs w:val="16"/>
              </w:rPr>
            </w:pPr>
            <w:r w:rsidRPr="007E3E5B">
              <w:rPr>
                <w:rFonts w:ascii="Arial" w:hAnsi="Arial" w:cs="Arial"/>
                <w:bCs/>
                <w:sz w:val="16"/>
                <w:szCs w:val="16"/>
              </w:rPr>
              <w:t>163,933</w:t>
            </w:r>
          </w:p>
        </w:tc>
        <w:tc>
          <w:tcPr>
            <w:tcW w:w="603" w:type="pct"/>
            <w:tcBorders>
              <w:left w:val="nil"/>
              <w:right w:val="nil"/>
            </w:tcBorders>
            <w:shd w:val="clear" w:color="auto" w:fill="auto"/>
            <w:noWrap/>
            <w:vAlign w:val="bottom"/>
            <w:hideMark/>
          </w:tcPr>
          <w:p w14:paraId="5AB84F24" w14:textId="47B29ABC" w:rsidR="007E3E5B" w:rsidRPr="007E3E5B" w:rsidRDefault="007E3E5B" w:rsidP="007E3E5B">
            <w:pPr>
              <w:spacing w:after="0" w:line="240" w:lineRule="auto"/>
              <w:jc w:val="right"/>
              <w:rPr>
                <w:rFonts w:ascii="Arial" w:hAnsi="Arial" w:cs="Arial"/>
                <w:bCs/>
                <w:sz w:val="16"/>
                <w:szCs w:val="16"/>
              </w:rPr>
            </w:pPr>
            <w:r w:rsidRPr="007E3E5B">
              <w:rPr>
                <w:rFonts w:ascii="Arial" w:hAnsi="Arial" w:cs="Arial"/>
                <w:bCs/>
                <w:sz w:val="16"/>
                <w:szCs w:val="16"/>
              </w:rPr>
              <w:t>662,507</w:t>
            </w:r>
          </w:p>
        </w:tc>
        <w:tc>
          <w:tcPr>
            <w:tcW w:w="513" w:type="pct"/>
            <w:tcBorders>
              <w:left w:val="nil"/>
              <w:right w:val="nil"/>
            </w:tcBorders>
            <w:shd w:val="clear" w:color="auto" w:fill="auto"/>
            <w:noWrap/>
            <w:vAlign w:val="bottom"/>
            <w:hideMark/>
          </w:tcPr>
          <w:p w14:paraId="6BC102EC" w14:textId="29E70374" w:rsidR="007E3E5B" w:rsidRPr="007E3E5B" w:rsidRDefault="007E3E5B" w:rsidP="007E3E5B">
            <w:pPr>
              <w:spacing w:after="0" w:line="240" w:lineRule="auto"/>
              <w:jc w:val="right"/>
              <w:rPr>
                <w:rFonts w:ascii="Arial" w:hAnsi="Arial" w:cs="Arial"/>
                <w:bCs/>
                <w:sz w:val="16"/>
                <w:szCs w:val="16"/>
              </w:rPr>
            </w:pPr>
            <w:r w:rsidRPr="007E3E5B">
              <w:rPr>
                <w:rFonts w:ascii="Arial" w:hAnsi="Arial" w:cs="Arial"/>
                <w:bCs/>
                <w:sz w:val="16"/>
                <w:szCs w:val="16"/>
              </w:rPr>
              <w:t>186,681</w:t>
            </w:r>
          </w:p>
        </w:tc>
        <w:tc>
          <w:tcPr>
            <w:tcW w:w="613" w:type="pct"/>
            <w:tcBorders>
              <w:left w:val="nil"/>
              <w:right w:val="nil"/>
            </w:tcBorders>
            <w:shd w:val="clear" w:color="auto" w:fill="auto"/>
            <w:noWrap/>
            <w:vAlign w:val="bottom"/>
            <w:hideMark/>
          </w:tcPr>
          <w:p w14:paraId="669A18AF" w14:textId="1E7C34DC" w:rsidR="007E3E5B" w:rsidRPr="007E3E5B" w:rsidRDefault="007E3E5B" w:rsidP="007E3E5B">
            <w:pPr>
              <w:spacing w:after="0" w:line="240" w:lineRule="auto"/>
              <w:jc w:val="right"/>
              <w:rPr>
                <w:rFonts w:ascii="Arial" w:hAnsi="Arial" w:cs="Arial"/>
                <w:bCs/>
                <w:sz w:val="16"/>
                <w:szCs w:val="16"/>
              </w:rPr>
            </w:pPr>
            <w:r w:rsidRPr="007E3E5B">
              <w:rPr>
                <w:rFonts w:ascii="Arial" w:hAnsi="Arial" w:cs="Arial"/>
                <w:bCs/>
                <w:sz w:val="16"/>
                <w:szCs w:val="16"/>
              </w:rPr>
              <w:t>4,477</w:t>
            </w:r>
          </w:p>
        </w:tc>
        <w:tc>
          <w:tcPr>
            <w:tcW w:w="580" w:type="pct"/>
            <w:tcBorders>
              <w:left w:val="nil"/>
              <w:right w:val="nil"/>
            </w:tcBorders>
            <w:shd w:val="clear" w:color="auto" w:fill="auto"/>
            <w:noWrap/>
            <w:vAlign w:val="bottom"/>
            <w:hideMark/>
          </w:tcPr>
          <w:p w14:paraId="40B1E2A4" w14:textId="1E04ACD9" w:rsidR="007E3E5B" w:rsidRPr="007E3E5B" w:rsidRDefault="007E3E5B" w:rsidP="007E3E5B">
            <w:pPr>
              <w:spacing w:after="0" w:line="240" w:lineRule="auto"/>
              <w:jc w:val="right"/>
              <w:rPr>
                <w:rFonts w:ascii="Arial" w:hAnsi="Arial" w:cs="Arial"/>
                <w:bCs/>
                <w:sz w:val="16"/>
                <w:szCs w:val="16"/>
              </w:rPr>
            </w:pPr>
            <w:r w:rsidRPr="007E3E5B">
              <w:rPr>
                <w:rFonts w:ascii="Arial" w:hAnsi="Arial" w:cs="Arial"/>
                <w:bCs/>
                <w:sz w:val="16"/>
                <w:szCs w:val="16"/>
              </w:rPr>
              <w:t>1,065,029</w:t>
            </w:r>
          </w:p>
        </w:tc>
      </w:tr>
      <w:tr w:rsidR="007E3E5B" w:rsidRPr="007E3E5B" w14:paraId="7B8F6F16" w14:textId="77777777" w:rsidTr="00E53E4F">
        <w:trPr>
          <w:trHeight w:val="204"/>
        </w:trPr>
        <w:tc>
          <w:tcPr>
            <w:tcW w:w="1642" w:type="pct"/>
            <w:tcBorders>
              <w:top w:val="nil"/>
              <w:left w:val="nil"/>
              <w:bottom w:val="nil"/>
              <w:right w:val="nil"/>
            </w:tcBorders>
            <w:shd w:val="clear" w:color="auto" w:fill="auto"/>
            <w:vAlign w:val="bottom"/>
            <w:hideMark/>
          </w:tcPr>
          <w:p w14:paraId="43F4BF35" w14:textId="4174904E" w:rsidR="007E3E5B" w:rsidRPr="007E3E5B" w:rsidRDefault="007E3E5B" w:rsidP="007E3E5B">
            <w:pPr>
              <w:spacing w:after="0" w:line="240" w:lineRule="auto"/>
              <w:ind w:left="113"/>
              <w:rPr>
                <w:rFonts w:ascii="Arial" w:hAnsi="Arial" w:cs="Arial"/>
                <w:bCs/>
                <w:sz w:val="16"/>
                <w:szCs w:val="16"/>
              </w:rPr>
            </w:pPr>
            <w:r w:rsidRPr="007E3E5B">
              <w:rPr>
                <w:rFonts w:ascii="Arial" w:hAnsi="Arial" w:cs="Arial"/>
                <w:bCs/>
                <w:sz w:val="16"/>
                <w:szCs w:val="16"/>
              </w:rPr>
              <w:t>Accumulated depreciation/ amortisation and impairment</w:t>
            </w:r>
          </w:p>
        </w:tc>
        <w:tc>
          <w:tcPr>
            <w:tcW w:w="508" w:type="pct"/>
            <w:tcBorders>
              <w:left w:val="nil"/>
              <w:bottom w:val="nil"/>
              <w:right w:val="nil"/>
            </w:tcBorders>
            <w:shd w:val="clear" w:color="auto" w:fill="auto"/>
            <w:noWrap/>
            <w:vAlign w:val="bottom"/>
            <w:hideMark/>
          </w:tcPr>
          <w:p w14:paraId="1F582388" w14:textId="3467BAE7" w:rsidR="007E3E5B" w:rsidRPr="007E3E5B" w:rsidRDefault="007E3E5B" w:rsidP="007E3E5B">
            <w:pPr>
              <w:spacing w:after="0" w:line="240" w:lineRule="auto"/>
              <w:jc w:val="right"/>
              <w:rPr>
                <w:rFonts w:ascii="Arial" w:hAnsi="Arial" w:cs="Arial"/>
                <w:bCs/>
                <w:sz w:val="16"/>
                <w:szCs w:val="16"/>
              </w:rPr>
            </w:pPr>
            <w:r w:rsidRPr="007E3E5B">
              <w:rPr>
                <w:rFonts w:ascii="Arial" w:hAnsi="Arial" w:cs="Arial"/>
                <w:bCs/>
                <w:sz w:val="16"/>
                <w:szCs w:val="16"/>
              </w:rPr>
              <w:t>-</w:t>
            </w:r>
          </w:p>
        </w:tc>
        <w:tc>
          <w:tcPr>
            <w:tcW w:w="541" w:type="pct"/>
            <w:tcBorders>
              <w:left w:val="nil"/>
              <w:bottom w:val="nil"/>
              <w:right w:val="nil"/>
            </w:tcBorders>
            <w:shd w:val="clear" w:color="auto" w:fill="auto"/>
            <w:noWrap/>
            <w:vAlign w:val="bottom"/>
            <w:hideMark/>
          </w:tcPr>
          <w:p w14:paraId="1357E9A2" w14:textId="77777777" w:rsidR="007E3E5B" w:rsidRPr="007E3E5B" w:rsidRDefault="007E3E5B" w:rsidP="007E3E5B">
            <w:pPr>
              <w:spacing w:after="0" w:line="240" w:lineRule="auto"/>
              <w:jc w:val="right"/>
              <w:rPr>
                <w:rFonts w:ascii="Arial" w:hAnsi="Arial" w:cs="Arial"/>
                <w:bCs/>
                <w:sz w:val="16"/>
                <w:szCs w:val="16"/>
              </w:rPr>
            </w:pPr>
            <w:r w:rsidRPr="007E3E5B">
              <w:rPr>
                <w:rFonts w:ascii="Arial" w:hAnsi="Arial" w:cs="Arial"/>
                <w:bCs/>
                <w:sz w:val="16"/>
                <w:szCs w:val="16"/>
              </w:rPr>
              <w:t>(21,699)</w:t>
            </w:r>
          </w:p>
        </w:tc>
        <w:tc>
          <w:tcPr>
            <w:tcW w:w="603" w:type="pct"/>
            <w:tcBorders>
              <w:left w:val="nil"/>
              <w:bottom w:val="nil"/>
              <w:right w:val="nil"/>
            </w:tcBorders>
            <w:shd w:val="clear" w:color="auto" w:fill="auto"/>
            <w:noWrap/>
            <w:vAlign w:val="bottom"/>
            <w:hideMark/>
          </w:tcPr>
          <w:p w14:paraId="2EAA9B6F" w14:textId="77777777" w:rsidR="007E3E5B" w:rsidRPr="007E3E5B" w:rsidRDefault="007E3E5B" w:rsidP="007E3E5B">
            <w:pPr>
              <w:spacing w:after="0" w:line="240" w:lineRule="auto"/>
              <w:jc w:val="right"/>
              <w:rPr>
                <w:rFonts w:ascii="Arial" w:hAnsi="Arial" w:cs="Arial"/>
                <w:bCs/>
                <w:sz w:val="16"/>
                <w:szCs w:val="16"/>
              </w:rPr>
            </w:pPr>
            <w:r w:rsidRPr="007E3E5B">
              <w:rPr>
                <w:rFonts w:ascii="Arial" w:hAnsi="Arial" w:cs="Arial"/>
                <w:bCs/>
                <w:sz w:val="16"/>
                <w:szCs w:val="16"/>
              </w:rPr>
              <w:t>(80,579)</w:t>
            </w:r>
          </w:p>
        </w:tc>
        <w:tc>
          <w:tcPr>
            <w:tcW w:w="513" w:type="pct"/>
            <w:tcBorders>
              <w:left w:val="nil"/>
              <w:bottom w:val="nil"/>
              <w:right w:val="nil"/>
            </w:tcBorders>
            <w:shd w:val="clear" w:color="auto" w:fill="auto"/>
            <w:noWrap/>
            <w:vAlign w:val="bottom"/>
            <w:hideMark/>
          </w:tcPr>
          <w:p w14:paraId="6219B1E9" w14:textId="77777777" w:rsidR="007E3E5B" w:rsidRPr="007E3E5B" w:rsidRDefault="007E3E5B" w:rsidP="007E3E5B">
            <w:pPr>
              <w:spacing w:after="0" w:line="240" w:lineRule="auto"/>
              <w:jc w:val="right"/>
              <w:rPr>
                <w:rFonts w:ascii="Arial" w:hAnsi="Arial" w:cs="Arial"/>
                <w:bCs/>
                <w:sz w:val="16"/>
                <w:szCs w:val="16"/>
              </w:rPr>
            </w:pPr>
            <w:r w:rsidRPr="007E3E5B">
              <w:rPr>
                <w:rFonts w:ascii="Arial" w:hAnsi="Arial" w:cs="Arial"/>
                <w:bCs/>
                <w:sz w:val="16"/>
                <w:szCs w:val="16"/>
              </w:rPr>
              <w:t>(4,871)</w:t>
            </w:r>
          </w:p>
        </w:tc>
        <w:tc>
          <w:tcPr>
            <w:tcW w:w="613" w:type="pct"/>
            <w:tcBorders>
              <w:left w:val="nil"/>
              <w:bottom w:val="nil"/>
              <w:right w:val="nil"/>
            </w:tcBorders>
            <w:shd w:val="clear" w:color="auto" w:fill="auto"/>
            <w:noWrap/>
            <w:vAlign w:val="bottom"/>
            <w:hideMark/>
          </w:tcPr>
          <w:p w14:paraId="0ECB2784" w14:textId="77777777" w:rsidR="007E3E5B" w:rsidRPr="007E3E5B" w:rsidRDefault="007E3E5B" w:rsidP="007E3E5B">
            <w:pPr>
              <w:spacing w:after="0" w:line="240" w:lineRule="auto"/>
              <w:jc w:val="right"/>
              <w:rPr>
                <w:rFonts w:ascii="Arial" w:hAnsi="Arial" w:cs="Arial"/>
                <w:bCs/>
                <w:sz w:val="16"/>
                <w:szCs w:val="16"/>
              </w:rPr>
            </w:pPr>
            <w:r w:rsidRPr="007E3E5B">
              <w:rPr>
                <w:rFonts w:ascii="Arial" w:hAnsi="Arial" w:cs="Arial"/>
                <w:bCs/>
                <w:sz w:val="16"/>
                <w:szCs w:val="16"/>
              </w:rPr>
              <w:t>(73)</w:t>
            </w:r>
          </w:p>
        </w:tc>
        <w:tc>
          <w:tcPr>
            <w:tcW w:w="580" w:type="pct"/>
            <w:tcBorders>
              <w:left w:val="nil"/>
              <w:bottom w:val="nil"/>
              <w:right w:val="nil"/>
            </w:tcBorders>
            <w:shd w:val="clear" w:color="auto" w:fill="auto"/>
            <w:noWrap/>
            <w:vAlign w:val="bottom"/>
            <w:hideMark/>
          </w:tcPr>
          <w:p w14:paraId="22B7ADB3" w14:textId="77777777" w:rsidR="007E3E5B" w:rsidRPr="007E3E5B" w:rsidRDefault="007E3E5B" w:rsidP="007E3E5B">
            <w:pPr>
              <w:spacing w:after="0" w:line="240" w:lineRule="auto"/>
              <w:jc w:val="right"/>
              <w:rPr>
                <w:rFonts w:ascii="Arial" w:hAnsi="Arial" w:cs="Arial"/>
                <w:bCs/>
                <w:sz w:val="16"/>
                <w:szCs w:val="16"/>
              </w:rPr>
            </w:pPr>
            <w:r w:rsidRPr="007E3E5B">
              <w:rPr>
                <w:rFonts w:ascii="Arial" w:hAnsi="Arial" w:cs="Arial"/>
                <w:bCs/>
                <w:sz w:val="16"/>
                <w:szCs w:val="16"/>
              </w:rPr>
              <w:t>(107,222)</w:t>
            </w:r>
          </w:p>
        </w:tc>
      </w:tr>
      <w:tr w:rsidR="007E3E5B" w:rsidRPr="007E3E5B" w14:paraId="3047E2D0" w14:textId="77777777" w:rsidTr="007E3E5B">
        <w:trPr>
          <w:trHeight w:val="204"/>
        </w:trPr>
        <w:tc>
          <w:tcPr>
            <w:tcW w:w="1642" w:type="pct"/>
            <w:tcBorders>
              <w:top w:val="nil"/>
              <w:left w:val="nil"/>
              <w:bottom w:val="single" w:sz="4" w:space="0" w:color="auto"/>
              <w:right w:val="nil"/>
            </w:tcBorders>
            <w:shd w:val="clear" w:color="auto" w:fill="auto"/>
            <w:vAlign w:val="bottom"/>
            <w:hideMark/>
          </w:tcPr>
          <w:p w14:paraId="48A58EA3" w14:textId="77777777" w:rsidR="007E3E5B" w:rsidRPr="007E3E5B" w:rsidRDefault="007E3E5B" w:rsidP="007E3E5B">
            <w:pPr>
              <w:spacing w:after="0" w:line="240" w:lineRule="auto"/>
              <w:rPr>
                <w:rFonts w:ascii="Arial" w:hAnsi="Arial" w:cs="Arial"/>
                <w:b/>
                <w:bCs/>
                <w:sz w:val="16"/>
                <w:szCs w:val="16"/>
              </w:rPr>
            </w:pPr>
            <w:r w:rsidRPr="007E3E5B">
              <w:rPr>
                <w:rFonts w:ascii="Arial" w:hAnsi="Arial" w:cs="Arial"/>
                <w:b/>
                <w:bCs/>
                <w:sz w:val="16"/>
                <w:szCs w:val="16"/>
              </w:rPr>
              <w:t>Closing net book balance</w:t>
            </w:r>
          </w:p>
        </w:tc>
        <w:tc>
          <w:tcPr>
            <w:tcW w:w="508" w:type="pct"/>
            <w:tcBorders>
              <w:top w:val="single" w:sz="4" w:space="0" w:color="auto"/>
              <w:left w:val="nil"/>
              <w:bottom w:val="single" w:sz="4" w:space="0" w:color="auto"/>
              <w:right w:val="nil"/>
            </w:tcBorders>
            <w:shd w:val="clear" w:color="auto" w:fill="auto"/>
            <w:noWrap/>
            <w:vAlign w:val="bottom"/>
            <w:hideMark/>
          </w:tcPr>
          <w:p w14:paraId="125DCF92" w14:textId="0A7A00FE" w:rsidR="007E3E5B" w:rsidRPr="007E3E5B" w:rsidRDefault="007E3E5B" w:rsidP="007E3E5B">
            <w:pPr>
              <w:spacing w:after="0" w:line="240" w:lineRule="auto"/>
              <w:jc w:val="right"/>
              <w:rPr>
                <w:rFonts w:ascii="Arial" w:hAnsi="Arial" w:cs="Arial"/>
                <w:b/>
                <w:bCs/>
                <w:sz w:val="16"/>
                <w:szCs w:val="16"/>
              </w:rPr>
            </w:pPr>
            <w:r w:rsidRPr="007E3E5B">
              <w:rPr>
                <w:rFonts w:ascii="Arial" w:hAnsi="Arial" w:cs="Arial"/>
                <w:b/>
                <w:bCs/>
                <w:sz w:val="16"/>
                <w:szCs w:val="16"/>
              </w:rPr>
              <w:t>47,431</w:t>
            </w:r>
          </w:p>
        </w:tc>
        <w:tc>
          <w:tcPr>
            <w:tcW w:w="541" w:type="pct"/>
            <w:tcBorders>
              <w:top w:val="single" w:sz="4" w:space="0" w:color="auto"/>
              <w:left w:val="nil"/>
              <w:bottom w:val="single" w:sz="4" w:space="0" w:color="auto"/>
              <w:right w:val="nil"/>
            </w:tcBorders>
            <w:shd w:val="clear" w:color="auto" w:fill="auto"/>
            <w:noWrap/>
            <w:vAlign w:val="bottom"/>
            <w:hideMark/>
          </w:tcPr>
          <w:p w14:paraId="33F0CB0A" w14:textId="0584D849" w:rsidR="007E3E5B" w:rsidRPr="007E3E5B" w:rsidRDefault="007E3E5B" w:rsidP="007E3E5B">
            <w:pPr>
              <w:spacing w:after="0" w:line="240" w:lineRule="auto"/>
              <w:jc w:val="right"/>
              <w:rPr>
                <w:rFonts w:ascii="Arial" w:hAnsi="Arial" w:cs="Arial"/>
                <w:b/>
                <w:bCs/>
                <w:sz w:val="16"/>
                <w:szCs w:val="16"/>
              </w:rPr>
            </w:pPr>
            <w:r w:rsidRPr="007E3E5B">
              <w:rPr>
                <w:rFonts w:ascii="Arial" w:hAnsi="Arial" w:cs="Arial"/>
                <w:b/>
                <w:bCs/>
                <w:sz w:val="16"/>
                <w:szCs w:val="16"/>
              </w:rPr>
              <w:t>142,234</w:t>
            </w:r>
          </w:p>
        </w:tc>
        <w:tc>
          <w:tcPr>
            <w:tcW w:w="603" w:type="pct"/>
            <w:tcBorders>
              <w:top w:val="single" w:sz="4" w:space="0" w:color="auto"/>
              <w:left w:val="nil"/>
              <w:bottom w:val="single" w:sz="4" w:space="0" w:color="auto"/>
              <w:right w:val="nil"/>
            </w:tcBorders>
            <w:shd w:val="clear" w:color="auto" w:fill="auto"/>
            <w:noWrap/>
            <w:vAlign w:val="bottom"/>
            <w:hideMark/>
          </w:tcPr>
          <w:p w14:paraId="37A9FE8C" w14:textId="546A0AFC" w:rsidR="007E3E5B" w:rsidRPr="007E3E5B" w:rsidRDefault="007E3E5B" w:rsidP="007E3E5B">
            <w:pPr>
              <w:spacing w:after="0" w:line="240" w:lineRule="auto"/>
              <w:jc w:val="right"/>
              <w:rPr>
                <w:rFonts w:ascii="Arial" w:hAnsi="Arial" w:cs="Arial"/>
                <w:b/>
                <w:bCs/>
                <w:sz w:val="16"/>
                <w:szCs w:val="16"/>
              </w:rPr>
            </w:pPr>
            <w:r w:rsidRPr="007E3E5B">
              <w:rPr>
                <w:rFonts w:ascii="Arial" w:hAnsi="Arial" w:cs="Arial"/>
                <w:b/>
                <w:bCs/>
                <w:sz w:val="16"/>
                <w:szCs w:val="16"/>
              </w:rPr>
              <w:t>581,928</w:t>
            </w:r>
          </w:p>
        </w:tc>
        <w:tc>
          <w:tcPr>
            <w:tcW w:w="513" w:type="pct"/>
            <w:tcBorders>
              <w:top w:val="single" w:sz="4" w:space="0" w:color="auto"/>
              <w:left w:val="nil"/>
              <w:bottom w:val="single" w:sz="4" w:space="0" w:color="auto"/>
              <w:right w:val="nil"/>
            </w:tcBorders>
            <w:shd w:val="clear" w:color="auto" w:fill="auto"/>
            <w:noWrap/>
            <w:vAlign w:val="bottom"/>
            <w:hideMark/>
          </w:tcPr>
          <w:p w14:paraId="0F971861" w14:textId="033454AB" w:rsidR="007E3E5B" w:rsidRPr="007E3E5B" w:rsidRDefault="007E3E5B" w:rsidP="007E3E5B">
            <w:pPr>
              <w:spacing w:after="0" w:line="240" w:lineRule="auto"/>
              <w:jc w:val="right"/>
              <w:rPr>
                <w:rFonts w:ascii="Arial" w:hAnsi="Arial" w:cs="Arial"/>
                <w:b/>
                <w:bCs/>
                <w:sz w:val="16"/>
                <w:szCs w:val="16"/>
              </w:rPr>
            </w:pPr>
            <w:r w:rsidRPr="007E3E5B">
              <w:rPr>
                <w:rFonts w:ascii="Arial" w:hAnsi="Arial" w:cs="Arial"/>
                <w:b/>
                <w:bCs/>
                <w:sz w:val="16"/>
                <w:szCs w:val="16"/>
              </w:rPr>
              <w:t>181,810</w:t>
            </w:r>
          </w:p>
        </w:tc>
        <w:tc>
          <w:tcPr>
            <w:tcW w:w="613" w:type="pct"/>
            <w:tcBorders>
              <w:top w:val="single" w:sz="4" w:space="0" w:color="auto"/>
              <w:left w:val="nil"/>
              <w:bottom w:val="single" w:sz="4" w:space="0" w:color="auto"/>
              <w:right w:val="nil"/>
            </w:tcBorders>
            <w:shd w:val="clear" w:color="auto" w:fill="auto"/>
            <w:noWrap/>
            <w:vAlign w:val="bottom"/>
            <w:hideMark/>
          </w:tcPr>
          <w:p w14:paraId="328EFAB6" w14:textId="09A0E5E9" w:rsidR="007E3E5B" w:rsidRPr="007E3E5B" w:rsidRDefault="007E3E5B" w:rsidP="007E3E5B">
            <w:pPr>
              <w:spacing w:after="0" w:line="240" w:lineRule="auto"/>
              <w:jc w:val="right"/>
              <w:rPr>
                <w:rFonts w:ascii="Arial" w:hAnsi="Arial" w:cs="Arial"/>
                <w:b/>
                <w:bCs/>
                <w:sz w:val="16"/>
                <w:szCs w:val="16"/>
              </w:rPr>
            </w:pPr>
            <w:r w:rsidRPr="007E3E5B">
              <w:rPr>
                <w:rFonts w:ascii="Arial" w:hAnsi="Arial" w:cs="Arial"/>
                <w:b/>
                <w:bCs/>
                <w:sz w:val="16"/>
                <w:szCs w:val="16"/>
              </w:rPr>
              <w:t>4,404</w:t>
            </w:r>
          </w:p>
        </w:tc>
        <w:tc>
          <w:tcPr>
            <w:tcW w:w="580" w:type="pct"/>
            <w:tcBorders>
              <w:top w:val="single" w:sz="4" w:space="0" w:color="auto"/>
              <w:left w:val="nil"/>
              <w:bottom w:val="single" w:sz="4" w:space="0" w:color="auto"/>
              <w:right w:val="nil"/>
            </w:tcBorders>
            <w:shd w:val="clear" w:color="auto" w:fill="auto"/>
            <w:noWrap/>
            <w:vAlign w:val="bottom"/>
            <w:hideMark/>
          </w:tcPr>
          <w:p w14:paraId="3234D7CF" w14:textId="7CA0E18D" w:rsidR="007E3E5B" w:rsidRPr="007E3E5B" w:rsidRDefault="007E3E5B" w:rsidP="007E3E5B">
            <w:pPr>
              <w:spacing w:after="0" w:line="240" w:lineRule="auto"/>
              <w:jc w:val="right"/>
              <w:rPr>
                <w:rFonts w:ascii="Arial" w:hAnsi="Arial" w:cs="Arial"/>
                <w:b/>
                <w:bCs/>
                <w:sz w:val="16"/>
                <w:szCs w:val="16"/>
              </w:rPr>
            </w:pPr>
            <w:r w:rsidRPr="007E3E5B">
              <w:rPr>
                <w:rFonts w:ascii="Arial" w:hAnsi="Arial" w:cs="Arial"/>
                <w:b/>
                <w:bCs/>
                <w:sz w:val="16"/>
                <w:szCs w:val="16"/>
              </w:rPr>
              <w:t>957,807</w:t>
            </w:r>
          </w:p>
        </w:tc>
      </w:tr>
    </w:tbl>
    <w:p w14:paraId="40577707" w14:textId="183CA624" w:rsidR="001137FE" w:rsidRDefault="00115843" w:rsidP="00115843">
      <w:pPr>
        <w:pStyle w:val="ChartandTableFootnote"/>
        <w:spacing w:before="60"/>
      </w:pPr>
      <w:r w:rsidRPr="00B7521F">
        <w:t>Prepared on Australian Accounting Standards basis.</w:t>
      </w:r>
      <w:r w:rsidR="001137FE" w:rsidRPr="001137FE">
        <w:t xml:space="preserve"> </w:t>
      </w:r>
    </w:p>
    <w:p w14:paraId="39491896" w14:textId="39850D2E" w:rsidR="00115843" w:rsidRDefault="001137FE" w:rsidP="001137FE">
      <w:pPr>
        <w:pStyle w:val="ChartandTableFootnote"/>
      </w:pPr>
      <w:r w:rsidRPr="001137FE">
        <w:t>Table has been prepared inclusive of 2022-23 Additional Estimates figures.</w:t>
      </w:r>
    </w:p>
    <w:p w14:paraId="58068A3A" w14:textId="54A39C3D" w:rsidR="00562556" w:rsidRDefault="00115843" w:rsidP="00977C28">
      <w:pPr>
        <w:pStyle w:val="ListParagraph"/>
        <w:numPr>
          <w:ilvl w:val="4"/>
          <w:numId w:val="99"/>
        </w:numPr>
        <w:spacing w:after="0" w:line="240" w:lineRule="auto"/>
        <w:ind w:left="426" w:hanging="426"/>
        <w:rPr>
          <w:rFonts w:ascii="Arial" w:hAnsi="Arial" w:cs="Arial"/>
          <w:sz w:val="16"/>
          <w:szCs w:val="16"/>
        </w:rPr>
      </w:pPr>
      <w:r w:rsidRPr="00EE76C4">
        <w:rPr>
          <w:rFonts w:ascii="Arial" w:hAnsi="Arial" w:cs="Arial"/>
          <w:sz w:val="16"/>
          <w:szCs w:val="16"/>
        </w:rPr>
        <w:t>'Appropriation equity' refers to Administered Assets and Liabilities appropriations provided through Appropriation Bill (No. 2) 2022-23</w:t>
      </w:r>
      <w:r w:rsidR="00D14F5F">
        <w:rPr>
          <w:rFonts w:ascii="Arial" w:hAnsi="Arial" w:cs="Arial"/>
          <w:sz w:val="16"/>
          <w:szCs w:val="16"/>
        </w:rPr>
        <w:t>.</w:t>
      </w:r>
    </w:p>
    <w:p w14:paraId="23ADC4D3" w14:textId="726D3AAE" w:rsidR="00D14F5F" w:rsidRDefault="001974A1" w:rsidP="00977C28">
      <w:pPr>
        <w:pStyle w:val="ListParagraph"/>
        <w:numPr>
          <w:ilvl w:val="4"/>
          <w:numId w:val="99"/>
        </w:numPr>
        <w:spacing w:after="0" w:line="240" w:lineRule="auto"/>
        <w:ind w:left="426" w:hanging="426"/>
        <w:rPr>
          <w:rFonts w:ascii="Arial" w:hAnsi="Arial" w:cs="Arial"/>
          <w:sz w:val="16"/>
          <w:szCs w:val="16"/>
        </w:rPr>
      </w:pPr>
      <w:r w:rsidRPr="001974A1">
        <w:rPr>
          <w:rFonts w:ascii="Arial" w:hAnsi="Arial" w:cs="Arial"/>
          <w:sz w:val="16"/>
          <w:szCs w:val="16"/>
        </w:rPr>
        <w:t>'Appropriation ordinary annual services' includes purchases from current and previous years' Administered Capital Budgets.</w:t>
      </w:r>
    </w:p>
    <w:p w14:paraId="2AD73E73" w14:textId="77777777" w:rsidR="001C0F49" w:rsidRPr="003E5D1C" w:rsidRDefault="001C0F49" w:rsidP="00005586">
      <w:pPr>
        <w:pStyle w:val="PartHeading-TOC"/>
        <w:rPr>
          <w:rFonts w:ascii="Arial" w:hAnsi="Arial"/>
          <w:sz w:val="16"/>
          <w:szCs w:val="16"/>
        </w:rPr>
      </w:pPr>
    </w:p>
    <w:sectPr w:rsidR="001C0F49" w:rsidRPr="003E5D1C" w:rsidSect="00005586">
      <w:headerReference w:type="even" r:id="rId27"/>
      <w:headerReference w:type="default" r:id="rId28"/>
      <w:footerReference w:type="even" r:id="rId29"/>
      <w:footerReference w:type="default" r:id="rId30"/>
      <w:headerReference w:type="first" r:id="rId31"/>
      <w:footerReference w:type="first" r:id="rId32"/>
      <w:type w:val="oddPage"/>
      <w:pgSz w:w="11906" w:h="16838" w:code="9"/>
      <w:pgMar w:top="2438" w:right="2098" w:bottom="2438" w:left="2098" w:header="1814" w:footer="1814"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ED222" w14:textId="77777777" w:rsidR="00B51982" w:rsidRDefault="00B51982" w:rsidP="00C07DEC">
      <w:r>
        <w:separator/>
      </w:r>
    </w:p>
  </w:endnote>
  <w:endnote w:type="continuationSeparator" w:id="0">
    <w:p w14:paraId="0E644E91" w14:textId="77777777" w:rsidR="00B51982" w:rsidRDefault="00B51982"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67F3A" w14:textId="1F923C69" w:rsidR="00B51982" w:rsidRDefault="00B51982" w:rsidP="00FB0D02">
    <w:pPr>
      <w:pStyle w:val="Footer"/>
      <w:jc w:val="left"/>
      <w:rPr>
        <w:rStyle w:val="PageNumber"/>
        <w:sz w:val="18"/>
      </w:rPr>
    </w:pPr>
    <w:r w:rsidRPr="00BD494B">
      <w:rPr>
        <w:rStyle w:val="PageNumber"/>
        <w:sz w:val="18"/>
      </w:rPr>
      <w:fldChar w:fldCharType="begin"/>
    </w:r>
    <w:r w:rsidRPr="00BD494B">
      <w:rPr>
        <w:rStyle w:val="PageNumber"/>
        <w:sz w:val="18"/>
      </w:rPr>
      <w:instrText xml:space="preserve"> STYLEREF  "Heading 1"  \* MERGEFORMAT </w:instrText>
    </w:r>
    <w:r w:rsidRPr="00BD494B">
      <w:rPr>
        <w:rStyle w:val="PageNumber"/>
        <w:sz w:val="18"/>
      </w:rPr>
      <w:fldChar w:fldCharType="separate"/>
    </w:r>
    <w:r>
      <w:rPr>
        <w:rStyle w:val="PageNumber"/>
        <w:noProof/>
        <w:sz w:val="18"/>
      </w:rPr>
      <w:t>Department of Infrastructure, Transport, Regional Development, Communications and the Arts</w:t>
    </w:r>
    <w:r w:rsidRPr="00BD494B">
      <w:rPr>
        <w:rStyle w:val="PageNumber"/>
        <w:sz w:val="18"/>
      </w:rPr>
      <w:fldChar w:fldCharType="end"/>
    </w:r>
  </w:p>
  <w:p w14:paraId="100BB328" w14:textId="77777777" w:rsidR="00B51982" w:rsidRPr="00BD494B" w:rsidRDefault="00B51982" w:rsidP="00FB0D02">
    <w:pPr>
      <w:pStyle w:val="Footer"/>
      <w:jc w:val="left"/>
      <w:rPr>
        <w:sz w:val="18"/>
      </w:rPr>
    </w:pPr>
    <w:r w:rsidRPr="00BD494B">
      <w:rPr>
        <w:rStyle w:val="PageNumber"/>
        <w:b/>
        <w:bCs/>
        <w:sz w:val="18"/>
      </w:rPr>
      <w:t xml:space="preserve">Page </w:t>
    </w:r>
    <w:r w:rsidRPr="00BD494B">
      <w:rPr>
        <w:b/>
        <w:bCs/>
        <w:sz w:val="18"/>
      </w:rPr>
      <w:fldChar w:fldCharType="begin"/>
    </w:r>
    <w:r w:rsidRPr="00BD494B">
      <w:rPr>
        <w:b/>
        <w:bCs/>
        <w:sz w:val="18"/>
      </w:rPr>
      <w:instrText xml:space="preserve"> PAGE   \* MERGEFORMAT </w:instrText>
    </w:r>
    <w:r w:rsidRPr="00BD494B">
      <w:rPr>
        <w:b/>
        <w:bCs/>
        <w:sz w:val="18"/>
      </w:rPr>
      <w:fldChar w:fldCharType="separate"/>
    </w:r>
    <w:r>
      <w:rPr>
        <w:b/>
        <w:bCs/>
        <w:noProof/>
        <w:sz w:val="18"/>
      </w:rPr>
      <w:t>80</w:t>
    </w:r>
    <w:r w:rsidRPr="00BD494B">
      <w:rPr>
        <w:b/>
        <w:bCs/>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D122A" w14:textId="22794080" w:rsidR="00B51982" w:rsidRPr="00E215B7" w:rsidRDefault="00B51982" w:rsidP="00FB0D02">
    <w:pPr>
      <w:pStyle w:val="FooterOdd"/>
      <w:rPr>
        <w:rStyle w:val="PageNumber"/>
        <w:sz w:val="16"/>
      </w:rPr>
    </w:pPr>
    <w:r w:rsidRPr="00E215B7">
      <w:rPr>
        <w:rStyle w:val="PageNumber"/>
        <w:sz w:val="16"/>
      </w:rPr>
      <w:fldChar w:fldCharType="begin"/>
    </w:r>
    <w:r w:rsidRPr="00E215B7">
      <w:rPr>
        <w:rStyle w:val="PageNumber"/>
        <w:sz w:val="16"/>
      </w:rPr>
      <w:instrText xml:space="preserve"> STYLEREF  "Heading 1"  \* MERGEFORMAT </w:instrText>
    </w:r>
    <w:r w:rsidRPr="00E215B7">
      <w:rPr>
        <w:rStyle w:val="PageNumber"/>
        <w:sz w:val="16"/>
      </w:rPr>
      <w:fldChar w:fldCharType="separate"/>
    </w:r>
    <w:r w:rsidR="00005586">
      <w:rPr>
        <w:rStyle w:val="PageNumber"/>
        <w:noProof/>
        <w:sz w:val="16"/>
      </w:rPr>
      <w:t>Department of Infrastructure, Transport, Regional Development, Communications and the Arts</w:t>
    </w:r>
    <w:r w:rsidRPr="00E215B7">
      <w:rPr>
        <w:rStyle w:val="PageNumber"/>
        <w:sz w:val="16"/>
      </w:rPr>
      <w:fldChar w:fldCharType="end"/>
    </w:r>
    <w:r w:rsidRPr="00E215B7">
      <w:rPr>
        <w:rStyle w:val="PageNumber"/>
        <w:sz w:val="16"/>
      </w:rPr>
      <w:t xml:space="preserve"> </w:t>
    </w:r>
    <w:r w:rsidRPr="001013DF">
      <w:rPr>
        <w:rStyle w:val="PageNumber"/>
        <w:bCs/>
        <w:sz w:val="16"/>
        <w:szCs w:val="17"/>
      </w:rPr>
      <w:t xml:space="preserve"> |  </w:t>
    </w:r>
    <w:r w:rsidRPr="00E215B7">
      <w:rPr>
        <w:rStyle w:val="PageNumber"/>
        <w:b/>
        <w:bCs/>
        <w:sz w:val="16"/>
      </w:rPr>
      <w:t xml:space="preserve">Page </w:t>
    </w:r>
    <w:r w:rsidRPr="00E215B7">
      <w:rPr>
        <w:rStyle w:val="PageNumber"/>
        <w:b/>
        <w:bCs/>
        <w:sz w:val="16"/>
      </w:rPr>
      <w:fldChar w:fldCharType="begin"/>
    </w:r>
    <w:r w:rsidRPr="00E215B7">
      <w:rPr>
        <w:rStyle w:val="PageNumber"/>
        <w:b/>
        <w:bCs/>
        <w:sz w:val="16"/>
      </w:rPr>
      <w:instrText xml:space="preserve"> PAGE  \* Arabic </w:instrText>
    </w:r>
    <w:r w:rsidRPr="00E215B7">
      <w:rPr>
        <w:rStyle w:val="PageNumber"/>
        <w:b/>
        <w:bCs/>
        <w:sz w:val="16"/>
      </w:rPr>
      <w:fldChar w:fldCharType="separate"/>
    </w:r>
    <w:r w:rsidRPr="00E215B7">
      <w:rPr>
        <w:rStyle w:val="PageNumber"/>
        <w:b/>
        <w:bCs/>
        <w:noProof/>
        <w:sz w:val="16"/>
      </w:rPr>
      <w:t>79</w:t>
    </w:r>
    <w:r w:rsidRPr="00E215B7">
      <w:rPr>
        <w:rStyle w:val="PageNumber"/>
        <w:b/>
        <w:bCs/>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0BEAE" w14:textId="77777777" w:rsidR="00B51982" w:rsidRPr="00300A68" w:rsidRDefault="00B51982" w:rsidP="00FB0D02">
    <w:pPr>
      <w:pStyle w:val="Footer"/>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0237B" w14:textId="77777777" w:rsidR="00B51982" w:rsidRPr="00300A68" w:rsidRDefault="00B51982" w:rsidP="00F73841">
    <w:pPr>
      <w:pStyle w:val="Footer"/>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FC683" w14:textId="0E146195" w:rsidR="00B51982" w:rsidRPr="00296CA9" w:rsidRDefault="00B51982" w:rsidP="00FB0D02">
    <w:pPr>
      <w:pStyle w:val="FooterOdd"/>
      <w:jc w:val="left"/>
      <w:rPr>
        <w:rFonts w:cs="Arial"/>
        <w:sz w:val="16"/>
        <w:szCs w:val="16"/>
      </w:rPr>
    </w:pPr>
    <w:r w:rsidRPr="00296CA9">
      <w:rPr>
        <w:rStyle w:val="PageNumber"/>
        <w:b/>
        <w:bCs/>
        <w:sz w:val="16"/>
        <w:szCs w:val="16"/>
      </w:rPr>
      <w:t>Page</w:t>
    </w:r>
    <w:r w:rsidRPr="00296CA9">
      <w:rPr>
        <w:rStyle w:val="PageNumber"/>
        <w:b/>
        <w:bCs/>
        <w:sz w:val="16"/>
        <w:szCs w:val="16"/>
        <w:lang w:val="en-US"/>
      </w:rPr>
      <w:t xml:space="preserve"> </w:t>
    </w:r>
    <w:r w:rsidRPr="00296CA9">
      <w:rPr>
        <w:rStyle w:val="PageNumber"/>
        <w:b/>
        <w:bCs/>
        <w:sz w:val="16"/>
        <w:szCs w:val="16"/>
      </w:rPr>
      <w:fldChar w:fldCharType="begin"/>
    </w:r>
    <w:r w:rsidRPr="00296CA9">
      <w:rPr>
        <w:rStyle w:val="PageNumber"/>
        <w:b/>
        <w:bCs/>
        <w:sz w:val="16"/>
        <w:szCs w:val="16"/>
      </w:rPr>
      <w:instrText xml:space="preserve"> PAGE  \* Arabic </w:instrText>
    </w:r>
    <w:r w:rsidRPr="00296CA9">
      <w:rPr>
        <w:rStyle w:val="PageNumber"/>
        <w:b/>
        <w:bCs/>
        <w:sz w:val="16"/>
        <w:szCs w:val="16"/>
      </w:rPr>
      <w:fldChar w:fldCharType="separate"/>
    </w:r>
    <w:r w:rsidRPr="00296CA9">
      <w:rPr>
        <w:rStyle w:val="PageNumber"/>
        <w:b/>
        <w:bCs/>
        <w:sz w:val="16"/>
        <w:szCs w:val="16"/>
      </w:rPr>
      <w:t>23</w:t>
    </w:r>
    <w:r w:rsidRPr="00296CA9">
      <w:rPr>
        <w:rStyle w:val="PageNumber"/>
        <w:b/>
        <w:bCs/>
        <w:sz w:val="16"/>
        <w:szCs w:val="16"/>
      </w:rPr>
      <w:fldChar w:fldCharType="end"/>
    </w:r>
    <w:r w:rsidRPr="00296CA9">
      <w:rPr>
        <w:rStyle w:val="PageNumber"/>
        <w:bCs/>
        <w:sz w:val="16"/>
        <w:szCs w:val="16"/>
        <w:lang w:val="en-US"/>
      </w:rPr>
      <w:t xml:space="preserve"> </w:t>
    </w:r>
    <w:r w:rsidRPr="00296CA9">
      <w:rPr>
        <w:rStyle w:val="PageNumber"/>
        <w:sz w:val="16"/>
        <w:szCs w:val="16"/>
      </w:rPr>
      <w:t xml:space="preserve"> |  </w:t>
    </w:r>
    <w:r w:rsidRPr="00296CA9">
      <w:rPr>
        <w:rStyle w:val="PageNumber"/>
        <w:sz w:val="16"/>
        <w:szCs w:val="16"/>
      </w:rPr>
      <w:fldChar w:fldCharType="begin"/>
    </w:r>
    <w:r w:rsidRPr="00296CA9">
      <w:rPr>
        <w:rStyle w:val="PageNumber"/>
        <w:sz w:val="16"/>
        <w:szCs w:val="16"/>
      </w:rPr>
      <w:instrText xml:space="preserve"> STYLEREF  "Heading 1"  \* MERGEFORMAT </w:instrText>
    </w:r>
    <w:r w:rsidRPr="00296CA9">
      <w:rPr>
        <w:rStyle w:val="PageNumber"/>
        <w:sz w:val="16"/>
        <w:szCs w:val="16"/>
      </w:rPr>
      <w:fldChar w:fldCharType="separate"/>
    </w:r>
    <w:r w:rsidR="00005586">
      <w:rPr>
        <w:rStyle w:val="PageNumber"/>
        <w:noProof/>
        <w:sz w:val="16"/>
        <w:szCs w:val="16"/>
      </w:rPr>
      <w:t>Department of Infrastructure, Transport, Regional Development, Communications and the Arts</w:t>
    </w:r>
    <w:r w:rsidRPr="00296CA9">
      <w:rPr>
        <w:rStyle w:val="PageNumber"/>
        <w:sz w:val="16"/>
        <w:szCs w:val="16"/>
      </w:rPr>
      <w:fldChar w:fldCharType="end"/>
    </w:r>
    <w:r w:rsidRPr="00296CA9">
      <w:rPr>
        <w:rStyle w:val="PageNumber"/>
        <w:sz w:val="16"/>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CDDF2" w14:textId="72744920" w:rsidR="00B51982" w:rsidRPr="00296CA9" w:rsidRDefault="00B51982" w:rsidP="00F73841">
    <w:pPr>
      <w:pStyle w:val="FooterOdd"/>
      <w:rPr>
        <w:rFonts w:cs="Arial"/>
        <w:sz w:val="16"/>
        <w:szCs w:val="16"/>
      </w:rPr>
    </w:pPr>
    <w:r w:rsidRPr="00296CA9">
      <w:rPr>
        <w:rStyle w:val="PageNumber"/>
        <w:sz w:val="16"/>
        <w:szCs w:val="16"/>
      </w:rPr>
      <w:fldChar w:fldCharType="begin"/>
    </w:r>
    <w:r w:rsidRPr="00296CA9">
      <w:rPr>
        <w:rStyle w:val="PageNumber"/>
        <w:sz w:val="16"/>
        <w:szCs w:val="16"/>
      </w:rPr>
      <w:instrText xml:space="preserve"> STYLEREF  "Heading 1"  \* MERGEFORMAT </w:instrText>
    </w:r>
    <w:r w:rsidRPr="00296CA9">
      <w:rPr>
        <w:rStyle w:val="PageNumber"/>
        <w:sz w:val="16"/>
        <w:szCs w:val="16"/>
      </w:rPr>
      <w:fldChar w:fldCharType="separate"/>
    </w:r>
    <w:r w:rsidR="00005586">
      <w:rPr>
        <w:rStyle w:val="PageNumber"/>
        <w:noProof/>
        <w:sz w:val="16"/>
        <w:szCs w:val="16"/>
      </w:rPr>
      <w:t>Department of Infrastructure, Transport, Regional Development, Communications and the Arts</w:t>
    </w:r>
    <w:r w:rsidRPr="00296CA9">
      <w:rPr>
        <w:rStyle w:val="PageNumber"/>
        <w:sz w:val="16"/>
        <w:szCs w:val="16"/>
      </w:rPr>
      <w:fldChar w:fldCharType="end"/>
    </w:r>
    <w:r w:rsidRPr="00296CA9">
      <w:rPr>
        <w:rStyle w:val="PageNumber"/>
        <w:bCs/>
        <w:sz w:val="16"/>
        <w:szCs w:val="16"/>
        <w:lang w:val="en-US"/>
      </w:rPr>
      <w:t xml:space="preserve"> </w:t>
    </w:r>
    <w:r w:rsidRPr="00296CA9">
      <w:rPr>
        <w:rStyle w:val="PageNumber"/>
        <w:sz w:val="16"/>
        <w:szCs w:val="16"/>
      </w:rPr>
      <w:t xml:space="preserve"> |  </w:t>
    </w:r>
    <w:r w:rsidRPr="00296CA9">
      <w:rPr>
        <w:rStyle w:val="PageNumber"/>
        <w:b/>
        <w:bCs/>
        <w:sz w:val="16"/>
        <w:szCs w:val="16"/>
      </w:rPr>
      <w:t>Page</w:t>
    </w:r>
    <w:r w:rsidRPr="00296CA9">
      <w:rPr>
        <w:rStyle w:val="PageNumber"/>
        <w:b/>
        <w:bCs/>
        <w:sz w:val="16"/>
        <w:szCs w:val="16"/>
        <w:lang w:val="en-US"/>
      </w:rPr>
      <w:t xml:space="preserve"> </w:t>
    </w:r>
    <w:r w:rsidRPr="00296CA9">
      <w:rPr>
        <w:rStyle w:val="PageNumber"/>
        <w:b/>
        <w:bCs/>
        <w:sz w:val="16"/>
        <w:szCs w:val="16"/>
      </w:rPr>
      <w:fldChar w:fldCharType="begin"/>
    </w:r>
    <w:r w:rsidRPr="00296CA9">
      <w:rPr>
        <w:rStyle w:val="PageNumber"/>
        <w:b/>
        <w:bCs/>
        <w:sz w:val="16"/>
        <w:szCs w:val="16"/>
      </w:rPr>
      <w:instrText xml:space="preserve"> PAGE  \* Arabic </w:instrText>
    </w:r>
    <w:r w:rsidRPr="00296CA9">
      <w:rPr>
        <w:rStyle w:val="PageNumber"/>
        <w:b/>
        <w:bCs/>
        <w:sz w:val="16"/>
        <w:szCs w:val="16"/>
      </w:rPr>
      <w:fldChar w:fldCharType="separate"/>
    </w:r>
    <w:r w:rsidRPr="00296CA9">
      <w:rPr>
        <w:rStyle w:val="PageNumber"/>
        <w:b/>
        <w:bCs/>
        <w:noProof/>
        <w:sz w:val="16"/>
        <w:szCs w:val="16"/>
      </w:rPr>
      <w:t>5</w:t>
    </w:r>
    <w:r w:rsidRPr="00296CA9">
      <w:rPr>
        <w:rStyle w:val="PageNumber"/>
        <w:b/>
        <w:bCs/>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C8006" w14:textId="079B98E5" w:rsidR="00005586" w:rsidRPr="005E1159" w:rsidRDefault="00005586" w:rsidP="00005586">
    <w:pPr>
      <w:pStyle w:val="FooterOdd"/>
      <w:jc w:val="left"/>
      <w:rPr>
        <w:sz w:val="14"/>
      </w:rPr>
    </w:pPr>
    <w:r w:rsidRPr="005E1159">
      <w:rPr>
        <w:rStyle w:val="PageNumber"/>
        <w:b/>
        <w:bCs/>
        <w:sz w:val="16"/>
      </w:rPr>
      <w:t xml:space="preserve">Page </w:t>
    </w:r>
    <w:r w:rsidRPr="005E1159">
      <w:rPr>
        <w:rStyle w:val="PageNumber"/>
        <w:b/>
        <w:bCs/>
        <w:sz w:val="16"/>
      </w:rPr>
      <w:fldChar w:fldCharType="begin"/>
    </w:r>
    <w:r w:rsidRPr="005E1159">
      <w:rPr>
        <w:rStyle w:val="PageNumber"/>
        <w:b/>
        <w:bCs/>
        <w:sz w:val="16"/>
      </w:rPr>
      <w:instrText xml:space="preserve"> PAGE  \* Arabic </w:instrText>
    </w:r>
    <w:r w:rsidRPr="005E1159">
      <w:rPr>
        <w:rStyle w:val="PageNumber"/>
        <w:b/>
        <w:bCs/>
        <w:sz w:val="16"/>
      </w:rPr>
      <w:fldChar w:fldCharType="separate"/>
    </w:r>
    <w:r>
      <w:rPr>
        <w:rStyle w:val="PageNumber"/>
        <w:b/>
        <w:bCs/>
        <w:sz w:val="16"/>
      </w:rPr>
      <w:t>84</w:t>
    </w:r>
    <w:r w:rsidRPr="005E1159">
      <w:rPr>
        <w:rStyle w:val="PageNumber"/>
        <w:b/>
        <w:bCs/>
        <w:sz w:val="16"/>
      </w:rPr>
      <w:fldChar w:fldCharType="end"/>
    </w:r>
    <w:r>
      <w:rPr>
        <w:rStyle w:val="PageNumber"/>
        <w:b/>
        <w:bCs/>
        <w:sz w:val="16"/>
        <w:lang w:val="en-US"/>
      </w:rPr>
      <w:t xml:space="preserve"> </w:t>
    </w:r>
    <w:r w:rsidRPr="00296CA9">
      <w:rPr>
        <w:rStyle w:val="PageNumber"/>
        <w:sz w:val="16"/>
        <w:szCs w:val="16"/>
      </w:rPr>
      <w:t>|</w:t>
    </w:r>
    <w:r w:rsidRPr="009C3AE7">
      <w:rPr>
        <w:rStyle w:val="PageNumber"/>
        <w:sz w:val="16"/>
      </w:rPr>
      <w:t xml:space="preserve"> </w:t>
    </w:r>
    <w:r w:rsidRPr="005E1159">
      <w:rPr>
        <w:rStyle w:val="PageNumber"/>
        <w:sz w:val="16"/>
      </w:rPr>
      <w:fldChar w:fldCharType="begin"/>
    </w:r>
    <w:r w:rsidRPr="005E1159">
      <w:rPr>
        <w:rStyle w:val="PageNumber"/>
        <w:sz w:val="16"/>
      </w:rPr>
      <w:instrText xml:space="preserve"> STYLEREF  "Heading 1"  \* MERGEFORMAT </w:instrText>
    </w:r>
    <w:r w:rsidRPr="005E1159">
      <w:rPr>
        <w:rStyle w:val="PageNumber"/>
        <w:sz w:val="16"/>
      </w:rPr>
      <w:fldChar w:fldCharType="separate"/>
    </w:r>
    <w:r>
      <w:rPr>
        <w:rStyle w:val="PageNumber"/>
        <w:noProof/>
        <w:sz w:val="16"/>
      </w:rPr>
      <w:t>Department of Infrastructure, Transport, Regional Development, Communications and the Arts</w:t>
    </w:r>
    <w:r w:rsidRPr="005E1159">
      <w:rPr>
        <w:rStyle w:val="PageNumber"/>
        <w:sz w:val="16"/>
      </w:rPr>
      <w:fldChar w:fldCharType="end"/>
    </w:r>
    <w:r w:rsidRPr="005E1159">
      <w:rPr>
        <w:rStyle w:val="PageNumber"/>
        <w:sz w:val="16"/>
      </w:rPr>
      <w:t xml:space="preserve"> </w:t>
    </w:r>
  </w:p>
  <w:p w14:paraId="2161CC9E" w14:textId="24389017" w:rsidR="00B51982" w:rsidRPr="00005586" w:rsidRDefault="00B51982" w:rsidP="0000558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0248" w14:textId="7D7587BB" w:rsidR="00B51982" w:rsidRPr="00D7626B" w:rsidRDefault="00005586" w:rsidP="00C41174">
    <w:pPr>
      <w:pStyle w:val="FooterOdd"/>
      <w:rPr>
        <w:rFonts w:cs="Arial"/>
      </w:rPr>
    </w:pPr>
    <w:r w:rsidRPr="005E1159">
      <w:rPr>
        <w:rStyle w:val="PageNumber"/>
        <w:sz w:val="16"/>
      </w:rPr>
      <w:fldChar w:fldCharType="begin"/>
    </w:r>
    <w:r w:rsidRPr="005E1159">
      <w:rPr>
        <w:rStyle w:val="PageNumber"/>
        <w:sz w:val="16"/>
      </w:rPr>
      <w:instrText xml:space="preserve"> STYLEREF  "Heading 1"  \* MERGEFORMAT </w:instrText>
    </w:r>
    <w:r w:rsidRPr="005E1159">
      <w:rPr>
        <w:rStyle w:val="PageNumber"/>
        <w:sz w:val="16"/>
      </w:rPr>
      <w:fldChar w:fldCharType="separate"/>
    </w:r>
    <w:r>
      <w:rPr>
        <w:rStyle w:val="PageNumber"/>
        <w:noProof/>
        <w:sz w:val="16"/>
      </w:rPr>
      <w:t>Department of Infrastructure, Transport, Regional Development, Communications and the Arts</w:t>
    </w:r>
    <w:r w:rsidRPr="005E1159">
      <w:rPr>
        <w:rStyle w:val="PageNumber"/>
        <w:sz w:val="16"/>
      </w:rPr>
      <w:fldChar w:fldCharType="end"/>
    </w:r>
    <w:r w:rsidR="00B51982" w:rsidRPr="00D7626B">
      <w:rPr>
        <w:rStyle w:val="PageNumber"/>
        <w:sz w:val="18"/>
      </w:rPr>
      <w:t xml:space="preserve"> </w:t>
    </w:r>
    <w:proofErr w:type="gramStart"/>
    <w:r w:rsidR="00B51982" w:rsidRPr="00D7626B">
      <w:rPr>
        <w:rStyle w:val="PageNumber"/>
        <w:sz w:val="18"/>
      </w:rPr>
      <w:t xml:space="preserve">|  </w:t>
    </w:r>
    <w:r w:rsidR="00B51982" w:rsidRPr="00D7626B">
      <w:rPr>
        <w:rStyle w:val="PageNumber"/>
        <w:b/>
        <w:bCs/>
        <w:sz w:val="18"/>
      </w:rPr>
      <w:t>Page</w:t>
    </w:r>
    <w:proofErr w:type="gramEnd"/>
    <w:r w:rsidR="00B51982" w:rsidRPr="00D7626B">
      <w:rPr>
        <w:rStyle w:val="PageNumber"/>
        <w:b/>
        <w:bCs/>
        <w:sz w:val="18"/>
      </w:rPr>
      <w:t xml:space="preserve"> </w:t>
    </w:r>
    <w:r w:rsidR="00B51982" w:rsidRPr="00D7626B">
      <w:rPr>
        <w:rStyle w:val="PageNumber"/>
        <w:b/>
        <w:bCs/>
        <w:sz w:val="18"/>
      </w:rPr>
      <w:fldChar w:fldCharType="begin"/>
    </w:r>
    <w:r w:rsidR="00B51982" w:rsidRPr="00D7626B">
      <w:rPr>
        <w:rStyle w:val="PageNumber"/>
        <w:b/>
        <w:bCs/>
        <w:sz w:val="18"/>
      </w:rPr>
      <w:instrText xml:space="preserve"> PAGE  \* Arabic </w:instrText>
    </w:r>
    <w:r w:rsidR="00B51982" w:rsidRPr="00D7626B">
      <w:rPr>
        <w:rStyle w:val="PageNumber"/>
        <w:b/>
        <w:bCs/>
        <w:sz w:val="18"/>
      </w:rPr>
      <w:fldChar w:fldCharType="separate"/>
    </w:r>
    <w:r w:rsidR="00B51982" w:rsidRPr="00D7626B">
      <w:rPr>
        <w:rStyle w:val="PageNumber"/>
        <w:b/>
        <w:bCs/>
        <w:noProof/>
        <w:sz w:val="18"/>
      </w:rPr>
      <w:t>59</w:t>
    </w:r>
    <w:r w:rsidR="00B51982" w:rsidRPr="00D7626B">
      <w:rPr>
        <w:rStyle w:val="PageNumber"/>
        <w:b/>
        <w:bCs/>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E80B2" w14:textId="5D071C10" w:rsidR="00005586" w:rsidRPr="00D7626B" w:rsidRDefault="00005586" w:rsidP="00005586">
    <w:pPr>
      <w:pStyle w:val="FooterOdd"/>
      <w:rPr>
        <w:rFonts w:cs="Arial"/>
      </w:rPr>
    </w:pPr>
    <w:r w:rsidRPr="005E1159">
      <w:rPr>
        <w:rStyle w:val="PageNumber"/>
        <w:sz w:val="16"/>
      </w:rPr>
      <w:fldChar w:fldCharType="begin"/>
    </w:r>
    <w:r w:rsidRPr="005E1159">
      <w:rPr>
        <w:rStyle w:val="PageNumber"/>
        <w:sz w:val="16"/>
      </w:rPr>
      <w:instrText xml:space="preserve"> STYLEREF  "Heading 1"  \* MERGEFORMAT </w:instrText>
    </w:r>
    <w:r w:rsidRPr="005E1159">
      <w:rPr>
        <w:rStyle w:val="PageNumber"/>
        <w:sz w:val="16"/>
      </w:rPr>
      <w:fldChar w:fldCharType="separate"/>
    </w:r>
    <w:r>
      <w:rPr>
        <w:rStyle w:val="PageNumber"/>
        <w:noProof/>
        <w:sz w:val="16"/>
      </w:rPr>
      <w:t>Department of Infrastructure, Transport, Regional Development, Communications and the Arts</w:t>
    </w:r>
    <w:r w:rsidRPr="005E1159">
      <w:rPr>
        <w:rStyle w:val="PageNumber"/>
        <w:sz w:val="16"/>
      </w:rPr>
      <w:fldChar w:fldCharType="end"/>
    </w:r>
    <w:r w:rsidRPr="00D7626B">
      <w:rPr>
        <w:rStyle w:val="PageNumber"/>
        <w:sz w:val="18"/>
      </w:rPr>
      <w:t xml:space="preserve"> |  </w:t>
    </w:r>
    <w:r w:rsidRPr="00D7626B">
      <w:rPr>
        <w:rStyle w:val="PageNumber"/>
        <w:b/>
        <w:bCs/>
        <w:sz w:val="18"/>
      </w:rPr>
      <w:t xml:space="preserve">Page </w:t>
    </w:r>
    <w:r w:rsidRPr="00D7626B">
      <w:rPr>
        <w:rStyle w:val="PageNumber"/>
        <w:b/>
        <w:bCs/>
        <w:sz w:val="18"/>
      </w:rPr>
      <w:fldChar w:fldCharType="begin"/>
    </w:r>
    <w:r w:rsidRPr="00D7626B">
      <w:rPr>
        <w:rStyle w:val="PageNumber"/>
        <w:b/>
        <w:bCs/>
        <w:sz w:val="18"/>
      </w:rPr>
      <w:instrText xml:space="preserve"> PAGE  \* Arabic </w:instrText>
    </w:r>
    <w:r w:rsidRPr="00D7626B">
      <w:rPr>
        <w:rStyle w:val="PageNumber"/>
        <w:b/>
        <w:bCs/>
        <w:sz w:val="18"/>
      </w:rPr>
      <w:fldChar w:fldCharType="separate"/>
    </w:r>
    <w:r>
      <w:rPr>
        <w:rStyle w:val="PageNumber"/>
        <w:b/>
        <w:bCs/>
        <w:sz w:val="18"/>
      </w:rPr>
      <w:t>83</w:t>
    </w:r>
    <w:r w:rsidRPr="00D7626B">
      <w:rPr>
        <w:rStyle w:val="PageNumber"/>
        <w:b/>
        <w:bCs/>
        <w:sz w:val="18"/>
      </w:rPr>
      <w:fldChar w:fldCharType="end"/>
    </w:r>
  </w:p>
  <w:p w14:paraId="77EDA085" w14:textId="07AF14DF" w:rsidR="00B51982" w:rsidRPr="00005586" w:rsidRDefault="00B51982" w:rsidP="00005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bookmarkStart w:id="0" w:name="_Hlk117331098"/>
    <w:bookmarkEnd w:id="0"/>
    <w:p w14:paraId="0C0F05B5" w14:textId="51FD410C" w:rsidR="00B51982" w:rsidRDefault="00B51982"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375AAB20" w14:textId="32B64F81" w:rsidR="00B51982" w:rsidRDefault="00B51982"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2C63B135" w14:textId="77777777" w:rsidR="00B51982" w:rsidRDefault="00B51982" w:rsidP="00361259">
      <w:pPr>
        <w:pStyle w:val="HeaderOdd"/>
      </w:pPr>
      <w:r>
        <w:t>Index</w:t>
      </w:r>
    </w:p>
    <w:p w14:paraId="229C0949" w14:textId="07921C25" w:rsidR="00B51982" w:rsidRDefault="00B51982">
      <w:pPr>
        <w:pStyle w:val="Header"/>
      </w:pPr>
    </w:p>
    <w:p w14:paraId="6998B671" w14:textId="77777777" w:rsidR="00B51982" w:rsidRDefault="00B51982"/>
    <w:p w14:paraId="6987A252" w14:textId="17460683" w:rsidR="00B51982" w:rsidRPr="009E2AF0" w:rsidRDefault="00B51982" w:rsidP="00243116">
      <w:pPr>
        <w:pStyle w:val="FooterOdd"/>
        <w:rPr>
          <w:rFonts w:cs="Arial"/>
          <w:b/>
          <w:bCs/>
        </w:rPr>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Department of Infrastructure, Transport, Regional Development, Communications and the Arts</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71</w:t>
      </w:r>
      <w:r w:rsidRPr="00B628E8">
        <w:rPr>
          <w:rStyle w:val="PageNumber"/>
          <w:b/>
          <w:bCs/>
        </w:rPr>
        <w:fldChar w:fldCharType="end"/>
      </w:r>
    </w:p>
    <w:p w14:paraId="3BB35318" w14:textId="136B257E" w:rsidR="00B51982" w:rsidRDefault="00B51982">
      <w:pPr>
        <w:pStyle w:val="Footer"/>
      </w:pPr>
    </w:p>
    <w:p w14:paraId="2626DB2F" w14:textId="77777777" w:rsidR="00B51982" w:rsidRDefault="00B51982"/>
    <w:p w14:paraId="1171B852" w14:textId="77777777" w:rsidR="00B51982" w:rsidRDefault="00B51982" w:rsidP="00C07DEC">
      <w:r>
        <w:separator/>
      </w:r>
    </w:p>
  </w:footnote>
  <w:footnote w:type="continuationSeparator" w:id="0">
    <w:p w14:paraId="1A4D072F" w14:textId="77777777" w:rsidR="00B51982" w:rsidRDefault="00B51982"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C27C7" w14:textId="3E7E9354" w:rsidR="00B51982" w:rsidRDefault="00B51982" w:rsidP="002A0A18">
    <w:pPr>
      <w:pStyle w:val="HeaderEven"/>
      <w:spacing w:after="240" w:line="260" w:lineRule="exact"/>
    </w:pPr>
    <w:bookmarkStart w:id="3" w:name="_Hlk117071376"/>
    <w:bookmarkStart w:id="4" w:name="_Hlk117071377"/>
    <w:r w:rsidRPr="00D47C6E">
      <w:rPr>
        <w:noProof/>
        <w:position w:val="-6"/>
      </w:rPr>
      <w:drawing>
        <wp:inline distT="0" distB="0" distL="0" distR="0" wp14:anchorId="18E6CAB2" wp14:editId="68FAC596">
          <wp:extent cx="919093" cy="154800"/>
          <wp:effectExtent l="0" t="0" r="0" b="0"/>
          <wp:docPr id="9"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r>
      <w:t xml:space="preserve">  |  Portfolio Budget Statements</w:t>
    </w:r>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tblGrid>
    <w:tr w:rsidR="00B51982" w14:paraId="09381D29" w14:textId="77777777" w:rsidTr="00EC06FE">
      <w:trPr>
        <w:trHeight w:hRule="exact" w:val="340"/>
      </w:trPr>
      <w:tc>
        <w:tcPr>
          <w:tcW w:w="7655" w:type="dxa"/>
        </w:tcPr>
        <w:p w14:paraId="51D23B41" w14:textId="77777777" w:rsidR="00B51982" w:rsidRDefault="00B51982" w:rsidP="00FE2DA0">
          <w:pPr>
            <w:pStyle w:val="HeaderOdd"/>
          </w:pPr>
          <w:r>
            <w:t xml:space="preserve">Portfolio Budget Statements  |  </w:t>
          </w:r>
          <w:r w:rsidRPr="00D47C6E">
            <w:rPr>
              <w:noProof/>
              <w:position w:val="-6"/>
            </w:rPr>
            <w:drawing>
              <wp:inline distT="0" distB="0" distL="0" distR="0" wp14:anchorId="48C35AA0" wp14:editId="097896D4">
                <wp:extent cx="919093" cy="154800"/>
                <wp:effectExtent l="0" t="0" r="0" b="0"/>
                <wp:docPr id="23"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tc>
    </w:tr>
  </w:tbl>
  <w:p w14:paraId="1869D976" w14:textId="704A0B82" w:rsidR="00B51982" w:rsidRDefault="00B51982" w:rsidP="002617A2">
    <w:pPr>
      <w:pStyle w:val="HeaderOdd"/>
      <w:spacing w:after="240" w:line="260" w:lineRule="exact"/>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0ECC0" w14:textId="77777777" w:rsidR="00B51982" w:rsidRPr="002F2256" w:rsidRDefault="00B51982" w:rsidP="00FB0D02">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3E203" w14:textId="77777777" w:rsidR="00B51982" w:rsidRPr="002F2256" w:rsidRDefault="00B51982" w:rsidP="00FB0D02">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tblGrid>
    <w:tr w:rsidR="00B51982" w14:paraId="60B74EFA" w14:textId="77777777" w:rsidTr="004E08BF">
      <w:trPr>
        <w:trHeight w:hRule="exact" w:val="340"/>
      </w:trPr>
      <w:tc>
        <w:tcPr>
          <w:tcW w:w="7655" w:type="dxa"/>
        </w:tcPr>
        <w:p w14:paraId="53A0F3D7" w14:textId="77777777" w:rsidR="00B51982" w:rsidRDefault="00B51982" w:rsidP="00291B3E">
          <w:pPr>
            <w:pStyle w:val="HeaderOdd"/>
          </w:pPr>
          <w:r>
            <w:t xml:space="preserve">Portfolio Budget Statements  |  </w:t>
          </w:r>
          <w:r w:rsidRPr="00D47C6E">
            <w:rPr>
              <w:noProof/>
              <w:position w:val="-6"/>
            </w:rPr>
            <w:drawing>
              <wp:inline distT="0" distB="0" distL="0" distR="0" wp14:anchorId="735DBEC9" wp14:editId="6E6D096C">
                <wp:extent cx="919093" cy="154800"/>
                <wp:effectExtent l="0" t="0" r="0" b="0"/>
                <wp:docPr id="30"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tc>
    </w:tr>
  </w:tbl>
  <w:p w14:paraId="2DF4CDAE" w14:textId="0E404B99" w:rsidR="00B51982" w:rsidRPr="00291B3E" w:rsidRDefault="00B51982" w:rsidP="00291B3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7DD45" w14:textId="77777777" w:rsidR="00B51982" w:rsidRPr="003B0731" w:rsidRDefault="00B51982" w:rsidP="00BB5348">
    <w:pPr>
      <w:pStyle w:val="HeaderEven"/>
    </w:pPr>
    <w:r w:rsidRPr="00D47C6E">
      <w:rPr>
        <w:noProof/>
        <w:position w:val="-6"/>
      </w:rPr>
      <w:drawing>
        <wp:inline distT="0" distB="0" distL="0" distR="0" wp14:anchorId="7CC08537" wp14:editId="00C3976E">
          <wp:extent cx="919093" cy="154800"/>
          <wp:effectExtent l="0" t="0" r="0" b="0"/>
          <wp:docPr id="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r>
      <w:t xml:space="preserve"> | Portfolio Budget Statements</w:t>
    </w:r>
  </w:p>
  <w:p w14:paraId="6E662C45" w14:textId="4E76F0FC" w:rsidR="00B51982" w:rsidRPr="00BB5348" w:rsidRDefault="00B51982" w:rsidP="00BB534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51D5" w14:textId="77777777" w:rsidR="00B51982" w:rsidRPr="000E3D70" w:rsidRDefault="00B51982" w:rsidP="00BB5348">
    <w:pPr>
      <w:pStyle w:val="HeaderOdd"/>
    </w:pPr>
    <w:r>
      <w:t xml:space="preserve">Portfolio Budget Statements | </w:t>
    </w:r>
    <w:r w:rsidRPr="00D47C6E">
      <w:rPr>
        <w:noProof/>
        <w:position w:val="-6"/>
      </w:rPr>
      <w:drawing>
        <wp:inline distT="0" distB="0" distL="0" distR="0" wp14:anchorId="5B6177C1" wp14:editId="453C0C0B">
          <wp:extent cx="919093" cy="154800"/>
          <wp:effectExtent l="0" t="0" r="0" b="0"/>
          <wp:docPr id="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6FE911EC" w14:textId="77777777" w:rsidR="00B51982" w:rsidRPr="00690CD3" w:rsidRDefault="00B51982" w:rsidP="00BB5348">
    <w:pPr>
      <w:pStyle w:val="Header"/>
    </w:pPr>
  </w:p>
  <w:p w14:paraId="0AF2895D" w14:textId="3D660F7F" w:rsidR="00B51982" w:rsidRPr="00BB5348" w:rsidRDefault="00B51982" w:rsidP="00BB534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B51982" w14:paraId="4F61CDA8" w14:textId="77777777" w:rsidTr="00243116">
      <w:trPr>
        <w:trHeight w:hRule="exact" w:val="340"/>
      </w:trPr>
      <w:tc>
        <w:tcPr>
          <w:tcW w:w="7797" w:type="dxa"/>
        </w:tcPr>
        <w:p w14:paraId="2B16BD94" w14:textId="77777777" w:rsidR="00B51982" w:rsidRPr="000E3D70" w:rsidRDefault="00B51982" w:rsidP="00BB5348">
          <w:pPr>
            <w:pStyle w:val="HeaderOdd"/>
          </w:pPr>
          <w:r>
            <w:t xml:space="preserve">Portfolio Budget Statements | </w:t>
          </w:r>
          <w:r w:rsidRPr="00D47C6E">
            <w:rPr>
              <w:noProof/>
              <w:position w:val="-6"/>
            </w:rPr>
            <w:drawing>
              <wp:inline distT="0" distB="0" distL="0" distR="0" wp14:anchorId="22738F0A" wp14:editId="464335EB">
                <wp:extent cx="919093" cy="154800"/>
                <wp:effectExtent l="0" t="0" r="0" b="0"/>
                <wp:docPr id="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509DC37F" w14:textId="42A4106B" w:rsidR="00B51982" w:rsidRDefault="00B51982" w:rsidP="00243116">
          <w:pPr>
            <w:pStyle w:val="HeaderOdd"/>
          </w:pPr>
        </w:p>
      </w:tc>
    </w:tr>
  </w:tbl>
  <w:p w14:paraId="761B7CCC" w14:textId="77777777" w:rsidR="00B51982" w:rsidRPr="004014B1" w:rsidRDefault="00B51982" w:rsidP="00243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1E3B"/>
    <w:multiLevelType w:val="hybridMultilevel"/>
    <w:tmpl w:val="3DBA6B04"/>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CB73A0"/>
    <w:multiLevelType w:val="hybridMultilevel"/>
    <w:tmpl w:val="1148372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 w15:restartNumberingAfterBreak="0">
    <w:nsid w:val="020D4AD7"/>
    <w:multiLevelType w:val="hybridMultilevel"/>
    <w:tmpl w:val="99745E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785505"/>
    <w:multiLevelType w:val="hybridMultilevel"/>
    <w:tmpl w:val="D3D8B8D6"/>
    <w:lvl w:ilvl="0" w:tplc="FD1E162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15:restartNumberingAfterBreak="0">
    <w:nsid w:val="038A7F9D"/>
    <w:multiLevelType w:val="hybridMultilevel"/>
    <w:tmpl w:val="174AFAD4"/>
    <w:lvl w:ilvl="0" w:tplc="0C090017">
      <w:start w:val="1"/>
      <w:numFmt w:val="lowerLetter"/>
      <w:lvlText w:val="%1)"/>
      <w:lvlJc w:val="left"/>
      <w:pPr>
        <w:ind w:left="826" w:hanging="360"/>
      </w:p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5"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693817"/>
    <w:multiLevelType w:val="hybridMultilevel"/>
    <w:tmpl w:val="33A2381C"/>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 w15:restartNumberingAfterBreak="0">
    <w:nsid w:val="06AE615C"/>
    <w:multiLevelType w:val="hybridMultilevel"/>
    <w:tmpl w:val="3A82100C"/>
    <w:lvl w:ilvl="0" w:tplc="E5AEF7F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06C25E1A"/>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8F1A36"/>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7F20E98"/>
    <w:multiLevelType w:val="hybridMultilevel"/>
    <w:tmpl w:val="10469602"/>
    <w:lvl w:ilvl="0" w:tplc="630074F6">
      <w:start w:val="1"/>
      <w:numFmt w:val="lowerLetter"/>
      <w:lvlText w:val="%1)"/>
      <w:lvlJc w:val="left"/>
      <w:pPr>
        <w:ind w:left="828" w:hanging="360"/>
      </w:pPr>
      <w:rPr>
        <w:b w:val="0"/>
        <w:i w:val="0"/>
        <w:color w:val="auto"/>
      </w:rPr>
    </w:lvl>
    <w:lvl w:ilvl="1" w:tplc="0C090019">
      <w:start w:val="1"/>
      <w:numFmt w:val="lowerLetter"/>
      <w:lvlText w:val="%2."/>
      <w:lvlJc w:val="left"/>
      <w:pPr>
        <w:ind w:left="1548" w:hanging="360"/>
      </w:pPr>
    </w:lvl>
    <w:lvl w:ilvl="2" w:tplc="0C09001B">
      <w:start w:val="1"/>
      <w:numFmt w:val="lowerRoman"/>
      <w:lvlText w:val="%3."/>
      <w:lvlJc w:val="right"/>
      <w:pPr>
        <w:ind w:left="2268" w:hanging="180"/>
      </w:pPr>
    </w:lvl>
    <w:lvl w:ilvl="3" w:tplc="0C09000F">
      <w:start w:val="1"/>
      <w:numFmt w:val="decimal"/>
      <w:lvlText w:val="%4."/>
      <w:lvlJc w:val="left"/>
      <w:pPr>
        <w:ind w:left="2988" w:hanging="360"/>
      </w:pPr>
    </w:lvl>
    <w:lvl w:ilvl="4" w:tplc="0C090019">
      <w:start w:val="1"/>
      <w:numFmt w:val="lowerLetter"/>
      <w:lvlText w:val="%5."/>
      <w:lvlJc w:val="left"/>
      <w:pPr>
        <w:ind w:left="3708" w:hanging="360"/>
      </w:pPr>
    </w:lvl>
    <w:lvl w:ilvl="5" w:tplc="0C09001B">
      <w:start w:val="1"/>
      <w:numFmt w:val="lowerRoman"/>
      <w:lvlText w:val="%6."/>
      <w:lvlJc w:val="right"/>
      <w:pPr>
        <w:ind w:left="4428" w:hanging="180"/>
      </w:pPr>
    </w:lvl>
    <w:lvl w:ilvl="6" w:tplc="0C09000F">
      <w:start w:val="1"/>
      <w:numFmt w:val="decimal"/>
      <w:lvlText w:val="%7."/>
      <w:lvlJc w:val="left"/>
      <w:pPr>
        <w:ind w:left="5148" w:hanging="360"/>
      </w:pPr>
    </w:lvl>
    <w:lvl w:ilvl="7" w:tplc="0C090019">
      <w:start w:val="1"/>
      <w:numFmt w:val="lowerLetter"/>
      <w:lvlText w:val="%8."/>
      <w:lvlJc w:val="left"/>
      <w:pPr>
        <w:ind w:left="5868" w:hanging="360"/>
      </w:pPr>
    </w:lvl>
    <w:lvl w:ilvl="8" w:tplc="0C09001B">
      <w:start w:val="1"/>
      <w:numFmt w:val="lowerRoman"/>
      <w:lvlText w:val="%9."/>
      <w:lvlJc w:val="right"/>
      <w:pPr>
        <w:ind w:left="6588" w:hanging="180"/>
      </w:pPr>
    </w:lvl>
  </w:abstractNum>
  <w:abstractNum w:abstractNumId="11" w15:restartNumberingAfterBreak="0">
    <w:nsid w:val="08281FE0"/>
    <w:multiLevelType w:val="hybridMultilevel"/>
    <w:tmpl w:val="084ED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845261"/>
    <w:multiLevelType w:val="hybridMultilevel"/>
    <w:tmpl w:val="463CF2F8"/>
    <w:lvl w:ilvl="0" w:tplc="C15C91CC">
      <w:start w:val="1"/>
      <w:numFmt w:val="lowerLetter"/>
      <w:lvlText w:val="%1)"/>
      <w:lvlJc w:val="left"/>
      <w:pPr>
        <w:ind w:left="700" w:hanging="284"/>
      </w:pPr>
      <w:rPr>
        <w:rFonts w:ascii="Arial" w:eastAsia="Arial" w:hAnsi="Arial" w:cs="Arial" w:hint="default"/>
        <w:b w:val="0"/>
        <w:bCs w:val="0"/>
        <w:i w:val="0"/>
        <w:iCs w:val="0"/>
        <w:spacing w:val="-1"/>
        <w:w w:val="100"/>
        <w:sz w:val="16"/>
        <w:szCs w:val="16"/>
        <w:lang w:val="en-US" w:eastAsia="en-US" w:bidi="ar-SA"/>
      </w:rPr>
    </w:lvl>
    <w:lvl w:ilvl="1" w:tplc="D4929232">
      <w:numFmt w:val="bullet"/>
      <w:lvlText w:val="•"/>
      <w:lvlJc w:val="left"/>
      <w:pPr>
        <w:ind w:left="1484" w:hanging="284"/>
      </w:pPr>
      <w:rPr>
        <w:rFonts w:hint="default"/>
        <w:lang w:val="en-US" w:eastAsia="en-US" w:bidi="ar-SA"/>
      </w:rPr>
    </w:lvl>
    <w:lvl w:ilvl="2" w:tplc="0FA69044">
      <w:numFmt w:val="bullet"/>
      <w:lvlText w:val="•"/>
      <w:lvlJc w:val="left"/>
      <w:pPr>
        <w:ind w:left="2269" w:hanging="284"/>
      </w:pPr>
      <w:rPr>
        <w:rFonts w:hint="default"/>
        <w:lang w:val="en-US" w:eastAsia="en-US" w:bidi="ar-SA"/>
      </w:rPr>
    </w:lvl>
    <w:lvl w:ilvl="3" w:tplc="0E484D94">
      <w:numFmt w:val="bullet"/>
      <w:lvlText w:val="•"/>
      <w:lvlJc w:val="left"/>
      <w:pPr>
        <w:ind w:left="3053" w:hanging="284"/>
      </w:pPr>
      <w:rPr>
        <w:rFonts w:hint="default"/>
        <w:lang w:val="en-US" w:eastAsia="en-US" w:bidi="ar-SA"/>
      </w:rPr>
    </w:lvl>
    <w:lvl w:ilvl="4" w:tplc="850CAE72">
      <w:numFmt w:val="bullet"/>
      <w:lvlText w:val="•"/>
      <w:lvlJc w:val="left"/>
      <w:pPr>
        <w:ind w:left="3838" w:hanging="284"/>
      </w:pPr>
      <w:rPr>
        <w:rFonts w:hint="default"/>
        <w:lang w:val="en-US" w:eastAsia="en-US" w:bidi="ar-SA"/>
      </w:rPr>
    </w:lvl>
    <w:lvl w:ilvl="5" w:tplc="FFDEAA0E">
      <w:numFmt w:val="bullet"/>
      <w:lvlText w:val="•"/>
      <w:lvlJc w:val="left"/>
      <w:pPr>
        <w:ind w:left="4623" w:hanging="284"/>
      </w:pPr>
      <w:rPr>
        <w:rFonts w:hint="default"/>
        <w:lang w:val="en-US" w:eastAsia="en-US" w:bidi="ar-SA"/>
      </w:rPr>
    </w:lvl>
    <w:lvl w:ilvl="6" w:tplc="88CEF1B8">
      <w:numFmt w:val="bullet"/>
      <w:lvlText w:val="•"/>
      <w:lvlJc w:val="left"/>
      <w:pPr>
        <w:ind w:left="5407" w:hanging="284"/>
      </w:pPr>
      <w:rPr>
        <w:rFonts w:hint="default"/>
        <w:lang w:val="en-US" w:eastAsia="en-US" w:bidi="ar-SA"/>
      </w:rPr>
    </w:lvl>
    <w:lvl w:ilvl="7" w:tplc="CAA84658">
      <w:numFmt w:val="bullet"/>
      <w:lvlText w:val="•"/>
      <w:lvlJc w:val="left"/>
      <w:pPr>
        <w:ind w:left="6192" w:hanging="284"/>
      </w:pPr>
      <w:rPr>
        <w:rFonts w:hint="default"/>
        <w:lang w:val="en-US" w:eastAsia="en-US" w:bidi="ar-SA"/>
      </w:rPr>
    </w:lvl>
    <w:lvl w:ilvl="8" w:tplc="2592D824">
      <w:numFmt w:val="bullet"/>
      <w:lvlText w:val="•"/>
      <w:lvlJc w:val="left"/>
      <w:pPr>
        <w:ind w:left="6977" w:hanging="284"/>
      </w:pPr>
      <w:rPr>
        <w:rFonts w:hint="default"/>
        <w:lang w:val="en-US" w:eastAsia="en-US" w:bidi="ar-SA"/>
      </w:rPr>
    </w:lvl>
  </w:abstractNum>
  <w:abstractNum w:abstractNumId="14" w15:restartNumberingAfterBreak="0">
    <w:nsid w:val="096C18D2"/>
    <w:multiLevelType w:val="hybridMultilevel"/>
    <w:tmpl w:val="AC4E99C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15" w15:restartNumberingAfterBreak="0">
    <w:nsid w:val="09A9510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6" w15:restartNumberingAfterBreak="0">
    <w:nsid w:val="0A3C45E9"/>
    <w:multiLevelType w:val="hybridMultilevel"/>
    <w:tmpl w:val="51268EBE"/>
    <w:lvl w:ilvl="0" w:tplc="B2A6F874">
      <w:start w:val="1"/>
      <w:numFmt w:val="lowerLetter"/>
      <w:lvlText w:val="(%1)"/>
      <w:lvlJc w:val="left"/>
      <w:pPr>
        <w:ind w:left="720" w:hanging="360"/>
      </w:pPr>
      <w:rPr>
        <w:sz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B526F34"/>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D4949A8"/>
    <w:multiLevelType w:val="hybridMultilevel"/>
    <w:tmpl w:val="6A06EADC"/>
    <w:lvl w:ilvl="0" w:tplc="A50AFEE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0F4E628A"/>
    <w:multiLevelType w:val="hybridMultilevel"/>
    <w:tmpl w:val="0B90F706"/>
    <w:lvl w:ilvl="0" w:tplc="D1900E7E">
      <w:numFmt w:val="bullet"/>
      <w:lvlText w:val=""/>
      <w:lvlJc w:val="left"/>
      <w:pPr>
        <w:ind w:left="720" w:hanging="360"/>
      </w:pPr>
      <w:rPr>
        <w:rFonts w:ascii="Symbol" w:eastAsia="Symbol" w:hAnsi="Symbol" w:cs="Symbol" w:hint="default"/>
        <w:w w:val="100"/>
        <w:sz w:val="16"/>
        <w:szCs w:val="16"/>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00251D3"/>
    <w:multiLevelType w:val="hybridMultilevel"/>
    <w:tmpl w:val="F1003D04"/>
    <w:lvl w:ilvl="0" w:tplc="1FA8BC7E">
      <w:start w:val="1"/>
      <w:numFmt w:val="lowerLetter"/>
      <w:lvlText w:val="(%1)"/>
      <w:lvlJc w:val="left"/>
      <w:pPr>
        <w:ind w:left="786" w:hanging="360"/>
      </w:pPr>
      <w:rPr>
        <w:rFonts w:ascii="Arial" w:hAnsi="Arial" w:cs="Arial" w:hint="default"/>
        <w:b w:val="0"/>
        <w:i w:val="0"/>
        <w:color w:val="000000"/>
        <w:sz w:val="16"/>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5" w15:restartNumberingAfterBreak="0">
    <w:nsid w:val="10757CBC"/>
    <w:multiLevelType w:val="singleLevel"/>
    <w:tmpl w:val="209686D2"/>
    <w:name w:val="Box Bullet List"/>
    <w:lvl w:ilvl="0">
      <w:start w:val="1"/>
      <w:numFmt w:val="bullet"/>
      <w:lvlRestart w:val="0"/>
      <w:lvlText w:val="•"/>
      <w:lvlJc w:val="left"/>
      <w:pPr>
        <w:tabs>
          <w:tab w:val="num" w:pos="283"/>
        </w:tabs>
        <w:ind w:left="283" w:hanging="283"/>
      </w:pPr>
      <w:rPr>
        <w:rFonts w:ascii="Book Antiqua" w:hAnsi="Book Antiqua" w:cs="Times New Roman" w:hint="default"/>
        <w:b w:val="0"/>
        <w:i w:val="0"/>
      </w:rPr>
    </w:lvl>
  </w:abstractNum>
  <w:abstractNum w:abstractNumId="26" w15:restartNumberingAfterBreak="0">
    <w:nsid w:val="11C97EF9"/>
    <w:multiLevelType w:val="hybridMultilevel"/>
    <w:tmpl w:val="691CF93A"/>
    <w:lvl w:ilvl="0" w:tplc="F0CA3E2A">
      <w:start w:val="1"/>
      <w:numFmt w:val="lowerLetter"/>
      <w:lvlText w:val="(%1)"/>
      <w:lvlJc w:val="left"/>
      <w:pPr>
        <w:ind w:left="700" w:hanging="284"/>
      </w:pPr>
      <w:rPr>
        <w:rFonts w:hint="default"/>
        <w:b w:val="0"/>
        <w:bCs w:val="0"/>
        <w:i w:val="0"/>
        <w:iCs w:val="0"/>
        <w:spacing w:val="-1"/>
        <w:w w:val="100"/>
        <w:sz w:val="16"/>
        <w:szCs w:val="16"/>
        <w:lang w:val="en-US" w:eastAsia="en-US" w:bidi="ar-SA"/>
      </w:rPr>
    </w:lvl>
    <w:lvl w:ilvl="1" w:tplc="6DB6419A">
      <w:numFmt w:val="bullet"/>
      <w:lvlText w:val="-"/>
      <w:lvlJc w:val="left"/>
      <w:pPr>
        <w:ind w:left="799" w:hanging="99"/>
      </w:pPr>
      <w:rPr>
        <w:rFonts w:ascii="Arial" w:eastAsia="Arial" w:hAnsi="Arial" w:cs="Arial" w:hint="default"/>
        <w:b w:val="0"/>
        <w:bCs w:val="0"/>
        <w:i w:val="0"/>
        <w:iCs w:val="0"/>
        <w:w w:val="100"/>
        <w:sz w:val="16"/>
        <w:szCs w:val="16"/>
        <w:lang w:val="en-US" w:eastAsia="en-US" w:bidi="ar-SA"/>
      </w:rPr>
    </w:lvl>
    <w:lvl w:ilvl="2" w:tplc="FD066DEC">
      <w:numFmt w:val="bullet"/>
      <w:lvlText w:val="•"/>
      <w:lvlJc w:val="left"/>
      <w:pPr>
        <w:ind w:left="1660" w:hanging="99"/>
      </w:pPr>
      <w:rPr>
        <w:rFonts w:hint="default"/>
        <w:lang w:val="en-US" w:eastAsia="en-US" w:bidi="ar-SA"/>
      </w:rPr>
    </w:lvl>
    <w:lvl w:ilvl="3" w:tplc="68FCF3C6">
      <w:numFmt w:val="bullet"/>
      <w:lvlText w:val="•"/>
      <w:lvlJc w:val="left"/>
      <w:pPr>
        <w:ind w:left="2521" w:hanging="99"/>
      </w:pPr>
      <w:rPr>
        <w:rFonts w:hint="default"/>
        <w:lang w:val="en-US" w:eastAsia="en-US" w:bidi="ar-SA"/>
      </w:rPr>
    </w:lvl>
    <w:lvl w:ilvl="4" w:tplc="9FBA2BA8">
      <w:numFmt w:val="bullet"/>
      <w:lvlText w:val="•"/>
      <w:lvlJc w:val="left"/>
      <w:pPr>
        <w:ind w:left="3382" w:hanging="99"/>
      </w:pPr>
      <w:rPr>
        <w:rFonts w:hint="default"/>
        <w:lang w:val="en-US" w:eastAsia="en-US" w:bidi="ar-SA"/>
      </w:rPr>
    </w:lvl>
    <w:lvl w:ilvl="5" w:tplc="4AF89E68">
      <w:numFmt w:val="bullet"/>
      <w:lvlText w:val="•"/>
      <w:lvlJc w:val="left"/>
      <w:pPr>
        <w:ind w:left="4242" w:hanging="99"/>
      </w:pPr>
      <w:rPr>
        <w:rFonts w:hint="default"/>
        <w:lang w:val="en-US" w:eastAsia="en-US" w:bidi="ar-SA"/>
      </w:rPr>
    </w:lvl>
    <w:lvl w:ilvl="6" w:tplc="A1D25EF2">
      <w:numFmt w:val="bullet"/>
      <w:lvlText w:val="•"/>
      <w:lvlJc w:val="left"/>
      <w:pPr>
        <w:ind w:left="5103" w:hanging="99"/>
      </w:pPr>
      <w:rPr>
        <w:rFonts w:hint="default"/>
        <w:lang w:val="en-US" w:eastAsia="en-US" w:bidi="ar-SA"/>
      </w:rPr>
    </w:lvl>
    <w:lvl w:ilvl="7" w:tplc="C7B03784">
      <w:numFmt w:val="bullet"/>
      <w:lvlText w:val="•"/>
      <w:lvlJc w:val="left"/>
      <w:pPr>
        <w:ind w:left="5964" w:hanging="99"/>
      </w:pPr>
      <w:rPr>
        <w:rFonts w:hint="default"/>
        <w:lang w:val="en-US" w:eastAsia="en-US" w:bidi="ar-SA"/>
      </w:rPr>
    </w:lvl>
    <w:lvl w:ilvl="8" w:tplc="41084F00">
      <w:numFmt w:val="bullet"/>
      <w:lvlText w:val="•"/>
      <w:lvlJc w:val="left"/>
      <w:pPr>
        <w:ind w:left="6824" w:hanging="99"/>
      </w:pPr>
      <w:rPr>
        <w:rFonts w:hint="default"/>
        <w:lang w:val="en-US" w:eastAsia="en-US" w:bidi="ar-SA"/>
      </w:rPr>
    </w:lvl>
  </w:abstractNum>
  <w:abstractNum w:abstractNumId="27" w15:restartNumberingAfterBreak="0">
    <w:nsid w:val="12173759"/>
    <w:multiLevelType w:val="hybridMultilevel"/>
    <w:tmpl w:val="2A58E8D4"/>
    <w:lvl w:ilvl="0" w:tplc="6D8ACDDA">
      <w:start w:val="1"/>
      <w:numFmt w:val="lowerLetter"/>
      <w:lvlText w:val="(%1)"/>
      <w:lvlJc w:val="left"/>
      <w:pPr>
        <w:ind w:left="701" w:hanging="284"/>
      </w:pPr>
      <w:rPr>
        <w:rFonts w:ascii="Arial" w:eastAsia="Times New Roman" w:hAnsi="Arial" w:cs="Times New Roman" w:hint="default"/>
        <w:b w:val="0"/>
        <w:bCs w:val="0"/>
        <w:i w:val="0"/>
        <w:iCs w:val="0"/>
        <w:spacing w:val="-1"/>
        <w:w w:val="100"/>
        <w:sz w:val="16"/>
        <w:szCs w:val="16"/>
        <w:lang w:val="en-US" w:eastAsia="en-US" w:bidi="ar-SA"/>
      </w:rPr>
    </w:lvl>
    <w:lvl w:ilvl="1" w:tplc="F1FE2EB2">
      <w:numFmt w:val="bullet"/>
      <w:lvlText w:val="•"/>
      <w:lvlJc w:val="left"/>
      <w:pPr>
        <w:ind w:left="1484" w:hanging="284"/>
      </w:pPr>
      <w:rPr>
        <w:rFonts w:hint="default"/>
        <w:lang w:val="en-US" w:eastAsia="en-US" w:bidi="ar-SA"/>
      </w:rPr>
    </w:lvl>
    <w:lvl w:ilvl="2" w:tplc="F2E0454A">
      <w:numFmt w:val="bullet"/>
      <w:lvlText w:val="•"/>
      <w:lvlJc w:val="left"/>
      <w:pPr>
        <w:ind w:left="2269" w:hanging="284"/>
      </w:pPr>
      <w:rPr>
        <w:rFonts w:hint="default"/>
        <w:lang w:val="en-US" w:eastAsia="en-US" w:bidi="ar-SA"/>
      </w:rPr>
    </w:lvl>
    <w:lvl w:ilvl="3" w:tplc="9070B05E">
      <w:numFmt w:val="bullet"/>
      <w:lvlText w:val="•"/>
      <w:lvlJc w:val="left"/>
      <w:pPr>
        <w:ind w:left="3053" w:hanging="284"/>
      </w:pPr>
      <w:rPr>
        <w:rFonts w:hint="default"/>
        <w:lang w:val="en-US" w:eastAsia="en-US" w:bidi="ar-SA"/>
      </w:rPr>
    </w:lvl>
    <w:lvl w:ilvl="4" w:tplc="AAB6B6C4">
      <w:numFmt w:val="bullet"/>
      <w:lvlText w:val="•"/>
      <w:lvlJc w:val="left"/>
      <w:pPr>
        <w:ind w:left="3838" w:hanging="284"/>
      </w:pPr>
      <w:rPr>
        <w:rFonts w:hint="default"/>
        <w:lang w:val="en-US" w:eastAsia="en-US" w:bidi="ar-SA"/>
      </w:rPr>
    </w:lvl>
    <w:lvl w:ilvl="5" w:tplc="174AB206">
      <w:numFmt w:val="bullet"/>
      <w:lvlText w:val="•"/>
      <w:lvlJc w:val="left"/>
      <w:pPr>
        <w:ind w:left="4623" w:hanging="284"/>
      </w:pPr>
      <w:rPr>
        <w:rFonts w:hint="default"/>
        <w:lang w:val="en-US" w:eastAsia="en-US" w:bidi="ar-SA"/>
      </w:rPr>
    </w:lvl>
    <w:lvl w:ilvl="6" w:tplc="1A964426">
      <w:numFmt w:val="bullet"/>
      <w:lvlText w:val="•"/>
      <w:lvlJc w:val="left"/>
      <w:pPr>
        <w:ind w:left="5407" w:hanging="284"/>
      </w:pPr>
      <w:rPr>
        <w:rFonts w:hint="default"/>
        <w:lang w:val="en-US" w:eastAsia="en-US" w:bidi="ar-SA"/>
      </w:rPr>
    </w:lvl>
    <w:lvl w:ilvl="7" w:tplc="BA04BA96">
      <w:numFmt w:val="bullet"/>
      <w:lvlText w:val="•"/>
      <w:lvlJc w:val="left"/>
      <w:pPr>
        <w:ind w:left="6192" w:hanging="284"/>
      </w:pPr>
      <w:rPr>
        <w:rFonts w:hint="default"/>
        <w:lang w:val="en-US" w:eastAsia="en-US" w:bidi="ar-SA"/>
      </w:rPr>
    </w:lvl>
    <w:lvl w:ilvl="8" w:tplc="98D24E60">
      <w:numFmt w:val="bullet"/>
      <w:lvlText w:val="•"/>
      <w:lvlJc w:val="left"/>
      <w:pPr>
        <w:ind w:left="6977" w:hanging="284"/>
      </w:pPr>
      <w:rPr>
        <w:rFonts w:hint="default"/>
        <w:lang w:val="en-US" w:eastAsia="en-US" w:bidi="ar-SA"/>
      </w:rPr>
    </w:lvl>
  </w:abstractNum>
  <w:abstractNum w:abstractNumId="28" w15:restartNumberingAfterBreak="0">
    <w:nsid w:val="126D149A"/>
    <w:multiLevelType w:val="hybridMultilevel"/>
    <w:tmpl w:val="09660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38F0D9C"/>
    <w:multiLevelType w:val="hybridMultilevel"/>
    <w:tmpl w:val="A2F8AF20"/>
    <w:lvl w:ilvl="0" w:tplc="616A9C08">
      <w:start w:val="1"/>
      <w:numFmt w:val="bullet"/>
      <w:lvlText w:val=""/>
      <w:lvlJc w:val="left"/>
      <w:pPr>
        <w:ind w:left="826" w:hanging="360"/>
      </w:pPr>
      <w:rPr>
        <w:rFonts w:ascii="Symbol" w:hAnsi="Symbol" w:hint="default"/>
        <w:color w:val="000000" w:themeColor="text1"/>
      </w:rPr>
    </w:lvl>
    <w:lvl w:ilvl="1" w:tplc="0C090003">
      <w:start w:val="1"/>
      <w:numFmt w:val="bullet"/>
      <w:lvlText w:val="o"/>
      <w:lvlJc w:val="left"/>
      <w:pPr>
        <w:ind w:left="1546" w:hanging="360"/>
      </w:pPr>
      <w:rPr>
        <w:rFonts w:ascii="Courier New" w:hAnsi="Courier New" w:cs="Courier New" w:hint="default"/>
      </w:rPr>
    </w:lvl>
    <w:lvl w:ilvl="2" w:tplc="0C090005">
      <w:start w:val="1"/>
      <w:numFmt w:val="bullet"/>
      <w:lvlText w:val=""/>
      <w:lvlJc w:val="left"/>
      <w:pPr>
        <w:ind w:left="2266" w:hanging="360"/>
      </w:pPr>
      <w:rPr>
        <w:rFonts w:ascii="Wingdings" w:hAnsi="Wingdings" w:hint="default"/>
      </w:rPr>
    </w:lvl>
    <w:lvl w:ilvl="3" w:tplc="0C090001">
      <w:start w:val="1"/>
      <w:numFmt w:val="bullet"/>
      <w:lvlText w:val=""/>
      <w:lvlJc w:val="left"/>
      <w:pPr>
        <w:ind w:left="2986" w:hanging="360"/>
      </w:pPr>
      <w:rPr>
        <w:rFonts w:ascii="Symbol" w:hAnsi="Symbol" w:hint="default"/>
      </w:rPr>
    </w:lvl>
    <w:lvl w:ilvl="4" w:tplc="0C090003">
      <w:start w:val="1"/>
      <w:numFmt w:val="bullet"/>
      <w:lvlText w:val="o"/>
      <w:lvlJc w:val="left"/>
      <w:pPr>
        <w:ind w:left="3706" w:hanging="360"/>
      </w:pPr>
      <w:rPr>
        <w:rFonts w:ascii="Courier New" w:hAnsi="Courier New" w:cs="Courier New" w:hint="default"/>
      </w:rPr>
    </w:lvl>
    <w:lvl w:ilvl="5" w:tplc="0C090005">
      <w:start w:val="1"/>
      <w:numFmt w:val="bullet"/>
      <w:lvlText w:val=""/>
      <w:lvlJc w:val="left"/>
      <w:pPr>
        <w:ind w:left="4426" w:hanging="360"/>
      </w:pPr>
      <w:rPr>
        <w:rFonts w:ascii="Wingdings" w:hAnsi="Wingdings" w:hint="default"/>
      </w:rPr>
    </w:lvl>
    <w:lvl w:ilvl="6" w:tplc="0C090001">
      <w:start w:val="1"/>
      <w:numFmt w:val="bullet"/>
      <w:lvlText w:val=""/>
      <w:lvlJc w:val="left"/>
      <w:pPr>
        <w:ind w:left="5146" w:hanging="360"/>
      </w:pPr>
      <w:rPr>
        <w:rFonts w:ascii="Symbol" w:hAnsi="Symbol" w:hint="default"/>
      </w:rPr>
    </w:lvl>
    <w:lvl w:ilvl="7" w:tplc="0C090003">
      <w:start w:val="1"/>
      <w:numFmt w:val="bullet"/>
      <w:lvlText w:val="o"/>
      <w:lvlJc w:val="left"/>
      <w:pPr>
        <w:ind w:left="5866" w:hanging="360"/>
      </w:pPr>
      <w:rPr>
        <w:rFonts w:ascii="Courier New" w:hAnsi="Courier New" w:cs="Courier New" w:hint="default"/>
      </w:rPr>
    </w:lvl>
    <w:lvl w:ilvl="8" w:tplc="0C090005">
      <w:start w:val="1"/>
      <w:numFmt w:val="bullet"/>
      <w:lvlText w:val=""/>
      <w:lvlJc w:val="left"/>
      <w:pPr>
        <w:ind w:left="6586" w:hanging="360"/>
      </w:pPr>
      <w:rPr>
        <w:rFonts w:ascii="Wingdings" w:hAnsi="Wingdings" w:hint="default"/>
      </w:rPr>
    </w:lvl>
  </w:abstractNum>
  <w:abstractNum w:abstractNumId="30" w15:restartNumberingAfterBreak="0">
    <w:nsid w:val="13943EAD"/>
    <w:multiLevelType w:val="hybridMultilevel"/>
    <w:tmpl w:val="04AA4A6E"/>
    <w:lvl w:ilvl="0" w:tplc="C9AC77F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4A77E54"/>
    <w:multiLevelType w:val="hybridMultilevel"/>
    <w:tmpl w:val="7D7EBB8C"/>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33"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57D0137"/>
    <w:multiLevelType w:val="hybridMultilevel"/>
    <w:tmpl w:val="B7C48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65916BE"/>
    <w:multiLevelType w:val="hybridMultilevel"/>
    <w:tmpl w:val="717659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181C32A0"/>
    <w:multiLevelType w:val="hybridMultilevel"/>
    <w:tmpl w:val="51628B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1A9C0301"/>
    <w:multiLevelType w:val="hybridMultilevel"/>
    <w:tmpl w:val="370AD450"/>
    <w:lvl w:ilvl="0" w:tplc="47842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AEF7201"/>
    <w:multiLevelType w:val="hybridMultilevel"/>
    <w:tmpl w:val="BF90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AF26A53"/>
    <w:multiLevelType w:val="hybridMultilevel"/>
    <w:tmpl w:val="9F8AE02A"/>
    <w:lvl w:ilvl="0" w:tplc="F0CA3E2A">
      <w:start w:val="1"/>
      <w:numFmt w:val="lowerLetter"/>
      <w:lvlText w:val="(%1)"/>
      <w:lvlJc w:val="left"/>
      <w:pPr>
        <w:ind w:left="701" w:hanging="284"/>
      </w:pPr>
      <w:rPr>
        <w:rFonts w:hint="default"/>
        <w:b w:val="0"/>
        <w:bCs w:val="0"/>
        <w:i w:val="0"/>
        <w:iCs w:val="0"/>
        <w:spacing w:val="-1"/>
        <w:w w:val="100"/>
        <w:sz w:val="16"/>
        <w:szCs w:val="16"/>
        <w:lang w:val="en-US" w:eastAsia="en-US" w:bidi="ar-SA"/>
      </w:rPr>
    </w:lvl>
    <w:lvl w:ilvl="1" w:tplc="DA80DBFE">
      <w:numFmt w:val="bullet"/>
      <w:lvlText w:val="•"/>
      <w:lvlJc w:val="left"/>
      <w:pPr>
        <w:ind w:left="1484" w:hanging="284"/>
      </w:pPr>
      <w:rPr>
        <w:rFonts w:hint="default"/>
        <w:lang w:val="en-US" w:eastAsia="en-US" w:bidi="ar-SA"/>
      </w:rPr>
    </w:lvl>
    <w:lvl w:ilvl="2" w:tplc="2582370C">
      <w:numFmt w:val="bullet"/>
      <w:lvlText w:val="•"/>
      <w:lvlJc w:val="left"/>
      <w:pPr>
        <w:ind w:left="2269" w:hanging="284"/>
      </w:pPr>
      <w:rPr>
        <w:rFonts w:hint="default"/>
        <w:lang w:val="en-US" w:eastAsia="en-US" w:bidi="ar-SA"/>
      </w:rPr>
    </w:lvl>
    <w:lvl w:ilvl="3" w:tplc="3FAC088A">
      <w:numFmt w:val="bullet"/>
      <w:lvlText w:val="•"/>
      <w:lvlJc w:val="left"/>
      <w:pPr>
        <w:ind w:left="3053" w:hanging="284"/>
      </w:pPr>
      <w:rPr>
        <w:rFonts w:hint="default"/>
        <w:lang w:val="en-US" w:eastAsia="en-US" w:bidi="ar-SA"/>
      </w:rPr>
    </w:lvl>
    <w:lvl w:ilvl="4" w:tplc="DFE4B0E2">
      <w:numFmt w:val="bullet"/>
      <w:lvlText w:val="•"/>
      <w:lvlJc w:val="left"/>
      <w:pPr>
        <w:ind w:left="3838" w:hanging="284"/>
      </w:pPr>
      <w:rPr>
        <w:rFonts w:hint="default"/>
        <w:lang w:val="en-US" w:eastAsia="en-US" w:bidi="ar-SA"/>
      </w:rPr>
    </w:lvl>
    <w:lvl w:ilvl="5" w:tplc="6FCA390C">
      <w:numFmt w:val="bullet"/>
      <w:lvlText w:val="•"/>
      <w:lvlJc w:val="left"/>
      <w:pPr>
        <w:ind w:left="4623" w:hanging="284"/>
      </w:pPr>
      <w:rPr>
        <w:rFonts w:hint="default"/>
        <w:lang w:val="en-US" w:eastAsia="en-US" w:bidi="ar-SA"/>
      </w:rPr>
    </w:lvl>
    <w:lvl w:ilvl="6" w:tplc="CD42D9C2">
      <w:numFmt w:val="bullet"/>
      <w:lvlText w:val="•"/>
      <w:lvlJc w:val="left"/>
      <w:pPr>
        <w:ind w:left="5407" w:hanging="284"/>
      </w:pPr>
      <w:rPr>
        <w:rFonts w:hint="default"/>
        <w:lang w:val="en-US" w:eastAsia="en-US" w:bidi="ar-SA"/>
      </w:rPr>
    </w:lvl>
    <w:lvl w:ilvl="7" w:tplc="69FA1A00">
      <w:numFmt w:val="bullet"/>
      <w:lvlText w:val="•"/>
      <w:lvlJc w:val="left"/>
      <w:pPr>
        <w:ind w:left="6192" w:hanging="284"/>
      </w:pPr>
      <w:rPr>
        <w:rFonts w:hint="default"/>
        <w:lang w:val="en-US" w:eastAsia="en-US" w:bidi="ar-SA"/>
      </w:rPr>
    </w:lvl>
    <w:lvl w:ilvl="8" w:tplc="E05EFDE4">
      <w:numFmt w:val="bullet"/>
      <w:lvlText w:val="•"/>
      <w:lvlJc w:val="left"/>
      <w:pPr>
        <w:ind w:left="6977" w:hanging="284"/>
      </w:pPr>
      <w:rPr>
        <w:rFonts w:hint="default"/>
        <w:lang w:val="en-US" w:eastAsia="en-US" w:bidi="ar-SA"/>
      </w:rPr>
    </w:lvl>
  </w:abstractNum>
  <w:abstractNum w:abstractNumId="41" w15:restartNumberingAfterBreak="0">
    <w:nsid w:val="1B91503C"/>
    <w:multiLevelType w:val="hybridMultilevel"/>
    <w:tmpl w:val="9F5AB2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D185843"/>
    <w:multiLevelType w:val="multilevel"/>
    <w:tmpl w:val="B374DB0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cs="Times New Roman"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cs="Times New Roman"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cs="Times New Roman" w:hint="default"/>
      </w:rPr>
    </w:lvl>
    <w:lvl w:ilvl="8" w:tplc="5F70AD74">
      <w:start w:val="1"/>
      <w:numFmt w:val="bullet"/>
      <w:lvlText w:val=""/>
      <w:lvlJc w:val="left"/>
      <w:pPr>
        <w:ind w:left="6120" w:hanging="360"/>
      </w:pPr>
      <w:rPr>
        <w:rFonts w:ascii="Wingdings" w:hAnsi="Wingdings" w:hint="default"/>
      </w:rPr>
    </w:lvl>
  </w:abstractNum>
  <w:abstractNum w:abstractNumId="44" w15:restartNumberingAfterBreak="0">
    <w:nsid w:val="1FD904E4"/>
    <w:multiLevelType w:val="hybridMultilevel"/>
    <w:tmpl w:val="2A58E8D4"/>
    <w:lvl w:ilvl="0" w:tplc="6D8ACDDA">
      <w:start w:val="1"/>
      <w:numFmt w:val="lowerLetter"/>
      <w:lvlText w:val="(%1)"/>
      <w:lvlJc w:val="left"/>
      <w:pPr>
        <w:ind w:left="701" w:hanging="284"/>
      </w:pPr>
      <w:rPr>
        <w:rFonts w:ascii="Arial" w:eastAsia="Times New Roman" w:hAnsi="Arial" w:cs="Times New Roman" w:hint="default"/>
        <w:b w:val="0"/>
        <w:bCs w:val="0"/>
        <w:i w:val="0"/>
        <w:iCs w:val="0"/>
        <w:spacing w:val="-1"/>
        <w:w w:val="100"/>
        <w:sz w:val="16"/>
        <w:szCs w:val="16"/>
        <w:lang w:val="en-US" w:eastAsia="en-US" w:bidi="ar-SA"/>
      </w:rPr>
    </w:lvl>
    <w:lvl w:ilvl="1" w:tplc="F1FE2EB2">
      <w:numFmt w:val="bullet"/>
      <w:lvlText w:val="•"/>
      <w:lvlJc w:val="left"/>
      <w:pPr>
        <w:ind w:left="1484" w:hanging="284"/>
      </w:pPr>
      <w:rPr>
        <w:rFonts w:hint="default"/>
        <w:lang w:val="en-US" w:eastAsia="en-US" w:bidi="ar-SA"/>
      </w:rPr>
    </w:lvl>
    <w:lvl w:ilvl="2" w:tplc="F2E0454A">
      <w:numFmt w:val="bullet"/>
      <w:lvlText w:val="•"/>
      <w:lvlJc w:val="left"/>
      <w:pPr>
        <w:ind w:left="2269" w:hanging="284"/>
      </w:pPr>
      <w:rPr>
        <w:rFonts w:hint="default"/>
        <w:lang w:val="en-US" w:eastAsia="en-US" w:bidi="ar-SA"/>
      </w:rPr>
    </w:lvl>
    <w:lvl w:ilvl="3" w:tplc="9070B05E">
      <w:numFmt w:val="bullet"/>
      <w:lvlText w:val="•"/>
      <w:lvlJc w:val="left"/>
      <w:pPr>
        <w:ind w:left="3053" w:hanging="284"/>
      </w:pPr>
      <w:rPr>
        <w:rFonts w:hint="default"/>
        <w:lang w:val="en-US" w:eastAsia="en-US" w:bidi="ar-SA"/>
      </w:rPr>
    </w:lvl>
    <w:lvl w:ilvl="4" w:tplc="AAB6B6C4">
      <w:numFmt w:val="bullet"/>
      <w:lvlText w:val="•"/>
      <w:lvlJc w:val="left"/>
      <w:pPr>
        <w:ind w:left="3838" w:hanging="284"/>
      </w:pPr>
      <w:rPr>
        <w:rFonts w:hint="default"/>
        <w:lang w:val="en-US" w:eastAsia="en-US" w:bidi="ar-SA"/>
      </w:rPr>
    </w:lvl>
    <w:lvl w:ilvl="5" w:tplc="174AB206">
      <w:numFmt w:val="bullet"/>
      <w:lvlText w:val="•"/>
      <w:lvlJc w:val="left"/>
      <w:pPr>
        <w:ind w:left="4623" w:hanging="284"/>
      </w:pPr>
      <w:rPr>
        <w:rFonts w:hint="default"/>
        <w:lang w:val="en-US" w:eastAsia="en-US" w:bidi="ar-SA"/>
      </w:rPr>
    </w:lvl>
    <w:lvl w:ilvl="6" w:tplc="1A964426">
      <w:numFmt w:val="bullet"/>
      <w:lvlText w:val="•"/>
      <w:lvlJc w:val="left"/>
      <w:pPr>
        <w:ind w:left="5407" w:hanging="284"/>
      </w:pPr>
      <w:rPr>
        <w:rFonts w:hint="default"/>
        <w:lang w:val="en-US" w:eastAsia="en-US" w:bidi="ar-SA"/>
      </w:rPr>
    </w:lvl>
    <w:lvl w:ilvl="7" w:tplc="BA04BA96">
      <w:numFmt w:val="bullet"/>
      <w:lvlText w:val="•"/>
      <w:lvlJc w:val="left"/>
      <w:pPr>
        <w:ind w:left="6192" w:hanging="284"/>
      </w:pPr>
      <w:rPr>
        <w:rFonts w:hint="default"/>
        <w:lang w:val="en-US" w:eastAsia="en-US" w:bidi="ar-SA"/>
      </w:rPr>
    </w:lvl>
    <w:lvl w:ilvl="8" w:tplc="98D24E60">
      <w:numFmt w:val="bullet"/>
      <w:lvlText w:val="•"/>
      <w:lvlJc w:val="left"/>
      <w:pPr>
        <w:ind w:left="6977" w:hanging="284"/>
      </w:pPr>
      <w:rPr>
        <w:rFonts w:hint="default"/>
        <w:lang w:val="en-US" w:eastAsia="en-US" w:bidi="ar-SA"/>
      </w:rPr>
    </w:lvl>
  </w:abstractNum>
  <w:abstractNum w:abstractNumId="45" w15:restartNumberingAfterBreak="0">
    <w:nsid w:val="205D3BCD"/>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0C966E5"/>
    <w:multiLevelType w:val="hybridMultilevel"/>
    <w:tmpl w:val="7474028C"/>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47" w15:restartNumberingAfterBreak="0">
    <w:nsid w:val="211F4AE3"/>
    <w:multiLevelType w:val="hybridMultilevel"/>
    <w:tmpl w:val="3D10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19E6D3E"/>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1ED4B9A"/>
    <w:multiLevelType w:val="hybridMultilevel"/>
    <w:tmpl w:val="3A843766"/>
    <w:lvl w:ilvl="0" w:tplc="C802B100">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3523A55"/>
    <w:multiLevelType w:val="hybridMultilevel"/>
    <w:tmpl w:val="7E16964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3E12274"/>
    <w:multiLevelType w:val="hybridMultilevel"/>
    <w:tmpl w:val="9858D946"/>
    <w:lvl w:ilvl="0" w:tplc="21BA1CD6">
      <w:start w:val="1"/>
      <w:numFmt w:val="lowerLetter"/>
      <w:lvlText w:val="(%1)"/>
      <w:lvlJc w:val="left"/>
      <w:pPr>
        <w:ind w:left="720" w:hanging="360"/>
      </w:pPr>
      <w:rPr>
        <w:rFonts w:ascii="Arial" w:hAnsi="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6"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57" w15:restartNumberingAfterBreak="0">
    <w:nsid w:val="27B458FA"/>
    <w:multiLevelType w:val="hybridMultilevel"/>
    <w:tmpl w:val="8AA683B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8"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8947BFA"/>
    <w:multiLevelType w:val="hybridMultilevel"/>
    <w:tmpl w:val="EFCAD862"/>
    <w:lvl w:ilvl="0" w:tplc="B134BC52">
      <w:start w:val="1"/>
      <w:numFmt w:val="lowerLetter"/>
      <w:lvlText w:val="(%1)"/>
      <w:lvlJc w:val="left"/>
      <w:pPr>
        <w:ind w:left="1136" w:hanging="360"/>
      </w:pPr>
      <w:rPr>
        <w:rFonts w:hint="default"/>
      </w:rPr>
    </w:lvl>
    <w:lvl w:ilvl="1" w:tplc="0C090019" w:tentative="1">
      <w:start w:val="1"/>
      <w:numFmt w:val="lowerLetter"/>
      <w:lvlText w:val="%2."/>
      <w:lvlJc w:val="left"/>
      <w:pPr>
        <w:ind w:left="1856" w:hanging="360"/>
      </w:pPr>
    </w:lvl>
    <w:lvl w:ilvl="2" w:tplc="0C09001B" w:tentative="1">
      <w:start w:val="1"/>
      <w:numFmt w:val="lowerRoman"/>
      <w:lvlText w:val="%3."/>
      <w:lvlJc w:val="right"/>
      <w:pPr>
        <w:ind w:left="2576" w:hanging="180"/>
      </w:pPr>
    </w:lvl>
    <w:lvl w:ilvl="3" w:tplc="0C09000F" w:tentative="1">
      <w:start w:val="1"/>
      <w:numFmt w:val="decimal"/>
      <w:lvlText w:val="%4."/>
      <w:lvlJc w:val="left"/>
      <w:pPr>
        <w:ind w:left="3296" w:hanging="360"/>
      </w:pPr>
    </w:lvl>
    <w:lvl w:ilvl="4" w:tplc="0C090019" w:tentative="1">
      <w:start w:val="1"/>
      <w:numFmt w:val="lowerLetter"/>
      <w:lvlText w:val="%5."/>
      <w:lvlJc w:val="left"/>
      <w:pPr>
        <w:ind w:left="4016" w:hanging="360"/>
      </w:pPr>
    </w:lvl>
    <w:lvl w:ilvl="5" w:tplc="0C09001B" w:tentative="1">
      <w:start w:val="1"/>
      <w:numFmt w:val="lowerRoman"/>
      <w:lvlText w:val="%6."/>
      <w:lvlJc w:val="right"/>
      <w:pPr>
        <w:ind w:left="4736" w:hanging="180"/>
      </w:pPr>
    </w:lvl>
    <w:lvl w:ilvl="6" w:tplc="0C09000F" w:tentative="1">
      <w:start w:val="1"/>
      <w:numFmt w:val="decimal"/>
      <w:lvlText w:val="%7."/>
      <w:lvlJc w:val="left"/>
      <w:pPr>
        <w:ind w:left="5456" w:hanging="360"/>
      </w:pPr>
    </w:lvl>
    <w:lvl w:ilvl="7" w:tplc="0C090019" w:tentative="1">
      <w:start w:val="1"/>
      <w:numFmt w:val="lowerLetter"/>
      <w:lvlText w:val="%8."/>
      <w:lvlJc w:val="left"/>
      <w:pPr>
        <w:ind w:left="6176" w:hanging="360"/>
      </w:pPr>
    </w:lvl>
    <w:lvl w:ilvl="8" w:tplc="0C09001B" w:tentative="1">
      <w:start w:val="1"/>
      <w:numFmt w:val="lowerRoman"/>
      <w:lvlText w:val="%9."/>
      <w:lvlJc w:val="right"/>
      <w:pPr>
        <w:ind w:left="6896" w:hanging="180"/>
      </w:pPr>
    </w:lvl>
  </w:abstractNum>
  <w:abstractNum w:abstractNumId="60" w15:restartNumberingAfterBreak="0">
    <w:nsid w:val="29A14CA9"/>
    <w:multiLevelType w:val="multilevel"/>
    <w:tmpl w:val="7AA804B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2AA83613"/>
    <w:multiLevelType w:val="hybridMultilevel"/>
    <w:tmpl w:val="2D78DD36"/>
    <w:lvl w:ilvl="0" w:tplc="E3549DE6">
      <w:start w:val="1"/>
      <w:numFmt w:val="lowerLetter"/>
      <w:lvlText w:val="%1)"/>
      <w:lvlJc w:val="left"/>
      <w:pPr>
        <w:ind w:left="826" w:hanging="360"/>
      </w:pPr>
      <w:rPr>
        <w:i w:val="0"/>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62" w15:restartNumberingAfterBreak="0">
    <w:nsid w:val="2AC45E13"/>
    <w:multiLevelType w:val="hybridMultilevel"/>
    <w:tmpl w:val="2D28E22E"/>
    <w:lvl w:ilvl="0" w:tplc="616A9C08">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3"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4" w15:restartNumberingAfterBreak="0">
    <w:nsid w:val="2C7B2553"/>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C991BC0"/>
    <w:multiLevelType w:val="hybridMultilevel"/>
    <w:tmpl w:val="78B2CFC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6"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8" w15:restartNumberingAfterBreak="0">
    <w:nsid w:val="2D984C44"/>
    <w:multiLevelType w:val="hybridMultilevel"/>
    <w:tmpl w:val="C0E83D26"/>
    <w:lvl w:ilvl="0" w:tplc="6DE66B90">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9" w15:restartNumberingAfterBreak="0">
    <w:nsid w:val="2DD339A7"/>
    <w:multiLevelType w:val="multilevel"/>
    <w:tmpl w:val="EF2C25B6"/>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hAnsi="Arial" w:cs="Arial" w:hint="default"/>
        <w:b w:val="0"/>
        <w:sz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3029562C"/>
    <w:multiLevelType w:val="hybridMultilevel"/>
    <w:tmpl w:val="4DCE4F14"/>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2" w15:restartNumberingAfterBreak="0">
    <w:nsid w:val="30DE6C22"/>
    <w:multiLevelType w:val="hybridMultilevel"/>
    <w:tmpl w:val="7E16964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2120BEF"/>
    <w:multiLevelType w:val="hybridMultilevel"/>
    <w:tmpl w:val="12721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21F01E7"/>
    <w:multiLevelType w:val="hybridMultilevel"/>
    <w:tmpl w:val="5A7CDF56"/>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5" w15:restartNumberingAfterBreak="0">
    <w:nsid w:val="32330CF2"/>
    <w:multiLevelType w:val="hybridMultilevel"/>
    <w:tmpl w:val="AA364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23D0918"/>
    <w:multiLevelType w:val="hybridMultilevel"/>
    <w:tmpl w:val="6F78B642"/>
    <w:lvl w:ilvl="0" w:tplc="08B8DA32">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2442AB4"/>
    <w:multiLevelType w:val="hybridMultilevel"/>
    <w:tmpl w:val="F0DE380E"/>
    <w:lvl w:ilvl="0" w:tplc="8F6211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32551CF8"/>
    <w:multiLevelType w:val="hybridMultilevel"/>
    <w:tmpl w:val="0B1CB272"/>
    <w:lvl w:ilvl="0" w:tplc="0C090001">
      <w:start w:val="1"/>
      <w:numFmt w:val="bullet"/>
      <w:lvlText w:val=""/>
      <w:lvlJc w:val="left"/>
      <w:pPr>
        <w:ind w:left="720" w:hanging="360"/>
      </w:pPr>
      <w:rPr>
        <w:rFonts w:ascii="Symbol" w:hAnsi="Symbo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34950411"/>
    <w:multiLevelType w:val="hybridMultilevel"/>
    <w:tmpl w:val="4D0654F2"/>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4F71975"/>
    <w:multiLevelType w:val="hybridMultilevel"/>
    <w:tmpl w:val="CC009852"/>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362B453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2" w15:restartNumberingAfterBreak="0">
    <w:nsid w:val="367446C9"/>
    <w:multiLevelType w:val="hybridMultilevel"/>
    <w:tmpl w:val="7C38FB82"/>
    <w:lvl w:ilvl="0" w:tplc="D34C88E6">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3" w15:restartNumberingAfterBreak="0">
    <w:nsid w:val="36982251"/>
    <w:multiLevelType w:val="hybridMultilevel"/>
    <w:tmpl w:val="4BE2992E"/>
    <w:lvl w:ilvl="0" w:tplc="0D26BF72">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6"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38EB55E1"/>
    <w:multiLevelType w:val="hybridMultilevel"/>
    <w:tmpl w:val="C84E0DB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8" w15:restartNumberingAfterBreak="0">
    <w:nsid w:val="3A72674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90"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BA01A38"/>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C320BB8"/>
    <w:multiLevelType w:val="hybridMultilevel"/>
    <w:tmpl w:val="2C1A2D9A"/>
    <w:lvl w:ilvl="0" w:tplc="F4EA3A9E">
      <w:start w:val="1"/>
      <w:numFmt w:val="lowerLetter"/>
      <w:lvlText w:val="(%1)"/>
      <w:lvlJc w:val="left"/>
      <w:pPr>
        <w:ind w:left="720" w:hanging="360"/>
      </w:pPr>
      <w:rPr>
        <w:rFonts w:ascii="Arial" w:eastAsia="Times New Roman" w:hAnsi="Arial" w:cs="Times New Roman" w:hint="default"/>
        <w:sz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D3A2A2F"/>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3D790A8A"/>
    <w:multiLevelType w:val="hybridMultilevel"/>
    <w:tmpl w:val="282EC0AA"/>
    <w:lvl w:ilvl="0" w:tplc="616A9C08">
      <w:start w:val="1"/>
      <w:numFmt w:val="bullet"/>
      <w:lvlText w:val=""/>
      <w:lvlJc w:val="left"/>
      <w:pPr>
        <w:ind w:left="827" w:hanging="360"/>
      </w:pPr>
      <w:rPr>
        <w:rFonts w:ascii="Symbol" w:hAnsi="Symbol" w:hint="default"/>
        <w:color w:val="000000" w:themeColor="text1"/>
      </w:rPr>
    </w:lvl>
    <w:lvl w:ilvl="1" w:tplc="0C090003">
      <w:start w:val="1"/>
      <w:numFmt w:val="bullet"/>
      <w:lvlText w:val="o"/>
      <w:lvlJc w:val="left"/>
      <w:pPr>
        <w:ind w:left="1547" w:hanging="360"/>
      </w:pPr>
      <w:rPr>
        <w:rFonts w:ascii="Courier New" w:hAnsi="Courier New" w:cs="Courier New" w:hint="default"/>
      </w:rPr>
    </w:lvl>
    <w:lvl w:ilvl="2" w:tplc="0C090005">
      <w:start w:val="1"/>
      <w:numFmt w:val="bullet"/>
      <w:lvlText w:val=""/>
      <w:lvlJc w:val="left"/>
      <w:pPr>
        <w:ind w:left="2267" w:hanging="360"/>
      </w:pPr>
      <w:rPr>
        <w:rFonts w:ascii="Wingdings" w:hAnsi="Wingdings" w:hint="default"/>
      </w:rPr>
    </w:lvl>
    <w:lvl w:ilvl="3" w:tplc="0C090001">
      <w:start w:val="1"/>
      <w:numFmt w:val="bullet"/>
      <w:lvlText w:val=""/>
      <w:lvlJc w:val="left"/>
      <w:pPr>
        <w:ind w:left="2987" w:hanging="360"/>
      </w:pPr>
      <w:rPr>
        <w:rFonts w:ascii="Symbol" w:hAnsi="Symbol" w:hint="default"/>
      </w:rPr>
    </w:lvl>
    <w:lvl w:ilvl="4" w:tplc="0C090003">
      <w:start w:val="1"/>
      <w:numFmt w:val="bullet"/>
      <w:lvlText w:val="o"/>
      <w:lvlJc w:val="left"/>
      <w:pPr>
        <w:ind w:left="3707" w:hanging="360"/>
      </w:pPr>
      <w:rPr>
        <w:rFonts w:ascii="Courier New" w:hAnsi="Courier New" w:cs="Courier New" w:hint="default"/>
      </w:rPr>
    </w:lvl>
    <w:lvl w:ilvl="5" w:tplc="0C090005">
      <w:start w:val="1"/>
      <w:numFmt w:val="bullet"/>
      <w:lvlText w:val=""/>
      <w:lvlJc w:val="left"/>
      <w:pPr>
        <w:ind w:left="4427" w:hanging="360"/>
      </w:pPr>
      <w:rPr>
        <w:rFonts w:ascii="Wingdings" w:hAnsi="Wingdings" w:hint="default"/>
      </w:rPr>
    </w:lvl>
    <w:lvl w:ilvl="6" w:tplc="0C090001">
      <w:start w:val="1"/>
      <w:numFmt w:val="bullet"/>
      <w:lvlText w:val=""/>
      <w:lvlJc w:val="left"/>
      <w:pPr>
        <w:ind w:left="5147" w:hanging="360"/>
      </w:pPr>
      <w:rPr>
        <w:rFonts w:ascii="Symbol" w:hAnsi="Symbol" w:hint="default"/>
      </w:rPr>
    </w:lvl>
    <w:lvl w:ilvl="7" w:tplc="0C090003">
      <w:start w:val="1"/>
      <w:numFmt w:val="bullet"/>
      <w:lvlText w:val="o"/>
      <w:lvlJc w:val="left"/>
      <w:pPr>
        <w:ind w:left="5867" w:hanging="360"/>
      </w:pPr>
      <w:rPr>
        <w:rFonts w:ascii="Courier New" w:hAnsi="Courier New" w:cs="Courier New" w:hint="default"/>
      </w:rPr>
    </w:lvl>
    <w:lvl w:ilvl="8" w:tplc="0C090005">
      <w:start w:val="1"/>
      <w:numFmt w:val="bullet"/>
      <w:lvlText w:val=""/>
      <w:lvlJc w:val="left"/>
      <w:pPr>
        <w:ind w:left="6587" w:hanging="360"/>
      </w:pPr>
      <w:rPr>
        <w:rFonts w:ascii="Wingdings" w:hAnsi="Wingdings" w:hint="default"/>
      </w:rPr>
    </w:lvl>
  </w:abstractNum>
  <w:abstractNum w:abstractNumId="96" w15:restartNumberingAfterBreak="0">
    <w:nsid w:val="3E2B4B43"/>
    <w:multiLevelType w:val="hybridMultilevel"/>
    <w:tmpl w:val="AFE69358"/>
    <w:lvl w:ilvl="0" w:tplc="263645C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3EC37E6A"/>
    <w:multiLevelType w:val="hybridMultilevel"/>
    <w:tmpl w:val="DEC83ED0"/>
    <w:lvl w:ilvl="0" w:tplc="46EE6E64">
      <w:start w:val="1"/>
      <w:numFmt w:val="lowerLetter"/>
      <w:lvlText w:val="(%1)"/>
      <w:lvlJc w:val="left"/>
      <w:pPr>
        <w:ind w:left="701" w:hanging="284"/>
      </w:pPr>
      <w:rPr>
        <w:b w:val="0"/>
        <w:bCs w:val="0"/>
        <w:i w:val="0"/>
        <w:iCs w:val="0"/>
        <w:spacing w:val="-1"/>
        <w:w w:val="100"/>
        <w:sz w:val="16"/>
        <w:szCs w:val="16"/>
        <w:lang w:val="en-US" w:eastAsia="en-US" w:bidi="ar-SA"/>
      </w:rPr>
    </w:lvl>
    <w:lvl w:ilvl="1" w:tplc="3B569BA2">
      <w:numFmt w:val="bullet"/>
      <w:lvlText w:val="•"/>
      <w:lvlJc w:val="left"/>
      <w:pPr>
        <w:ind w:left="1484" w:hanging="284"/>
      </w:pPr>
      <w:rPr>
        <w:lang w:val="en-US" w:eastAsia="en-US" w:bidi="ar-SA"/>
      </w:rPr>
    </w:lvl>
    <w:lvl w:ilvl="2" w:tplc="1D62BF24">
      <w:numFmt w:val="bullet"/>
      <w:lvlText w:val="•"/>
      <w:lvlJc w:val="left"/>
      <w:pPr>
        <w:ind w:left="2269" w:hanging="284"/>
      </w:pPr>
      <w:rPr>
        <w:lang w:val="en-US" w:eastAsia="en-US" w:bidi="ar-SA"/>
      </w:rPr>
    </w:lvl>
    <w:lvl w:ilvl="3" w:tplc="54CCB134">
      <w:numFmt w:val="bullet"/>
      <w:lvlText w:val="•"/>
      <w:lvlJc w:val="left"/>
      <w:pPr>
        <w:ind w:left="3053" w:hanging="284"/>
      </w:pPr>
      <w:rPr>
        <w:lang w:val="en-US" w:eastAsia="en-US" w:bidi="ar-SA"/>
      </w:rPr>
    </w:lvl>
    <w:lvl w:ilvl="4" w:tplc="B600CD6E">
      <w:numFmt w:val="bullet"/>
      <w:lvlText w:val="•"/>
      <w:lvlJc w:val="left"/>
      <w:pPr>
        <w:ind w:left="3838" w:hanging="284"/>
      </w:pPr>
      <w:rPr>
        <w:lang w:val="en-US" w:eastAsia="en-US" w:bidi="ar-SA"/>
      </w:rPr>
    </w:lvl>
    <w:lvl w:ilvl="5" w:tplc="A47CB938">
      <w:numFmt w:val="bullet"/>
      <w:lvlText w:val="•"/>
      <w:lvlJc w:val="left"/>
      <w:pPr>
        <w:ind w:left="4623" w:hanging="284"/>
      </w:pPr>
      <w:rPr>
        <w:lang w:val="en-US" w:eastAsia="en-US" w:bidi="ar-SA"/>
      </w:rPr>
    </w:lvl>
    <w:lvl w:ilvl="6" w:tplc="0C3CDC40">
      <w:numFmt w:val="bullet"/>
      <w:lvlText w:val="•"/>
      <w:lvlJc w:val="left"/>
      <w:pPr>
        <w:ind w:left="5407" w:hanging="284"/>
      </w:pPr>
      <w:rPr>
        <w:lang w:val="en-US" w:eastAsia="en-US" w:bidi="ar-SA"/>
      </w:rPr>
    </w:lvl>
    <w:lvl w:ilvl="7" w:tplc="1D220E62">
      <w:numFmt w:val="bullet"/>
      <w:lvlText w:val="•"/>
      <w:lvlJc w:val="left"/>
      <w:pPr>
        <w:ind w:left="6192" w:hanging="284"/>
      </w:pPr>
      <w:rPr>
        <w:lang w:val="en-US" w:eastAsia="en-US" w:bidi="ar-SA"/>
      </w:rPr>
    </w:lvl>
    <w:lvl w:ilvl="8" w:tplc="02A61BDC">
      <w:numFmt w:val="bullet"/>
      <w:lvlText w:val="•"/>
      <w:lvlJc w:val="left"/>
      <w:pPr>
        <w:ind w:left="6977" w:hanging="284"/>
      </w:pPr>
      <w:rPr>
        <w:lang w:val="en-US" w:eastAsia="en-US" w:bidi="ar-SA"/>
      </w:rPr>
    </w:lvl>
  </w:abstractNum>
  <w:abstractNum w:abstractNumId="98" w15:restartNumberingAfterBreak="0">
    <w:nsid w:val="3F061D40"/>
    <w:multiLevelType w:val="hybridMultilevel"/>
    <w:tmpl w:val="9ADA025E"/>
    <w:lvl w:ilvl="0" w:tplc="FD1E162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9" w15:restartNumberingAfterBreak="0">
    <w:nsid w:val="3F4507CC"/>
    <w:multiLevelType w:val="hybridMultilevel"/>
    <w:tmpl w:val="B15ECFD0"/>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00" w15:restartNumberingAfterBreak="0">
    <w:nsid w:val="3F48798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01" w15:restartNumberingAfterBreak="0">
    <w:nsid w:val="3F7C349C"/>
    <w:multiLevelType w:val="hybridMultilevel"/>
    <w:tmpl w:val="1AEAE864"/>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02" w15:restartNumberingAfterBreak="0">
    <w:nsid w:val="3FD766AE"/>
    <w:multiLevelType w:val="hybridMultilevel"/>
    <w:tmpl w:val="EE14171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03" w15:restartNumberingAfterBreak="0">
    <w:nsid w:val="403731F2"/>
    <w:multiLevelType w:val="hybridMultilevel"/>
    <w:tmpl w:val="9002424E"/>
    <w:lvl w:ilvl="0" w:tplc="E5AEF7F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41895DB5"/>
    <w:multiLevelType w:val="hybridMultilevel"/>
    <w:tmpl w:val="38CEA59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7" w15:restartNumberingAfterBreak="0">
    <w:nsid w:val="419A6C8C"/>
    <w:multiLevelType w:val="hybridMultilevel"/>
    <w:tmpl w:val="F9AE54DA"/>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08"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4322260B"/>
    <w:multiLevelType w:val="hybridMultilevel"/>
    <w:tmpl w:val="39222472"/>
    <w:lvl w:ilvl="0" w:tplc="99D636C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43427D42"/>
    <w:multiLevelType w:val="hybridMultilevel"/>
    <w:tmpl w:val="843A2C3C"/>
    <w:lvl w:ilvl="0" w:tplc="0C090017">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1" w15:restartNumberingAfterBreak="0">
    <w:nsid w:val="43FB26E6"/>
    <w:multiLevelType w:val="hybridMultilevel"/>
    <w:tmpl w:val="EEB0A01C"/>
    <w:lvl w:ilvl="0" w:tplc="FF9EEC4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13" w15:restartNumberingAfterBreak="0">
    <w:nsid w:val="442C0A8F"/>
    <w:multiLevelType w:val="hybridMultilevel"/>
    <w:tmpl w:val="A8C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445246E8"/>
    <w:multiLevelType w:val="hybridMultilevel"/>
    <w:tmpl w:val="9B8CD37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46EE6E64">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5" w15:restartNumberingAfterBreak="0">
    <w:nsid w:val="44651B6C"/>
    <w:multiLevelType w:val="hybridMultilevel"/>
    <w:tmpl w:val="F4CA9C90"/>
    <w:lvl w:ilvl="0" w:tplc="B134BC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46E6950"/>
    <w:multiLevelType w:val="hybridMultilevel"/>
    <w:tmpl w:val="014CFB42"/>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44ED6C04"/>
    <w:multiLevelType w:val="hybridMultilevel"/>
    <w:tmpl w:val="51E4FED0"/>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18" w15:restartNumberingAfterBreak="0">
    <w:nsid w:val="45D53023"/>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0" w15:restartNumberingAfterBreak="0">
    <w:nsid w:val="45F64166"/>
    <w:multiLevelType w:val="hybridMultilevel"/>
    <w:tmpl w:val="585E903C"/>
    <w:lvl w:ilvl="0" w:tplc="A5729E8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1" w15:restartNumberingAfterBreak="0">
    <w:nsid w:val="45FB5EF0"/>
    <w:multiLevelType w:val="hybridMultilevel"/>
    <w:tmpl w:val="343C5730"/>
    <w:lvl w:ilvl="0" w:tplc="373AF676">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2" w15:restartNumberingAfterBreak="0">
    <w:nsid w:val="46166D60"/>
    <w:multiLevelType w:val="hybridMultilevel"/>
    <w:tmpl w:val="9F5AB2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463228F2"/>
    <w:multiLevelType w:val="hybridMultilevel"/>
    <w:tmpl w:val="0ACCA596"/>
    <w:lvl w:ilvl="0" w:tplc="B134BC5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4" w15:restartNumberingAfterBreak="0">
    <w:nsid w:val="46CB278C"/>
    <w:multiLevelType w:val="hybridMultilevel"/>
    <w:tmpl w:val="AD0412CE"/>
    <w:lvl w:ilvl="0" w:tplc="B134BC52">
      <w:start w:val="1"/>
      <w:numFmt w:val="lowerLetter"/>
      <w:lvlText w:val="(%1)"/>
      <w:lvlJc w:val="lef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125" w15:restartNumberingAfterBreak="0">
    <w:nsid w:val="47042C9B"/>
    <w:multiLevelType w:val="hybridMultilevel"/>
    <w:tmpl w:val="7326EBF8"/>
    <w:lvl w:ilvl="0" w:tplc="FA8A02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490D4231"/>
    <w:multiLevelType w:val="multilevel"/>
    <w:tmpl w:val="C2B2D9B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49BD17F0"/>
    <w:multiLevelType w:val="hybridMultilevel"/>
    <w:tmpl w:val="4F805FB0"/>
    <w:lvl w:ilvl="0" w:tplc="2E96B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9" w15:restartNumberingAfterBreak="0">
    <w:nsid w:val="4A9F7334"/>
    <w:multiLevelType w:val="hybridMultilevel"/>
    <w:tmpl w:val="ED544438"/>
    <w:lvl w:ilvl="0" w:tplc="8A78884A">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0" w15:restartNumberingAfterBreak="0">
    <w:nsid w:val="4AE8770A"/>
    <w:multiLevelType w:val="hybridMultilevel"/>
    <w:tmpl w:val="87DCA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4AEA2C95"/>
    <w:multiLevelType w:val="hybridMultilevel"/>
    <w:tmpl w:val="6158D246"/>
    <w:lvl w:ilvl="0" w:tplc="74845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4B1D5F76"/>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4BE43904"/>
    <w:multiLevelType w:val="hybridMultilevel"/>
    <w:tmpl w:val="2CF64774"/>
    <w:lvl w:ilvl="0" w:tplc="6D8ACDDA">
      <w:start w:val="1"/>
      <w:numFmt w:val="lowerLetter"/>
      <w:lvlText w:val="(%1)"/>
      <w:lvlJc w:val="left"/>
      <w:pPr>
        <w:ind w:left="3600" w:hanging="360"/>
      </w:pPr>
      <w:rPr>
        <w:rFonts w:ascii="Arial" w:eastAsia="Times New Roman" w:hAnsi="Arial" w:cs="Times New Roman"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5" w15:restartNumberingAfterBreak="0">
    <w:nsid w:val="4C021F01"/>
    <w:multiLevelType w:val="hybridMultilevel"/>
    <w:tmpl w:val="0F2C53C0"/>
    <w:lvl w:ilvl="0" w:tplc="69705D1A">
      <w:start w:val="1"/>
      <w:numFmt w:val="lowerLetter"/>
      <w:lvlText w:val="(%1)"/>
      <w:lvlJc w:val="left"/>
      <w:pPr>
        <w:ind w:left="720" w:hanging="360"/>
      </w:pPr>
      <w:rPr>
        <w:rFonts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4CD0020D"/>
    <w:multiLevelType w:val="multilevel"/>
    <w:tmpl w:val="2E909D0A"/>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38" w15:restartNumberingAfterBreak="0">
    <w:nsid w:val="4D11513A"/>
    <w:multiLevelType w:val="hybridMultilevel"/>
    <w:tmpl w:val="E15E843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9" w15:restartNumberingAfterBreak="0">
    <w:nsid w:val="4E9B46B2"/>
    <w:multiLevelType w:val="hybridMultilevel"/>
    <w:tmpl w:val="B58AF644"/>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4F93038C"/>
    <w:multiLevelType w:val="multilevel"/>
    <w:tmpl w:val="EF2C25B6"/>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hAnsi="Arial" w:cs="Arial" w:hint="default"/>
        <w:b w:val="0"/>
        <w:sz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50DA1082"/>
    <w:multiLevelType w:val="hybridMultilevel"/>
    <w:tmpl w:val="090A1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50F35259"/>
    <w:multiLevelType w:val="hybridMultilevel"/>
    <w:tmpl w:val="E6ACF9A2"/>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51004665"/>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15D1771"/>
    <w:multiLevelType w:val="hybridMultilevel"/>
    <w:tmpl w:val="54D27F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515F5EFF"/>
    <w:multiLevelType w:val="hybridMultilevel"/>
    <w:tmpl w:val="70C82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51E03EE7"/>
    <w:multiLevelType w:val="hybridMultilevel"/>
    <w:tmpl w:val="E24AAC82"/>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27400CF"/>
    <w:multiLevelType w:val="hybridMultilevel"/>
    <w:tmpl w:val="50008F9C"/>
    <w:lvl w:ilvl="0" w:tplc="6D8ACDDA">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2E8528E"/>
    <w:multiLevelType w:val="hybridMultilevel"/>
    <w:tmpl w:val="3EC0D13C"/>
    <w:lvl w:ilvl="0" w:tplc="843685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5320364F"/>
    <w:multiLevelType w:val="hybridMultilevel"/>
    <w:tmpl w:val="ACA2328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1"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52"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53" w15:restartNumberingAfterBreak="0">
    <w:nsid w:val="56CF08D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4"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5" w15:restartNumberingAfterBreak="0">
    <w:nsid w:val="58167E26"/>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56" w15:restartNumberingAfterBreak="0">
    <w:nsid w:val="58736AC2"/>
    <w:multiLevelType w:val="hybridMultilevel"/>
    <w:tmpl w:val="2F38F5B0"/>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57" w15:restartNumberingAfterBreak="0">
    <w:nsid w:val="59321FDE"/>
    <w:multiLevelType w:val="hybridMultilevel"/>
    <w:tmpl w:val="ADC609F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15:restartNumberingAfterBreak="0">
    <w:nsid w:val="597F132C"/>
    <w:multiLevelType w:val="hybridMultilevel"/>
    <w:tmpl w:val="EF9A9B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59926FB7"/>
    <w:multiLevelType w:val="hybridMultilevel"/>
    <w:tmpl w:val="33825190"/>
    <w:lvl w:ilvl="0" w:tplc="616A9C08">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0" w15:restartNumberingAfterBreak="0">
    <w:nsid w:val="59A95F45"/>
    <w:multiLevelType w:val="hybridMultilevel"/>
    <w:tmpl w:val="45206A82"/>
    <w:lvl w:ilvl="0" w:tplc="0C090001">
      <w:start w:val="1"/>
      <w:numFmt w:val="bullet"/>
      <w:lvlText w:val=""/>
      <w:lvlJc w:val="left"/>
      <w:pPr>
        <w:ind w:left="720" w:hanging="360"/>
      </w:pPr>
      <w:rPr>
        <w:rFonts w:ascii="Symbol" w:hAnsi="Symbo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5C737762"/>
    <w:multiLevelType w:val="hybridMultilevel"/>
    <w:tmpl w:val="88B62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4" w15:restartNumberingAfterBreak="0">
    <w:nsid w:val="5CC11F4B"/>
    <w:multiLevelType w:val="hybridMultilevel"/>
    <w:tmpl w:val="733C2F08"/>
    <w:lvl w:ilvl="0" w:tplc="630074F6">
      <w:start w:val="1"/>
      <w:numFmt w:val="lowerLetter"/>
      <w:lvlText w:val="%1)"/>
      <w:lvlJc w:val="left"/>
      <w:pPr>
        <w:ind w:left="826" w:hanging="360"/>
      </w:pPr>
      <w:rPr>
        <w:b w:val="0"/>
        <w:i w:val="0"/>
        <w:color w:val="auto"/>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65" w15:restartNumberingAfterBreak="0">
    <w:nsid w:val="5D030AF0"/>
    <w:multiLevelType w:val="hybridMultilevel"/>
    <w:tmpl w:val="6BAE7EF4"/>
    <w:lvl w:ilvl="0" w:tplc="ED78D2C4">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6"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5EC275CD"/>
    <w:multiLevelType w:val="hybridMultilevel"/>
    <w:tmpl w:val="73B8C11A"/>
    <w:lvl w:ilvl="0" w:tplc="1BA86EEA">
      <w:numFmt w:val="bullet"/>
      <w:lvlText w:val="-"/>
      <w:lvlJc w:val="left"/>
      <w:pPr>
        <w:ind w:left="1061" w:hanging="360"/>
      </w:pPr>
      <w:rPr>
        <w:rFonts w:ascii="Arial" w:eastAsia="Arial" w:hAnsi="Arial" w:cs="Arial" w:hint="default"/>
      </w:rPr>
    </w:lvl>
    <w:lvl w:ilvl="1" w:tplc="0C090003">
      <w:start w:val="1"/>
      <w:numFmt w:val="bullet"/>
      <w:lvlText w:val="o"/>
      <w:lvlJc w:val="left"/>
      <w:pPr>
        <w:ind w:left="1781" w:hanging="360"/>
      </w:pPr>
      <w:rPr>
        <w:rFonts w:ascii="Courier New" w:hAnsi="Courier New" w:cs="Courier New" w:hint="default"/>
      </w:rPr>
    </w:lvl>
    <w:lvl w:ilvl="2" w:tplc="0C090005">
      <w:start w:val="1"/>
      <w:numFmt w:val="bullet"/>
      <w:lvlText w:val=""/>
      <w:lvlJc w:val="left"/>
      <w:pPr>
        <w:ind w:left="2501" w:hanging="360"/>
      </w:pPr>
      <w:rPr>
        <w:rFonts w:ascii="Wingdings" w:hAnsi="Wingdings" w:hint="default"/>
      </w:rPr>
    </w:lvl>
    <w:lvl w:ilvl="3" w:tplc="0C090001">
      <w:start w:val="1"/>
      <w:numFmt w:val="bullet"/>
      <w:lvlText w:val=""/>
      <w:lvlJc w:val="left"/>
      <w:pPr>
        <w:ind w:left="3221" w:hanging="360"/>
      </w:pPr>
      <w:rPr>
        <w:rFonts w:ascii="Symbol" w:hAnsi="Symbol" w:hint="default"/>
      </w:rPr>
    </w:lvl>
    <w:lvl w:ilvl="4" w:tplc="0C090003">
      <w:start w:val="1"/>
      <w:numFmt w:val="bullet"/>
      <w:lvlText w:val="o"/>
      <w:lvlJc w:val="left"/>
      <w:pPr>
        <w:ind w:left="3941" w:hanging="360"/>
      </w:pPr>
      <w:rPr>
        <w:rFonts w:ascii="Courier New" w:hAnsi="Courier New" w:cs="Courier New" w:hint="default"/>
      </w:rPr>
    </w:lvl>
    <w:lvl w:ilvl="5" w:tplc="0C090005">
      <w:start w:val="1"/>
      <w:numFmt w:val="bullet"/>
      <w:lvlText w:val=""/>
      <w:lvlJc w:val="left"/>
      <w:pPr>
        <w:ind w:left="4661" w:hanging="360"/>
      </w:pPr>
      <w:rPr>
        <w:rFonts w:ascii="Wingdings" w:hAnsi="Wingdings" w:hint="default"/>
      </w:rPr>
    </w:lvl>
    <w:lvl w:ilvl="6" w:tplc="0C090001">
      <w:start w:val="1"/>
      <w:numFmt w:val="bullet"/>
      <w:lvlText w:val=""/>
      <w:lvlJc w:val="left"/>
      <w:pPr>
        <w:ind w:left="5381" w:hanging="360"/>
      </w:pPr>
      <w:rPr>
        <w:rFonts w:ascii="Symbol" w:hAnsi="Symbol" w:hint="default"/>
      </w:rPr>
    </w:lvl>
    <w:lvl w:ilvl="7" w:tplc="0C090003">
      <w:start w:val="1"/>
      <w:numFmt w:val="bullet"/>
      <w:lvlText w:val="o"/>
      <w:lvlJc w:val="left"/>
      <w:pPr>
        <w:ind w:left="6101" w:hanging="360"/>
      </w:pPr>
      <w:rPr>
        <w:rFonts w:ascii="Courier New" w:hAnsi="Courier New" w:cs="Courier New" w:hint="default"/>
      </w:rPr>
    </w:lvl>
    <w:lvl w:ilvl="8" w:tplc="0C090005">
      <w:start w:val="1"/>
      <w:numFmt w:val="bullet"/>
      <w:lvlText w:val=""/>
      <w:lvlJc w:val="left"/>
      <w:pPr>
        <w:ind w:left="6821" w:hanging="360"/>
      </w:pPr>
      <w:rPr>
        <w:rFonts w:ascii="Wingdings" w:hAnsi="Wingdings" w:hint="default"/>
      </w:rPr>
    </w:lvl>
  </w:abstractNum>
  <w:abstractNum w:abstractNumId="169" w15:restartNumberingAfterBreak="0">
    <w:nsid w:val="5F562D73"/>
    <w:multiLevelType w:val="hybridMultilevel"/>
    <w:tmpl w:val="A6045766"/>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5FF05646"/>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1" w15:restartNumberingAfterBreak="0">
    <w:nsid w:val="6011317E"/>
    <w:multiLevelType w:val="hybridMultilevel"/>
    <w:tmpl w:val="E06AF49E"/>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04B6E7A"/>
    <w:multiLevelType w:val="hybridMultilevel"/>
    <w:tmpl w:val="B71AE55E"/>
    <w:lvl w:ilvl="0" w:tplc="E04A2EE0">
      <w:start w:val="1"/>
      <w:numFmt w:val="lowerLetter"/>
      <w:lvlText w:val="(%1)"/>
      <w:lvlJc w:val="left"/>
      <w:pPr>
        <w:ind w:left="420" w:hanging="420"/>
      </w:pPr>
      <w:rPr>
        <w:rFonts w:ascii="Arial" w:hAnsi="Arial" w:cs="Arial"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3"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4" w15:restartNumberingAfterBreak="0">
    <w:nsid w:val="61745AC6"/>
    <w:multiLevelType w:val="hybridMultilevel"/>
    <w:tmpl w:val="FCE696F4"/>
    <w:lvl w:ilvl="0" w:tplc="1CB802A6">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5" w15:restartNumberingAfterBreak="0">
    <w:nsid w:val="61DB5BFC"/>
    <w:multiLevelType w:val="hybridMultilevel"/>
    <w:tmpl w:val="95344EF2"/>
    <w:lvl w:ilvl="0" w:tplc="46EE6E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6"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7" w15:restartNumberingAfterBreak="0">
    <w:nsid w:val="62285E19"/>
    <w:multiLevelType w:val="hybridMultilevel"/>
    <w:tmpl w:val="5CD604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8"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9" w15:restartNumberingAfterBreak="0">
    <w:nsid w:val="62BD333D"/>
    <w:multiLevelType w:val="hybridMultilevel"/>
    <w:tmpl w:val="B6FEB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38D552C"/>
    <w:multiLevelType w:val="hybridMultilevel"/>
    <w:tmpl w:val="694ACF8C"/>
    <w:lvl w:ilvl="0" w:tplc="7638CF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54B478E"/>
    <w:multiLevelType w:val="hybridMultilevel"/>
    <w:tmpl w:val="FA423CBC"/>
    <w:lvl w:ilvl="0" w:tplc="27CAC120">
      <w:start w:val="3"/>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655A004E"/>
    <w:multiLevelType w:val="hybridMultilevel"/>
    <w:tmpl w:val="A15CF2E8"/>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5" w15:restartNumberingAfterBreak="0">
    <w:nsid w:val="67AC718A"/>
    <w:multiLevelType w:val="hybridMultilevel"/>
    <w:tmpl w:val="36384E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67EF1102"/>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7" w15:restartNumberingAfterBreak="0">
    <w:nsid w:val="685712EE"/>
    <w:multiLevelType w:val="hybridMultilevel"/>
    <w:tmpl w:val="F3CA4E42"/>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9" w15:restartNumberingAfterBreak="0">
    <w:nsid w:val="6911779C"/>
    <w:multiLevelType w:val="hybridMultilevel"/>
    <w:tmpl w:val="DCAC31FC"/>
    <w:lvl w:ilvl="0" w:tplc="0C090001">
      <w:start w:val="1"/>
      <w:numFmt w:val="bullet"/>
      <w:lvlText w:val=""/>
      <w:lvlJc w:val="left"/>
      <w:pPr>
        <w:ind w:left="720" w:hanging="360"/>
      </w:pPr>
      <w:rPr>
        <w:rFonts w:ascii="Symbol" w:hAnsi="Symbol" w:hint="default"/>
      </w:rPr>
    </w:lvl>
    <w:lvl w:ilvl="1" w:tplc="43FC835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0" w15:restartNumberingAfterBreak="0">
    <w:nsid w:val="69315332"/>
    <w:multiLevelType w:val="hybridMultilevel"/>
    <w:tmpl w:val="B72207B4"/>
    <w:lvl w:ilvl="0" w:tplc="A42466AA">
      <w:start w:val="1"/>
      <w:numFmt w:val="lowerLetter"/>
      <w:lvlText w:val="(%1)"/>
      <w:lvlJc w:val="left"/>
      <w:pPr>
        <w:ind w:left="765" w:hanging="360"/>
      </w:pPr>
      <w:rPr>
        <w:rFonts w:hint="default"/>
        <w:b w:val="0"/>
        <w:bCs w:val="0"/>
        <w:i w:val="0"/>
        <w:iCs w:val="0"/>
        <w:spacing w:val="-1"/>
        <w:w w:val="100"/>
        <w:sz w:val="16"/>
        <w:szCs w:val="16"/>
        <w:vertAlign w:val="baseline"/>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1"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2" w15:restartNumberingAfterBreak="0">
    <w:nsid w:val="6A382F51"/>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3" w15:restartNumberingAfterBreak="0">
    <w:nsid w:val="6BC824C9"/>
    <w:multiLevelType w:val="hybridMultilevel"/>
    <w:tmpl w:val="D9AA08BE"/>
    <w:lvl w:ilvl="0" w:tplc="DFD0D16A">
      <w:start w:val="1"/>
      <w:numFmt w:val="lowerLetter"/>
      <w:lvlText w:val="%1)"/>
      <w:lvlJc w:val="left"/>
      <w:pPr>
        <w:ind w:left="828"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8" w:hanging="360"/>
      </w:pPr>
    </w:lvl>
    <w:lvl w:ilvl="2" w:tplc="0C09001B">
      <w:start w:val="1"/>
      <w:numFmt w:val="lowerRoman"/>
      <w:lvlText w:val="%3."/>
      <w:lvlJc w:val="right"/>
      <w:pPr>
        <w:ind w:left="2268" w:hanging="180"/>
      </w:pPr>
    </w:lvl>
    <w:lvl w:ilvl="3" w:tplc="0C09000F">
      <w:start w:val="1"/>
      <w:numFmt w:val="decimal"/>
      <w:lvlText w:val="%4."/>
      <w:lvlJc w:val="left"/>
      <w:pPr>
        <w:ind w:left="2988" w:hanging="360"/>
      </w:pPr>
    </w:lvl>
    <w:lvl w:ilvl="4" w:tplc="0C090019">
      <w:start w:val="1"/>
      <w:numFmt w:val="lowerLetter"/>
      <w:lvlText w:val="%5."/>
      <w:lvlJc w:val="left"/>
      <w:pPr>
        <w:ind w:left="3708" w:hanging="360"/>
      </w:pPr>
    </w:lvl>
    <w:lvl w:ilvl="5" w:tplc="0C09001B">
      <w:start w:val="1"/>
      <w:numFmt w:val="lowerRoman"/>
      <w:lvlText w:val="%6."/>
      <w:lvlJc w:val="right"/>
      <w:pPr>
        <w:ind w:left="4428" w:hanging="180"/>
      </w:pPr>
    </w:lvl>
    <w:lvl w:ilvl="6" w:tplc="0C09000F">
      <w:start w:val="1"/>
      <w:numFmt w:val="decimal"/>
      <w:lvlText w:val="%7."/>
      <w:lvlJc w:val="left"/>
      <w:pPr>
        <w:ind w:left="5148" w:hanging="360"/>
      </w:pPr>
    </w:lvl>
    <w:lvl w:ilvl="7" w:tplc="0C090019">
      <w:start w:val="1"/>
      <w:numFmt w:val="lowerLetter"/>
      <w:lvlText w:val="%8."/>
      <w:lvlJc w:val="left"/>
      <w:pPr>
        <w:ind w:left="5868" w:hanging="360"/>
      </w:pPr>
    </w:lvl>
    <w:lvl w:ilvl="8" w:tplc="0C09001B">
      <w:start w:val="1"/>
      <w:numFmt w:val="lowerRoman"/>
      <w:lvlText w:val="%9."/>
      <w:lvlJc w:val="right"/>
      <w:pPr>
        <w:ind w:left="6588" w:hanging="180"/>
      </w:pPr>
    </w:lvl>
  </w:abstractNum>
  <w:abstractNum w:abstractNumId="194" w15:restartNumberingAfterBreak="0">
    <w:nsid w:val="6BE75621"/>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95"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6"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7" w15:restartNumberingAfterBreak="0">
    <w:nsid w:val="6D523F25"/>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6DD5606F"/>
    <w:multiLevelType w:val="hybridMultilevel"/>
    <w:tmpl w:val="5CDE0A5A"/>
    <w:lvl w:ilvl="0" w:tplc="9924AA2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9"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1" w15:restartNumberingAfterBreak="0">
    <w:nsid w:val="6E3E1D81"/>
    <w:multiLevelType w:val="hybridMultilevel"/>
    <w:tmpl w:val="FCE696F4"/>
    <w:lvl w:ilvl="0" w:tplc="1CB802A6">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2" w15:restartNumberingAfterBreak="0">
    <w:nsid w:val="6EAE4C87"/>
    <w:multiLevelType w:val="hybridMultilevel"/>
    <w:tmpl w:val="1B80680E"/>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3" w15:restartNumberingAfterBreak="0">
    <w:nsid w:val="703200D8"/>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204"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5" w15:restartNumberingAfterBreak="0">
    <w:nsid w:val="70C163A7"/>
    <w:multiLevelType w:val="hybridMultilevel"/>
    <w:tmpl w:val="EF9A9B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0C22134"/>
    <w:multiLevelType w:val="hybridMultilevel"/>
    <w:tmpl w:val="EB583A34"/>
    <w:lvl w:ilvl="0" w:tplc="DDDAB3EC">
      <w:start w:val="1"/>
      <w:numFmt w:val="lowerLetter"/>
      <w:lvlText w:val="(%1)"/>
      <w:lvlJc w:val="left"/>
      <w:pPr>
        <w:ind w:left="360" w:hanging="360"/>
      </w:pPr>
      <w:rPr>
        <w:rFonts w:ascii="Arial" w:eastAsia="Times New Roman" w:hAnsi="Arial" w:cs="Times New Roman"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7"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208"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9" w15:restartNumberingAfterBreak="0">
    <w:nsid w:val="715512A9"/>
    <w:multiLevelType w:val="hybridMultilevel"/>
    <w:tmpl w:val="FC68D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0"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1" w15:restartNumberingAfterBreak="0">
    <w:nsid w:val="72241446"/>
    <w:multiLevelType w:val="hybridMultilevel"/>
    <w:tmpl w:val="7118450C"/>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12" w15:restartNumberingAfterBreak="0">
    <w:nsid w:val="72450C5B"/>
    <w:multiLevelType w:val="hybridMultilevel"/>
    <w:tmpl w:val="341093F4"/>
    <w:lvl w:ilvl="0" w:tplc="9910A6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73B77FB8"/>
    <w:multiLevelType w:val="hybridMultilevel"/>
    <w:tmpl w:val="95344EF2"/>
    <w:lvl w:ilvl="0" w:tplc="46EE6E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6" w15:restartNumberingAfterBreak="0">
    <w:nsid w:val="73D34532"/>
    <w:multiLevelType w:val="hybridMultilevel"/>
    <w:tmpl w:val="8DC8B240"/>
    <w:lvl w:ilvl="0" w:tplc="CFFCA996">
      <w:start w:val="1"/>
      <w:numFmt w:val="lowerLetter"/>
      <w:lvlText w:val="%1)"/>
      <w:lvlJc w:val="left"/>
      <w:pPr>
        <w:ind w:left="700" w:hanging="284"/>
      </w:pPr>
      <w:rPr>
        <w:rFonts w:ascii="Arial" w:eastAsia="Arial" w:hAnsi="Arial" w:cs="Arial" w:hint="default"/>
        <w:b w:val="0"/>
        <w:bCs w:val="0"/>
        <w:i w:val="0"/>
        <w:iCs w:val="0"/>
        <w:spacing w:val="-1"/>
        <w:w w:val="100"/>
        <w:sz w:val="16"/>
        <w:szCs w:val="16"/>
        <w:lang w:val="en-US" w:eastAsia="en-US" w:bidi="ar-SA"/>
      </w:rPr>
    </w:lvl>
    <w:lvl w:ilvl="1" w:tplc="5984A6E2">
      <w:numFmt w:val="bullet"/>
      <w:lvlText w:val="•"/>
      <w:lvlJc w:val="left"/>
      <w:pPr>
        <w:ind w:left="1484" w:hanging="284"/>
      </w:pPr>
      <w:rPr>
        <w:rFonts w:hint="default"/>
        <w:lang w:val="en-US" w:eastAsia="en-US" w:bidi="ar-SA"/>
      </w:rPr>
    </w:lvl>
    <w:lvl w:ilvl="2" w:tplc="BC3E4232">
      <w:numFmt w:val="bullet"/>
      <w:lvlText w:val="•"/>
      <w:lvlJc w:val="left"/>
      <w:pPr>
        <w:ind w:left="2269" w:hanging="284"/>
      </w:pPr>
      <w:rPr>
        <w:rFonts w:hint="default"/>
        <w:lang w:val="en-US" w:eastAsia="en-US" w:bidi="ar-SA"/>
      </w:rPr>
    </w:lvl>
    <w:lvl w:ilvl="3" w:tplc="F1281FF6">
      <w:numFmt w:val="bullet"/>
      <w:lvlText w:val="•"/>
      <w:lvlJc w:val="left"/>
      <w:pPr>
        <w:ind w:left="3053" w:hanging="284"/>
      </w:pPr>
      <w:rPr>
        <w:rFonts w:hint="default"/>
        <w:lang w:val="en-US" w:eastAsia="en-US" w:bidi="ar-SA"/>
      </w:rPr>
    </w:lvl>
    <w:lvl w:ilvl="4" w:tplc="6B1A3C3C">
      <w:numFmt w:val="bullet"/>
      <w:lvlText w:val="•"/>
      <w:lvlJc w:val="left"/>
      <w:pPr>
        <w:ind w:left="3838" w:hanging="284"/>
      </w:pPr>
      <w:rPr>
        <w:rFonts w:hint="default"/>
        <w:lang w:val="en-US" w:eastAsia="en-US" w:bidi="ar-SA"/>
      </w:rPr>
    </w:lvl>
    <w:lvl w:ilvl="5" w:tplc="157E0BFE">
      <w:numFmt w:val="bullet"/>
      <w:lvlText w:val="•"/>
      <w:lvlJc w:val="left"/>
      <w:pPr>
        <w:ind w:left="4623" w:hanging="284"/>
      </w:pPr>
      <w:rPr>
        <w:rFonts w:hint="default"/>
        <w:lang w:val="en-US" w:eastAsia="en-US" w:bidi="ar-SA"/>
      </w:rPr>
    </w:lvl>
    <w:lvl w:ilvl="6" w:tplc="5F9C690E">
      <w:numFmt w:val="bullet"/>
      <w:lvlText w:val="•"/>
      <w:lvlJc w:val="left"/>
      <w:pPr>
        <w:ind w:left="5407" w:hanging="284"/>
      </w:pPr>
      <w:rPr>
        <w:rFonts w:hint="default"/>
        <w:lang w:val="en-US" w:eastAsia="en-US" w:bidi="ar-SA"/>
      </w:rPr>
    </w:lvl>
    <w:lvl w:ilvl="7" w:tplc="BC129240">
      <w:numFmt w:val="bullet"/>
      <w:lvlText w:val="•"/>
      <w:lvlJc w:val="left"/>
      <w:pPr>
        <w:ind w:left="6192" w:hanging="284"/>
      </w:pPr>
      <w:rPr>
        <w:rFonts w:hint="default"/>
        <w:lang w:val="en-US" w:eastAsia="en-US" w:bidi="ar-SA"/>
      </w:rPr>
    </w:lvl>
    <w:lvl w:ilvl="8" w:tplc="40C40E1E">
      <w:numFmt w:val="bullet"/>
      <w:lvlText w:val="•"/>
      <w:lvlJc w:val="left"/>
      <w:pPr>
        <w:ind w:left="6977" w:hanging="284"/>
      </w:pPr>
      <w:rPr>
        <w:rFonts w:hint="default"/>
        <w:lang w:val="en-US" w:eastAsia="en-US" w:bidi="ar-SA"/>
      </w:rPr>
    </w:lvl>
  </w:abstractNum>
  <w:abstractNum w:abstractNumId="217" w15:restartNumberingAfterBreak="0">
    <w:nsid w:val="741630AF"/>
    <w:multiLevelType w:val="hybridMultilevel"/>
    <w:tmpl w:val="B662769C"/>
    <w:lvl w:ilvl="0" w:tplc="9B3A9A90">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8" w15:restartNumberingAfterBreak="0">
    <w:nsid w:val="747E4A0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19" w15:restartNumberingAfterBreak="0">
    <w:nsid w:val="74815291"/>
    <w:multiLevelType w:val="hybridMultilevel"/>
    <w:tmpl w:val="9FC82804"/>
    <w:lvl w:ilvl="0" w:tplc="E5AEF7F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0"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1"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22" w15:restartNumberingAfterBreak="0">
    <w:nsid w:val="74F410E6"/>
    <w:multiLevelType w:val="hybridMultilevel"/>
    <w:tmpl w:val="FEB64AC0"/>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3"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4" w15:restartNumberingAfterBreak="0">
    <w:nsid w:val="75202CA6"/>
    <w:multiLevelType w:val="hybridMultilevel"/>
    <w:tmpl w:val="48A0B408"/>
    <w:lvl w:ilvl="0" w:tplc="7C88F6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5"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226" w15:restartNumberingAfterBreak="0">
    <w:nsid w:val="77111430"/>
    <w:multiLevelType w:val="hybridMultilevel"/>
    <w:tmpl w:val="2DF096D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7" w15:restartNumberingAfterBreak="0">
    <w:nsid w:val="77141A74"/>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8"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9" w15:restartNumberingAfterBreak="0">
    <w:nsid w:val="78286482"/>
    <w:multiLevelType w:val="hybridMultilevel"/>
    <w:tmpl w:val="6124FE94"/>
    <w:lvl w:ilvl="0" w:tplc="0EE6D2DA">
      <w:start w:val="1"/>
      <w:numFmt w:val="lowerLetter"/>
      <w:lvlText w:val="(%1)"/>
      <w:lvlJc w:val="left"/>
      <w:pPr>
        <w:ind w:left="720" w:hanging="360"/>
      </w:pPr>
      <w:rPr>
        <w:rFonts w:ascii="Arial" w:hAnsi="Arial" w:cs="Arial" w:hint="default"/>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0" w15:restartNumberingAfterBreak="0">
    <w:nsid w:val="79450F95"/>
    <w:multiLevelType w:val="hybridMultilevel"/>
    <w:tmpl w:val="3C7A7026"/>
    <w:lvl w:ilvl="0" w:tplc="F0CA3E2A">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31" w15:restartNumberingAfterBreak="0">
    <w:nsid w:val="7B2B6E79"/>
    <w:multiLevelType w:val="hybridMultilevel"/>
    <w:tmpl w:val="5BFE8DE0"/>
    <w:lvl w:ilvl="0" w:tplc="951495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2"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3"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4"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5" w15:restartNumberingAfterBreak="0">
    <w:nsid w:val="7BD56366"/>
    <w:multiLevelType w:val="hybridMultilevel"/>
    <w:tmpl w:val="04AA4A6E"/>
    <w:lvl w:ilvl="0" w:tplc="C9AC77F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6" w15:restartNumberingAfterBreak="0">
    <w:nsid w:val="7CFE639E"/>
    <w:multiLevelType w:val="hybridMultilevel"/>
    <w:tmpl w:val="D890C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7" w15:restartNumberingAfterBreak="0">
    <w:nsid w:val="7D980420"/>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8" w15:restartNumberingAfterBreak="0">
    <w:nsid w:val="7D9E6978"/>
    <w:multiLevelType w:val="hybridMultilevel"/>
    <w:tmpl w:val="AEF442FC"/>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D8ACDDA">
      <w:start w:val="1"/>
      <w:numFmt w:val="lowerLetter"/>
      <w:lvlText w:val="(%5)"/>
      <w:lvlJc w:val="left"/>
      <w:pPr>
        <w:ind w:left="3600" w:hanging="360"/>
      </w:pPr>
      <w:rPr>
        <w:rFonts w:ascii="Arial" w:eastAsia="Times New Roman" w:hAnsi="Aria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9" w15:restartNumberingAfterBreak="0">
    <w:nsid w:val="7E2C3C1B"/>
    <w:multiLevelType w:val="hybridMultilevel"/>
    <w:tmpl w:val="11CA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0"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241" w15:restartNumberingAfterBreak="0">
    <w:nsid w:val="7EE60C95"/>
    <w:multiLevelType w:val="hybridMultilevel"/>
    <w:tmpl w:val="0EF2A664"/>
    <w:lvl w:ilvl="0" w:tplc="EC26257A">
      <w:start w:val="1"/>
      <w:numFmt w:val="lowerLetter"/>
      <w:lvlText w:val="%1)"/>
      <w:lvlJc w:val="left"/>
      <w:pPr>
        <w:ind w:left="827" w:hanging="360"/>
      </w:pPr>
      <w:rPr>
        <w:i w:val="0"/>
        <w:color w:val="000000" w:themeColor="text1"/>
      </w:rPr>
    </w:lvl>
    <w:lvl w:ilvl="1" w:tplc="0C090019">
      <w:start w:val="1"/>
      <w:numFmt w:val="lowerLetter"/>
      <w:lvlText w:val="%2."/>
      <w:lvlJc w:val="left"/>
      <w:pPr>
        <w:ind w:left="1547" w:hanging="360"/>
      </w:pPr>
    </w:lvl>
    <w:lvl w:ilvl="2" w:tplc="0C09001B">
      <w:start w:val="1"/>
      <w:numFmt w:val="lowerRoman"/>
      <w:lvlText w:val="%3."/>
      <w:lvlJc w:val="right"/>
      <w:pPr>
        <w:ind w:left="2267" w:hanging="180"/>
      </w:pPr>
    </w:lvl>
    <w:lvl w:ilvl="3" w:tplc="0C09000F">
      <w:start w:val="1"/>
      <w:numFmt w:val="decimal"/>
      <w:lvlText w:val="%4."/>
      <w:lvlJc w:val="left"/>
      <w:pPr>
        <w:ind w:left="2987" w:hanging="360"/>
      </w:pPr>
    </w:lvl>
    <w:lvl w:ilvl="4" w:tplc="0C090019">
      <w:start w:val="1"/>
      <w:numFmt w:val="lowerLetter"/>
      <w:lvlText w:val="%5."/>
      <w:lvlJc w:val="left"/>
      <w:pPr>
        <w:ind w:left="3707" w:hanging="360"/>
      </w:pPr>
    </w:lvl>
    <w:lvl w:ilvl="5" w:tplc="0C09001B">
      <w:start w:val="1"/>
      <w:numFmt w:val="lowerRoman"/>
      <w:lvlText w:val="%6."/>
      <w:lvlJc w:val="right"/>
      <w:pPr>
        <w:ind w:left="4427" w:hanging="180"/>
      </w:pPr>
    </w:lvl>
    <w:lvl w:ilvl="6" w:tplc="0C09000F">
      <w:start w:val="1"/>
      <w:numFmt w:val="decimal"/>
      <w:lvlText w:val="%7."/>
      <w:lvlJc w:val="left"/>
      <w:pPr>
        <w:ind w:left="5147" w:hanging="360"/>
      </w:pPr>
    </w:lvl>
    <w:lvl w:ilvl="7" w:tplc="0C090019">
      <w:start w:val="1"/>
      <w:numFmt w:val="lowerLetter"/>
      <w:lvlText w:val="%8."/>
      <w:lvlJc w:val="left"/>
      <w:pPr>
        <w:ind w:left="5867" w:hanging="360"/>
      </w:pPr>
    </w:lvl>
    <w:lvl w:ilvl="8" w:tplc="0C09001B">
      <w:start w:val="1"/>
      <w:numFmt w:val="lowerRoman"/>
      <w:lvlText w:val="%9."/>
      <w:lvlJc w:val="right"/>
      <w:pPr>
        <w:ind w:left="6587" w:hanging="180"/>
      </w:pPr>
    </w:lvl>
  </w:abstractNum>
  <w:abstractNum w:abstractNumId="242" w15:restartNumberingAfterBreak="0">
    <w:nsid w:val="7F0115DD"/>
    <w:multiLevelType w:val="hybridMultilevel"/>
    <w:tmpl w:val="D0D29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3" w15:restartNumberingAfterBreak="0">
    <w:nsid w:val="7FC50C78"/>
    <w:multiLevelType w:val="hybridMultilevel"/>
    <w:tmpl w:val="201C1E3C"/>
    <w:lvl w:ilvl="0" w:tplc="B134BC5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abstractNumId w:val="112"/>
  </w:num>
  <w:num w:numId="2">
    <w:abstractNumId w:val="22"/>
  </w:num>
  <w:num w:numId="3">
    <w:abstractNumId w:val="188"/>
  </w:num>
  <w:num w:numId="4">
    <w:abstractNumId w:val="89"/>
  </w:num>
  <w:num w:numId="5">
    <w:abstractNumId w:val="221"/>
  </w:num>
  <w:num w:numId="6">
    <w:abstractNumId w:val="67"/>
  </w:num>
  <w:num w:numId="7">
    <w:abstractNumId w:val="154"/>
  </w:num>
  <w:num w:numId="8">
    <w:abstractNumId w:val="55"/>
  </w:num>
  <w:num w:numId="9">
    <w:abstractNumId w:val="240"/>
  </w:num>
  <w:num w:numId="10">
    <w:abstractNumId w:val="4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207"/>
  </w:num>
  <w:num w:numId="16">
    <w:abstractNumId w:val="220"/>
  </w:num>
  <w:num w:numId="1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5"/>
  </w:num>
  <w:num w:numId="19">
    <w:abstractNumId w:val="31"/>
  </w:num>
  <w:num w:numId="20">
    <w:abstractNumId w:val="90"/>
  </w:num>
  <w:num w:numId="21">
    <w:abstractNumId w:val="196"/>
  </w:num>
  <w:num w:numId="22">
    <w:abstractNumId w:val="51"/>
  </w:num>
  <w:num w:numId="23">
    <w:abstractNumId w:val="225"/>
  </w:num>
  <w:num w:numId="24">
    <w:abstractNumId w:val="208"/>
  </w:num>
  <w:num w:numId="2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6"/>
  </w:num>
  <w:num w:numId="27">
    <w:abstractNumId w:val="108"/>
  </w:num>
  <w:num w:numId="28">
    <w:abstractNumId w:val="181"/>
  </w:num>
  <w:num w:numId="29">
    <w:abstractNumId w:val="33"/>
  </w:num>
  <w:num w:numId="30">
    <w:abstractNumId w:val="86"/>
  </w:num>
  <w:num w:numId="31">
    <w:abstractNumId w:val="223"/>
  </w:num>
  <w:num w:numId="32">
    <w:abstractNumId w:val="213"/>
  </w:num>
  <w:num w:numId="33">
    <w:abstractNumId w:val="233"/>
  </w:num>
  <w:num w:numId="34">
    <w:abstractNumId w:val="70"/>
  </w:num>
  <w:num w:numId="35">
    <w:abstractNumId w:val="176"/>
  </w:num>
  <w:num w:numId="36">
    <w:abstractNumId w:val="5"/>
  </w:num>
  <w:num w:numId="37">
    <w:abstractNumId w:val="113"/>
  </w:num>
  <w:num w:numId="38">
    <w:abstractNumId w:val="209"/>
  </w:num>
  <w:num w:numId="39">
    <w:abstractNumId w:val="76"/>
  </w:num>
  <w:num w:numId="40">
    <w:abstractNumId w:val="125"/>
  </w:num>
  <w:num w:numId="41">
    <w:abstractNumId w:val="206"/>
  </w:num>
  <w:num w:numId="42">
    <w:abstractNumId w:val="89"/>
    <w:lvlOverride w:ilvl="0">
      <w:startOverride w:val="1"/>
    </w:lvlOverride>
  </w:num>
  <w:num w:numId="43">
    <w:abstractNumId w:val="89"/>
    <w:lvlOverride w:ilvl="0">
      <w:startOverride w:val="1"/>
    </w:lvlOverride>
  </w:num>
  <w:num w:numId="44">
    <w:abstractNumId w:val="89"/>
    <w:lvlOverride w:ilvl="0">
      <w:startOverride w:val="1"/>
    </w:lvlOverride>
  </w:num>
  <w:num w:numId="45">
    <w:abstractNumId w:val="89"/>
    <w:lvlOverride w:ilvl="0">
      <w:startOverride w:val="1"/>
    </w:lvlOverride>
  </w:num>
  <w:num w:numId="46">
    <w:abstractNumId w:val="89"/>
    <w:lvlOverride w:ilvl="0">
      <w:startOverride w:val="1"/>
    </w:lvlOverride>
  </w:num>
  <w:num w:numId="47">
    <w:abstractNumId w:val="89"/>
    <w:lvlOverride w:ilvl="0">
      <w:startOverride w:val="1"/>
    </w:lvlOverride>
  </w:num>
  <w:num w:numId="48">
    <w:abstractNumId w:val="89"/>
    <w:lvlOverride w:ilvl="0">
      <w:startOverride w:val="1"/>
    </w:lvlOverride>
  </w:num>
  <w:num w:numId="49">
    <w:abstractNumId w:val="89"/>
    <w:lvlOverride w:ilvl="0">
      <w:startOverride w:val="1"/>
    </w:lvlOverride>
  </w:num>
  <w:num w:numId="50">
    <w:abstractNumId w:val="89"/>
    <w:lvlOverride w:ilvl="0">
      <w:startOverride w:val="1"/>
    </w:lvlOverride>
  </w:num>
  <w:num w:numId="51">
    <w:abstractNumId w:val="89"/>
    <w:lvlOverride w:ilvl="0">
      <w:startOverride w:val="1"/>
    </w:lvlOverride>
  </w:num>
  <w:num w:numId="52">
    <w:abstractNumId w:val="197"/>
  </w:num>
  <w:num w:numId="53">
    <w:abstractNumId w:val="20"/>
  </w:num>
  <w:num w:numId="54">
    <w:abstractNumId w:val="173"/>
  </w:num>
  <w:num w:numId="55">
    <w:abstractNumId w:val="214"/>
  </w:num>
  <w:num w:numId="56">
    <w:abstractNumId w:val="12"/>
  </w:num>
  <w:num w:numId="57">
    <w:abstractNumId w:val="178"/>
  </w:num>
  <w:num w:numId="58">
    <w:abstractNumId w:val="63"/>
  </w:num>
  <w:num w:numId="59">
    <w:abstractNumId w:val="81"/>
  </w:num>
  <w:num w:numId="60">
    <w:abstractNumId w:val="153"/>
  </w:num>
  <w:num w:numId="61">
    <w:abstractNumId w:val="137"/>
  </w:num>
  <w:num w:numId="62">
    <w:abstractNumId w:val="228"/>
  </w:num>
  <w:num w:numId="63">
    <w:abstractNumId w:val="130"/>
  </w:num>
  <w:num w:numId="64">
    <w:abstractNumId w:val="91"/>
  </w:num>
  <w:num w:numId="65">
    <w:abstractNumId w:val="50"/>
  </w:num>
  <w:num w:numId="66">
    <w:abstractNumId w:val="66"/>
  </w:num>
  <w:num w:numId="67">
    <w:abstractNumId w:val="17"/>
  </w:num>
  <w:num w:numId="68">
    <w:abstractNumId w:val="189"/>
  </w:num>
  <w:num w:numId="69">
    <w:abstractNumId w:val="239"/>
  </w:num>
  <w:num w:numId="70">
    <w:abstractNumId w:val="231"/>
  </w:num>
  <w:num w:numId="71">
    <w:abstractNumId w:val="8"/>
  </w:num>
  <w:num w:numId="72">
    <w:abstractNumId w:val="237"/>
  </w:num>
  <w:num w:numId="73">
    <w:abstractNumId w:val="131"/>
  </w:num>
  <w:num w:numId="74">
    <w:abstractNumId w:val="210"/>
  </w:num>
  <w:num w:numId="75">
    <w:abstractNumId w:val="204"/>
  </w:num>
  <w:num w:numId="76">
    <w:abstractNumId w:val="105"/>
  </w:num>
  <w:num w:numId="77">
    <w:abstractNumId w:val="151"/>
  </w:num>
  <w:num w:numId="78">
    <w:abstractNumId w:val="85"/>
  </w:num>
  <w:num w:numId="79">
    <w:abstractNumId w:val="152"/>
  </w:num>
  <w:num w:numId="80">
    <w:abstractNumId w:val="191"/>
  </w:num>
  <w:num w:numId="81">
    <w:abstractNumId w:val="56"/>
  </w:num>
  <w:num w:numId="82">
    <w:abstractNumId w:val="199"/>
  </w:num>
  <w:num w:numId="83">
    <w:abstractNumId w:val="100"/>
  </w:num>
  <w:num w:numId="84">
    <w:abstractNumId w:val="218"/>
  </w:num>
  <w:num w:numId="85">
    <w:abstractNumId w:val="15"/>
  </w:num>
  <w:num w:numId="86">
    <w:abstractNumId w:val="127"/>
  </w:num>
  <w:num w:numId="87">
    <w:abstractNumId w:val="89"/>
    <w:lvlOverride w:ilvl="0">
      <w:startOverride w:val="1"/>
    </w:lvlOverride>
  </w:num>
  <w:num w:numId="88">
    <w:abstractNumId w:val="89"/>
    <w:lvlOverride w:ilvl="0">
      <w:startOverride w:val="1"/>
    </w:lvlOverride>
  </w:num>
  <w:num w:numId="89">
    <w:abstractNumId w:val="89"/>
    <w:lvlOverride w:ilvl="0">
      <w:startOverride w:val="1"/>
    </w:lvlOverride>
  </w:num>
  <w:num w:numId="90">
    <w:abstractNumId w:val="89"/>
    <w:lvlOverride w:ilvl="0">
      <w:startOverride w:val="1"/>
    </w:lvlOverride>
  </w:num>
  <w:num w:numId="91">
    <w:abstractNumId w:val="89"/>
    <w:lvlOverride w:ilvl="0">
      <w:startOverride w:val="1"/>
    </w:lvlOverride>
  </w:num>
  <w:num w:numId="92">
    <w:abstractNumId w:val="89"/>
    <w:lvlOverride w:ilvl="0">
      <w:startOverride w:val="1"/>
    </w:lvlOverride>
  </w:num>
  <w:num w:numId="93">
    <w:abstractNumId w:val="89"/>
    <w:lvlOverride w:ilvl="0">
      <w:startOverride w:val="1"/>
    </w:lvlOverride>
  </w:num>
  <w:num w:numId="94">
    <w:abstractNumId w:val="53"/>
  </w:num>
  <w:num w:numId="95">
    <w:abstractNumId w:val="89"/>
    <w:lvlOverride w:ilvl="0">
      <w:startOverride w:val="1"/>
    </w:lvlOverride>
  </w:num>
  <w:num w:numId="96">
    <w:abstractNumId w:val="89"/>
    <w:lvlOverride w:ilvl="0">
      <w:startOverride w:val="1"/>
    </w:lvlOverride>
  </w:num>
  <w:num w:numId="97">
    <w:abstractNumId w:val="38"/>
  </w:num>
  <w:num w:numId="98">
    <w:abstractNumId w:val="103"/>
  </w:num>
  <w:num w:numId="99">
    <w:abstractNumId w:val="42"/>
    <w:lvlOverride w:ilvl="0">
      <w:startOverride w:val="1"/>
    </w:lvlOverride>
  </w:num>
  <w:num w:numId="100">
    <w:abstractNumId w:val="42"/>
  </w:num>
  <w:num w:numId="101">
    <w:abstractNumId w:val="104"/>
  </w:num>
  <w:num w:numId="102">
    <w:abstractNumId w:val="200"/>
  </w:num>
  <w:num w:numId="103">
    <w:abstractNumId w:val="128"/>
  </w:num>
  <w:num w:numId="104">
    <w:abstractNumId w:val="35"/>
  </w:num>
  <w:num w:numId="105">
    <w:abstractNumId w:val="186"/>
  </w:num>
  <w:num w:numId="106">
    <w:abstractNumId w:val="170"/>
  </w:num>
  <w:num w:numId="107">
    <w:abstractNumId w:val="110"/>
  </w:num>
  <w:num w:numId="1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58"/>
  </w:num>
  <w:num w:numId="110">
    <w:abstractNumId w:val="234"/>
  </w:num>
  <w:num w:numId="111">
    <w:abstractNumId w:val="109"/>
  </w:num>
  <w:num w:numId="112">
    <w:abstractNumId w:val="180"/>
  </w:num>
  <w:num w:numId="113">
    <w:abstractNumId w:val="140"/>
  </w:num>
  <w:num w:numId="114">
    <w:abstractNumId w:val="192"/>
  </w:num>
  <w:num w:numId="115">
    <w:abstractNumId w:val="172"/>
  </w:num>
  <w:num w:numId="116">
    <w:abstractNumId w:val="232"/>
  </w:num>
  <w:num w:numId="117">
    <w:abstractNumId w:val="54"/>
  </w:num>
  <w:num w:numId="118">
    <w:abstractNumId w:val="132"/>
  </w:num>
  <w:num w:numId="119">
    <w:abstractNumId w:val="79"/>
  </w:num>
  <w:num w:numId="120">
    <w:abstractNumId w:val="163"/>
  </w:num>
  <w:num w:numId="121">
    <w:abstractNumId w:val="47"/>
  </w:num>
  <w:num w:numId="1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02"/>
  </w:num>
  <w:num w:numId="124">
    <w:abstractNumId w:val="58"/>
  </w:num>
  <w:num w:numId="125">
    <w:abstractNumId w:val="88"/>
    <w:lvlOverride w:ilvl="0">
      <w:startOverride w:val="1"/>
    </w:lvlOverride>
  </w:num>
  <w:num w:numId="126">
    <w:abstractNumId w:val="211"/>
  </w:num>
  <w:num w:numId="127">
    <w:abstractNumId w:val="238"/>
  </w:num>
  <w:num w:numId="128">
    <w:abstractNumId w:val="174"/>
  </w:num>
  <w:num w:numId="129">
    <w:abstractNumId w:val="134"/>
  </w:num>
  <w:num w:numId="130">
    <w:abstractNumId w:val="142"/>
  </w:num>
  <w:num w:numId="131">
    <w:abstractNumId w:val="179"/>
  </w:num>
  <w:num w:numId="132">
    <w:abstractNumId w:val="175"/>
  </w:num>
  <w:num w:numId="133">
    <w:abstractNumId w:val="146"/>
  </w:num>
  <w:num w:numId="134">
    <w:abstractNumId w:val="236"/>
  </w:num>
  <w:num w:numId="135">
    <w:abstractNumId w:val="160"/>
  </w:num>
  <w:num w:numId="136">
    <w:abstractNumId w:val="6"/>
  </w:num>
  <w:num w:numId="137">
    <w:abstractNumId w:val="101"/>
  </w:num>
  <w:num w:numId="138">
    <w:abstractNumId w:val="28"/>
  </w:num>
  <w:num w:numId="139">
    <w:abstractNumId w:val="216"/>
  </w:num>
  <w:num w:numId="140">
    <w:abstractNumId w:val="32"/>
  </w:num>
  <w:num w:numId="141">
    <w:abstractNumId w:val="27"/>
  </w:num>
  <w:num w:numId="142">
    <w:abstractNumId w:val="71"/>
  </w:num>
  <w:num w:numId="143">
    <w:abstractNumId w:val="14"/>
  </w:num>
  <w:num w:numId="14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9"/>
  </w:num>
  <w:num w:numId="15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2"/>
  </w:num>
  <w:num w:numId="15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05"/>
  </w:num>
  <w:num w:numId="157">
    <w:abstractNumId w:val="97"/>
    <w:lvlOverride w:ilvl="0">
      <w:startOverride w:val="1"/>
    </w:lvlOverride>
    <w:lvlOverride w:ilvl="1"/>
    <w:lvlOverride w:ilvl="2"/>
    <w:lvlOverride w:ilvl="3"/>
    <w:lvlOverride w:ilvl="4"/>
    <w:lvlOverride w:ilvl="5"/>
    <w:lvlOverride w:ilvl="6"/>
    <w:lvlOverride w:ilvl="7"/>
    <w:lvlOverride w:ilvl="8"/>
  </w:num>
  <w:num w:numId="158">
    <w:abstractNumId w:val="168"/>
  </w:num>
  <w:num w:numId="1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5"/>
  </w:num>
  <w:num w:numId="167">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9"/>
  </w:num>
  <w:num w:numId="172">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48"/>
  </w:num>
  <w:num w:numId="175">
    <w:abstractNumId w:val="0"/>
  </w:num>
  <w:num w:numId="176">
    <w:abstractNumId w:val="1"/>
  </w:num>
  <w:num w:numId="177">
    <w:abstractNumId w:val="169"/>
  </w:num>
  <w:num w:numId="178">
    <w:abstractNumId w:val="45"/>
  </w:num>
  <w:num w:numId="179">
    <w:abstractNumId w:val="39"/>
  </w:num>
  <w:num w:numId="180">
    <w:abstractNumId w:val="102"/>
  </w:num>
  <w:num w:numId="181">
    <w:abstractNumId w:val="139"/>
  </w:num>
  <w:num w:numId="182">
    <w:abstractNumId w:val="122"/>
  </w:num>
  <w:num w:numId="183">
    <w:abstractNumId w:val="41"/>
  </w:num>
  <w:num w:numId="184">
    <w:abstractNumId w:val="60"/>
  </w:num>
  <w:num w:numId="185">
    <w:abstractNumId w:val="190"/>
  </w:num>
  <w:num w:numId="186">
    <w:abstractNumId w:val="34"/>
  </w:num>
  <w:num w:numId="187">
    <w:abstractNumId w:val="123"/>
  </w:num>
  <w:num w:numId="188">
    <w:abstractNumId w:val="148"/>
  </w:num>
  <w:num w:numId="189">
    <w:abstractNumId w:val="59"/>
  </w:num>
  <w:num w:numId="190">
    <w:abstractNumId w:val="115"/>
  </w:num>
  <w:num w:numId="191">
    <w:abstractNumId w:val="126"/>
  </w:num>
  <w:num w:numId="192">
    <w:abstractNumId w:val="133"/>
  </w:num>
  <w:num w:numId="193">
    <w:abstractNumId w:val="98"/>
  </w:num>
  <w:num w:numId="194">
    <w:abstractNumId w:val="3"/>
  </w:num>
  <w:num w:numId="195">
    <w:abstractNumId w:val="171"/>
  </w:num>
  <w:num w:numId="196">
    <w:abstractNumId w:val="78"/>
  </w:num>
  <w:num w:numId="197">
    <w:abstractNumId w:val="201"/>
  </w:num>
  <w:num w:numId="198">
    <w:abstractNumId w:val="224"/>
  </w:num>
  <w:num w:numId="199">
    <w:abstractNumId w:val="72"/>
  </w:num>
  <w:num w:numId="200">
    <w:abstractNumId w:val="242"/>
  </w:num>
  <w:num w:numId="201">
    <w:abstractNumId w:val="46"/>
  </w:num>
  <w:num w:numId="202">
    <w:abstractNumId w:val="144"/>
  </w:num>
  <w:num w:numId="203">
    <w:abstractNumId w:val="143"/>
  </w:num>
  <w:num w:numId="204">
    <w:abstractNumId w:val="52"/>
  </w:num>
  <w:num w:numId="205">
    <w:abstractNumId w:val="165"/>
  </w:num>
  <w:num w:numId="206">
    <w:abstractNumId w:val="44"/>
  </w:num>
  <w:num w:numId="207">
    <w:abstractNumId w:val="40"/>
  </w:num>
  <w:num w:numId="208">
    <w:abstractNumId w:val="26"/>
  </w:num>
  <w:num w:numId="209">
    <w:abstractNumId w:val="107"/>
  </w:num>
  <w:num w:numId="210">
    <w:abstractNumId w:val="117"/>
  </w:num>
  <w:num w:numId="211">
    <w:abstractNumId w:val="230"/>
  </w:num>
  <w:num w:numId="212">
    <w:abstractNumId w:val="89"/>
    <w:lvlOverride w:ilvl="0">
      <w:startOverride w:val="1"/>
    </w:lvlOverride>
  </w:num>
  <w:num w:numId="213">
    <w:abstractNumId w:val="182"/>
  </w:num>
  <w:num w:numId="214">
    <w:abstractNumId w:val="243"/>
  </w:num>
  <w:num w:numId="215">
    <w:abstractNumId w:val="162"/>
  </w:num>
  <w:num w:numId="216">
    <w:abstractNumId w:val="124"/>
  </w:num>
  <w:num w:numId="217">
    <w:abstractNumId w:val="13"/>
  </w:num>
  <w:num w:numId="218">
    <w:abstractNumId w:val="136"/>
  </w:num>
  <w:num w:numId="219">
    <w:abstractNumId w:val="9"/>
  </w:num>
  <w:num w:numId="220">
    <w:abstractNumId w:val="147"/>
  </w:num>
  <w:num w:numId="221">
    <w:abstractNumId w:val="215"/>
  </w:num>
  <w:num w:numId="222">
    <w:abstractNumId w:val="75"/>
  </w:num>
  <w:num w:numId="223">
    <w:abstractNumId w:val="183"/>
  </w:num>
  <w:num w:numId="224">
    <w:abstractNumId w:val="11"/>
  </w:num>
  <w:num w:numId="225">
    <w:abstractNumId w:val="83"/>
  </w:num>
  <w:num w:numId="226">
    <w:abstractNumId w:val="87"/>
  </w:num>
  <w:num w:numId="227">
    <w:abstractNumId w:val="89"/>
    <w:lvlOverride w:ilvl="0">
      <w:startOverride w:val="1"/>
    </w:lvlOverride>
  </w:num>
  <w:num w:numId="228">
    <w:abstractNumId w:val="212"/>
  </w:num>
  <w:num w:numId="229">
    <w:abstractNumId w:val="118"/>
  </w:num>
  <w:num w:numId="230">
    <w:abstractNumId w:val="138"/>
  </w:num>
  <w:num w:numId="231">
    <w:abstractNumId w:val="96"/>
  </w:num>
  <w:num w:numId="232">
    <w:abstractNumId w:val="219"/>
  </w:num>
  <w:num w:numId="233">
    <w:abstractNumId w:val="73"/>
  </w:num>
  <w:num w:numId="234">
    <w:abstractNumId w:val="217"/>
  </w:num>
  <w:num w:numId="235">
    <w:abstractNumId w:val="157"/>
  </w:num>
  <w:num w:numId="236">
    <w:abstractNumId w:val="111"/>
  </w:num>
  <w:num w:numId="237">
    <w:abstractNumId w:val="19"/>
  </w:num>
  <w:num w:numId="238">
    <w:abstractNumId w:val="167"/>
  </w:num>
  <w:num w:numId="239">
    <w:abstractNumId w:val="77"/>
  </w:num>
  <w:num w:numId="240">
    <w:abstractNumId w:val="155"/>
  </w:num>
  <w:num w:numId="241">
    <w:abstractNumId w:val="203"/>
  </w:num>
  <w:num w:numId="242">
    <w:abstractNumId w:val="187"/>
  </w:num>
  <w:num w:numId="243">
    <w:abstractNumId w:val="145"/>
  </w:num>
  <w:num w:numId="244">
    <w:abstractNumId w:val="177"/>
  </w:num>
  <w:num w:numId="245">
    <w:abstractNumId w:val="185"/>
  </w:num>
  <w:num w:numId="246">
    <w:abstractNumId w:val="82"/>
  </w:num>
  <w:num w:numId="247">
    <w:abstractNumId w:val="156"/>
  </w:num>
  <w:num w:numId="248">
    <w:abstractNumId w:val="135"/>
  </w:num>
  <w:num w:numId="249">
    <w:abstractNumId w:val="2"/>
  </w:num>
  <w:num w:numId="250">
    <w:abstractNumId w:val="30"/>
  </w:num>
  <w:num w:numId="251">
    <w:abstractNumId w:val="92"/>
  </w:num>
  <w:num w:numId="252">
    <w:abstractNumId w:val="227"/>
  </w:num>
  <w:num w:numId="253">
    <w:abstractNumId w:val="149"/>
  </w:num>
  <w:num w:numId="254">
    <w:abstractNumId w:val="141"/>
  </w:num>
  <w:num w:numId="255">
    <w:abstractNumId w:val="23"/>
  </w:num>
  <w:num w:numId="256">
    <w:abstractNumId w:val="93"/>
  </w:num>
  <w:num w:numId="257">
    <w:abstractNumId w:val="49"/>
  </w:num>
  <w:num w:numId="258">
    <w:abstractNumId w:val="235"/>
  </w:num>
  <w:num w:numId="259">
    <w:abstractNumId w:val="116"/>
  </w:num>
  <w:num w:numId="260">
    <w:abstractNumId w:val="37"/>
  </w:num>
  <w:num w:numId="261">
    <w:abstractNumId w:val="24"/>
  </w:num>
  <w:num w:numId="262">
    <w:abstractNumId w:val="198"/>
  </w:num>
  <w:num w:numId="263">
    <w:abstractNumId w:val="80"/>
  </w:num>
  <w:num w:numId="264">
    <w:abstractNumId w:val="94"/>
  </w:num>
  <w:num w:numId="265">
    <w:abstractNumId w:val="64"/>
  </w:num>
  <w:num w:numId="266">
    <w:abstractNumId w:val="18"/>
  </w:num>
  <w:numIdMacAtCleanup w:val="2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0165"/>
    <w:rsid w:val="00000FA4"/>
    <w:rsid w:val="00001811"/>
    <w:rsid w:val="00001CEF"/>
    <w:rsid w:val="00002436"/>
    <w:rsid w:val="00002B4D"/>
    <w:rsid w:val="0000331F"/>
    <w:rsid w:val="00003493"/>
    <w:rsid w:val="0000358C"/>
    <w:rsid w:val="0000369A"/>
    <w:rsid w:val="00003717"/>
    <w:rsid w:val="00003AC4"/>
    <w:rsid w:val="00003CA0"/>
    <w:rsid w:val="00003FFA"/>
    <w:rsid w:val="00005586"/>
    <w:rsid w:val="00006AE4"/>
    <w:rsid w:val="00006B50"/>
    <w:rsid w:val="0000711B"/>
    <w:rsid w:val="00007D30"/>
    <w:rsid w:val="00011DBB"/>
    <w:rsid w:val="0001242F"/>
    <w:rsid w:val="0001294C"/>
    <w:rsid w:val="00012BB0"/>
    <w:rsid w:val="00013D25"/>
    <w:rsid w:val="0001417F"/>
    <w:rsid w:val="0001438C"/>
    <w:rsid w:val="000153C7"/>
    <w:rsid w:val="00015A32"/>
    <w:rsid w:val="0001608E"/>
    <w:rsid w:val="0001615A"/>
    <w:rsid w:val="00016D95"/>
    <w:rsid w:val="00017619"/>
    <w:rsid w:val="00017840"/>
    <w:rsid w:val="00020573"/>
    <w:rsid w:val="000216BF"/>
    <w:rsid w:val="00021DA6"/>
    <w:rsid w:val="000220B0"/>
    <w:rsid w:val="000222C7"/>
    <w:rsid w:val="00022B8D"/>
    <w:rsid w:val="00022E16"/>
    <w:rsid w:val="00023CED"/>
    <w:rsid w:val="000242AB"/>
    <w:rsid w:val="00025CB2"/>
    <w:rsid w:val="000270D2"/>
    <w:rsid w:val="00027A78"/>
    <w:rsid w:val="00027AF6"/>
    <w:rsid w:val="000300D7"/>
    <w:rsid w:val="000304FC"/>
    <w:rsid w:val="00030FDA"/>
    <w:rsid w:val="000311A3"/>
    <w:rsid w:val="00031916"/>
    <w:rsid w:val="00031E7A"/>
    <w:rsid w:val="000327DF"/>
    <w:rsid w:val="0003384E"/>
    <w:rsid w:val="00033F08"/>
    <w:rsid w:val="00034C41"/>
    <w:rsid w:val="0003503B"/>
    <w:rsid w:val="00036095"/>
    <w:rsid w:val="00036364"/>
    <w:rsid w:val="000364D9"/>
    <w:rsid w:val="000364F3"/>
    <w:rsid w:val="000366AE"/>
    <w:rsid w:val="00036901"/>
    <w:rsid w:val="000369AC"/>
    <w:rsid w:val="000370CF"/>
    <w:rsid w:val="0003724F"/>
    <w:rsid w:val="000373C1"/>
    <w:rsid w:val="00037BA1"/>
    <w:rsid w:val="00040E45"/>
    <w:rsid w:val="000413B8"/>
    <w:rsid w:val="000413D4"/>
    <w:rsid w:val="0004159E"/>
    <w:rsid w:val="00041DDD"/>
    <w:rsid w:val="00042FC4"/>
    <w:rsid w:val="00042FDD"/>
    <w:rsid w:val="000435E3"/>
    <w:rsid w:val="00044CF1"/>
    <w:rsid w:val="0004509D"/>
    <w:rsid w:val="00045667"/>
    <w:rsid w:val="00046C02"/>
    <w:rsid w:val="000476D8"/>
    <w:rsid w:val="00047A4C"/>
    <w:rsid w:val="00050066"/>
    <w:rsid w:val="0005030D"/>
    <w:rsid w:val="00050A97"/>
    <w:rsid w:val="00052C57"/>
    <w:rsid w:val="00054A04"/>
    <w:rsid w:val="00054CC3"/>
    <w:rsid w:val="00054F59"/>
    <w:rsid w:val="000551A1"/>
    <w:rsid w:val="000555FB"/>
    <w:rsid w:val="0005600E"/>
    <w:rsid w:val="00056260"/>
    <w:rsid w:val="000567B5"/>
    <w:rsid w:val="0005722F"/>
    <w:rsid w:val="000575AF"/>
    <w:rsid w:val="000606CB"/>
    <w:rsid w:val="00060890"/>
    <w:rsid w:val="00061415"/>
    <w:rsid w:val="0006199A"/>
    <w:rsid w:val="00061A23"/>
    <w:rsid w:val="00061FD8"/>
    <w:rsid w:val="0006252A"/>
    <w:rsid w:val="000630EA"/>
    <w:rsid w:val="0006339E"/>
    <w:rsid w:val="00063654"/>
    <w:rsid w:val="00063C44"/>
    <w:rsid w:val="00063CE1"/>
    <w:rsid w:val="000641DA"/>
    <w:rsid w:val="00064E7B"/>
    <w:rsid w:val="00065053"/>
    <w:rsid w:val="000655E4"/>
    <w:rsid w:val="000656AD"/>
    <w:rsid w:val="00065BEE"/>
    <w:rsid w:val="00065C71"/>
    <w:rsid w:val="000668B9"/>
    <w:rsid w:val="00066BBA"/>
    <w:rsid w:val="00066FDF"/>
    <w:rsid w:val="000671B7"/>
    <w:rsid w:val="00067B6F"/>
    <w:rsid w:val="00067E1D"/>
    <w:rsid w:val="0007064C"/>
    <w:rsid w:val="00070977"/>
    <w:rsid w:val="00070ECE"/>
    <w:rsid w:val="000712EE"/>
    <w:rsid w:val="000723E3"/>
    <w:rsid w:val="000725C0"/>
    <w:rsid w:val="0007410B"/>
    <w:rsid w:val="00074444"/>
    <w:rsid w:val="00074CE6"/>
    <w:rsid w:val="0007513B"/>
    <w:rsid w:val="000764DD"/>
    <w:rsid w:val="000768A5"/>
    <w:rsid w:val="00077277"/>
    <w:rsid w:val="0007743A"/>
    <w:rsid w:val="00077736"/>
    <w:rsid w:val="00080069"/>
    <w:rsid w:val="00080125"/>
    <w:rsid w:val="000801C5"/>
    <w:rsid w:val="00080F4F"/>
    <w:rsid w:val="00081CBC"/>
    <w:rsid w:val="00082159"/>
    <w:rsid w:val="0008302F"/>
    <w:rsid w:val="00083449"/>
    <w:rsid w:val="0008449F"/>
    <w:rsid w:val="000846ED"/>
    <w:rsid w:val="000853D1"/>
    <w:rsid w:val="00085518"/>
    <w:rsid w:val="000857F9"/>
    <w:rsid w:val="00085819"/>
    <w:rsid w:val="0008599D"/>
    <w:rsid w:val="00086B4C"/>
    <w:rsid w:val="000903B7"/>
    <w:rsid w:val="00090681"/>
    <w:rsid w:val="000908D6"/>
    <w:rsid w:val="00090CBE"/>
    <w:rsid w:val="00090DB5"/>
    <w:rsid w:val="00091601"/>
    <w:rsid w:val="000918EB"/>
    <w:rsid w:val="00091B78"/>
    <w:rsid w:val="000924A7"/>
    <w:rsid w:val="00092BB9"/>
    <w:rsid w:val="00092E25"/>
    <w:rsid w:val="00093D79"/>
    <w:rsid w:val="000945D7"/>
    <w:rsid w:val="00094B28"/>
    <w:rsid w:val="00094B9A"/>
    <w:rsid w:val="00094DFF"/>
    <w:rsid w:val="00095546"/>
    <w:rsid w:val="00095A83"/>
    <w:rsid w:val="00096034"/>
    <w:rsid w:val="00096568"/>
    <w:rsid w:val="000965A0"/>
    <w:rsid w:val="00096DEE"/>
    <w:rsid w:val="00097063"/>
    <w:rsid w:val="00097336"/>
    <w:rsid w:val="00097473"/>
    <w:rsid w:val="000975DA"/>
    <w:rsid w:val="000A00E6"/>
    <w:rsid w:val="000A1920"/>
    <w:rsid w:val="000A1A89"/>
    <w:rsid w:val="000A1C91"/>
    <w:rsid w:val="000A1D96"/>
    <w:rsid w:val="000A24C4"/>
    <w:rsid w:val="000A3113"/>
    <w:rsid w:val="000A345B"/>
    <w:rsid w:val="000A372A"/>
    <w:rsid w:val="000A395D"/>
    <w:rsid w:val="000A3B1D"/>
    <w:rsid w:val="000A4F09"/>
    <w:rsid w:val="000A5021"/>
    <w:rsid w:val="000A532C"/>
    <w:rsid w:val="000A56A5"/>
    <w:rsid w:val="000A5C86"/>
    <w:rsid w:val="000A6617"/>
    <w:rsid w:val="000A6897"/>
    <w:rsid w:val="000A6DBE"/>
    <w:rsid w:val="000A6FAE"/>
    <w:rsid w:val="000A739A"/>
    <w:rsid w:val="000A7E1F"/>
    <w:rsid w:val="000A7E43"/>
    <w:rsid w:val="000B05C3"/>
    <w:rsid w:val="000B1FC4"/>
    <w:rsid w:val="000B2003"/>
    <w:rsid w:val="000B21D6"/>
    <w:rsid w:val="000B2404"/>
    <w:rsid w:val="000B36D8"/>
    <w:rsid w:val="000B3B7D"/>
    <w:rsid w:val="000B3FD4"/>
    <w:rsid w:val="000B6E38"/>
    <w:rsid w:val="000C056F"/>
    <w:rsid w:val="000C1442"/>
    <w:rsid w:val="000C1928"/>
    <w:rsid w:val="000C19B3"/>
    <w:rsid w:val="000C19EF"/>
    <w:rsid w:val="000C2D7D"/>
    <w:rsid w:val="000C3B86"/>
    <w:rsid w:val="000C4A46"/>
    <w:rsid w:val="000C4F2A"/>
    <w:rsid w:val="000C4F54"/>
    <w:rsid w:val="000C55A6"/>
    <w:rsid w:val="000C6A39"/>
    <w:rsid w:val="000C6FB8"/>
    <w:rsid w:val="000C74FA"/>
    <w:rsid w:val="000D0547"/>
    <w:rsid w:val="000D13E5"/>
    <w:rsid w:val="000D16D6"/>
    <w:rsid w:val="000D28EB"/>
    <w:rsid w:val="000D308C"/>
    <w:rsid w:val="000D3808"/>
    <w:rsid w:val="000D4262"/>
    <w:rsid w:val="000D43DE"/>
    <w:rsid w:val="000D55B5"/>
    <w:rsid w:val="000D57FE"/>
    <w:rsid w:val="000D58A1"/>
    <w:rsid w:val="000D7E54"/>
    <w:rsid w:val="000E01AE"/>
    <w:rsid w:val="000E04C6"/>
    <w:rsid w:val="000E0A5A"/>
    <w:rsid w:val="000E0A85"/>
    <w:rsid w:val="000E1607"/>
    <w:rsid w:val="000E2B28"/>
    <w:rsid w:val="000E2F5F"/>
    <w:rsid w:val="000E336C"/>
    <w:rsid w:val="000E3DDA"/>
    <w:rsid w:val="000E56E7"/>
    <w:rsid w:val="000E68E3"/>
    <w:rsid w:val="000E6DDB"/>
    <w:rsid w:val="000E72AB"/>
    <w:rsid w:val="000E74A6"/>
    <w:rsid w:val="000E7FC1"/>
    <w:rsid w:val="000F03B1"/>
    <w:rsid w:val="000F08AE"/>
    <w:rsid w:val="000F0C9E"/>
    <w:rsid w:val="000F0DA6"/>
    <w:rsid w:val="000F13EE"/>
    <w:rsid w:val="000F1AAB"/>
    <w:rsid w:val="000F2D33"/>
    <w:rsid w:val="000F2F8E"/>
    <w:rsid w:val="000F31D6"/>
    <w:rsid w:val="000F321F"/>
    <w:rsid w:val="000F43F4"/>
    <w:rsid w:val="000F440E"/>
    <w:rsid w:val="000F5EC8"/>
    <w:rsid w:val="000F6647"/>
    <w:rsid w:val="000F6BCC"/>
    <w:rsid w:val="000F7138"/>
    <w:rsid w:val="000F73B7"/>
    <w:rsid w:val="000F794F"/>
    <w:rsid w:val="000F7E7B"/>
    <w:rsid w:val="001002E3"/>
    <w:rsid w:val="001002F8"/>
    <w:rsid w:val="001013DF"/>
    <w:rsid w:val="001013E8"/>
    <w:rsid w:val="00102654"/>
    <w:rsid w:val="001028CC"/>
    <w:rsid w:val="00102BE6"/>
    <w:rsid w:val="00102D3D"/>
    <w:rsid w:val="00102DB5"/>
    <w:rsid w:val="00103015"/>
    <w:rsid w:val="001045F9"/>
    <w:rsid w:val="0010472B"/>
    <w:rsid w:val="00104F95"/>
    <w:rsid w:val="00105900"/>
    <w:rsid w:val="00105AC6"/>
    <w:rsid w:val="0010657F"/>
    <w:rsid w:val="001066C8"/>
    <w:rsid w:val="00106838"/>
    <w:rsid w:val="00106E5E"/>
    <w:rsid w:val="00107377"/>
    <w:rsid w:val="0010751D"/>
    <w:rsid w:val="0010779F"/>
    <w:rsid w:val="001078E6"/>
    <w:rsid w:val="00111159"/>
    <w:rsid w:val="00111176"/>
    <w:rsid w:val="0011127B"/>
    <w:rsid w:val="00111C4F"/>
    <w:rsid w:val="0011221E"/>
    <w:rsid w:val="00112D0F"/>
    <w:rsid w:val="001133E0"/>
    <w:rsid w:val="001137FE"/>
    <w:rsid w:val="00113E71"/>
    <w:rsid w:val="00114EBC"/>
    <w:rsid w:val="00115843"/>
    <w:rsid w:val="00115BE3"/>
    <w:rsid w:val="00115DE5"/>
    <w:rsid w:val="001163D6"/>
    <w:rsid w:val="00116CAA"/>
    <w:rsid w:val="0011726A"/>
    <w:rsid w:val="00117CA8"/>
    <w:rsid w:val="0012022D"/>
    <w:rsid w:val="00120B5E"/>
    <w:rsid w:val="0012108F"/>
    <w:rsid w:val="00121718"/>
    <w:rsid w:val="00121AE1"/>
    <w:rsid w:val="00121EB0"/>
    <w:rsid w:val="001220B2"/>
    <w:rsid w:val="0012228D"/>
    <w:rsid w:val="001222F1"/>
    <w:rsid w:val="00123218"/>
    <w:rsid w:val="001237BA"/>
    <w:rsid w:val="00123925"/>
    <w:rsid w:val="00123CC0"/>
    <w:rsid w:val="0012523F"/>
    <w:rsid w:val="001263DC"/>
    <w:rsid w:val="00126641"/>
    <w:rsid w:val="00126954"/>
    <w:rsid w:val="00126A5A"/>
    <w:rsid w:val="001307EE"/>
    <w:rsid w:val="00130A99"/>
    <w:rsid w:val="00130CDB"/>
    <w:rsid w:val="00131C55"/>
    <w:rsid w:val="00132F9E"/>
    <w:rsid w:val="0013396A"/>
    <w:rsid w:val="00133D3A"/>
    <w:rsid w:val="001352EE"/>
    <w:rsid w:val="00135505"/>
    <w:rsid w:val="00135E4C"/>
    <w:rsid w:val="001364A7"/>
    <w:rsid w:val="00136827"/>
    <w:rsid w:val="001375D4"/>
    <w:rsid w:val="00140797"/>
    <w:rsid w:val="00140C67"/>
    <w:rsid w:val="00141EBB"/>
    <w:rsid w:val="001423EB"/>
    <w:rsid w:val="00143572"/>
    <w:rsid w:val="00143750"/>
    <w:rsid w:val="00143E88"/>
    <w:rsid w:val="001442F9"/>
    <w:rsid w:val="001455D8"/>
    <w:rsid w:val="001466A3"/>
    <w:rsid w:val="00146B5E"/>
    <w:rsid w:val="00147706"/>
    <w:rsid w:val="0014790A"/>
    <w:rsid w:val="001505D9"/>
    <w:rsid w:val="00150771"/>
    <w:rsid w:val="00150E70"/>
    <w:rsid w:val="0015140E"/>
    <w:rsid w:val="00151609"/>
    <w:rsid w:val="00151781"/>
    <w:rsid w:val="00151975"/>
    <w:rsid w:val="00151ABB"/>
    <w:rsid w:val="00152065"/>
    <w:rsid w:val="001526B8"/>
    <w:rsid w:val="00152B2B"/>
    <w:rsid w:val="0015396E"/>
    <w:rsid w:val="00154447"/>
    <w:rsid w:val="001549BE"/>
    <w:rsid w:val="00154CDE"/>
    <w:rsid w:val="00154F5B"/>
    <w:rsid w:val="00155890"/>
    <w:rsid w:val="00155F76"/>
    <w:rsid w:val="0015616A"/>
    <w:rsid w:val="001566EF"/>
    <w:rsid w:val="00160043"/>
    <w:rsid w:val="001600E2"/>
    <w:rsid w:val="00160C23"/>
    <w:rsid w:val="001610B7"/>
    <w:rsid w:val="00161DAC"/>
    <w:rsid w:val="00162B55"/>
    <w:rsid w:val="00162D8B"/>
    <w:rsid w:val="00163101"/>
    <w:rsid w:val="001638E9"/>
    <w:rsid w:val="00165824"/>
    <w:rsid w:val="001666EA"/>
    <w:rsid w:val="00167384"/>
    <w:rsid w:val="00167406"/>
    <w:rsid w:val="0017111A"/>
    <w:rsid w:val="0017116D"/>
    <w:rsid w:val="00171A85"/>
    <w:rsid w:val="0017227F"/>
    <w:rsid w:val="00173B8F"/>
    <w:rsid w:val="00173CD7"/>
    <w:rsid w:val="00173F5C"/>
    <w:rsid w:val="00174186"/>
    <w:rsid w:val="001744B8"/>
    <w:rsid w:val="00174565"/>
    <w:rsid w:val="00174EC9"/>
    <w:rsid w:val="00175BB3"/>
    <w:rsid w:val="00177538"/>
    <w:rsid w:val="00177A9A"/>
    <w:rsid w:val="001808A4"/>
    <w:rsid w:val="00180FF3"/>
    <w:rsid w:val="0018132C"/>
    <w:rsid w:val="001815A5"/>
    <w:rsid w:val="00181F30"/>
    <w:rsid w:val="00182740"/>
    <w:rsid w:val="00184071"/>
    <w:rsid w:val="00184FCD"/>
    <w:rsid w:val="001852C5"/>
    <w:rsid w:val="00185A3B"/>
    <w:rsid w:val="001863A9"/>
    <w:rsid w:val="00186850"/>
    <w:rsid w:val="00187A32"/>
    <w:rsid w:val="001904A5"/>
    <w:rsid w:val="0019217D"/>
    <w:rsid w:val="001923C8"/>
    <w:rsid w:val="001927CB"/>
    <w:rsid w:val="001939FF"/>
    <w:rsid w:val="00193B82"/>
    <w:rsid w:val="00194538"/>
    <w:rsid w:val="00194DE8"/>
    <w:rsid w:val="00196549"/>
    <w:rsid w:val="00197468"/>
    <w:rsid w:val="001974A1"/>
    <w:rsid w:val="00197651"/>
    <w:rsid w:val="00197990"/>
    <w:rsid w:val="001A0106"/>
    <w:rsid w:val="001A02CB"/>
    <w:rsid w:val="001A02FD"/>
    <w:rsid w:val="001A0554"/>
    <w:rsid w:val="001A09C4"/>
    <w:rsid w:val="001A11DB"/>
    <w:rsid w:val="001A2E28"/>
    <w:rsid w:val="001A33F4"/>
    <w:rsid w:val="001A4B8D"/>
    <w:rsid w:val="001A4FDC"/>
    <w:rsid w:val="001A50DE"/>
    <w:rsid w:val="001A53AE"/>
    <w:rsid w:val="001A5879"/>
    <w:rsid w:val="001A6256"/>
    <w:rsid w:val="001A6F29"/>
    <w:rsid w:val="001A72DE"/>
    <w:rsid w:val="001A7656"/>
    <w:rsid w:val="001A789B"/>
    <w:rsid w:val="001B03CC"/>
    <w:rsid w:val="001B0C75"/>
    <w:rsid w:val="001B0EFB"/>
    <w:rsid w:val="001B2010"/>
    <w:rsid w:val="001B2A29"/>
    <w:rsid w:val="001B2DEE"/>
    <w:rsid w:val="001B368E"/>
    <w:rsid w:val="001B44C2"/>
    <w:rsid w:val="001B4EC1"/>
    <w:rsid w:val="001B5793"/>
    <w:rsid w:val="001B5E9D"/>
    <w:rsid w:val="001B659F"/>
    <w:rsid w:val="001B70C3"/>
    <w:rsid w:val="001B7399"/>
    <w:rsid w:val="001B7655"/>
    <w:rsid w:val="001B7854"/>
    <w:rsid w:val="001B7BAD"/>
    <w:rsid w:val="001B7F09"/>
    <w:rsid w:val="001C0F49"/>
    <w:rsid w:val="001C111B"/>
    <w:rsid w:val="001C1166"/>
    <w:rsid w:val="001C1271"/>
    <w:rsid w:val="001C1F7A"/>
    <w:rsid w:val="001C22E9"/>
    <w:rsid w:val="001C261E"/>
    <w:rsid w:val="001C2CA6"/>
    <w:rsid w:val="001C2F32"/>
    <w:rsid w:val="001C3AC7"/>
    <w:rsid w:val="001C3C61"/>
    <w:rsid w:val="001C42D0"/>
    <w:rsid w:val="001C480A"/>
    <w:rsid w:val="001C575B"/>
    <w:rsid w:val="001C5B3E"/>
    <w:rsid w:val="001C5CD6"/>
    <w:rsid w:val="001C7B0E"/>
    <w:rsid w:val="001C7B78"/>
    <w:rsid w:val="001C7FB4"/>
    <w:rsid w:val="001D0A25"/>
    <w:rsid w:val="001D0BA6"/>
    <w:rsid w:val="001D115E"/>
    <w:rsid w:val="001D1354"/>
    <w:rsid w:val="001D1903"/>
    <w:rsid w:val="001D1942"/>
    <w:rsid w:val="001D1D2A"/>
    <w:rsid w:val="001D1DDB"/>
    <w:rsid w:val="001D29F2"/>
    <w:rsid w:val="001D2F57"/>
    <w:rsid w:val="001D3867"/>
    <w:rsid w:val="001D4879"/>
    <w:rsid w:val="001D53EA"/>
    <w:rsid w:val="001D57C4"/>
    <w:rsid w:val="001D61B6"/>
    <w:rsid w:val="001D6BE9"/>
    <w:rsid w:val="001D6F7C"/>
    <w:rsid w:val="001D7A43"/>
    <w:rsid w:val="001E0156"/>
    <w:rsid w:val="001E0C5E"/>
    <w:rsid w:val="001E12A5"/>
    <w:rsid w:val="001E1BF9"/>
    <w:rsid w:val="001E1EDB"/>
    <w:rsid w:val="001E31A9"/>
    <w:rsid w:val="001E3A18"/>
    <w:rsid w:val="001E5574"/>
    <w:rsid w:val="001E7093"/>
    <w:rsid w:val="001E717D"/>
    <w:rsid w:val="001E71F5"/>
    <w:rsid w:val="001E7D86"/>
    <w:rsid w:val="001F0292"/>
    <w:rsid w:val="001F05DC"/>
    <w:rsid w:val="001F2666"/>
    <w:rsid w:val="001F34CC"/>
    <w:rsid w:val="001F377B"/>
    <w:rsid w:val="001F3CF9"/>
    <w:rsid w:val="001F492E"/>
    <w:rsid w:val="001F4A2C"/>
    <w:rsid w:val="001F4D7F"/>
    <w:rsid w:val="001F55E5"/>
    <w:rsid w:val="001F5CB9"/>
    <w:rsid w:val="001F6021"/>
    <w:rsid w:val="001F7349"/>
    <w:rsid w:val="001F7AB0"/>
    <w:rsid w:val="001F7F30"/>
    <w:rsid w:val="002003A1"/>
    <w:rsid w:val="00200A3F"/>
    <w:rsid w:val="00200DC3"/>
    <w:rsid w:val="002011E2"/>
    <w:rsid w:val="00201BB9"/>
    <w:rsid w:val="00202925"/>
    <w:rsid w:val="00202C70"/>
    <w:rsid w:val="00204144"/>
    <w:rsid w:val="002047CC"/>
    <w:rsid w:val="002050B0"/>
    <w:rsid w:val="00205D80"/>
    <w:rsid w:val="00206401"/>
    <w:rsid w:val="002068B7"/>
    <w:rsid w:val="0020703C"/>
    <w:rsid w:val="00210874"/>
    <w:rsid w:val="0021093F"/>
    <w:rsid w:val="00210B8B"/>
    <w:rsid w:val="002133CA"/>
    <w:rsid w:val="00213592"/>
    <w:rsid w:val="002146B5"/>
    <w:rsid w:val="00214FA2"/>
    <w:rsid w:val="00215783"/>
    <w:rsid w:val="0021644B"/>
    <w:rsid w:val="00216489"/>
    <w:rsid w:val="00216644"/>
    <w:rsid w:val="00216DC9"/>
    <w:rsid w:val="00216E53"/>
    <w:rsid w:val="002172DC"/>
    <w:rsid w:val="00217387"/>
    <w:rsid w:val="00217566"/>
    <w:rsid w:val="00217CA0"/>
    <w:rsid w:val="00217CFE"/>
    <w:rsid w:val="002202EB"/>
    <w:rsid w:val="0022088B"/>
    <w:rsid w:val="00220FCF"/>
    <w:rsid w:val="00221705"/>
    <w:rsid w:val="00221972"/>
    <w:rsid w:val="002231C8"/>
    <w:rsid w:val="002232E5"/>
    <w:rsid w:val="00223938"/>
    <w:rsid w:val="00223DFD"/>
    <w:rsid w:val="00224154"/>
    <w:rsid w:val="00224375"/>
    <w:rsid w:val="00224D27"/>
    <w:rsid w:val="00226003"/>
    <w:rsid w:val="0022674C"/>
    <w:rsid w:val="00227215"/>
    <w:rsid w:val="002276B4"/>
    <w:rsid w:val="002279CC"/>
    <w:rsid w:val="00227B1C"/>
    <w:rsid w:val="00230194"/>
    <w:rsid w:val="002315E0"/>
    <w:rsid w:val="00231923"/>
    <w:rsid w:val="00231AE6"/>
    <w:rsid w:val="002329C3"/>
    <w:rsid w:val="002332AE"/>
    <w:rsid w:val="002332E9"/>
    <w:rsid w:val="002333C2"/>
    <w:rsid w:val="002339F7"/>
    <w:rsid w:val="00233CB9"/>
    <w:rsid w:val="00233F2D"/>
    <w:rsid w:val="00234040"/>
    <w:rsid w:val="00235119"/>
    <w:rsid w:val="00235D67"/>
    <w:rsid w:val="0023626B"/>
    <w:rsid w:val="002376AD"/>
    <w:rsid w:val="00237A5C"/>
    <w:rsid w:val="00237F8E"/>
    <w:rsid w:val="002401D0"/>
    <w:rsid w:val="00241263"/>
    <w:rsid w:val="00242F07"/>
    <w:rsid w:val="00243020"/>
    <w:rsid w:val="00243116"/>
    <w:rsid w:val="00243D64"/>
    <w:rsid w:val="00244D22"/>
    <w:rsid w:val="00245915"/>
    <w:rsid w:val="00246C09"/>
    <w:rsid w:val="002470E4"/>
    <w:rsid w:val="00247262"/>
    <w:rsid w:val="00247D1E"/>
    <w:rsid w:val="0025022E"/>
    <w:rsid w:val="0025144C"/>
    <w:rsid w:val="00251D89"/>
    <w:rsid w:val="002522F3"/>
    <w:rsid w:val="0025316D"/>
    <w:rsid w:val="00253305"/>
    <w:rsid w:val="0025616B"/>
    <w:rsid w:val="00256390"/>
    <w:rsid w:val="00256A53"/>
    <w:rsid w:val="0025707B"/>
    <w:rsid w:val="00257285"/>
    <w:rsid w:val="00257CB4"/>
    <w:rsid w:val="00257FF4"/>
    <w:rsid w:val="002608CE"/>
    <w:rsid w:val="00261660"/>
    <w:rsid w:val="002617A2"/>
    <w:rsid w:val="0026279C"/>
    <w:rsid w:val="00262CD3"/>
    <w:rsid w:val="00263D50"/>
    <w:rsid w:val="00264038"/>
    <w:rsid w:val="00264181"/>
    <w:rsid w:val="00264A08"/>
    <w:rsid w:val="00264BB2"/>
    <w:rsid w:val="00264E90"/>
    <w:rsid w:val="00265289"/>
    <w:rsid w:val="00265505"/>
    <w:rsid w:val="00266613"/>
    <w:rsid w:val="00266746"/>
    <w:rsid w:val="00266A30"/>
    <w:rsid w:val="00266E87"/>
    <w:rsid w:val="00266FE9"/>
    <w:rsid w:val="00267E75"/>
    <w:rsid w:val="00272396"/>
    <w:rsid w:val="00273D8A"/>
    <w:rsid w:val="00273D98"/>
    <w:rsid w:val="0027437C"/>
    <w:rsid w:val="0027452F"/>
    <w:rsid w:val="00274808"/>
    <w:rsid w:val="00274DAB"/>
    <w:rsid w:val="0027517D"/>
    <w:rsid w:val="00275A4E"/>
    <w:rsid w:val="00275F18"/>
    <w:rsid w:val="0027614D"/>
    <w:rsid w:val="0027651A"/>
    <w:rsid w:val="00276787"/>
    <w:rsid w:val="00276BCE"/>
    <w:rsid w:val="00276E34"/>
    <w:rsid w:val="002770A1"/>
    <w:rsid w:val="0028001E"/>
    <w:rsid w:val="00280D53"/>
    <w:rsid w:val="00281CF6"/>
    <w:rsid w:val="00283111"/>
    <w:rsid w:val="002831B8"/>
    <w:rsid w:val="0028359B"/>
    <w:rsid w:val="00284441"/>
    <w:rsid w:val="002857FE"/>
    <w:rsid w:val="002864B7"/>
    <w:rsid w:val="00286EB7"/>
    <w:rsid w:val="00287988"/>
    <w:rsid w:val="00287F90"/>
    <w:rsid w:val="00290933"/>
    <w:rsid w:val="00291948"/>
    <w:rsid w:val="00291B3E"/>
    <w:rsid w:val="00291E57"/>
    <w:rsid w:val="00292D6A"/>
    <w:rsid w:val="0029312A"/>
    <w:rsid w:val="0029325C"/>
    <w:rsid w:val="00293B2D"/>
    <w:rsid w:val="00293B46"/>
    <w:rsid w:val="00293BD0"/>
    <w:rsid w:val="00294693"/>
    <w:rsid w:val="00294759"/>
    <w:rsid w:val="00294E5F"/>
    <w:rsid w:val="00294EAF"/>
    <w:rsid w:val="002958EB"/>
    <w:rsid w:val="002960B7"/>
    <w:rsid w:val="00296249"/>
    <w:rsid w:val="00296CA9"/>
    <w:rsid w:val="00297643"/>
    <w:rsid w:val="00297824"/>
    <w:rsid w:val="00297942"/>
    <w:rsid w:val="00297CE9"/>
    <w:rsid w:val="002A0A18"/>
    <w:rsid w:val="002A0F2E"/>
    <w:rsid w:val="002A153F"/>
    <w:rsid w:val="002A1CC2"/>
    <w:rsid w:val="002A22AA"/>
    <w:rsid w:val="002A32FD"/>
    <w:rsid w:val="002A35E6"/>
    <w:rsid w:val="002A3D88"/>
    <w:rsid w:val="002A40DC"/>
    <w:rsid w:val="002A4534"/>
    <w:rsid w:val="002A4775"/>
    <w:rsid w:val="002A5138"/>
    <w:rsid w:val="002A5329"/>
    <w:rsid w:val="002A5C2D"/>
    <w:rsid w:val="002A5CB3"/>
    <w:rsid w:val="002A61E5"/>
    <w:rsid w:val="002A6CD1"/>
    <w:rsid w:val="002A72A6"/>
    <w:rsid w:val="002A74DD"/>
    <w:rsid w:val="002A7FC8"/>
    <w:rsid w:val="002B099C"/>
    <w:rsid w:val="002B0A81"/>
    <w:rsid w:val="002B0C31"/>
    <w:rsid w:val="002B12A0"/>
    <w:rsid w:val="002B162B"/>
    <w:rsid w:val="002B1B11"/>
    <w:rsid w:val="002B1CE7"/>
    <w:rsid w:val="002B210D"/>
    <w:rsid w:val="002B29F2"/>
    <w:rsid w:val="002B2A04"/>
    <w:rsid w:val="002B2F0F"/>
    <w:rsid w:val="002B35BE"/>
    <w:rsid w:val="002B4BF3"/>
    <w:rsid w:val="002B57C4"/>
    <w:rsid w:val="002B595D"/>
    <w:rsid w:val="002B5F6A"/>
    <w:rsid w:val="002B66D2"/>
    <w:rsid w:val="002B779E"/>
    <w:rsid w:val="002B7D6F"/>
    <w:rsid w:val="002B7D78"/>
    <w:rsid w:val="002C0017"/>
    <w:rsid w:val="002C0552"/>
    <w:rsid w:val="002C0961"/>
    <w:rsid w:val="002C1CF7"/>
    <w:rsid w:val="002C1D11"/>
    <w:rsid w:val="002C2013"/>
    <w:rsid w:val="002C25D0"/>
    <w:rsid w:val="002C280B"/>
    <w:rsid w:val="002C2DB0"/>
    <w:rsid w:val="002C2E80"/>
    <w:rsid w:val="002C4539"/>
    <w:rsid w:val="002C4C51"/>
    <w:rsid w:val="002C4D41"/>
    <w:rsid w:val="002C6753"/>
    <w:rsid w:val="002C6E3B"/>
    <w:rsid w:val="002C712B"/>
    <w:rsid w:val="002C75B0"/>
    <w:rsid w:val="002C7703"/>
    <w:rsid w:val="002C798A"/>
    <w:rsid w:val="002C7A63"/>
    <w:rsid w:val="002D0153"/>
    <w:rsid w:val="002D0371"/>
    <w:rsid w:val="002D0985"/>
    <w:rsid w:val="002D1BC3"/>
    <w:rsid w:val="002D22DF"/>
    <w:rsid w:val="002D403A"/>
    <w:rsid w:val="002D4262"/>
    <w:rsid w:val="002D4336"/>
    <w:rsid w:val="002D46B7"/>
    <w:rsid w:val="002D4EA8"/>
    <w:rsid w:val="002D5638"/>
    <w:rsid w:val="002D5BCA"/>
    <w:rsid w:val="002D610C"/>
    <w:rsid w:val="002D6163"/>
    <w:rsid w:val="002E09F9"/>
    <w:rsid w:val="002E1064"/>
    <w:rsid w:val="002E16EE"/>
    <w:rsid w:val="002E1948"/>
    <w:rsid w:val="002E2551"/>
    <w:rsid w:val="002E2897"/>
    <w:rsid w:val="002E323F"/>
    <w:rsid w:val="002E521E"/>
    <w:rsid w:val="002E5554"/>
    <w:rsid w:val="002E59C4"/>
    <w:rsid w:val="002E5D24"/>
    <w:rsid w:val="002E6F91"/>
    <w:rsid w:val="002E7056"/>
    <w:rsid w:val="002E758A"/>
    <w:rsid w:val="002F064E"/>
    <w:rsid w:val="002F0E73"/>
    <w:rsid w:val="002F1937"/>
    <w:rsid w:val="002F1B12"/>
    <w:rsid w:val="002F2256"/>
    <w:rsid w:val="002F22DC"/>
    <w:rsid w:val="002F3A22"/>
    <w:rsid w:val="002F3AAF"/>
    <w:rsid w:val="002F530C"/>
    <w:rsid w:val="002F591B"/>
    <w:rsid w:val="002F5C70"/>
    <w:rsid w:val="002F69BC"/>
    <w:rsid w:val="002F7A66"/>
    <w:rsid w:val="002F7B17"/>
    <w:rsid w:val="002F7B47"/>
    <w:rsid w:val="00300013"/>
    <w:rsid w:val="0030032D"/>
    <w:rsid w:val="0030037B"/>
    <w:rsid w:val="003006F8"/>
    <w:rsid w:val="00300BF2"/>
    <w:rsid w:val="00300E2E"/>
    <w:rsid w:val="0030154E"/>
    <w:rsid w:val="00301F5C"/>
    <w:rsid w:val="003027C1"/>
    <w:rsid w:val="00302A25"/>
    <w:rsid w:val="00302AB2"/>
    <w:rsid w:val="00302B08"/>
    <w:rsid w:val="00302EBE"/>
    <w:rsid w:val="00304900"/>
    <w:rsid w:val="00304C13"/>
    <w:rsid w:val="00305718"/>
    <w:rsid w:val="00305B37"/>
    <w:rsid w:val="00305C8D"/>
    <w:rsid w:val="00305EC5"/>
    <w:rsid w:val="00306107"/>
    <w:rsid w:val="00306817"/>
    <w:rsid w:val="003077B8"/>
    <w:rsid w:val="00310EE0"/>
    <w:rsid w:val="00310EF8"/>
    <w:rsid w:val="003111F8"/>
    <w:rsid w:val="0031204A"/>
    <w:rsid w:val="0031272B"/>
    <w:rsid w:val="003128FF"/>
    <w:rsid w:val="00312C56"/>
    <w:rsid w:val="00312DB6"/>
    <w:rsid w:val="0031338B"/>
    <w:rsid w:val="003145B8"/>
    <w:rsid w:val="00314D2B"/>
    <w:rsid w:val="00315435"/>
    <w:rsid w:val="003158C6"/>
    <w:rsid w:val="00315A3A"/>
    <w:rsid w:val="00316117"/>
    <w:rsid w:val="003175EA"/>
    <w:rsid w:val="00317BF9"/>
    <w:rsid w:val="0032038C"/>
    <w:rsid w:val="0032077D"/>
    <w:rsid w:val="00321889"/>
    <w:rsid w:val="003224FF"/>
    <w:rsid w:val="00322C60"/>
    <w:rsid w:val="00323DFF"/>
    <w:rsid w:val="00324E7F"/>
    <w:rsid w:val="00325029"/>
    <w:rsid w:val="00325C5E"/>
    <w:rsid w:val="003263A6"/>
    <w:rsid w:val="00326BCB"/>
    <w:rsid w:val="0032708C"/>
    <w:rsid w:val="0032738E"/>
    <w:rsid w:val="003274D5"/>
    <w:rsid w:val="00327652"/>
    <w:rsid w:val="00327B76"/>
    <w:rsid w:val="0033054F"/>
    <w:rsid w:val="00331253"/>
    <w:rsid w:val="003319F2"/>
    <w:rsid w:val="00331B40"/>
    <w:rsid w:val="00331C5F"/>
    <w:rsid w:val="003325B9"/>
    <w:rsid w:val="00332B51"/>
    <w:rsid w:val="00332E95"/>
    <w:rsid w:val="00333074"/>
    <w:rsid w:val="0033320D"/>
    <w:rsid w:val="00333223"/>
    <w:rsid w:val="00333A43"/>
    <w:rsid w:val="003342E6"/>
    <w:rsid w:val="00334E55"/>
    <w:rsid w:val="00334F7E"/>
    <w:rsid w:val="003361FE"/>
    <w:rsid w:val="003364C1"/>
    <w:rsid w:val="00336ED3"/>
    <w:rsid w:val="00337A91"/>
    <w:rsid w:val="00337F82"/>
    <w:rsid w:val="00340005"/>
    <w:rsid w:val="00340640"/>
    <w:rsid w:val="00340810"/>
    <w:rsid w:val="00340DB6"/>
    <w:rsid w:val="00341C6C"/>
    <w:rsid w:val="00341FFF"/>
    <w:rsid w:val="00342EFF"/>
    <w:rsid w:val="003435D6"/>
    <w:rsid w:val="00343C75"/>
    <w:rsid w:val="00345298"/>
    <w:rsid w:val="003455FC"/>
    <w:rsid w:val="003458E0"/>
    <w:rsid w:val="00345CCD"/>
    <w:rsid w:val="003464D6"/>
    <w:rsid w:val="00347934"/>
    <w:rsid w:val="00350D7A"/>
    <w:rsid w:val="00351136"/>
    <w:rsid w:val="003511CE"/>
    <w:rsid w:val="00351909"/>
    <w:rsid w:val="00352BE0"/>
    <w:rsid w:val="0035333E"/>
    <w:rsid w:val="003538F0"/>
    <w:rsid w:val="00354DDF"/>
    <w:rsid w:val="00355261"/>
    <w:rsid w:val="00355577"/>
    <w:rsid w:val="00356C9D"/>
    <w:rsid w:val="003578FB"/>
    <w:rsid w:val="00357DAE"/>
    <w:rsid w:val="003602A5"/>
    <w:rsid w:val="00361259"/>
    <w:rsid w:val="00361429"/>
    <w:rsid w:val="00362A44"/>
    <w:rsid w:val="00362AA7"/>
    <w:rsid w:val="00362D23"/>
    <w:rsid w:val="00363B11"/>
    <w:rsid w:val="00365793"/>
    <w:rsid w:val="00365B95"/>
    <w:rsid w:val="0036674C"/>
    <w:rsid w:val="00366FC4"/>
    <w:rsid w:val="00367287"/>
    <w:rsid w:val="003672D6"/>
    <w:rsid w:val="003705BF"/>
    <w:rsid w:val="00370813"/>
    <w:rsid w:val="00370935"/>
    <w:rsid w:val="00371C1A"/>
    <w:rsid w:val="00372D00"/>
    <w:rsid w:val="0037308F"/>
    <w:rsid w:val="00373ADD"/>
    <w:rsid w:val="00374539"/>
    <w:rsid w:val="00375343"/>
    <w:rsid w:val="00375E52"/>
    <w:rsid w:val="00376C7E"/>
    <w:rsid w:val="00377B25"/>
    <w:rsid w:val="00377EE0"/>
    <w:rsid w:val="00380888"/>
    <w:rsid w:val="00380D9F"/>
    <w:rsid w:val="00380DFB"/>
    <w:rsid w:val="00380EDB"/>
    <w:rsid w:val="003819E1"/>
    <w:rsid w:val="00382234"/>
    <w:rsid w:val="00383FD5"/>
    <w:rsid w:val="00384E23"/>
    <w:rsid w:val="003852C0"/>
    <w:rsid w:val="00385617"/>
    <w:rsid w:val="00385A6A"/>
    <w:rsid w:val="0038672F"/>
    <w:rsid w:val="00386BC9"/>
    <w:rsid w:val="00386F24"/>
    <w:rsid w:val="00387550"/>
    <w:rsid w:val="003876AB"/>
    <w:rsid w:val="00387957"/>
    <w:rsid w:val="0039053D"/>
    <w:rsid w:val="00390C8F"/>
    <w:rsid w:val="00390F61"/>
    <w:rsid w:val="00392068"/>
    <w:rsid w:val="003923E2"/>
    <w:rsid w:val="00392B8A"/>
    <w:rsid w:val="00392DD1"/>
    <w:rsid w:val="00393DE6"/>
    <w:rsid w:val="0039449C"/>
    <w:rsid w:val="00395E02"/>
    <w:rsid w:val="0039684C"/>
    <w:rsid w:val="00396F0C"/>
    <w:rsid w:val="003A0290"/>
    <w:rsid w:val="003A25BB"/>
    <w:rsid w:val="003A300D"/>
    <w:rsid w:val="003A3E7B"/>
    <w:rsid w:val="003A4566"/>
    <w:rsid w:val="003A62E7"/>
    <w:rsid w:val="003A7067"/>
    <w:rsid w:val="003A70B8"/>
    <w:rsid w:val="003B0731"/>
    <w:rsid w:val="003B09F6"/>
    <w:rsid w:val="003B0D03"/>
    <w:rsid w:val="003B0EDB"/>
    <w:rsid w:val="003B10D9"/>
    <w:rsid w:val="003B1606"/>
    <w:rsid w:val="003B1F0A"/>
    <w:rsid w:val="003B2C1F"/>
    <w:rsid w:val="003B329D"/>
    <w:rsid w:val="003B3684"/>
    <w:rsid w:val="003B3A4A"/>
    <w:rsid w:val="003B4473"/>
    <w:rsid w:val="003B4DAD"/>
    <w:rsid w:val="003B5533"/>
    <w:rsid w:val="003B56B3"/>
    <w:rsid w:val="003B5A85"/>
    <w:rsid w:val="003B5F9A"/>
    <w:rsid w:val="003B6264"/>
    <w:rsid w:val="003B71EE"/>
    <w:rsid w:val="003B7621"/>
    <w:rsid w:val="003B778E"/>
    <w:rsid w:val="003B77C3"/>
    <w:rsid w:val="003B7A78"/>
    <w:rsid w:val="003B7C64"/>
    <w:rsid w:val="003C02E6"/>
    <w:rsid w:val="003C0593"/>
    <w:rsid w:val="003C0F2E"/>
    <w:rsid w:val="003C13A6"/>
    <w:rsid w:val="003C13F4"/>
    <w:rsid w:val="003C1615"/>
    <w:rsid w:val="003C1EB4"/>
    <w:rsid w:val="003C2A44"/>
    <w:rsid w:val="003C4E3A"/>
    <w:rsid w:val="003C612D"/>
    <w:rsid w:val="003D030A"/>
    <w:rsid w:val="003D0E1C"/>
    <w:rsid w:val="003D12A2"/>
    <w:rsid w:val="003D1E47"/>
    <w:rsid w:val="003D2027"/>
    <w:rsid w:val="003D3662"/>
    <w:rsid w:val="003D3C14"/>
    <w:rsid w:val="003D4188"/>
    <w:rsid w:val="003D4557"/>
    <w:rsid w:val="003D45DF"/>
    <w:rsid w:val="003D4DCB"/>
    <w:rsid w:val="003D543D"/>
    <w:rsid w:val="003D59FD"/>
    <w:rsid w:val="003D6226"/>
    <w:rsid w:val="003D65CA"/>
    <w:rsid w:val="003D663A"/>
    <w:rsid w:val="003D680E"/>
    <w:rsid w:val="003D6DC7"/>
    <w:rsid w:val="003D7392"/>
    <w:rsid w:val="003D7E73"/>
    <w:rsid w:val="003E10B8"/>
    <w:rsid w:val="003E122D"/>
    <w:rsid w:val="003E13F5"/>
    <w:rsid w:val="003E1978"/>
    <w:rsid w:val="003E235D"/>
    <w:rsid w:val="003E2B5E"/>
    <w:rsid w:val="003E2DAC"/>
    <w:rsid w:val="003E31CA"/>
    <w:rsid w:val="003E389F"/>
    <w:rsid w:val="003E3FF4"/>
    <w:rsid w:val="003E4E15"/>
    <w:rsid w:val="003E53E8"/>
    <w:rsid w:val="003E5912"/>
    <w:rsid w:val="003E5AE8"/>
    <w:rsid w:val="003E68C4"/>
    <w:rsid w:val="003E7A22"/>
    <w:rsid w:val="003E7DF4"/>
    <w:rsid w:val="003F0627"/>
    <w:rsid w:val="003F077A"/>
    <w:rsid w:val="003F07EE"/>
    <w:rsid w:val="003F0C8B"/>
    <w:rsid w:val="003F1607"/>
    <w:rsid w:val="003F1BEC"/>
    <w:rsid w:val="003F2705"/>
    <w:rsid w:val="003F29F2"/>
    <w:rsid w:val="003F36FF"/>
    <w:rsid w:val="003F3C77"/>
    <w:rsid w:val="003F40E2"/>
    <w:rsid w:val="003F458D"/>
    <w:rsid w:val="003F47DF"/>
    <w:rsid w:val="003F54F4"/>
    <w:rsid w:val="003F6209"/>
    <w:rsid w:val="004005A2"/>
    <w:rsid w:val="004006FB"/>
    <w:rsid w:val="00400809"/>
    <w:rsid w:val="00400A8B"/>
    <w:rsid w:val="004014B1"/>
    <w:rsid w:val="00401831"/>
    <w:rsid w:val="0040314A"/>
    <w:rsid w:val="0040459B"/>
    <w:rsid w:val="00405240"/>
    <w:rsid w:val="00405594"/>
    <w:rsid w:val="00405DAB"/>
    <w:rsid w:val="00405E90"/>
    <w:rsid w:val="0040629D"/>
    <w:rsid w:val="004065CE"/>
    <w:rsid w:val="00406802"/>
    <w:rsid w:val="00406F87"/>
    <w:rsid w:val="00407A61"/>
    <w:rsid w:val="00407FED"/>
    <w:rsid w:val="004105DD"/>
    <w:rsid w:val="00410D0D"/>
    <w:rsid w:val="00410DCE"/>
    <w:rsid w:val="00412C0B"/>
    <w:rsid w:val="0041404E"/>
    <w:rsid w:val="0041429D"/>
    <w:rsid w:val="004147D0"/>
    <w:rsid w:val="00414E1F"/>
    <w:rsid w:val="0041581E"/>
    <w:rsid w:val="004160BE"/>
    <w:rsid w:val="004161E5"/>
    <w:rsid w:val="00417502"/>
    <w:rsid w:val="0041765C"/>
    <w:rsid w:val="00417EB0"/>
    <w:rsid w:val="00417F7F"/>
    <w:rsid w:val="00420837"/>
    <w:rsid w:val="00420BB0"/>
    <w:rsid w:val="00421062"/>
    <w:rsid w:val="00421EEC"/>
    <w:rsid w:val="004228C6"/>
    <w:rsid w:val="00422933"/>
    <w:rsid w:val="00422F4B"/>
    <w:rsid w:val="00423003"/>
    <w:rsid w:val="004248B4"/>
    <w:rsid w:val="00424C66"/>
    <w:rsid w:val="0042526D"/>
    <w:rsid w:val="004254A2"/>
    <w:rsid w:val="00426120"/>
    <w:rsid w:val="00426D71"/>
    <w:rsid w:val="00430256"/>
    <w:rsid w:val="00430E3D"/>
    <w:rsid w:val="0043194D"/>
    <w:rsid w:val="00431A95"/>
    <w:rsid w:val="00431BF1"/>
    <w:rsid w:val="00433BB4"/>
    <w:rsid w:val="00433D22"/>
    <w:rsid w:val="004342F8"/>
    <w:rsid w:val="00434A2F"/>
    <w:rsid w:val="00434B63"/>
    <w:rsid w:val="00435A03"/>
    <w:rsid w:val="00435F13"/>
    <w:rsid w:val="00436AC0"/>
    <w:rsid w:val="004370D3"/>
    <w:rsid w:val="004406B0"/>
    <w:rsid w:val="0044083A"/>
    <w:rsid w:val="004408FA"/>
    <w:rsid w:val="00441E4F"/>
    <w:rsid w:val="00443585"/>
    <w:rsid w:val="00444D73"/>
    <w:rsid w:val="0044552A"/>
    <w:rsid w:val="00445663"/>
    <w:rsid w:val="004461A4"/>
    <w:rsid w:val="00446612"/>
    <w:rsid w:val="00447155"/>
    <w:rsid w:val="004507D8"/>
    <w:rsid w:val="00450E44"/>
    <w:rsid w:val="00451501"/>
    <w:rsid w:val="004528D0"/>
    <w:rsid w:val="00453C86"/>
    <w:rsid w:val="00454564"/>
    <w:rsid w:val="00454A63"/>
    <w:rsid w:val="00454EB2"/>
    <w:rsid w:val="004555BE"/>
    <w:rsid w:val="004562E5"/>
    <w:rsid w:val="00457BC3"/>
    <w:rsid w:val="00460288"/>
    <w:rsid w:val="0046034D"/>
    <w:rsid w:val="00460546"/>
    <w:rsid w:val="004609FC"/>
    <w:rsid w:val="00461801"/>
    <w:rsid w:val="004621B9"/>
    <w:rsid w:val="00462272"/>
    <w:rsid w:val="00462349"/>
    <w:rsid w:val="0046390C"/>
    <w:rsid w:val="00464569"/>
    <w:rsid w:val="0046548A"/>
    <w:rsid w:val="00465750"/>
    <w:rsid w:val="00465CDD"/>
    <w:rsid w:val="00465D4E"/>
    <w:rsid w:val="00466381"/>
    <w:rsid w:val="004663C0"/>
    <w:rsid w:val="00466DD3"/>
    <w:rsid w:val="00467246"/>
    <w:rsid w:val="00467393"/>
    <w:rsid w:val="00467BDD"/>
    <w:rsid w:val="00470A54"/>
    <w:rsid w:val="004711E4"/>
    <w:rsid w:val="004716EC"/>
    <w:rsid w:val="004717F6"/>
    <w:rsid w:val="0047210C"/>
    <w:rsid w:val="0047364D"/>
    <w:rsid w:val="0047481E"/>
    <w:rsid w:val="00474918"/>
    <w:rsid w:val="0047598F"/>
    <w:rsid w:val="00475EAF"/>
    <w:rsid w:val="0047608C"/>
    <w:rsid w:val="004765C3"/>
    <w:rsid w:val="0047681C"/>
    <w:rsid w:val="004778AD"/>
    <w:rsid w:val="00477958"/>
    <w:rsid w:val="00480733"/>
    <w:rsid w:val="004815F8"/>
    <w:rsid w:val="00481D7C"/>
    <w:rsid w:val="00481E32"/>
    <w:rsid w:val="0048285D"/>
    <w:rsid w:val="00483198"/>
    <w:rsid w:val="004831ED"/>
    <w:rsid w:val="004831FC"/>
    <w:rsid w:val="004836A7"/>
    <w:rsid w:val="00483A91"/>
    <w:rsid w:val="00483FA3"/>
    <w:rsid w:val="004847B4"/>
    <w:rsid w:val="00484921"/>
    <w:rsid w:val="00484FCE"/>
    <w:rsid w:val="004854E7"/>
    <w:rsid w:val="00486614"/>
    <w:rsid w:val="00487E11"/>
    <w:rsid w:val="00487FB8"/>
    <w:rsid w:val="004900FE"/>
    <w:rsid w:val="004919D4"/>
    <w:rsid w:val="00491FB2"/>
    <w:rsid w:val="0049200C"/>
    <w:rsid w:val="0049212C"/>
    <w:rsid w:val="0049368B"/>
    <w:rsid w:val="00494942"/>
    <w:rsid w:val="00494B02"/>
    <w:rsid w:val="00495C39"/>
    <w:rsid w:val="00496BBD"/>
    <w:rsid w:val="004971B5"/>
    <w:rsid w:val="004975DB"/>
    <w:rsid w:val="00497FFC"/>
    <w:rsid w:val="004A0F7B"/>
    <w:rsid w:val="004A1224"/>
    <w:rsid w:val="004A135C"/>
    <w:rsid w:val="004A16F1"/>
    <w:rsid w:val="004A185A"/>
    <w:rsid w:val="004A201A"/>
    <w:rsid w:val="004A247B"/>
    <w:rsid w:val="004A28C5"/>
    <w:rsid w:val="004A2F59"/>
    <w:rsid w:val="004A3865"/>
    <w:rsid w:val="004A4970"/>
    <w:rsid w:val="004A5BC1"/>
    <w:rsid w:val="004A5E53"/>
    <w:rsid w:val="004A624B"/>
    <w:rsid w:val="004A64B4"/>
    <w:rsid w:val="004A660C"/>
    <w:rsid w:val="004A6B44"/>
    <w:rsid w:val="004A6E0E"/>
    <w:rsid w:val="004B08A5"/>
    <w:rsid w:val="004B0B19"/>
    <w:rsid w:val="004B1146"/>
    <w:rsid w:val="004B1BB8"/>
    <w:rsid w:val="004B1E81"/>
    <w:rsid w:val="004B1F45"/>
    <w:rsid w:val="004B281B"/>
    <w:rsid w:val="004B2EBF"/>
    <w:rsid w:val="004B35F0"/>
    <w:rsid w:val="004B37A7"/>
    <w:rsid w:val="004B3A72"/>
    <w:rsid w:val="004B4426"/>
    <w:rsid w:val="004B44E1"/>
    <w:rsid w:val="004B4685"/>
    <w:rsid w:val="004B5D98"/>
    <w:rsid w:val="004B5F05"/>
    <w:rsid w:val="004B5F2A"/>
    <w:rsid w:val="004B74B2"/>
    <w:rsid w:val="004B7B98"/>
    <w:rsid w:val="004C05F1"/>
    <w:rsid w:val="004C103D"/>
    <w:rsid w:val="004C1303"/>
    <w:rsid w:val="004C1399"/>
    <w:rsid w:val="004C19CD"/>
    <w:rsid w:val="004C1C09"/>
    <w:rsid w:val="004C218F"/>
    <w:rsid w:val="004C2A17"/>
    <w:rsid w:val="004C2B0E"/>
    <w:rsid w:val="004C5507"/>
    <w:rsid w:val="004C6261"/>
    <w:rsid w:val="004C6563"/>
    <w:rsid w:val="004C7466"/>
    <w:rsid w:val="004C782B"/>
    <w:rsid w:val="004C7B15"/>
    <w:rsid w:val="004D0252"/>
    <w:rsid w:val="004D0A37"/>
    <w:rsid w:val="004D0A8A"/>
    <w:rsid w:val="004D0D6B"/>
    <w:rsid w:val="004D1E1A"/>
    <w:rsid w:val="004D1EFF"/>
    <w:rsid w:val="004D23A9"/>
    <w:rsid w:val="004D2494"/>
    <w:rsid w:val="004D2683"/>
    <w:rsid w:val="004D29F5"/>
    <w:rsid w:val="004D2BA9"/>
    <w:rsid w:val="004D2D4D"/>
    <w:rsid w:val="004D2F90"/>
    <w:rsid w:val="004D31CC"/>
    <w:rsid w:val="004D5332"/>
    <w:rsid w:val="004D660D"/>
    <w:rsid w:val="004D6887"/>
    <w:rsid w:val="004D68AC"/>
    <w:rsid w:val="004D7804"/>
    <w:rsid w:val="004D7976"/>
    <w:rsid w:val="004E0308"/>
    <w:rsid w:val="004E08BF"/>
    <w:rsid w:val="004E2339"/>
    <w:rsid w:val="004E26ED"/>
    <w:rsid w:val="004E2825"/>
    <w:rsid w:val="004E293C"/>
    <w:rsid w:val="004E3079"/>
    <w:rsid w:val="004E3276"/>
    <w:rsid w:val="004E37CA"/>
    <w:rsid w:val="004E3836"/>
    <w:rsid w:val="004E3B3F"/>
    <w:rsid w:val="004E5107"/>
    <w:rsid w:val="004E6224"/>
    <w:rsid w:val="004E62E4"/>
    <w:rsid w:val="004E7C41"/>
    <w:rsid w:val="004E7E13"/>
    <w:rsid w:val="004F0E90"/>
    <w:rsid w:val="004F0F5B"/>
    <w:rsid w:val="004F1212"/>
    <w:rsid w:val="004F18CF"/>
    <w:rsid w:val="004F22B8"/>
    <w:rsid w:val="004F2437"/>
    <w:rsid w:val="004F38E1"/>
    <w:rsid w:val="004F3C38"/>
    <w:rsid w:val="004F4624"/>
    <w:rsid w:val="004F53FB"/>
    <w:rsid w:val="004F5573"/>
    <w:rsid w:val="004F5D8B"/>
    <w:rsid w:val="004F634F"/>
    <w:rsid w:val="004F6857"/>
    <w:rsid w:val="004F7556"/>
    <w:rsid w:val="004F78BF"/>
    <w:rsid w:val="00500700"/>
    <w:rsid w:val="00500E90"/>
    <w:rsid w:val="0050141B"/>
    <w:rsid w:val="0050145E"/>
    <w:rsid w:val="00502638"/>
    <w:rsid w:val="005029BC"/>
    <w:rsid w:val="00502B87"/>
    <w:rsid w:val="0050346A"/>
    <w:rsid w:val="00503FD8"/>
    <w:rsid w:val="00504472"/>
    <w:rsid w:val="0050448E"/>
    <w:rsid w:val="005048E3"/>
    <w:rsid w:val="005054A8"/>
    <w:rsid w:val="00505978"/>
    <w:rsid w:val="00505A77"/>
    <w:rsid w:val="00505CB3"/>
    <w:rsid w:val="005067C7"/>
    <w:rsid w:val="00506E77"/>
    <w:rsid w:val="00506EB0"/>
    <w:rsid w:val="0050798C"/>
    <w:rsid w:val="00511242"/>
    <w:rsid w:val="00511261"/>
    <w:rsid w:val="00511763"/>
    <w:rsid w:val="005118FF"/>
    <w:rsid w:val="0051207B"/>
    <w:rsid w:val="0051237E"/>
    <w:rsid w:val="00512433"/>
    <w:rsid w:val="005136CD"/>
    <w:rsid w:val="005140F1"/>
    <w:rsid w:val="00514B1A"/>
    <w:rsid w:val="00514DB6"/>
    <w:rsid w:val="00514E2B"/>
    <w:rsid w:val="005150C5"/>
    <w:rsid w:val="005166EE"/>
    <w:rsid w:val="00517351"/>
    <w:rsid w:val="00521014"/>
    <w:rsid w:val="00521860"/>
    <w:rsid w:val="00521D74"/>
    <w:rsid w:val="00522205"/>
    <w:rsid w:val="005222CC"/>
    <w:rsid w:val="00522622"/>
    <w:rsid w:val="005228FE"/>
    <w:rsid w:val="005234BE"/>
    <w:rsid w:val="00523B5E"/>
    <w:rsid w:val="00523FA4"/>
    <w:rsid w:val="005245FA"/>
    <w:rsid w:val="005250EE"/>
    <w:rsid w:val="00525830"/>
    <w:rsid w:val="00525AB1"/>
    <w:rsid w:val="0052667D"/>
    <w:rsid w:val="00526B01"/>
    <w:rsid w:val="00526C61"/>
    <w:rsid w:val="00527492"/>
    <w:rsid w:val="005277F5"/>
    <w:rsid w:val="005278A1"/>
    <w:rsid w:val="00530E15"/>
    <w:rsid w:val="005310C1"/>
    <w:rsid w:val="00531313"/>
    <w:rsid w:val="0053158A"/>
    <w:rsid w:val="00531934"/>
    <w:rsid w:val="005322C3"/>
    <w:rsid w:val="005328A9"/>
    <w:rsid w:val="00532994"/>
    <w:rsid w:val="005329BE"/>
    <w:rsid w:val="005334F2"/>
    <w:rsid w:val="00533515"/>
    <w:rsid w:val="00533909"/>
    <w:rsid w:val="005342DE"/>
    <w:rsid w:val="00534AC0"/>
    <w:rsid w:val="00535557"/>
    <w:rsid w:val="0053567D"/>
    <w:rsid w:val="0053606A"/>
    <w:rsid w:val="00536532"/>
    <w:rsid w:val="00536541"/>
    <w:rsid w:val="005369C0"/>
    <w:rsid w:val="00536B92"/>
    <w:rsid w:val="00540811"/>
    <w:rsid w:val="00540B25"/>
    <w:rsid w:val="00540D82"/>
    <w:rsid w:val="00541167"/>
    <w:rsid w:val="00541254"/>
    <w:rsid w:val="005421CC"/>
    <w:rsid w:val="00542470"/>
    <w:rsid w:val="00542BA5"/>
    <w:rsid w:val="00542D1F"/>
    <w:rsid w:val="00543D08"/>
    <w:rsid w:val="00544841"/>
    <w:rsid w:val="00546844"/>
    <w:rsid w:val="00547058"/>
    <w:rsid w:val="00547CD4"/>
    <w:rsid w:val="00547E34"/>
    <w:rsid w:val="00547EB8"/>
    <w:rsid w:val="005502CD"/>
    <w:rsid w:val="00550A82"/>
    <w:rsid w:val="00551867"/>
    <w:rsid w:val="00552FC2"/>
    <w:rsid w:val="00553DA2"/>
    <w:rsid w:val="005543FB"/>
    <w:rsid w:val="00554DC9"/>
    <w:rsid w:val="00555623"/>
    <w:rsid w:val="005562DC"/>
    <w:rsid w:val="00556725"/>
    <w:rsid w:val="00557A85"/>
    <w:rsid w:val="00557DDF"/>
    <w:rsid w:val="005606B5"/>
    <w:rsid w:val="00560E2D"/>
    <w:rsid w:val="00562556"/>
    <w:rsid w:val="00562BAD"/>
    <w:rsid w:val="0056365E"/>
    <w:rsid w:val="00565C77"/>
    <w:rsid w:val="00566181"/>
    <w:rsid w:val="005661C1"/>
    <w:rsid w:val="00566634"/>
    <w:rsid w:val="0056784E"/>
    <w:rsid w:val="005708BD"/>
    <w:rsid w:val="00572266"/>
    <w:rsid w:val="00572B7C"/>
    <w:rsid w:val="00572D0E"/>
    <w:rsid w:val="00572E2C"/>
    <w:rsid w:val="0057317E"/>
    <w:rsid w:val="005731D3"/>
    <w:rsid w:val="005733C4"/>
    <w:rsid w:val="00573C7D"/>
    <w:rsid w:val="00574119"/>
    <w:rsid w:val="005744FD"/>
    <w:rsid w:val="00574906"/>
    <w:rsid w:val="00574E9E"/>
    <w:rsid w:val="005752BC"/>
    <w:rsid w:val="0057622F"/>
    <w:rsid w:val="005762B6"/>
    <w:rsid w:val="00577772"/>
    <w:rsid w:val="00577977"/>
    <w:rsid w:val="00577FD4"/>
    <w:rsid w:val="00580A62"/>
    <w:rsid w:val="00581719"/>
    <w:rsid w:val="00581D30"/>
    <w:rsid w:val="00581F55"/>
    <w:rsid w:val="0058259C"/>
    <w:rsid w:val="00582DA7"/>
    <w:rsid w:val="00583362"/>
    <w:rsid w:val="00583665"/>
    <w:rsid w:val="00583F7A"/>
    <w:rsid w:val="00584245"/>
    <w:rsid w:val="005842A6"/>
    <w:rsid w:val="005844DF"/>
    <w:rsid w:val="00584793"/>
    <w:rsid w:val="00584C2D"/>
    <w:rsid w:val="00584D80"/>
    <w:rsid w:val="00585135"/>
    <w:rsid w:val="00586535"/>
    <w:rsid w:val="00586927"/>
    <w:rsid w:val="00586BB5"/>
    <w:rsid w:val="00586DFB"/>
    <w:rsid w:val="005874FD"/>
    <w:rsid w:val="00587C83"/>
    <w:rsid w:val="00590501"/>
    <w:rsid w:val="005905BC"/>
    <w:rsid w:val="005909CB"/>
    <w:rsid w:val="00590B75"/>
    <w:rsid w:val="00590DAA"/>
    <w:rsid w:val="00591A2B"/>
    <w:rsid w:val="0059205C"/>
    <w:rsid w:val="00592349"/>
    <w:rsid w:val="00592D49"/>
    <w:rsid w:val="0059369A"/>
    <w:rsid w:val="005937C7"/>
    <w:rsid w:val="005953C5"/>
    <w:rsid w:val="0059552C"/>
    <w:rsid w:val="005955BA"/>
    <w:rsid w:val="00595948"/>
    <w:rsid w:val="00596711"/>
    <w:rsid w:val="00596D7C"/>
    <w:rsid w:val="00596F3F"/>
    <w:rsid w:val="00596F9B"/>
    <w:rsid w:val="00597412"/>
    <w:rsid w:val="00597EEF"/>
    <w:rsid w:val="005A1C4E"/>
    <w:rsid w:val="005A27E7"/>
    <w:rsid w:val="005A2E0C"/>
    <w:rsid w:val="005A3678"/>
    <w:rsid w:val="005A3DAF"/>
    <w:rsid w:val="005A3F8B"/>
    <w:rsid w:val="005A4251"/>
    <w:rsid w:val="005A49CF"/>
    <w:rsid w:val="005A4A1A"/>
    <w:rsid w:val="005A5ECA"/>
    <w:rsid w:val="005A61D3"/>
    <w:rsid w:val="005A7B89"/>
    <w:rsid w:val="005A7C0B"/>
    <w:rsid w:val="005A7E70"/>
    <w:rsid w:val="005B0D65"/>
    <w:rsid w:val="005B1890"/>
    <w:rsid w:val="005B1A53"/>
    <w:rsid w:val="005B27A1"/>
    <w:rsid w:val="005B2953"/>
    <w:rsid w:val="005B2AF7"/>
    <w:rsid w:val="005B2FA7"/>
    <w:rsid w:val="005B40E8"/>
    <w:rsid w:val="005B4ACD"/>
    <w:rsid w:val="005B525A"/>
    <w:rsid w:val="005B5757"/>
    <w:rsid w:val="005B6963"/>
    <w:rsid w:val="005B6A94"/>
    <w:rsid w:val="005B6DAA"/>
    <w:rsid w:val="005B7314"/>
    <w:rsid w:val="005B7A85"/>
    <w:rsid w:val="005B7C27"/>
    <w:rsid w:val="005B7D8B"/>
    <w:rsid w:val="005C03F6"/>
    <w:rsid w:val="005C0475"/>
    <w:rsid w:val="005C14DA"/>
    <w:rsid w:val="005C1569"/>
    <w:rsid w:val="005C224F"/>
    <w:rsid w:val="005C2A37"/>
    <w:rsid w:val="005C2C45"/>
    <w:rsid w:val="005C2CC0"/>
    <w:rsid w:val="005C2E8D"/>
    <w:rsid w:val="005C348A"/>
    <w:rsid w:val="005C3C1A"/>
    <w:rsid w:val="005C4604"/>
    <w:rsid w:val="005C46D8"/>
    <w:rsid w:val="005C4BEE"/>
    <w:rsid w:val="005C5CF4"/>
    <w:rsid w:val="005C630C"/>
    <w:rsid w:val="005C6E74"/>
    <w:rsid w:val="005C732E"/>
    <w:rsid w:val="005C752E"/>
    <w:rsid w:val="005C781C"/>
    <w:rsid w:val="005D1180"/>
    <w:rsid w:val="005D13ED"/>
    <w:rsid w:val="005D181E"/>
    <w:rsid w:val="005D1E16"/>
    <w:rsid w:val="005D330E"/>
    <w:rsid w:val="005D4942"/>
    <w:rsid w:val="005D67FD"/>
    <w:rsid w:val="005D7A35"/>
    <w:rsid w:val="005E034D"/>
    <w:rsid w:val="005E034F"/>
    <w:rsid w:val="005E09A7"/>
    <w:rsid w:val="005E1159"/>
    <w:rsid w:val="005E198B"/>
    <w:rsid w:val="005E19D9"/>
    <w:rsid w:val="005E1D35"/>
    <w:rsid w:val="005E2A31"/>
    <w:rsid w:val="005E36DB"/>
    <w:rsid w:val="005E38A5"/>
    <w:rsid w:val="005E3D2F"/>
    <w:rsid w:val="005E3EF5"/>
    <w:rsid w:val="005E442F"/>
    <w:rsid w:val="005E4A97"/>
    <w:rsid w:val="005E54A3"/>
    <w:rsid w:val="005E5625"/>
    <w:rsid w:val="005E5DDA"/>
    <w:rsid w:val="005E61D8"/>
    <w:rsid w:val="005E6F2B"/>
    <w:rsid w:val="005E737A"/>
    <w:rsid w:val="005E7564"/>
    <w:rsid w:val="005E7E2C"/>
    <w:rsid w:val="005F01F4"/>
    <w:rsid w:val="005F0E58"/>
    <w:rsid w:val="005F198D"/>
    <w:rsid w:val="005F1ADE"/>
    <w:rsid w:val="005F29CD"/>
    <w:rsid w:val="005F3175"/>
    <w:rsid w:val="005F3436"/>
    <w:rsid w:val="005F3506"/>
    <w:rsid w:val="005F41D8"/>
    <w:rsid w:val="005F44BF"/>
    <w:rsid w:val="005F455C"/>
    <w:rsid w:val="005F4739"/>
    <w:rsid w:val="005F6228"/>
    <w:rsid w:val="005F642B"/>
    <w:rsid w:val="005F67FC"/>
    <w:rsid w:val="005F6B0E"/>
    <w:rsid w:val="005F6BE3"/>
    <w:rsid w:val="00601630"/>
    <w:rsid w:val="00601A28"/>
    <w:rsid w:val="00601E62"/>
    <w:rsid w:val="006026E1"/>
    <w:rsid w:val="0060319C"/>
    <w:rsid w:val="006038B5"/>
    <w:rsid w:val="00603A90"/>
    <w:rsid w:val="00604342"/>
    <w:rsid w:val="00604770"/>
    <w:rsid w:val="0060499B"/>
    <w:rsid w:val="00605163"/>
    <w:rsid w:val="006065BF"/>
    <w:rsid w:val="006065D1"/>
    <w:rsid w:val="00606F5E"/>
    <w:rsid w:val="006070EA"/>
    <w:rsid w:val="0060787F"/>
    <w:rsid w:val="00607ABE"/>
    <w:rsid w:val="00607F53"/>
    <w:rsid w:val="006103D0"/>
    <w:rsid w:val="00610AFB"/>
    <w:rsid w:val="00610D5D"/>
    <w:rsid w:val="0061103A"/>
    <w:rsid w:val="00611EAE"/>
    <w:rsid w:val="00612133"/>
    <w:rsid w:val="00612513"/>
    <w:rsid w:val="0061364A"/>
    <w:rsid w:val="00613BEA"/>
    <w:rsid w:val="0061402C"/>
    <w:rsid w:val="0061595F"/>
    <w:rsid w:val="00615A79"/>
    <w:rsid w:val="00616179"/>
    <w:rsid w:val="0061675B"/>
    <w:rsid w:val="00616BA6"/>
    <w:rsid w:val="0062052B"/>
    <w:rsid w:val="00620797"/>
    <w:rsid w:val="00620F8F"/>
    <w:rsid w:val="0062143F"/>
    <w:rsid w:val="00621A86"/>
    <w:rsid w:val="00623401"/>
    <w:rsid w:val="0062414F"/>
    <w:rsid w:val="006258B8"/>
    <w:rsid w:val="00625C40"/>
    <w:rsid w:val="00625EA4"/>
    <w:rsid w:val="006262B6"/>
    <w:rsid w:val="00626EA1"/>
    <w:rsid w:val="0062706E"/>
    <w:rsid w:val="00627E7C"/>
    <w:rsid w:val="006303D2"/>
    <w:rsid w:val="00630828"/>
    <w:rsid w:val="00630CFF"/>
    <w:rsid w:val="00631369"/>
    <w:rsid w:val="00632481"/>
    <w:rsid w:val="0063262D"/>
    <w:rsid w:val="0063268B"/>
    <w:rsid w:val="00633349"/>
    <w:rsid w:val="0063390E"/>
    <w:rsid w:val="00634673"/>
    <w:rsid w:val="00635020"/>
    <w:rsid w:val="00636428"/>
    <w:rsid w:val="00636D6E"/>
    <w:rsid w:val="0063772E"/>
    <w:rsid w:val="00637BBD"/>
    <w:rsid w:val="00640D17"/>
    <w:rsid w:val="00641A99"/>
    <w:rsid w:val="00641CCA"/>
    <w:rsid w:val="00642768"/>
    <w:rsid w:val="00642A84"/>
    <w:rsid w:val="0064411F"/>
    <w:rsid w:val="006441E7"/>
    <w:rsid w:val="0064495B"/>
    <w:rsid w:val="00645E69"/>
    <w:rsid w:val="00646130"/>
    <w:rsid w:val="00646ACE"/>
    <w:rsid w:val="006474C0"/>
    <w:rsid w:val="00647927"/>
    <w:rsid w:val="00650215"/>
    <w:rsid w:val="006503C4"/>
    <w:rsid w:val="00650B2D"/>
    <w:rsid w:val="00652B9B"/>
    <w:rsid w:val="00652F78"/>
    <w:rsid w:val="0065308C"/>
    <w:rsid w:val="006532DD"/>
    <w:rsid w:val="00653743"/>
    <w:rsid w:val="00653DD9"/>
    <w:rsid w:val="00653DFA"/>
    <w:rsid w:val="00654119"/>
    <w:rsid w:val="00654A6F"/>
    <w:rsid w:val="00654E6A"/>
    <w:rsid w:val="00654EC2"/>
    <w:rsid w:val="006551FC"/>
    <w:rsid w:val="006575F3"/>
    <w:rsid w:val="00657C23"/>
    <w:rsid w:val="00660871"/>
    <w:rsid w:val="00660A81"/>
    <w:rsid w:val="006612E9"/>
    <w:rsid w:val="0066176D"/>
    <w:rsid w:val="006618FD"/>
    <w:rsid w:val="00662504"/>
    <w:rsid w:val="00662809"/>
    <w:rsid w:val="00663823"/>
    <w:rsid w:val="00664E08"/>
    <w:rsid w:val="006650D0"/>
    <w:rsid w:val="00666202"/>
    <w:rsid w:val="00667652"/>
    <w:rsid w:val="0066774D"/>
    <w:rsid w:val="00667F42"/>
    <w:rsid w:val="00671229"/>
    <w:rsid w:val="00671284"/>
    <w:rsid w:val="0067157C"/>
    <w:rsid w:val="006727FC"/>
    <w:rsid w:val="00673906"/>
    <w:rsid w:val="006756CD"/>
    <w:rsid w:val="00676E5B"/>
    <w:rsid w:val="00677886"/>
    <w:rsid w:val="00677D6B"/>
    <w:rsid w:val="00680795"/>
    <w:rsid w:val="00680A93"/>
    <w:rsid w:val="0068125E"/>
    <w:rsid w:val="00682713"/>
    <w:rsid w:val="00683451"/>
    <w:rsid w:val="00683579"/>
    <w:rsid w:val="006843F4"/>
    <w:rsid w:val="00684598"/>
    <w:rsid w:val="00684E29"/>
    <w:rsid w:val="00684F58"/>
    <w:rsid w:val="006854CE"/>
    <w:rsid w:val="00685D53"/>
    <w:rsid w:val="00686B47"/>
    <w:rsid w:val="0068790B"/>
    <w:rsid w:val="006906E4"/>
    <w:rsid w:val="00690CD3"/>
    <w:rsid w:val="00691049"/>
    <w:rsid w:val="00691C54"/>
    <w:rsid w:val="00691E49"/>
    <w:rsid w:val="0069216B"/>
    <w:rsid w:val="006922DC"/>
    <w:rsid w:val="006928E4"/>
    <w:rsid w:val="00693594"/>
    <w:rsid w:val="006941DD"/>
    <w:rsid w:val="006943D1"/>
    <w:rsid w:val="0069466B"/>
    <w:rsid w:val="00694795"/>
    <w:rsid w:val="00695014"/>
    <w:rsid w:val="006969B1"/>
    <w:rsid w:val="00696AA8"/>
    <w:rsid w:val="0069705F"/>
    <w:rsid w:val="0069730D"/>
    <w:rsid w:val="006A02E3"/>
    <w:rsid w:val="006A0B9A"/>
    <w:rsid w:val="006A2366"/>
    <w:rsid w:val="006A257C"/>
    <w:rsid w:val="006A2615"/>
    <w:rsid w:val="006A3C05"/>
    <w:rsid w:val="006A4158"/>
    <w:rsid w:val="006A46ED"/>
    <w:rsid w:val="006A4AA7"/>
    <w:rsid w:val="006A4E15"/>
    <w:rsid w:val="006A5172"/>
    <w:rsid w:val="006A5866"/>
    <w:rsid w:val="006A5E4F"/>
    <w:rsid w:val="006A643C"/>
    <w:rsid w:val="006A6EA6"/>
    <w:rsid w:val="006A76A9"/>
    <w:rsid w:val="006A7C16"/>
    <w:rsid w:val="006B0F54"/>
    <w:rsid w:val="006B12C6"/>
    <w:rsid w:val="006B1637"/>
    <w:rsid w:val="006B1780"/>
    <w:rsid w:val="006B34EF"/>
    <w:rsid w:val="006B415B"/>
    <w:rsid w:val="006B4C68"/>
    <w:rsid w:val="006B4C95"/>
    <w:rsid w:val="006B4CBA"/>
    <w:rsid w:val="006B59AD"/>
    <w:rsid w:val="006B6A8A"/>
    <w:rsid w:val="006B6FEB"/>
    <w:rsid w:val="006B7542"/>
    <w:rsid w:val="006B7933"/>
    <w:rsid w:val="006C0A59"/>
    <w:rsid w:val="006C19EE"/>
    <w:rsid w:val="006C2E46"/>
    <w:rsid w:val="006C3B05"/>
    <w:rsid w:val="006C3DC7"/>
    <w:rsid w:val="006C4365"/>
    <w:rsid w:val="006C4E45"/>
    <w:rsid w:val="006C5A7B"/>
    <w:rsid w:val="006C5EE1"/>
    <w:rsid w:val="006C61B1"/>
    <w:rsid w:val="006C6A54"/>
    <w:rsid w:val="006C6C25"/>
    <w:rsid w:val="006C6DB8"/>
    <w:rsid w:val="006C7D72"/>
    <w:rsid w:val="006D00CB"/>
    <w:rsid w:val="006D0669"/>
    <w:rsid w:val="006D1D4E"/>
    <w:rsid w:val="006D2734"/>
    <w:rsid w:val="006D3771"/>
    <w:rsid w:val="006D440A"/>
    <w:rsid w:val="006D4677"/>
    <w:rsid w:val="006D4AA5"/>
    <w:rsid w:val="006D5321"/>
    <w:rsid w:val="006D5599"/>
    <w:rsid w:val="006D586B"/>
    <w:rsid w:val="006D592F"/>
    <w:rsid w:val="006D5EEF"/>
    <w:rsid w:val="006D62BE"/>
    <w:rsid w:val="006D6C11"/>
    <w:rsid w:val="006D7B71"/>
    <w:rsid w:val="006E0006"/>
    <w:rsid w:val="006E01BB"/>
    <w:rsid w:val="006E0842"/>
    <w:rsid w:val="006E0876"/>
    <w:rsid w:val="006E0DF6"/>
    <w:rsid w:val="006E1BDE"/>
    <w:rsid w:val="006E1EC3"/>
    <w:rsid w:val="006E25B0"/>
    <w:rsid w:val="006E2899"/>
    <w:rsid w:val="006E3333"/>
    <w:rsid w:val="006E336C"/>
    <w:rsid w:val="006E35A9"/>
    <w:rsid w:val="006E364A"/>
    <w:rsid w:val="006E3B9E"/>
    <w:rsid w:val="006E4A27"/>
    <w:rsid w:val="006E4DF1"/>
    <w:rsid w:val="006E5828"/>
    <w:rsid w:val="006E6A18"/>
    <w:rsid w:val="006E6AC3"/>
    <w:rsid w:val="006E6BB9"/>
    <w:rsid w:val="006E7616"/>
    <w:rsid w:val="006E784F"/>
    <w:rsid w:val="006F027A"/>
    <w:rsid w:val="006F0B4F"/>
    <w:rsid w:val="006F0D4C"/>
    <w:rsid w:val="006F0E97"/>
    <w:rsid w:val="006F1592"/>
    <w:rsid w:val="006F1638"/>
    <w:rsid w:val="006F218F"/>
    <w:rsid w:val="006F2DF3"/>
    <w:rsid w:val="006F2DF9"/>
    <w:rsid w:val="006F35E6"/>
    <w:rsid w:val="006F383B"/>
    <w:rsid w:val="006F3C6F"/>
    <w:rsid w:val="006F41C6"/>
    <w:rsid w:val="006F5DD9"/>
    <w:rsid w:val="006F5FAA"/>
    <w:rsid w:val="006F67DC"/>
    <w:rsid w:val="006F684B"/>
    <w:rsid w:val="006F6A39"/>
    <w:rsid w:val="006F6FA2"/>
    <w:rsid w:val="006F7BB6"/>
    <w:rsid w:val="007001D0"/>
    <w:rsid w:val="00700CE3"/>
    <w:rsid w:val="00701498"/>
    <w:rsid w:val="00701E70"/>
    <w:rsid w:val="00702601"/>
    <w:rsid w:val="00703A75"/>
    <w:rsid w:val="00703E98"/>
    <w:rsid w:val="00704BB6"/>
    <w:rsid w:val="00704E88"/>
    <w:rsid w:val="00704F47"/>
    <w:rsid w:val="00705001"/>
    <w:rsid w:val="007054BD"/>
    <w:rsid w:val="00705BC0"/>
    <w:rsid w:val="00706865"/>
    <w:rsid w:val="00706AFB"/>
    <w:rsid w:val="00706B69"/>
    <w:rsid w:val="007072C2"/>
    <w:rsid w:val="0070746B"/>
    <w:rsid w:val="007075CA"/>
    <w:rsid w:val="0070778C"/>
    <w:rsid w:val="00707BCF"/>
    <w:rsid w:val="00710C02"/>
    <w:rsid w:val="0071151E"/>
    <w:rsid w:val="007118AC"/>
    <w:rsid w:val="00711B61"/>
    <w:rsid w:val="00711FBB"/>
    <w:rsid w:val="00711FC7"/>
    <w:rsid w:val="00712E4F"/>
    <w:rsid w:val="0071482B"/>
    <w:rsid w:val="00714C8F"/>
    <w:rsid w:val="00714F33"/>
    <w:rsid w:val="00715A32"/>
    <w:rsid w:val="00715E80"/>
    <w:rsid w:val="00716CAA"/>
    <w:rsid w:val="00716F57"/>
    <w:rsid w:val="0071707F"/>
    <w:rsid w:val="007178BB"/>
    <w:rsid w:val="00717A31"/>
    <w:rsid w:val="00717A74"/>
    <w:rsid w:val="00720EA2"/>
    <w:rsid w:val="00721409"/>
    <w:rsid w:val="0072191A"/>
    <w:rsid w:val="00721CE0"/>
    <w:rsid w:val="007221A2"/>
    <w:rsid w:val="00722935"/>
    <w:rsid w:val="00723BA8"/>
    <w:rsid w:val="00723D39"/>
    <w:rsid w:val="00724257"/>
    <w:rsid w:val="00725476"/>
    <w:rsid w:val="0072568C"/>
    <w:rsid w:val="00726202"/>
    <w:rsid w:val="0072693E"/>
    <w:rsid w:val="00726FDE"/>
    <w:rsid w:val="00727815"/>
    <w:rsid w:val="007301A7"/>
    <w:rsid w:val="007301BF"/>
    <w:rsid w:val="00730ABF"/>
    <w:rsid w:val="00730E31"/>
    <w:rsid w:val="00730F92"/>
    <w:rsid w:val="00731288"/>
    <w:rsid w:val="0073161B"/>
    <w:rsid w:val="00733364"/>
    <w:rsid w:val="007346F8"/>
    <w:rsid w:val="00734D66"/>
    <w:rsid w:val="00734E06"/>
    <w:rsid w:val="00735749"/>
    <w:rsid w:val="00736A50"/>
    <w:rsid w:val="00736E9D"/>
    <w:rsid w:val="007373FA"/>
    <w:rsid w:val="007374B2"/>
    <w:rsid w:val="00737A6C"/>
    <w:rsid w:val="00737E26"/>
    <w:rsid w:val="00737E7D"/>
    <w:rsid w:val="0074063F"/>
    <w:rsid w:val="007406E2"/>
    <w:rsid w:val="00740EF1"/>
    <w:rsid w:val="00741337"/>
    <w:rsid w:val="00741AB0"/>
    <w:rsid w:val="00741BF8"/>
    <w:rsid w:val="0074250E"/>
    <w:rsid w:val="007427B0"/>
    <w:rsid w:val="007431A4"/>
    <w:rsid w:val="0074333A"/>
    <w:rsid w:val="007433B7"/>
    <w:rsid w:val="00743578"/>
    <w:rsid w:val="007437BA"/>
    <w:rsid w:val="007444E7"/>
    <w:rsid w:val="00744DBD"/>
    <w:rsid w:val="00745153"/>
    <w:rsid w:val="00745398"/>
    <w:rsid w:val="00745ACD"/>
    <w:rsid w:val="00746F2E"/>
    <w:rsid w:val="00746FC3"/>
    <w:rsid w:val="00747A68"/>
    <w:rsid w:val="00747B90"/>
    <w:rsid w:val="00750EE7"/>
    <w:rsid w:val="00751A7B"/>
    <w:rsid w:val="00752E54"/>
    <w:rsid w:val="0075323A"/>
    <w:rsid w:val="00754870"/>
    <w:rsid w:val="00755BDA"/>
    <w:rsid w:val="007561F0"/>
    <w:rsid w:val="00756632"/>
    <w:rsid w:val="0075754A"/>
    <w:rsid w:val="0076024F"/>
    <w:rsid w:val="00760554"/>
    <w:rsid w:val="0076083D"/>
    <w:rsid w:val="00760958"/>
    <w:rsid w:val="00761DC2"/>
    <w:rsid w:val="00761ED4"/>
    <w:rsid w:val="00762B1E"/>
    <w:rsid w:val="00763D72"/>
    <w:rsid w:val="00764A71"/>
    <w:rsid w:val="00764B2D"/>
    <w:rsid w:val="00764B94"/>
    <w:rsid w:val="00764C21"/>
    <w:rsid w:val="007652E2"/>
    <w:rsid w:val="007657E0"/>
    <w:rsid w:val="00765A82"/>
    <w:rsid w:val="00766434"/>
    <w:rsid w:val="00770C1F"/>
    <w:rsid w:val="00770E10"/>
    <w:rsid w:val="00771E5C"/>
    <w:rsid w:val="00772107"/>
    <w:rsid w:val="0077248D"/>
    <w:rsid w:val="00772BA7"/>
    <w:rsid w:val="00773E30"/>
    <w:rsid w:val="00773EFF"/>
    <w:rsid w:val="007742FF"/>
    <w:rsid w:val="00774567"/>
    <w:rsid w:val="00774A83"/>
    <w:rsid w:val="00774AAD"/>
    <w:rsid w:val="00775146"/>
    <w:rsid w:val="0077566D"/>
    <w:rsid w:val="00775959"/>
    <w:rsid w:val="00776097"/>
    <w:rsid w:val="00776236"/>
    <w:rsid w:val="0077653A"/>
    <w:rsid w:val="007766A5"/>
    <w:rsid w:val="00776E39"/>
    <w:rsid w:val="0078016D"/>
    <w:rsid w:val="0078062E"/>
    <w:rsid w:val="00781778"/>
    <w:rsid w:val="00781B17"/>
    <w:rsid w:val="00782098"/>
    <w:rsid w:val="007820E0"/>
    <w:rsid w:val="00782467"/>
    <w:rsid w:val="007824D3"/>
    <w:rsid w:val="0078371C"/>
    <w:rsid w:val="00783D70"/>
    <w:rsid w:val="00783D75"/>
    <w:rsid w:val="00784807"/>
    <w:rsid w:val="007857E3"/>
    <w:rsid w:val="00786198"/>
    <w:rsid w:val="00786231"/>
    <w:rsid w:val="007865BE"/>
    <w:rsid w:val="00787267"/>
    <w:rsid w:val="0079000B"/>
    <w:rsid w:val="007900CB"/>
    <w:rsid w:val="007905B2"/>
    <w:rsid w:val="00790BE5"/>
    <w:rsid w:val="00790E9B"/>
    <w:rsid w:val="007917E7"/>
    <w:rsid w:val="007927C6"/>
    <w:rsid w:val="00792969"/>
    <w:rsid w:val="00792B5A"/>
    <w:rsid w:val="00793018"/>
    <w:rsid w:val="0079348E"/>
    <w:rsid w:val="00793EEB"/>
    <w:rsid w:val="0079405B"/>
    <w:rsid w:val="00794270"/>
    <w:rsid w:val="00794BF9"/>
    <w:rsid w:val="00795679"/>
    <w:rsid w:val="00795F30"/>
    <w:rsid w:val="0079797F"/>
    <w:rsid w:val="00797C84"/>
    <w:rsid w:val="007A05F4"/>
    <w:rsid w:val="007A0BB9"/>
    <w:rsid w:val="007A14E8"/>
    <w:rsid w:val="007A1D73"/>
    <w:rsid w:val="007A2294"/>
    <w:rsid w:val="007A250D"/>
    <w:rsid w:val="007A3149"/>
    <w:rsid w:val="007A31D3"/>
    <w:rsid w:val="007A34D5"/>
    <w:rsid w:val="007A3A67"/>
    <w:rsid w:val="007A3AC1"/>
    <w:rsid w:val="007A3FD7"/>
    <w:rsid w:val="007A4023"/>
    <w:rsid w:val="007A4635"/>
    <w:rsid w:val="007A5035"/>
    <w:rsid w:val="007A5445"/>
    <w:rsid w:val="007A5A94"/>
    <w:rsid w:val="007A5E05"/>
    <w:rsid w:val="007A5E11"/>
    <w:rsid w:val="007A6C47"/>
    <w:rsid w:val="007A72B9"/>
    <w:rsid w:val="007A79A8"/>
    <w:rsid w:val="007B1A67"/>
    <w:rsid w:val="007B27A4"/>
    <w:rsid w:val="007B31F7"/>
    <w:rsid w:val="007B3289"/>
    <w:rsid w:val="007B347F"/>
    <w:rsid w:val="007B34E6"/>
    <w:rsid w:val="007B39F6"/>
    <w:rsid w:val="007B4481"/>
    <w:rsid w:val="007B5A98"/>
    <w:rsid w:val="007B5C33"/>
    <w:rsid w:val="007B5E30"/>
    <w:rsid w:val="007B5E45"/>
    <w:rsid w:val="007B771F"/>
    <w:rsid w:val="007B7A53"/>
    <w:rsid w:val="007B7E32"/>
    <w:rsid w:val="007C109F"/>
    <w:rsid w:val="007C1DB0"/>
    <w:rsid w:val="007C2270"/>
    <w:rsid w:val="007C2580"/>
    <w:rsid w:val="007C27D4"/>
    <w:rsid w:val="007C2DF5"/>
    <w:rsid w:val="007C2E9F"/>
    <w:rsid w:val="007C3684"/>
    <w:rsid w:val="007C4720"/>
    <w:rsid w:val="007C47D6"/>
    <w:rsid w:val="007C4CCE"/>
    <w:rsid w:val="007C570A"/>
    <w:rsid w:val="007C6DE9"/>
    <w:rsid w:val="007C70B2"/>
    <w:rsid w:val="007C7D49"/>
    <w:rsid w:val="007C7DE5"/>
    <w:rsid w:val="007D04C3"/>
    <w:rsid w:val="007D0EEB"/>
    <w:rsid w:val="007D1391"/>
    <w:rsid w:val="007D17DC"/>
    <w:rsid w:val="007D1D99"/>
    <w:rsid w:val="007D2BE3"/>
    <w:rsid w:val="007D4269"/>
    <w:rsid w:val="007D4D2A"/>
    <w:rsid w:val="007D5E52"/>
    <w:rsid w:val="007D6553"/>
    <w:rsid w:val="007D6B41"/>
    <w:rsid w:val="007D763D"/>
    <w:rsid w:val="007D7677"/>
    <w:rsid w:val="007D77A3"/>
    <w:rsid w:val="007D78D9"/>
    <w:rsid w:val="007E00B1"/>
    <w:rsid w:val="007E0749"/>
    <w:rsid w:val="007E0C12"/>
    <w:rsid w:val="007E1467"/>
    <w:rsid w:val="007E1717"/>
    <w:rsid w:val="007E2F87"/>
    <w:rsid w:val="007E2FEF"/>
    <w:rsid w:val="007E334F"/>
    <w:rsid w:val="007E3AC7"/>
    <w:rsid w:val="007E3E5B"/>
    <w:rsid w:val="007E4155"/>
    <w:rsid w:val="007E57B5"/>
    <w:rsid w:val="007E5D39"/>
    <w:rsid w:val="007E66C8"/>
    <w:rsid w:val="007E67BD"/>
    <w:rsid w:val="007E6BBD"/>
    <w:rsid w:val="007E78AD"/>
    <w:rsid w:val="007E7E71"/>
    <w:rsid w:val="007F02D8"/>
    <w:rsid w:val="007F06E1"/>
    <w:rsid w:val="007F0C09"/>
    <w:rsid w:val="007F0C49"/>
    <w:rsid w:val="007F1370"/>
    <w:rsid w:val="007F314A"/>
    <w:rsid w:val="007F390C"/>
    <w:rsid w:val="007F3E75"/>
    <w:rsid w:val="007F517F"/>
    <w:rsid w:val="007F5F60"/>
    <w:rsid w:val="007F6391"/>
    <w:rsid w:val="007F64BD"/>
    <w:rsid w:val="007F6CAD"/>
    <w:rsid w:val="007F6FB8"/>
    <w:rsid w:val="007F7481"/>
    <w:rsid w:val="007F76FF"/>
    <w:rsid w:val="007F7E83"/>
    <w:rsid w:val="00800E2B"/>
    <w:rsid w:val="00801491"/>
    <w:rsid w:val="008015A7"/>
    <w:rsid w:val="00801B8F"/>
    <w:rsid w:val="00801EF6"/>
    <w:rsid w:val="00802AEC"/>
    <w:rsid w:val="00802BBF"/>
    <w:rsid w:val="00803099"/>
    <w:rsid w:val="00803248"/>
    <w:rsid w:val="00803486"/>
    <w:rsid w:val="0080406C"/>
    <w:rsid w:val="0080562C"/>
    <w:rsid w:val="008071D0"/>
    <w:rsid w:val="00807F57"/>
    <w:rsid w:val="0081037F"/>
    <w:rsid w:val="0081066B"/>
    <w:rsid w:val="00810809"/>
    <w:rsid w:val="00810C6A"/>
    <w:rsid w:val="00810C86"/>
    <w:rsid w:val="008110B8"/>
    <w:rsid w:val="00812350"/>
    <w:rsid w:val="00812369"/>
    <w:rsid w:val="008126DB"/>
    <w:rsid w:val="00812741"/>
    <w:rsid w:val="008128E3"/>
    <w:rsid w:val="00812B12"/>
    <w:rsid w:val="00815871"/>
    <w:rsid w:val="008162F9"/>
    <w:rsid w:val="00816569"/>
    <w:rsid w:val="00816A53"/>
    <w:rsid w:val="0081762F"/>
    <w:rsid w:val="008176AA"/>
    <w:rsid w:val="00817CF5"/>
    <w:rsid w:val="00820E52"/>
    <w:rsid w:val="00821789"/>
    <w:rsid w:val="0082180B"/>
    <w:rsid w:val="008219CE"/>
    <w:rsid w:val="00821BC9"/>
    <w:rsid w:val="00821C85"/>
    <w:rsid w:val="00822B9A"/>
    <w:rsid w:val="00823556"/>
    <w:rsid w:val="00824089"/>
    <w:rsid w:val="0082501E"/>
    <w:rsid w:val="00825147"/>
    <w:rsid w:val="00825D4F"/>
    <w:rsid w:val="00826B48"/>
    <w:rsid w:val="00827A25"/>
    <w:rsid w:val="00830017"/>
    <w:rsid w:val="0083073F"/>
    <w:rsid w:val="00830787"/>
    <w:rsid w:val="00830DC9"/>
    <w:rsid w:val="00831489"/>
    <w:rsid w:val="00831D6B"/>
    <w:rsid w:val="00832E7A"/>
    <w:rsid w:val="00833000"/>
    <w:rsid w:val="00833A6A"/>
    <w:rsid w:val="00833E2F"/>
    <w:rsid w:val="00834240"/>
    <w:rsid w:val="0083465B"/>
    <w:rsid w:val="00834F9A"/>
    <w:rsid w:val="008368F3"/>
    <w:rsid w:val="00837976"/>
    <w:rsid w:val="00837F56"/>
    <w:rsid w:val="008400A8"/>
    <w:rsid w:val="0084028A"/>
    <w:rsid w:val="0084156A"/>
    <w:rsid w:val="008427B1"/>
    <w:rsid w:val="0084380A"/>
    <w:rsid w:val="00843A72"/>
    <w:rsid w:val="008449FF"/>
    <w:rsid w:val="00845293"/>
    <w:rsid w:val="008452B1"/>
    <w:rsid w:val="00845E77"/>
    <w:rsid w:val="0084601D"/>
    <w:rsid w:val="008462FB"/>
    <w:rsid w:val="008469F8"/>
    <w:rsid w:val="00846C73"/>
    <w:rsid w:val="00847445"/>
    <w:rsid w:val="008500CD"/>
    <w:rsid w:val="0085035B"/>
    <w:rsid w:val="00850462"/>
    <w:rsid w:val="00850705"/>
    <w:rsid w:val="00850BB7"/>
    <w:rsid w:val="0085131D"/>
    <w:rsid w:val="0085161D"/>
    <w:rsid w:val="008526C0"/>
    <w:rsid w:val="00852EEF"/>
    <w:rsid w:val="00853087"/>
    <w:rsid w:val="00853758"/>
    <w:rsid w:val="00855597"/>
    <w:rsid w:val="00855780"/>
    <w:rsid w:val="008557AA"/>
    <w:rsid w:val="00855C6F"/>
    <w:rsid w:val="00855DEB"/>
    <w:rsid w:val="00856178"/>
    <w:rsid w:val="00856681"/>
    <w:rsid w:val="008567C0"/>
    <w:rsid w:val="00856C69"/>
    <w:rsid w:val="00856F85"/>
    <w:rsid w:val="008570AB"/>
    <w:rsid w:val="00860B04"/>
    <w:rsid w:val="00861157"/>
    <w:rsid w:val="00861B7F"/>
    <w:rsid w:val="00862545"/>
    <w:rsid w:val="008626D8"/>
    <w:rsid w:val="00862901"/>
    <w:rsid w:val="00862D62"/>
    <w:rsid w:val="00863203"/>
    <w:rsid w:val="00863356"/>
    <w:rsid w:val="00864544"/>
    <w:rsid w:val="008653B5"/>
    <w:rsid w:val="0086553A"/>
    <w:rsid w:val="00865A76"/>
    <w:rsid w:val="008663D7"/>
    <w:rsid w:val="00866924"/>
    <w:rsid w:val="00866B29"/>
    <w:rsid w:val="00867156"/>
    <w:rsid w:val="0086730B"/>
    <w:rsid w:val="00867372"/>
    <w:rsid w:val="008674DC"/>
    <w:rsid w:val="008679E6"/>
    <w:rsid w:val="00867A0F"/>
    <w:rsid w:val="008700A4"/>
    <w:rsid w:val="00871811"/>
    <w:rsid w:val="00872E1F"/>
    <w:rsid w:val="00873942"/>
    <w:rsid w:val="0087400E"/>
    <w:rsid w:val="008755F8"/>
    <w:rsid w:val="008765E4"/>
    <w:rsid w:val="00877A60"/>
    <w:rsid w:val="00880558"/>
    <w:rsid w:val="00880954"/>
    <w:rsid w:val="00881DD6"/>
    <w:rsid w:val="00882284"/>
    <w:rsid w:val="008824FB"/>
    <w:rsid w:val="00882E79"/>
    <w:rsid w:val="00882ED0"/>
    <w:rsid w:val="00883894"/>
    <w:rsid w:val="00883B0C"/>
    <w:rsid w:val="00883E42"/>
    <w:rsid w:val="00885DA2"/>
    <w:rsid w:val="00885E17"/>
    <w:rsid w:val="00886342"/>
    <w:rsid w:val="008866D9"/>
    <w:rsid w:val="008875DE"/>
    <w:rsid w:val="00887899"/>
    <w:rsid w:val="008878CA"/>
    <w:rsid w:val="00890221"/>
    <w:rsid w:val="008902E8"/>
    <w:rsid w:val="0089074D"/>
    <w:rsid w:val="0089092F"/>
    <w:rsid w:val="00890FF0"/>
    <w:rsid w:val="0089177F"/>
    <w:rsid w:val="00891A21"/>
    <w:rsid w:val="00892CF7"/>
    <w:rsid w:val="008930ED"/>
    <w:rsid w:val="00893594"/>
    <w:rsid w:val="00894461"/>
    <w:rsid w:val="008947EA"/>
    <w:rsid w:val="00894ABF"/>
    <w:rsid w:val="00895433"/>
    <w:rsid w:val="008959F0"/>
    <w:rsid w:val="00895FFF"/>
    <w:rsid w:val="00896EB9"/>
    <w:rsid w:val="00896F31"/>
    <w:rsid w:val="00896FF4"/>
    <w:rsid w:val="00897A73"/>
    <w:rsid w:val="00897E3E"/>
    <w:rsid w:val="008A0E85"/>
    <w:rsid w:val="008A13F0"/>
    <w:rsid w:val="008A15CB"/>
    <w:rsid w:val="008A1DDE"/>
    <w:rsid w:val="008A20B6"/>
    <w:rsid w:val="008A2544"/>
    <w:rsid w:val="008A270F"/>
    <w:rsid w:val="008A2D0B"/>
    <w:rsid w:val="008A34CE"/>
    <w:rsid w:val="008A371D"/>
    <w:rsid w:val="008A5443"/>
    <w:rsid w:val="008A55A8"/>
    <w:rsid w:val="008A55EB"/>
    <w:rsid w:val="008A5F01"/>
    <w:rsid w:val="008A6135"/>
    <w:rsid w:val="008A6B66"/>
    <w:rsid w:val="008A7078"/>
    <w:rsid w:val="008B0021"/>
    <w:rsid w:val="008B0969"/>
    <w:rsid w:val="008B11D0"/>
    <w:rsid w:val="008B11FD"/>
    <w:rsid w:val="008B13BF"/>
    <w:rsid w:val="008B2B7E"/>
    <w:rsid w:val="008B2C28"/>
    <w:rsid w:val="008B32B2"/>
    <w:rsid w:val="008B32B6"/>
    <w:rsid w:val="008B4464"/>
    <w:rsid w:val="008B4600"/>
    <w:rsid w:val="008B4BF2"/>
    <w:rsid w:val="008B56BF"/>
    <w:rsid w:val="008B56E5"/>
    <w:rsid w:val="008B5AFD"/>
    <w:rsid w:val="008B6650"/>
    <w:rsid w:val="008B6C07"/>
    <w:rsid w:val="008B729C"/>
    <w:rsid w:val="008B7492"/>
    <w:rsid w:val="008B7A4E"/>
    <w:rsid w:val="008B7D67"/>
    <w:rsid w:val="008C0208"/>
    <w:rsid w:val="008C1506"/>
    <w:rsid w:val="008C217C"/>
    <w:rsid w:val="008C2736"/>
    <w:rsid w:val="008C2AFB"/>
    <w:rsid w:val="008C2D30"/>
    <w:rsid w:val="008C33F2"/>
    <w:rsid w:val="008C3CBD"/>
    <w:rsid w:val="008C444D"/>
    <w:rsid w:val="008C51C2"/>
    <w:rsid w:val="008C589A"/>
    <w:rsid w:val="008C6C92"/>
    <w:rsid w:val="008C77F7"/>
    <w:rsid w:val="008D0262"/>
    <w:rsid w:val="008D0911"/>
    <w:rsid w:val="008D0AE4"/>
    <w:rsid w:val="008D0D73"/>
    <w:rsid w:val="008D0F63"/>
    <w:rsid w:val="008D1B0D"/>
    <w:rsid w:val="008D20E6"/>
    <w:rsid w:val="008D2C62"/>
    <w:rsid w:val="008D2F52"/>
    <w:rsid w:val="008D3AE2"/>
    <w:rsid w:val="008D3E19"/>
    <w:rsid w:val="008D3F50"/>
    <w:rsid w:val="008D4ACA"/>
    <w:rsid w:val="008D509E"/>
    <w:rsid w:val="008D57A4"/>
    <w:rsid w:val="008D5F06"/>
    <w:rsid w:val="008D6B57"/>
    <w:rsid w:val="008D6E75"/>
    <w:rsid w:val="008D71AB"/>
    <w:rsid w:val="008D74C3"/>
    <w:rsid w:val="008D7DFC"/>
    <w:rsid w:val="008E00FD"/>
    <w:rsid w:val="008E07C6"/>
    <w:rsid w:val="008E12CB"/>
    <w:rsid w:val="008E152D"/>
    <w:rsid w:val="008E3214"/>
    <w:rsid w:val="008E33EA"/>
    <w:rsid w:val="008E4180"/>
    <w:rsid w:val="008E47E9"/>
    <w:rsid w:val="008E4ECE"/>
    <w:rsid w:val="008E5AC9"/>
    <w:rsid w:val="008E5BB7"/>
    <w:rsid w:val="008E5BEC"/>
    <w:rsid w:val="008E5F84"/>
    <w:rsid w:val="008E601F"/>
    <w:rsid w:val="008E63F3"/>
    <w:rsid w:val="008E6860"/>
    <w:rsid w:val="008E6A1B"/>
    <w:rsid w:val="008E6FAD"/>
    <w:rsid w:val="008E6FF6"/>
    <w:rsid w:val="008E72E5"/>
    <w:rsid w:val="008E79F9"/>
    <w:rsid w:val="008E7B3D"/>
    <w:rsid w:val="008E7DCC"/>
    <w:rsid w:val="008F0517"/>
    <w:rsid w:val="008F0EA9"/>
    <w:rsid w:val="008F13B4"/>
    <w:rsid w:val="008F1B1E"/>
    <w:rsid w:val="008F22B0"/>
    <w:rsid w:val="008F2B7E"/>
    <w:rsid w:val="008F31DF"/>
    <w:rsid w:val="008F363D"/>
    <w:rsid w:val="008F38F6"/>
    <w:rsid w:val="008F411D"/>
    <w:rsid w:val="008F4D31"/>
    <w:rsid w:val="008F4D74"/>
    <w:rsid w:val="008F5210"/>
    <w:rsid w:val="008F53F5"/>
    <w:rsid w:val="008F5601"/>
    <w:rsid w:val="008F56A2"/>
    <w:rsid w:val="008F5FF0"/>
    <w:rsid w:val="008F61F2"/>
    <w:rsid w:val="008F63BC"/>
    <w:rsid w:val="008F6464"/>
    <w:rsid w:val="008F6485"/>
    <w:rsid w:val="008F70F9"/>
    <w:rsid w:val="008F710C"/>
    <w:rsid w:val="008F743D"/>
    <w:rsid w:val="008F7B17"/>
    <w:rsid w:val="008F7F12"/>
    <w:rsid w:val="008F7F78"/>
    <w:rsid w:val="00900316"/>
    <w:rsid w:val="00900750"/>
    <w:rsid w:val="00900773"/>
    <w:rsid w:val="009010D0"/>
    <w:rsid w:val="0090122A"/>
    <w:rsid w:val="00901F73"/>
    <w:rsid w:val="00902252"/>
    <w:rsid w:val="009024EA"/>
    <w:rsid w:val="0090394F"/>
    <w:rsid w:val="00903EAD"/>
    <w:rsid w:val="00904553"/>
    <w:rsid w:val="009053F5"/>
    <w:rsid w:val="009054AD"/>
    <w:rsid w:val="009054D3"/>
    <w:rsid w:val="00905587"/>
    <w:rsid w:val="009057D3"/>
    <w:rsid w:val="0090606F"/>
    <w:rsid w:val="00906283"/>
    <w:rsid w:val="00906DE9"/>
    <w:rsid w:val="00907B9D"/>
    <w:rsid w:val="009102A0"/>
    <w:rsid w:val="00910CFA"/>
    <w:rsid w:val="00910DE9"/>
    <w:rsid w:val="009125D2"/>
    <w:rsid w:val="00912E09"/>
    <w:rsid w:val="00914007"/>
    <w:rsid w:val="009141A8"/>
    <w:rsid w:val="00914A4A"/>
    <w:rsid w:val="009151AC"/>
    <w:rsid w:val="00915E3F"/>
    <w:rsid w:val="00915F49"/>
    <w:rsid w:val="00915F97"/>
    <w:rsid w:val="00916B37"/>
    <w:rsid w:val="00916D68"/>
    <w:rsid w:val="009175C8"/>
    <w:rsid w:val="009179EB"/>
    <w:rsid w:val="009220AF"/>
    <w:rsid w:val="0092273F"/>
    <w:rsid w:val="00923301"/>
    <w:rsid w:val="009235A9"/>
    <w:rsid w:val="009238F1"/>
    <w:rsid w:val="00923F22"/>
    <w:rsid w:val="009249B4"/>
    <w:rsid w:val="00924E47"/>
    <w:rsid w:val="00924EB1"/>
    <w:rsid w:val="00926364"/>
    <w:rsid w:val="00926716"/>
    <w:rsid w:val="00926A6A"/>
    <w:rsid w:val="009270DB"/>
    <w:rsid w:val="00927702"/>
    <w:rsid w:val="00927ADA"/>
    <w:rsid w:val="00927D62"/>
    <w:rsid w:val="00930BEB"/>
    <w:rsid w:val="009322DE"/>
    <w:rsid w:val="009323DF"/>
    <w:rsid w:val="0093286F"/>
    <w:rsid w:val="00932AFC"/>
    <w:rsid w:val="009331AC"/>
    <w:rsid w:val="00933259"/>
    <w:rsid w:val="0093389C"/>
    <w:rsid w:val="00933A7D"/>
    <w:rsid w:val="00933C0B"/>
    <w:rsid w:val="00933DA9"/>
    <w:rsid w:val="0093452F"/>
    <w:rsid w:val="0093453F"/>
    <w:rsid w:val="0093491F"/>
    <w:rsid w:val="00934BC0"/>
    <w:rsid w:val="00935E14"/>
    <w:rsid w:val="00936B21"/>
    <w:rsid w:val="00940C8D"/>
    <w:rsid w:val="00940D3B"/>
    <w:rsid w:val="00941191"/>
    <w:rsid w:val="00941E35"/>
    <w:rsid w:val="00941E4F"/>
    <w:rsid w:val="00942454"/>
    <w:rsid w:val="0094480E"/>
    <w:rsid w:val="0094589F"/>
    <w:rsid w:val="00946122"/>
    <w:rsid w:val="00947906"/>
    <w:rsid w:val="00947B5B"/>
    <w:rsid w:val="00950281"/>
    <w:rsid w:val="00950C58"/>
    <w:rsid w:val="00950E56"/>
    <w:rsid w:val="00951B9A"/>
    <w:rsid w:val="00951BD3"/>
    <w:rsid w:val="009529FD"/>
    <w:rsid w:val="00952B8F"/>
    <w:rsid w:val="009534B8"/>
    <w:rsid w:val="0095496C"/>
    <w:rsid w:val="0095497F"/>
    <w:rsid w:val="0095569B"/>
    <w:rsid w:val="00955866"/>
    <w:rsid w:val="009559F2"/>
    <w:rsid w:val="009562CC"/>
    <w:rsid w:val="00956486"/>
    <w:rsid w:val="0095695E"/>
    <w:rsid w:val="00956E94"/>
    <w:rsid w:val="00956FFA"/>
    <w:rsid w:val="00957085"/>
    <w:rsid w:val="00957310"/>
    <w:rsid w:val="00957358"/>
    <w:rsid w:val="0095750D"/>
    <w:rsid w:val="00957D77"/>
    <w:rsid w:val="009600AA"/>
    <w:rsid w:val="00960B83"/>
    <w:rsid w:val="00961E59"/>
    <w:rsid w:val="00962B8F"/>
    <w:rsid w:val="009637E4"/>
    <w:rsid w:val="00963ADC"/>
    <w:rsid w:val="00964464"/>
    <w:rsid w:val="00965665"/>
    <w:rsid w:val="0096632E"/>
    <w:rsid w:val="0096653B"/>
    <w:rsid w:val="00966710"/>
    <w:rsid w:val="0096684F"/>
    <w:rsid w:val="00966D4F"/>
    <w:rsid w:val="00966EE3"/>
    <w:rsid w:val="00970E65"/>
    <w:rsid w:val="0097102C"/>
    <w:rsid w:val="00971103"/>
    <w:rsid w:val="00971135"/>
    <w:rsid w:val="009712C7"/>
    <w:rsid w:val="0097180C"/>
    <w:rsid w:val="00971CBF"/>
    <w:rsid w:val="00971F52"/>
    <w:rsid w:val="0097202E"/>
    <w:rsid w:val="00972E0B"/>
    <w:rsid w:val="009733AF"/>
    <w:rsid w:val="009735DB"/>
    <w:rsid w:val="0097455D"/>
    <w:rsid w:val="0097462D"/>
    <w:rsid w:val="009748F0"/>
    <w:rsid w:val="00974A7C"/>
    <w:rsid w:val="0097541D"/>
    <w:rsid w:val="0097587B"/>
    <w:rsid w:val="00975C3C"/>
    <w:rsid w:val="00975E52"/>
    <w:rsid w:val="00975F1B"/>
    <w:rsid w:val="009763C1"/>
    <w:rsid w:val="009766FE"/>
    <w:rsid w:val="00977715"/>
    <w:rsid w:val="00977C28"/>
    <w:rsid w:val="0098019E"/>
    <w:rsid w:val="009801F6"/>
    <w:rsid w:val="00980439"/>
    <w:rsid w:val="00982444"/>
    <w:rsid w:val="00982BA7"/>
    <w:rsid w:val="00982D92"/>
    <w:rsid w:val="00982F10"/>
    <w:rsid w:val="009834A0"/>
    <w:rsid w:val="009835BC"/>
    <w:rsid w:val="009843A8"/>
    <w:rsid w:val="00984993"/>
    <w:rsid w:val="00984CA2"/>
    <w:rsid w:val="00985384"/>
    <w:rsid w:val="009854F1"/>
    <w:rsid w:val="0098714A"/>
    <w:rsid w:val="00990428"/>
    <w:rsid w:val="00990C58"/>
    <w:rsid w:val="00990CF5"/>
    <w:rsid w:val="00990E05"/>
    <w:rsid w:val="009929E3"/>
    <w:rsid w:val="00992EA7"/>
    <w:rsid w:val="00993EA1"/>
    <w:rsid w:val="0099496C"/>
    <w:rsid w:val="00994F03"/>
    <w:rsid w:val="00995582"/>
    <w:rsid w:val="0099583D"/>
    <w:rsid w:val="00996569"/>
    <w:rsid w:val="009A057B"/>
    <w:rsid w:val="009A06F0"/>
    <w:rsid w:val="009A0AB0"/>
    <w:rsid w:val="009A108E"/>
    <w:rsid w:val="009A14DE"/>
    <w:rsid w:val="009A2294"/>
    <w:rsid w:val="009A40DD"/>
    <w:rsid w:val="009A4646"/>
    <w:rsid w:val="009A4D74"/>
    <w:rsid w:val="009A5602"/>
    <w:rsid w:val="009A5F36"/>
    <w:rsid w:val="009A6874"/>
    <w:rsid w:val="009A6DED"/>
    <w:rsid w:val="009A72B5"/>
    <w:rsid w:val="009A74A4"/>
    <w:rsid w:val="009A770E"/>
    <w:rsid w:val="009A7BC2"/>
    <w:rsid w:val="009A7D53"/>
    <w:rsid w:val="009B011E"/>
    <w:rsid w:val="009B06F5"/>
    <w:rsid w:val="009B0EBD"/>
    <w:rsid w:val="009B180F"/>
    <w:rsid w:val="009B1897"/>
    <w:rsid w:val="009B1BB7"/>
    <w:rsid w:val="009B1C51"/>
    <w:rsid w:val="009B1F7D"/>
    <w:rsid w:val="009B39E5"/>
    <w:rsid w:val="009B48D4"/>
    <w:rsid w:val="009B5BC5"/>
    <w:rsid w:val="009B60FD"/>
    <w:rsid w:val="009B751B"/>
    <w:rsid w:val="009B7B7F"/>
    <w:rsid w:val="009C035D"/>
    <w:rsid w:val="009C0992"/>
    <w:rsid w:val="009C0C48"/>
    <w:rsid w:val="009C12D1"/>
    <w:rsid w:val="009C1830"/>
    <w:rsid w:val="009C205D"/>
    <w:rsid w:val="009C23DA"/>
    <w:rsid w:val="009C24B3"/>
    <w:rsid w:val="009C2603"/>
    <w:rsid w:val="009C2C09"/>
    <w:rsid w:val="009C2E5A"/>
    <w:rsid w:val="009C3125"/>
    <w:rsid w:val="009C3AE7"/>
    <w:rsid w:val="009C48B3"/>
    <w:rsid w:val="009C49EC"/>
    <w:rsid w:val="009C6214"/>
    <w:rsid w:val="009C672A"/>
    <w:rsid w:val="009C6742"/>
    <w:rsid w:val="009C703A"/>
    <w:rsid w:val="009C7200"/>
    <w:rsid w:val="009C7218"/>
    <w:rsid w:val="009C7B18"/>
    <w:rsid w:val="009C7D55"/>
    <w:rsid w:val="009C7F52"/>
    <w:rsid w:val="009D0002"/>
    <w:rsid w:val="009D07F2"/>
    <w:rsid w:val="009D1884"/>
    <w:rsid w:val="009D1D35"/>
    <w:rsid w:val="009D1FE5"/>
    <w:rsid w:val="009D24A3"/>
    <w:rsid w:val="009D2FD6"/>
    <w:rsid w:val="009D3295"/>
    <w:rsid w:val="009D3665"/>
    <w:rsid w:val="009D3C84"/>
    <w:rsid w:val="009D3F7B"/>
    <w:rsid w:val="009D40C6"/>
    <w:rsid w:val="009D49F3"/>
    <w:rsid w:val="009D4A69"/>
    <w:rsid w:val="009D54F3"/>
    <w:rsid w:val="009D5DA3"/>
    <w:rsid w:val="009D6969"/>
    <w:rsid w:val="009D7470"/>
    <w:rsid w:val="009D7805"/>
    <w:rsid w:val="009D7A58"/>
    <w:rsid w:val="009E01CE"/>
    <w:rsid w:val="009E0638"/>
    <w:rsid w:val="009E0828"/>
    <w:rsid w:val="009E0983"/>
    <w:rsid w:val="009E0CED"/>
    <w:rsid w:val="009E17A2"/>
    <w:rsid w:val="009E2D23"/>
    <w:rsid w:val="009E3F96"/>
    <w:rsid w:val="009E4043"/>
    <w:rsid w:val="009E43C1"/>
    <w:rsid w:val="009E54AE"/>
    <w:rsid w:val="009E5E83"/>
    <w:rsid w:val="009E5FC3"/>
    <w:rsid w:val="009E6256"/>
    <w:rsid w:val="009E637E"/>
    <w:rsid w:val="009E6B3E"/>
    <w:rsid w:val="009E6DF1"/>
    <w:rsid w:val="009E7ED5"/>
    <w:rsid w:val="009F0E80"/>
    <w:rsid w:val="009F3880"/>
    <w:rsid w:val="009F3BA0"/>
    <w:rsid w:val="009F3F5D"/>
    <w:rsid w:val="009F43CB"/>
    <w:rsid w:val="009F4CB9"/>
    <w:rsid w:val="009F5112"/>
    <w:rsid w:val="009F5562"/>
    <w:rsid w:val="009F560D"/>
    <w:rsid w:val="009F599E"/>
    <w:rsid w:val="009F754A"/>
    <w:rsid w:val="009F7F65"/>
    <w:rsid w:val="00A00283"/>
    <w:rsid w:val="00A00EAC"/>
    <w:rsid w:val="00A016EE"/>
    <w:rsid w:val="00A01C02"/>
    <w:rsid w:val="00A02D24"/>
    <w:rsid w:val="00A02E16"/>
    <w:rsid w:val="00A05002"/>
    <w:rsid w:val="00A05113"/>
    <w:rsid w:val="00A054DC"/>
    <w:rsid w:val="00A069AE"/>
    <w:rsid w:val="00A06E57"/>
    <w:rsid w:val="00A06FE5"/>
    <w:rsid w:val="00A07B85"/>
    <w:rsid w:val="00A10385"/>
    <w:rsid w:val="00A10389"/>
    <w:rsid w:val="00A10B10"/>
    <w:rsid w:val="00A10B49"/>
    <w:rsid w:val="00A1133E"/>
    <w:rsid w:val="00A11888"/>
    <w:rsid w:val="00A11E62"/>
    <w:rsid w:val="00A11E8F"/>
    <w:rsid w:val="00A12369"/>
    <w:rsid w:val="00A12DD8"/>
    <w:rsid w:val="00A13522"/>
    <w:rsid w:val="00A14357"/>
    <w:rsid w:val="00A14926"/>
    <w:rsid w:val="00A1524F"/>
    <w:rsid w:val="00A15E63"/>
    <w:rsid w:val="00A16789"/>
    <w:rsid w:val="00A167D9"/>
    <w:rsid w:val="00A16DB9"/>
    <w:rsid w:val="00A1733C"/>
    <w:rsid w:val="00A174EA"/>
    <w:rsid w:val="00A17672"/>
    <w:rsid w:val="00A20A6B"/>
    <w:rsid w:val="00A20C5D"/>
    <w:rsid w:val="00A222CA"/>
    <w:rsid w:val="00A225E3"/>
    <w:rsid w:val="00A239CC"/>
    <w:rsid w:val="00A23BC2"/>
    <w:rsid w:val="00A248C9"/>
    <w:rsid w:val="00A26DD0"/>
    <w:rsid w:val="00A26F01"/>
    <w:rsid w:val="00A27042"/>
    <w:rsid w:val="00A279AC"/>
    <w:rsid w:val="00A27A30"/>
    <w:rsid w:val="00A30394"/>
    <w:rsid w:val="00A30C5D"/>
    <w:rsid w:val="00A310F1"/>
    <w:rsid w:val="00A31C68"/>
    <w:rsid w:val="00A31FFF"/>
    <w:rsid w:val="00A325AE"/>
    <w:rsid w:val="00A326A6"/>
    <w:rsid w:val="00A3326A"/>
    <w:rsid w:val="00A342D9"/>
    <w:rsid w:val="00A34742"/>
    <w:rsid w:val="00A35A74"/>
    <w:rsid w:val="00A35D7B"/>
    <w:rsid w:val="00A35E30"/>
    <w:rsid w:val="00A35FAA"/>
    <w:rsid w:val="00A37314"/>
    <w:rsid w:val="00A3733D"/>
    <w:rsid w:val="00A37BBE"/>
    <w:rsid w:val="00A40163"/>
    <w:rsid w:val="00A409BC"/>
    <w:rsid w:val="00A40FC3"/>
    <w:rsid w:val="00A41D7C"/>
    <w:rsid w:val="00A41EDF"/>
    <w:rsid w:val="00A42F6D"/>
    <w:rsid w:val="00A43246"/>
    <w:rsid w:val="00A43C9A"/>
    <w:rsid w:val="00A44612"/>
    <w:rsid w:val="00A44720"/>
    <w:rsid w:val="00A454FF"/>
    <w:rsid w:val="00A46164"/>
    <w:rsid w:val="00A46861"/>
    <w:rsid w:val="00A46A8E"/>
    <w:rsid w:val="00A46B68"/>
    <w:rsid w:val="00A475C3"/>
    <w:rsid w:val="00A50753"/>
    <w:rsid w:val="00A50FE9"/>
    <w:rsid w:val="00A51337"/>
    <w:rsid w:val="00A51652"/>
    <w:rsid w:val="00A51958"/>
    <w:rsid w:val="00A51A69"/>
    <w:rsid w:val="00A5240B"/>
    <w:rsid w:val="00A52F48"/>
    <w:rsid w:val="00A537E5"/>
    <w:rsid w:val="00A539C0"/>
    <w:rsid w:val="00A53BE6"/>
    <w:rsid w:val="00A540A5"/>
    <w:rsid w:val="00A54183"/>
    <w:rsid w:val="00A54248"/>
    <w:rsid w:val="00A55B6F"/>
    <w:rsid w:val="00A569DF"/>
    <w:rsid w:val="00A56CE6"/>
    <w:rsid w:val="00A6058E"/>
    <w:rsid w:val="00A60E18"/>
    <w:rsid w:val="00A619E2"/>
    <w:rsid w:val="00A61AC9"/>
    <w:rsid w:val="00A61BD0"/>
    <w:rsid w:val="00A637DA"/>
    <w:rsid w:val="00A6388E"/>
    <w:rsid w:val="00A64A5B"/>
    <w:rsid w:val="00A64BC6"/>
    <w:rsid w:val="00A64DE1"/>
    <w:rsid w:val="00A64FD7"/>
    <w:rsid w:val="00A656DF"/>
    <w:rsid w:val="00A659CB"/>
    <w:rsid w:val="00A65E1D"/>
    <w:rsid w:val="00A6708B"/>
    <w:rsid w:val="00A67F25"/>
    <w:rsid w:val="00A70398"/>
    <w:rsid w:val="00A707B4"/>
    <w:rsid w:val="00A709AD"/>
    <w:rsid w:val="00A70D03"/>
    <w:rsid w:val="00A70F4B"/>
    <w:rsid w:val="00A70FE0"/>
    <w:rsid w:val="00A71441"/>
    <w:rsid w:val="00A721F1"/>
    <w:rsid w:val="00A72DA9"/>
    <w:rsid w:val="00A73082"/>
    <w:rsid w:val="00A733CB"/>
    <w:rsid w:val="00A733DF"/>
    <w:rsid w:val="00A739DF"/>
    <w:rsid w:val="00A740A0"/>
    <w:rsid w:val="00A745EF"/>
    <w:rsid w:val="00A74A84"/>
    <w:rsid w:val="00A751AD"/>
    <w:rsid w:val="00A752BB"/>
    <w:rsid w:val="00A75A52"/>
    <w:rsid w:val="00A76045"/>
    <w:rsid w:val="00A76882"/>
    <w:rsid w:val="00A76E6A"/>
    <w:rsid w:val="00A773CD"/>
    <w:rsid w:val="00A775CF"/>
    <w:rsid w:val="00A776E8"/>
    <w:rsid w:val="00A77711"/>
    <w:rsid w:val="00A77853"/>
    <w:rsid w:val="00A77CB9"/>
    <w:rsid w:val="00A77FAF"/>
    <w:rsid w:val="00A805EB"/>
    <w:rsid w:val="00A80BFB"/>
    <w:rsid w:val="00A80C87"/>
    <w:rsid w:val="00A81B83"/>
    <w:rsid w:val="00A81EED"/>
    <w:rsid w:val="00A8272A"/>
    <w:rsid w:val="00A833DC"/>
    <w:rsid w:val="00A84503"/>
    <w:rsid w:val="00A8488F"/>
    <w:rsid w:val="00A85F83"/>
    <w:rsid w:val="00A86423"/>
    <w:rsid w:val="00A867DA"/>
    <w:rsid w:val="00A8736E"/>
    <w:rsid w:val="00A8782F"/>
    <w:rsid w:val="00A9167D"/>
    <w:rsid w:val="00A91895"/>
    <w:rsid w:val="00A9253D"/>
    <w:rsid w:val="00A92D25"/>
    <w:rsid w:val="00A9351D"/>
    <w:rsid w:val="00A938E0"/>
    <w:rsid w:val="00A9401F"/>
    <w:rsid w:val="00A94689"/>
    <w:rsid w:val="00A94DDB"/>
    <w:rsid w:val="00A94F82"/>
    <w:rsid w:val="00A950A1"/>
    <w:rsid w:val="00A965CD"/>
    <w:rsid w:val="00A96970"/>
    <w:rsid w:val="00A96E11"/>
    <w:rsid w:val="00A97DE1"/>
    <w:rsid w:val="00AA1BEC"/>
    <w:rsid w:val="00AA1E2C"/>
    <w:rsid w:val="00AA27AA"/>
    <w:rsid w:val="00AA2DF3"/>
    <w:rsid w:val="00AA3713"/>
    <w:rsid w:val="00AA4761"/>
    <w:rsid w:val="00AA48BA"/>
    <w:rsid w:val="00AA50BC"/>
    <w:rsid w:val="00AA5EF5"/>
    <w:rsid w:val="00AA6AE4"/>
    <w:rsid w:val="00AA6B15"/>
    <w:rsid w:val="00AB02D8"/>
    <w:rsid w:val="00AB0592"/>
    <w:rsid w:val="00AB24E7"/>
    <w:rsid w:val="00AB3237"/>
    <w:rsid w:val="00AB3743"/>
    <w:rsid w:val="00AB3917"/>
    <w:rsid w:val="00AB3A2D"/>
    <w:rsid w:val="00AB3B87"/>
    <w:rsid w:val="00AB4AC8"/>
    <w:rsid w:val="00AB508C"/>
    <w:rsid w:val="00AB529F"/>
    <w:rsid w:val="00AB5E21"/>
    <w:rsid w:val="00AB6AD4"/>
    <w:rsid w:val="00AB7160"/>
    <w:rsid w:val="00AB75AE"/>
    <w:rsid w:val="00AB76EC"/>
    <w:rsid w:val="00AB7933"/>
    <w:rsid w:val="00AB7947"/>
    <w:rsid w:val="00AC051F"/>
    <w:rsid w:val="00AC13C9"/>
    <w:rsid w:val="00AC3071"/>
    <w:rsid w:val="00AC3A08"/>
    <w:rsid w:val="00AC3D18"/>
    <w:rsid w:val="00AC61EB"/>
    <w:rsid w:val="00AC6332"/>
    <w:rsid w:val="00AC6BCC"/>
    <w:rsid w:val="00AC7785"/>
    <w:rsid w:val="00AD10CF"/>
    <w:rsid w:val="00AD2FC0"/>
    <w:rsid w:val="00AD3581"/>
    <w:rsid w:val="00AD35EA"/>
    <w:rsid w:val="00AD3BC7"/>
    <w:rsid w:val="00AD42E2"/>
    <w:rsid w:val="00AD48E4"/>
    <w:rsid w:val="00AD4967"/>
    <w:rsid w:val="00AD5581"/>
    <w:rsid w:val="00AD55D0"/>
    <w:rsid w:val="00AD562E"/>
    <w:rsid w:val="00AD5B1B"/>
    <w:rsid w:val="00AD605C"/>
    <w:rsid w:val="00AD66BE"/>
    <w:rsid w:val="00AD6DB9"/>
    <w:rsid w:val="00AD6ED3"/>
    <w:rsid w:val="00AD7A29"/>
    <w:rsid w:val="00AE0B4F"/>
    <w:rsid w:val="00AE12A9"/>
    <w:rsid w:val="00AE2189"/>
    <w:rsid w:val="00AE2459"/>
    <w:rsid w:val="00AE29C2"/>
    <w:rsid w:val="00AE3105"/>
    <w:rsid w:val="00AE3A8A"/>
    <w:rsid w:val="00AE3D23"/>
    <w:rsid w:val="00AE4CEC"/>
    <w:rsid w:val="00AE4EC8"/>
    <w:rsid w:val="00AE517C"/>
    <w:rsid w:val="00AE599E"/>
    <w:rsid w:val="00AE5A13"/>
    <w:rsid w:val="00AE5D9F"/>
    <w:rsid w:val="00AE5E33"/>
    <w:rsid w:val="00AE5F15"/>
    <w:rsid w:val="00AE61C0"/>
    <w:rsid w:val="00AE662B"/>
    <w:rsid w:val="00AE694E"/>
    <w:rsid w:val="00AE72C2"/>
    <w:rsid w:val="00AE76C9"/>
    <w:rsid w:val="00AF06B4"/>
    <w:rsid w:val="00AF07D0"/>
    <w:rsid w:val="00AF0C7E"/>
    <w:rsid w:val="00AF0EB2"/>
    <w:rsid w:val="00AF1862"/>
    <w:rsid w:val="00AF1E42"/>
    <w:rsid w:val="00AF2791"/>
    <w:rsid w:val="00AF2AD4"/>
    <w:rsid w:val="00AF2EF5"/>
    <w:rsid w:val="00AF3117"/>
    <w:rsid w:val="00AF326B"/>
    <w:rsid w:val="00AF32F0"/>
    <w:rsid w:val="00AF3811"/>
    <w:rsid w:val="00AF418D"/>
    <w:rsid w:val="00AF560E"/>
    <w:rsid w:val="00AF5E5F"/>
    <w:rsid w:val="00AF6220"/>
    <w:rsid w:val="00AF70EE"/>
    <w:rsid w:val="00AF7618"/>
    <w:rsid w:val="00AF7AAC"/>
    <w:rsid w:val="00B00B01"/>
    <w:rsid w:val="00B01538"/>
    <w:rsid w:val="00B0216A"/>
    <w:rsid w:val="00B02695"/>
    <w:rsid w:val="00B02E50"/>
    <w:rsid w:val="00B04550"/>
    <w:rsid w:val="00B04964"/>
    <w:rsid w:val="00B04C9F"/>
    <w:rsid w:val="00B04CBD"/>
    <w:rsid w:val="00B067DC"/>
    <w:rsid w:val="00B07EEE"/>
    <w:rsid w:val="00B100C3"/>
    <w:rsid w:val="00B10411"/>
    <w:rsid w:val="00B10605"/>
    <w:rsid w:val="00B10F95"/>
    <w:rsid w:val="00B11900"/>
    <w:rsid w:val="00B11B0A"/>
    <w:rsid w:val="00B12331"/>
    <w:rsid w:val="00B124AD"/>
    <w:rsid w:val="00B13D1A"/>
    <w:rsid w:val="00B13EBA"/>
    <w:rsid w:val="00B14412"/>
    <w:rsid w:val="00B154B3"/>
    <w:rsid w:val="00B15B71"/>
    <w:rsid w:val="00B15FD1"/>
    <w:rsid w:val="00B16085"/>
    <w:rsid w:val="00B166C6"/>
    <w:rsid w:val="00B17F92"/>
    <w:rsid w:val="00B21941"/>
    <w:rsid w:val="00B21EB4"/>
    <w:rsid w:val="00B22452"/>
    <w:rsid w:val="00B22A5B"/>
    <w:rsid w:val="00B25727"/>
    <w:rsid w:val="00B2691D"/>
    <w:rsid w:val="00B26C44"/>
    <w:rsid w:val="00B275B7"/>
    <w:rsid w:val="00B2772D"/>
    <w:rsid w:val="00B27820"/>
    <w:rsid w:val="00B306EA"/>
    <w:rsid w:val="00B30944"/>
    <w:rsid w:val="00B30983"/>
    <w:rsid w:val="00B3104B"/>
    <w:rsid w:val="00B32140"/>
    <w:rsid w:val="00B32AAC"/>
    <w:rsid w:val="00B33F4D"/>
    <w:rsid w:val="00B3423D"/>
    <w:rsid w:val="00B36CFC"/>
    <w:rsid w:val="00B37148"/>
    <w:rsid w:val="00B37186"/>
    <w:rsid w:val="00B37AFC"/>
    <w:rsid w:val="00B4084B"/>
    <w:rsid w:val="00B4103B"/>
    <w:rsid w:val="00B410F3"/>
    <w:rsid w:val="00B41232"/>
    <w:rsid w:val="00B426A9"/>
    <w:rsid w:val="00B42B56"/>
    <w:rsid w:val="00B43BCA"/>
    <w:rsid w:val="00B45864"/>
    <w:rsid w:val="00B460B5"/>
    <w:rsid w:val="00B4637A"/>
    <w:rsid w:val="00B46D7E"/>
    <w:rsid w:val="00B47F4C"/>
    <w:rsid w:val="00B50032"/>
    <w:rsid w:val="00B50958"/>
    <w:rsid w:val="00B509E6"/>
    <w:rsid w:val="00B50B41"/>
    <w:rsid w:val="00B51526"/>
    <w:rsid w:val="00B51982"/>
    <w:rsid w:val="00B51B5C"/>
    <w:rsid w:val="00B547AD"/>
    <w:rsid w:val="00B54B91"/>
    <w:rsid w:val="00B562BD"/>
    <w:rsid w:val="00B566F1"/>
    <w:rsid w:val="00B567D8"/>
    <w:rsid w:val="00B60F6F"/>
    <w:rsid w:val="00B61A14"/>
    <w:rsid w:val="00B61A52"/>
    <w:rsid w:val="00B61E2F"/>
    <w:rsid w:val="00B6230B"/>
    <w:rsid w:val="00B628E8"/>
    <w:rsid w:val="00B62A03"/>
    <w:rsid w:val="00B63C3C"/>
    <w:rsid w:val="00B63F0D"/>
    <w:rsid w:val="00B640F0"/>
    <w:rsid w:val="00B64189"/>
    <w:rsid w:val="00B64DE4"/>
    <w:rsid w:val="00B65561"/>
    <w:rsid w:val="00B6657E"/>
    <w:rsid w:val="00B66B65"/>
    <w:rsid w:val="00B67061"/>
    <w:rsid w:val="00B676B8"/>
    <w:rsid w:val="00B70250"/>
    <w:rsid w:val="00B706C8"/>
    <w:rsid w:val="00B70C9E"/>
    <w:rsid w:val="00B70F85"/>
    <w:rsid w:val="00B71222"/>
    <w:rsid w:val="00B7174A"/>
    <w:rsid w:val="00B7358B"/>
    <w:rsid w:val="00B7388C"/>
    <w:rsid w:val="00B73E0D"/>
    <w:rsid w:val="00B73F10"/>
    <w:rsid w:val="00B7509F"/>
    <w:rsid w:val="00B7521F"/>
    <w:rsid w:val="00B75E56"/>
    <w:rsid w:val="00B8197B"/>
    <w:rsid w:val="00B82535"/>
    <w:rsid w:val="00B82AE8"/>
    <w:rsid w:val="00B82EC4"/>
    <w:rsid w:val="00B830A1"/>
    <w:rsid w:val="00B83160"/>
    <w:rsid w:val="00B8365B"/>
    <w:rsid w:val="00B83705"/>
    <w:rsid w:val="00B83CA0"/>
    <w:rsid w:val="00B83D72"/>
    <w:rsid w:val="00B84243"/>
    <w:rsid w:val="00B845DA"/>
    <w:rsid w:val="00B847C3"/>
    <w:rsid w:val="00B85A2A"/>
    <w:rsid w:val="00B85C34"/>
    <w:rsid w:val="00B860EA"/>
    <w:rsid w:val="00B86282"/>
    <w:rsid w:val="00B86C49"/>
    <w:rsid w:val="00B86CCD"/>
    <w:rsid w:val="00B876C0"/>
    <w:rsid w:val="00B87806"/>
    <w:rsid w:val="00B87DA4"/>
    <w:rsid w:val="00B90578"/>
    <w:rsid w:val="00B92AE5"/>
    <w:rsid w:val="00B92B09"/>
    <w:rsid w:val="00B92BAB"/>
    <w:rsid w:val="00B93623"/>
    <w:rsid w:val="00B93884"/>
    <w:rsid w:val="00B93D53"/>
    <w:rsid w:val="00B94405"/>
    <w:rsid w:val="00B94782"/>
    <w:rsid w:val="00B94A65"/>
    <w:rsid w:val="00B94ADF"/>
    <w:rsid w:val="00B94FB4"/>
    <w:rsid w:val="00B959A9"/>
    <w:rsid w:val="00B95D2D"/>
    <w:rsid w:val="00B9607C"/>
    <w:rsid w:val="00B9631B"/>
    <w:rsid w:val="00B9676C"/>
    <w:rsid w:val="00B97554"/>
    <w:rsid w:val="00B9767D"/>
    <w:rsid w:val="00BA0176"/>
    <w:rsid w:val="00BA0396"/>
    <w:rsid w:val="00BA0966"/>
    <w:rsid w:val="00BA0F2F"/>
    <w:rsid w:val="00BA273A"/>
    <w:rsid w:val="00BA28F3"/>
    <w:rsid w:val="00BA308B"/>
    <w:rsid w:val="00BA379F"/>
    <w:rsid w:val="00BA5C56"/>
    <w:rsid w:val="00BA5CD5"/>
    <w:rsid w:val="00BA6777"/>
    <w:rsid w:val="00BA688B"/>
    <w:rsid w:val="00BA6F23"/>
    <w:rsid w:val="00BA6F3A"/>
    <w:rsid w:val="00BA7FAF"/>
    <w:rsid w:val="00BB0CB6"/>
    <w:rsid w:val="00BB0E97"/>
    <w:rsid w:val="00BB1D05"/>
    <w:rsid w:val="00BB209A"/>
    <w:rsid w:val="00BB2A75"/>
    <w:rsid w:val="00BB2A98"/>
    <w:rsid w:val="00BB2E77"/>
    <w:rsid w:val="00BB369B"/>
    <w:rsid w:val="00BB3AB5"/>
    <w:rsid w:val="00BB3DA8"/>
    <w:rsid w:val="00BB4797"/>
    <w:rsid w:val="00BB498B"/>
    <w:rsid w:val="00BB52CA"/>
    <w:rsid w:val="00BB5348"/>
    <w:rsid w:val="00BB5A84"/>
    <w:rsid w:val="00BB6D23"/>
    <w:rsid w:val="00BB721D"/>
    <w:rsid w:val="00BB7455"/>
    <w:rsid w:val="00BC0806"/>
    <w:rsid w:val="00BC16F1"/>
    <w:rsid w:val="00BC1E15"/>
    <w:rsid w:val="00BC2659"/>
    <w:rsid w:val="00BC2818"/>
    <w:rsid w:val="00BC2C65"/>
    <w:rsid w:val="00BC3472"/>
    <w:rsid w:val="00BC3866"/>
    <w:rsid w:val="00BC3AA1"/>
    <w:rsid w:val="00BC3CAB"/>
    <w:rsid w:val="00BC3E8B"/>
    <w:rsid w:val="00BC3F11"/>
    <w:rsid w:val="00BC4205"/>
    <w:rsid w:val="00BC42CE"/>
    <w:rsid w:val="00BC6702"/>
    <w:rsid w:val="00BC6931"/>
    <w:rsid w:val="00BC6C64"/>
    <w:rsid w:val="00BC76B4"/>
    <w:rsid w:val="00BD0F4E"/>
    <w:rsid w:val="00BD210E"/>
    <w:rsid w:val="00BD2CB2"/>
    <w:rsid w:val="00BD326D"/>
    <w:rsid w:val="00BD34C3"/>
    <w:rsid w:val="00BD40CB"/>
    <w:rsid w:val="00BD47A9"/>
    <w:rsid w:val="00BD4954"/>
    <w:rsid w:val="00BD4994"/>
    <w:rsid w:val="00BD4A1B"/>
    <w:rsid w:val="00BD51CA"/>
    <w:rsid w:val="00BD51F9"/>
    <w:rsid w:val="00BD5593"/>
    <w:rsid w:val="00BD6D36"/>
    <w:rsid w:val="00BD78D5"/>
    <w:rsid w:val="00BD79FA"/>
    <w:rsid w:val="00BD7E6C"/>
    <w:rsid w:val="00BE0659"/>
    <w:rsid w:val="00BE0A68"/>
    <w:rsid w:val="00BE15AD"/>
    <w:rsid w:val="00BE1F1F"/>
    <w:rsid w:val="00BE24AD"/>
    <w:rsid w:val="00BE2D66"/>
    <w:rsid w:val="00BE40F9"/>
    <w:rsid w:val="00BE537C"/>
    <w:rsid w:val="00BE6D85"/>
    <w:rsid w:val="00BE6DD5"/>
    <w:rsid w:val="00BE6E1E"/>
    <w:rsid w:val="00BE70B3"/>
    <w:rsid w:val="00BE7D58"/>
    <w:rsid w:val="00BF0270"/>
    <w:rsid w:val="00BF06E9"/>
    <w:rsid w:val="00BF0E14"/>
    <w:rsid w:val="00BF0F36"/>
    <w:rsid w:val="00BF164E"/>
    <w:rsid w:val="00BF1A33"/>
    <w:rsid w:val="00BF23C3"/>
    <w:rsid w:val="00BF3D35"/>
    <w:rsid w:val="00BF407E"/>
    <w:rsid w:val="00BF4B80"/>
    <w:rsid w:val="00BF5A1E"/>
    <w:rsid w:val="00BF5F37"/>
    <w:rsid w:val="00BF6D42"/>
    <w:rsid w:val="00BF7ED9"/>
    <w:rsid w:val="00C00405"/>
    <w:rsid w:val="00C00AA5"/>
    <w:rsid w:val="00C00B3B"/>
    <w:rsid w:val="00C00C3B"/>
    <w:rsid w:val="00C02012"/>
    <w:rsid w:val="00C02450"/>
    <w:rsid w:val="00C030BA"/>
    <w:rsid w:val="00C038D0"/>
    <w:rsid w:val="00C040A4"/>
    <w:rsid w:val="00C050E7"/>
    <w:rsid w:val="00C066AF"/>
    <w:rsid w:val="00C06CE4"/>
    <w:rsid w:val="00C07B82"/>
    <w:rsid w:val="00C07DEC"/>
    <w:rsid w:val="00C07F1C"/>
    <w:rsid w:val="00C1005F"/>
    <w:rsid w:val="00C103E4"/>
    <w:rsid w:val="00C107D2"/>
    <w:rsid w:val="00C10F74"/>
    <w:rsid w:val="00C11F05"/>
    <w:rsid w:val="00C11F2F"/>
    <w:rsid w:val="00C12AED"/>
    <w:rsid w:val="00C12D0A"/>
    <w:rsid w:val="00C13681"/>
    <w:rsid w:val="00C1386C"/>
    <w:rsid w:val="00C13DA0"/>
    <w:rsid w:val="00C14517"/>
    <w:rsid w:val="00C15C6E"/>
    <w:rsid w:val="00C15CEF"/>
    <w:rsid w:val="00C15DEF"/>
    <w:rsid w:val="00C168DA"/>
    <w:rsid w:val="00C17A5E"/>
    <w:rsid w:val="00C17B32"/>
    <w:rsid w:val="00C20E76"/>
    <w:rsid w:val="00C21CCA"/>
    <w:rsid w:val="00C232C0"/>
    <w:rsid w:val="00C23647"/>
    <w:rsid w:val="00C2476F"/>
    <w:rsid w:val="00C24BB1"/>
    <w:rsid w:val="00C2519F"/>
    <w:rsid w:val="00C25B3A"/>
    <w:rsid w:val="00C25D74"/>
    <w:rsid w:val="00C2641F"/>
    <w:rsid w:val="00C26B16"/>
    <w:rsid w:val="00C27668"/>
    <w:rsid w:val="00C276B1"/>
    <w:rsid w:val="00C27D91"/>
    <w:rsid w:val="00C3009E"/>
    <w:rsid w:val="00C30135"/>
    <w:rsid w:val="00C31E81"/>
    <w:rsid w:val="00C320EA"/>
    <w:rsid w:val="00C3239B"/>
    <w:rsid w:val="00C3249E"/>
    <w:rsid w:val="00C3303C"/>
    <w:rsid w:val="00C3324A"/>
    <w:rsid w:val="00C33C7F"/>
    <w:rsid w:val="00C342CD"/>
    <w:rsid w:val="00C34390"/>
    <w:rsid w:val="00C34C59"/>
    <w:rsid w:val="00C3536C"/>
    <w:rsid w:val="00C359BA"/>
    <w:rsid w:val="00C35A04"/>
    <w:rsid w:val="00C365C1"/>
    <w:rsid w:val="00C36775"/>
    <w:rsid w:val="00C37BFF"/>
    <w:rsid w:val="00C40315"/>
    <w:rsid w:val="00C40689"/>
    <w:rsid w:val="00C41058"/>
    <w:rsid w:val="00C4107F"/>
    <w:rsid w:val="00C41174"/>
    <w:rsid w:val="00C41D55"/>
    <w:rsid w:val="00C42089"/>
    <w:rsid w:val="00C428E6"/>
    <w:rsid w:val="00C42BA6"/>
    <w:rsid w:val="00C42D37"/>
    <w:rsid w:val="00C431A3"/>
    <w:rsid w:val="00C43DF8"/>
    <w:rsid w:val="00C4432D"/>
    <w:rsid w:val="00C44BE3"/>
    <w:rsid w:val="00C44C1D"/>
    <w:rsid w:val="00C450A9"/>
    <w:rsid w:val="00C45903"/>
    <w:rsid w:val="00C45BB6"/>
    <w:rsid w:val="00C46399"/>
    <w:rsid w:val="00C46D0E"/>
    <w:rsid w:val="00C50568"/>
    <w:rsid w:val="00C51762"/>
    <w:rsid w:val="00C52AD7"/>
    <w:rsid w:val="00C53EF2"/>
    <w:rsid w:val="00C5506C"/>
    <w:rsid w:val="00C557F5"/>
    <w:rsid w:val="00C55846"/>
    <w:rsid w:val="00C56307"/>
    <w:rsid w:val="00C56868"/>
    <w:rsid w:val="00C5687D"/>
    <w:rsid w:val="00C56B9F"/>
    <w:rsid w:val="00C61EA2"/>
    <w:rsid w:val="00C62528"/>
    <w:rsid w:val="00C6305B"/>
    <w:rsid w:val="00C63109"/>
    <w:rsid w:val="00C636D0"/>
    <w:rsid w:val="00C63C1F"/>
    <w:rsid w:val="00C63ED7"/>
    <w:rsid w:val="00C64E16"/>
    <w:rsid w:val="00C650AC"/>
    <w:rsid w:val="00C6532E"/>
    <w:rsid w:val="00C65397"/>
    <w:rsid w:val="00C66319"/>
    <w:rsid w:val="00C6640B"/>
    <w:rsid w:val="00C705DA"/>
    <w:rsid w:val="00C70DB0"/>
    <w:rsid w:val="00C715F0"/>
    <w:rsid w:val="00C71779"/>
    <w:rsid w:val="00C72017"/>
    <w:rsid w:val="00C7356F"/>
    <w:rsid w:val="00C74126"/>
    <w:rsid w:val="00C7451B"/>
    <w:rsid w:val="00C7455B"/>
    <w:rsid w:val="00C74C39"/>
    <w:rsid w:val="00C74DA9"/>
    <w:rsid w:val="00C74E8D"/>
    <w:rsid w:val="00C75389"/>
    <w:rsid w:val="00C753A4"/>
    <w:rsid w:val="00C753BA"/>
    <w:rsid w:val="00C75531"/>
    <w:rsid w:val="00C7638D"/>
    <w:rsid w:val="00C763EA"/>
    <w:rsid w:val="00C76D5C"/>
    <w:rsid w:val="00C77417"/>
    <w:rsid w:val="00C77E24"/>
    <w:rsid w:val="00C803AC"/>
    <w:rsid w:val="00C8049D"/>
    <w:rsid w:val="00C80A17"/>
    <w:rsid w:val="00C80BCD"/>
    <w:rsid w:val="00C82C4D"/>
    <w:rsid w:val="00C82DA0"/>
    <w:rsid w:val="00C8345B"/>
    <w:rsid w:val="00C84F6F"/>
    <w:rsid w:val="00C8547E"/>
    <w:rsid w:val="00C854F5"/>
    <w:rsid w:val="00C85E77"/>
    <w:rsid w:val="00C86668"/>
    <w:rsid w:val="00C86903"/>
    <w:rsid w:val="00C86D90"/>
    <w:rsid w:val="00C872C5"/>
    <w:rsid w:val="00C8748F"/>
    <w:rsid w:val="00C87FB8"/>
    <w:rsid w:val="00C904B7"/>
    <w:rsid w:val="00C910DA"/>
    <w:rsid w:val="00C91347"/>
    <w:rsid w:val="00C91BF6"/>
    <w:rsid w:val="00C91CF4"/>
    <w:rsid w:val="00C92123"/>
    <w:rsid w:val="00C92559"/>
    <w:rsid w:val="00C93951"/>
    <w:rsid w:val="00C946DC"/>
    <w:rsid w:val="00C95596"/>
    <w:rsid w:val="00C95850"/>
    <w:rsid w:val="00C95B5B"/>
    <w:rsid w:val="00C95B85"/>
    <w:rsid w:val="00C95E6C"/>
    <w:rsid w:val="00C96969"/>
    <w:rsid w:val="00C97362"/>
    <w:rsid w:val="00C978F2"/>
    <w:rsid w:val="00C97F24"/>
    <w:rsid w:val="00C97F3F"/>
    <w:rsid w:val="00CA0B5E"/>
    <w:rsid w:val="00CA0F4F"/>
    <w:rsid w:val="00CA15D7"/>
    <w:rsid w:val="00CA175C"/>
    <w:rsid w:val="00CA1DC1"/>
    <w:rsid w:val="00CA1EAB"/>
    <w:rsid w:val="00CA2BB4"/>
    <w:rsid w:val="00CA2F21"/>
    <w:rsid w:val="00CA3214"/>
    <w:rsid w:val="00CA3F76"/>
    <w:rsid w:val="00CA44C3"/>
    <w:rsid w:val="00CA450E"/>
    <w:rsid w:val="00CA475B"/>
    <w:rsid w:val="00CA4819"/>
    <w:rsid w:val="00CA49A3"/>
    <w:rsid w:val="00CA4EAE"/>
    <w:rsid w:val="00CA600B"/>
    <w:rsid w:val="00CA68D3"/>
    <w:rsid w:val="00CA709C"/>
    <w:rsid w:val="00CA797D"/>
    <w:rsid w:val="00CB1370"/>
    <w:rsid w:val="00CB13BD"/>
    <w:rsid w:val="00CB1F59"/>
    <w:rsid w:val="00CB22B5"/>
    <w:rsid w:val="00CB2844"/>
    <w:rsid w:val="00CB36D7"/>
    <w:rsid w:val="00CB3D44"/>
    <w:rsid w:val="00CB4589"/>
    <w:rsid w:val="00CB4910"/>
    <w:rsid w:val="00CB54F0"/>
    <w:rsid w:val="00CB56EB"/>
    <w:rsid w:val="00CB60C9"/>
    <w:rsid w:val="00CB62C0"/>
    <w:rsid w:val="00CB6C5A"/>
    <w:rsid w:val="00CB6D24"/>
    <w:rsid w:val="00CB7298"/>
    <w:rsid w:val="00CB795F"/>
    <w:rsid w:val="00CC0486"/>
    <w:rsid w:val="00CC071B"/>
    <w:rsid w:val="00CC0B67"/>
    <w:rsid w:val="00CC0CE2"/>
    <w:rsid w:val="00CC1206"/>
    <w:rsid w:val="00CC12AE"/>
    <w:rsid w:val="00CC1844"/>
    <w:rsid w:val="00CC2A06"/>
    <w:rsid w:val="00CC36A5"/>
    <w:rsid w:val="00CC3CD0"/>
    <w:rsid w:val="00CC4056"/>
    <w:rsid w:val="00CC4867"/>
    <w:rsid w:val="00CC4F07"/>
    <w:rsid w:val="00CC5AB0"/>
    <w:rsid w:val="00CC6371"/>
    <w:rsid w:val="00CC66D8"/>
    <w:rsid w:val="00CC6AFF"/>
    <w:rsid w:val="00CC6FE1"/>
    <w:rsid w:val="00CC7D32"/>
    <w:rsid w:val="00CC7ED8"/>
    <w:rsid w:val="00CC7F08"/>
    <w:rsid w:val="00CD0DFE"/>
    <w:rsid w:val="00CD12CE"/>
    <w:rsid w:val="00CD1BA1"/>
    <w:rsid w:val="00CD1BF3"/>
    <w:rsid w:val="00CD1CF1"/>
    <w:rsid w:val="00CD22AC"/>
    <w:rsid w:val="00CD3382"/>
    <w:rsid w:val="00CD467D"/>
    <w:rsid w:val="00CD4F3D"/>
    <w:rsid w:val="00CD636F"/>
    <w:rsid w:val="00CD6919"/>
    <w:rsid w:val="00CD6D33"/>
    <w:rsid w:val="00CD6DDF"/>
    <w:rsid w:val="00CD73EB"/>
    <w:rsid w:val="00CE0085"/>
    <w:rsid w:val="00CE0472"/>
    <w:rsid w:val="00CE0B78"/>
    <w:rsid w:val="00CE0F83"/>
    <w:rsid w:val="00CE179F"/>
    <w:rsid w:val="00CE17AE"/>
    <w:rsid w:val="00CE297E"/>
    <w:rsid w:val="00CE2B6C"/>
    <w:rsid w:val="00CE2C1A"/>
    <w:rsid w:val="00CE2D49"/>
    <w:rsid w:val="00CE3360"/>
    <w:rsid w:val="00CE3F53"/>
    <w:rsid w:val="00CE4134"/>
    <w:rsid w:val="00CE4D05"/>
    <w:rsid w:val="00CE52A7"/>
    <w:rsid w:val="00CE53C5"/>
    <w:rsid w:val="00CE558E"/>
    <w:rsid w:val="00CE55D4"/>
    <w:rsid w:val="00CE5774"/>
    <w:rsid w:val="00CE64EC"/>
    <w:rsid w:val="00CE7933"/>
    <w:rsid w:val="00CF0178"/>
    <w:rsid w:val="00CF07FB"/>
    <w:rsid w:val="00CF164C"/>
    <w:rsid w:val="00CF2649"/>
    <w:rsid w:val="00CF2C6F"/>
    <w:rsid w:val="00CF4131"/>
    <w:rsid w:val="00CF5085"/>
    <w:rsid w:val="00CF5FDC"/>
    <w:rsid w:val="00CF6407"/>
    <w:rsid w:val="00CF717B"/>
    <w:rsid w:val="00D00382"/>
    <w:rsid w:val="00D0086A"/>
    <w:rsid w:val="00D00BA9"/>
    <w:rsid w:val="00D012DB"/>
    <w:rsid w:val="00D02619"/>
    <w:rsid w:val="00D0284C"/>
    <w:rsid w:val="00D02C8E"/>
    <w:rsid w:val="00D02EF1"/>
    <w:rsid w:val="00D035B1"/>
    <w:rsid w:val="00D03B9C"/>
    <w:rsid w:val="00D04313"/>
    <w:rsid w:val="00D05719"/>
    <w:rsid w:val="00D0584F"/>
    <w:rsid w:val="00D059E2"/>
    <w:rsid w:val="00D07157"/>
    <w:rsid w:val="00D07298"/>
    <w:rsid w:val="00D07A74"/>
    <w:rsid w:val="00D07A8D"/>
    <w:rsid w:val="00D1024D"/>
    <w:rsid w:val="00D11B52"/>
    <w:rsid w:val="00D11F5B"/>
    <w:rsid w:val="00D120BF"/>
    <w:rsid w:val="00D143EC"/>
    <w:rsid w:val="00D1469B"/>
    <w:rsid w:val="00D14F5F"/>
    <w:rsid w:val="00D15792"/>
    <w:rsid w:val="00D15795"/>
    <w:rsid w:val="00D16336"/>
    <w:rsid w:val="00D1741D"/>
    <w:rsid w:val="00D174C3"/>
    <w:rsid w:val="00D17D15"/>
    <w:rsid w:val="00D17D6E"/>
    <w:rsid w:val="00D17E55"/>
    <w:rsid w:val="00D20486"/>
    <w:rsid w:val="00D2179B"/>
    <w:rsid w:val="00D21F46"/>
    <w:rsid w:val="00D22699"/>
    <w:rsid w:val="00D22F9F"/>
    <w:rsid w:val="00D2316C"/>
    <w:rsid w:val="00D232B7"/>
    <w:rsid w:val="00D23531"/>
    <w:rsid w:val="00D24268"/>
    <w:rsid w:val="00D249DD"/>
    <w:rsid w:val="00D24D0C"/>
    <w:rsid w:val="00D24FF4"/>
    <w:rsid w:val="00D26033"/>
    <w:rsid w:val="00D2745B"/>
    <w:rsid w:val="00D27C86"/>
    <w:rsid w:val="00D27CF2"/>
    <w:rsid w:val="00D30A84"/>
    <w:rsid w:val="00D30CBA"/>
    <w:rsid w:val="00D313E0"/>
    <w:rsid w:val="00D320B9"/>
    <w:rsid w:val="00D323B5"/>
    <w:rsid w:val="00D32443"/>
    <w:rsid w:val="00D327B7"/>
    <w:rsid w:val="00D32C81"/>
    <w:rsid w:val="00D3414F"/>
    <w:rsid w:val="00D34987"/>
    <w:rsid w:val="00D35436"/>
    <w:rsid w:val="00D3564F"/>
    <w:rsid w:val="00D36333"/>
    <w:rsid w:val="00D37A7B"/>
    <w:rsid w:val="00D37C36"/>
    <w:rsid w:val="00D41834"/>
    <w:rsid w:val="00D4187B"/>
    <w:rsid w:val="00D41B62"/>
    <w:rsid w:val="00D424B0"/>
    <w:rsid w:val="00D428B3"/>
    <w:rsid w:val="00D430AC"/>
    <w:rsid w:val="00D43E58"/>
    <w:rsid w:val="00D44150"/>
    <w:rsid w:val="00D44D21"/>
    <w:rsid w:val="00D456C4"/>
    <w:rsid w:val="00D459CF"/>
    <w:rsid w:val="00D45D0A"/>
    <w:rsid w:val="00D46240"/>
    <w:rsid w:val="00D46A7B"/>
    <w:rsid w:val="00D46D74"/>
    <w:rsid w:val="00D46DA8"/>
    <w:rsid w:val="00D475D0"/>
    <w:rsid w:val="00D502F1"/>
    <w:rsid w:val="00D5073A"/>
    <w:rsid w:val="00D50C9B"/>
    <w:rsid w:val="00D50CDE"/>
    <w:rsid w:val="00D50DF8"/>
    <w:rsid w:val="00D515F8"/>
    <w:rsid w:val="00D52088"/>
    <w:rsid w:val="00D52510"/>
    <w:rsid w:val="00D52FF4"/>
    <w:rsid w:val="00D5368C"/>
    <w:rsid w:val="00D53B2E"/>
    <w:rsid w:val="00D549BF"/>
    <w:rsid w:val="00D551E1"/>
    <w:rsid w:val="00D5554F"/>
    <w:rsid w:val="00D556D9"/>
    <w:rsid w:val="00D55763"/>
    <w:rsid w:val="00D56035"/>
    <w:rsid w:val="00D5708A"/>
    <w:rsid w:val="00D576B5"/>
    <w:rsid w:val="00D57849"/>
    <w:rsid w:val="00D579C5"/>
    <w:rsid w:val="00D6035C"/>
    <w:rsid w:val="00D60439"/>
    <w:rsid w:val="00D606C2"/>
    <w:rsid w:val="00D60DDD"/>
    <w:rsid w:val="00D6113F"/>
    <w:rsid w:val="00D6199A"/>
    <w:rsid w:val="00D62AB4"/>
    <w:rsid w:val="00D634BA"/>
    <w:rsid w:val="00D635B1"/>
    <w:rsid w:val="00D63A02"/>
    <w:rsid w:val="00D6413D"/>
    <w:rsid w:val="00D64A74"/>
    <w:rsid w:val="00D65AFE"/>
    <w:rsid w:val="00D6648D"/>
    <w:rsid w:val="00D6661E"/>
    <w:rsid w:val="00D6714F"/>
    <w:rsid w:val="00D70BF5"/>
    <w:rsid w:val="00D70EB2"/>
    <w:rsid w:val="00D715EF"/>
    <w:rsid w:val="00D718CA"/>
    <w:rsid w:val="00D718D4"/>
    <w:rsid w:val="00D71E0B"/>
    <w:rsid w:val="00D720BB"/>
    <w:rsid w:val="00D729FE"/>
    <w:rsid w:val="00D74717"/>
    <w:rsid w:val="00D74ADE"/>
    <w:rsid w:val="00D74B29"/>
    <w:rsid w:val="00D7504F"/>
    <w:rsid w:val="00D75924"/>
    <w:rsid w:val="00D75DD0"/>
    <w:rsid w:val="00D75FF9"/>
    <w:rsid w:val="00D7602E"/>
    <w:rsid w:val="00D76231"/>
    <w:rsid w:val="00D7626B"/>
    <w:rsid w:val="00D76996"/>
    <w:rsid w:val="00D77228"/>
    <w:rsid w:val="00D77C45"/>
    <w:rsid w:val="00D8086E"/>
    <w:rsid w:val="00D80AA8"/>
    <w:rsid w:val="00D80C81"/>
    <w:rsid w:val="00D81071"/>
    <w:rsid w:val="00D81EA5"/>
    <w:rsid w:val="00D821E0"/>
    <w:rsid w:val="00D82879"/>
    <w:rsid w:val="00D82A89"/>
    <w:rsid w:val="00D835A8"/>
    <w:rsid w:val="00D83B82"/>
    <w:rsid w:val="00D85D3F"/>
    <w:rsid w:val="00D86300"/>
    <w:rsid w:val="00D86605"/>
    <w:rsid w:val="00D86F30"/>
    <w:rsid w:val="00D86FFD"/>
    <w:rsid w:val="00D87138"/>
    <w:rsid w:val="00D87479"/>
    <w:rsid w:val="00D87C53"/>
    <w:rsid w:val="00D9150D"/>
    <w:rsid w:val="00D92459"/>
    <w:rsid w:val="00D92B42"/>
    <w:rsid w:val="00D93254"/>
    <w:rsid w:val="00D952A8"/>
    <w:rsid w:val="00D95DE9"/>
    <w:rsid w:val="00D961F2"/>
    <w:rsid w:val="00D97531"/>
    <w:rsid w:val="00D97687"/>
    <w:rsid w:val="00D9775E"/>
    <w:rsid w:val="00DA1610"/>
    <w:rsid w:val="00DA1A11"/>
    <w:rsid w:val="00DA1BEF"/>
    <w:rsid w:val="00DA28A8"/>
    <w:rsid w:val="00DA3143"/>
    <w:rsid w:val="00DA4348"/>
    <w:rsid w:val="00DA4EAE"/>
    <w:rsid w:val="00DA5586"/>
    <w:rsid w:val="00DA55D4"/>
    <w:rsid w:val="00DA6854"/>
    <w:rsid w:val="00DA6D4F"/>
    <w:rsid w:val="00DA6E49"/>
    <w:rsid w:val="00DA6FB4"/>
    <w:rsid w:val="00DA7AC3"/>
    <w:rsid w:val="00DA7B65"/>
    <w:rsid w:val="00DB10A8"/>
    <w:rsid w:val="00DB22B0"/>
    <w:rsid w:val="00DB261B"/>
    <w:rsid w:val="00DB27C4"/>
    <w:rsid w:val="00DB2A39"/>
    <w:rsid w:val="00DB4C98"/>
    <w:rsid w:val="00DB5309"/>
    <w:rsid w:val="00DB584E"/>
    <w:rsid w:val="00DB69D9"/>
    <w:rsid w:val="00DC091E"/>
    <w:rsid w:val="00DC0CAB"/>
    <w:rsid w:val="00DC13E4"/>
    <w:rsid w:val="00DC16AF"/>
    <w:rsid w:val="00DC18DE"/>
    <w:rsid w:val="00DC20B9"/>
    <w:rsid w:val="00DC32EC"/>
    <w:rsid w:val="00DC4099"/>
    <w:rsid w:val="00DC4790"/>
    <w:rsid w:val="00DC5514"/>
    <w:rsid w:val="00DC57F5"/>
    <w:rsid w:val="00DC5CBA"/>
    <w:rsid w:val="00DC630D"/>
    <w:rsid w:val="00DC6349"/>
    <w:rsid w:val="00DC6416"/>
    <w:rsid w:val="00DC6464"/>
    <w:rsid w:val="00DC6737"/>
    <w:rsid w:val="00DC6E60"/>
    <w:rsid w:val="00DC7B18"/>
    <w:rsid w:val="00DD051E"/>
    <w:rsid w:val="00DD05B3"/>
    <w:rsid w:val="00DD0BA0"/>
    <w:rsid w:val="00DD1046"/>
    <w:rsid w:val="00DD1491"/>
    <w:rsid w:val="00DD33B3"/>
    <w:rsid w:val="00DD3ECF"/>
    <w:rsid w:val="00DD43C2"/>
    <w:rsid w:val="00DD53A9"/>
    <w:rsid w:val="00DD5856"/>
    <w:rsid w:val="00DD7B40"/>
    <w:rsid w:val="00DE08AC"/>
    <w:rsid w:val="00DE117E"/>
    <w:rsid w:val="00DE1987"/>
    <w:rsid w:val="00DE1AF0"/>
    <w:rsid w:val="00DE1EF9"/>
    <w:rsid w:val="00DE2A71"/>
    <w:rsid w:val="00DE2AC1"/>
    <w:rsid w:val="00DE2B2F"/>
    <w:rsid w:val="00DE3318"/>
    <w:rsid w:val="00DE36CF"/>
    <w:rsid w:val="00DE3963"/>
    <w:rsid w:val="00DE42BA"/>
    <w:rsid w:val="00DE453B"/>
    <w:rsid w:val="00DE50C2"/>
    <w:rsid w:val="00DE5536"/>
    <w:rsid w:val="00DE566F"/>
    <w:rsid w:val="00DE5DF9"/>
    <w:rsid w:val="00DE5E0C"/>
    <w:rsid w:val="00DE6C80"/>
    <w:rsid w:val="00DF0728"/>
    <w:rsid w:val="00DF0AF6"/>
    <w:rsid w:val="00DF0B08"/>
    <w:rsid w:val="00DF1ADC"/>
    <w:rsid w:val="00DF2249"/>
    <w:rsid w:val="00DF2347"/>
    <w:rsid w:val="00DF2C5D"/>
    <w:rsid w:val="00DF30D5"/>
    <w:rsid w:val="00DF363A"/>
    <w:rsid w:val="00DF4173"/>
    <w:rsid w:val="00DF4488"/>
    <w:rsid w:val="00DF4F6E"/>
    <w:rsid w:val="00DF53E8"/>
    <w:rsid w:val="00DF5705"/>
    <w:rsid w:val="00DF61C8"/>
    <w:rsid w:val="00DF6323"/>
    <w:rsid w:val="00DF6B26"/>
    <w:rsid w:val="00DF744E"/>
    <w:rsid w:val="00DF7CA1"/>
    <w:rsid w:val="00E00258"/>
    <w:rsid w:val="00E0068F"/>
    <w:rsid w:val="00E009B5"/>
    <w:rsid w:val="00E01438"/>
    <w:rsid w:val="00E01B7C"/>
    <w:rsid w:val="00E026F0"/>
    <w:rsid w:val="00E0276C"/>
    <w:rsid w:val="00E04C16"/>
    <w:rsid w:val="00E054BA"/>
    <w:rsid w:val="00E05802"/>
    <w:rsid w:val="00E05967"/>
    <w:rsid w:val="00E05EFF"/>
    <w:rsid w:val="00E0643D"/>
    <w:rsid w:val="00E06F9F"/>
    <w:rsid w:val="00E102E3"/>
    <w:rsid w:val="00E10488"/>
    <w:rsid w:val="00E10891"/>
    <w:rsid w:val="00E1099E"/>
    <w:rsid w:val="00E10D3F"/>
    <w:rsid w:val="00E1129E"/>
    <w:rsid w:val="00E119F3"/>
    <w:rsid w:val="00E11A79"/>
    <w:rsid w:val="00E120DB"/>
    <w:rsid w:val="00E121DD"/>
    <w:rsid w:val="00E12264"/>
    <w:rsid w:val="00E135D6"/>
    <w:rsid w:val="00E13A46"/>
    <w:rsid w:val="00E156E0"/>
    <w:rsid w:val="00E15A7E"/>
    <w:rsid w:val="00E160CA"/>
    <w:rsid w:val="00E1675C"/>
    <w:rsid w:val="00E16977"/>
    <w:rsid w:val="00E16A93"/>
    <w:rsid w:val="00E16BE1"/>
    <w:rsid w:val="00E17DAB"/>
    <w:rsid w:val="00E17F15"/>
    <w:rsid w:val="00E20209"/>
    <w:rsid w:val="00E20628"/>
    <w:rsid w:val="00E2103B"/>
    <w:rsid w:val="00E215B7"/>
    <w:rsid w:val="00E222F6"/>
    <w:rsid w:val="00E223BE"/>
    <w:rsid w:val="00E2297F"/>
    <w:rsid w:val="00E22A07"/>
    <w:rsid w:val="00E235C3"/>
    <w:rsid w:val="00E23BC9"/>
    <w:rsid w:val="00E243BB"/>
    <w:rsid w:val="00E253F7"/>
    <w:rsid w:val="00E25B08"/>
    <w:rsid w:val="00E26003"/>
    <w:rsid w:val="00E26322"/>
    <w:rsid w:val="00E273FF"/>
    <w:rsid w:val="00E27B91"/>
    <w:rsid w:val="00E306E7"/>
    <w:rsid w:val="00E3087C"/>
    <w:rsid w:val="00E30E1D"/>
    <w:rsid w:val="00E30FE2"/>
    <w:rsid w:val="00E3243B"/>
    <w:rsid w:val="00E335C8"/>
    <w:rsid w:val="00E337D9"/>
    <w:rsid w:val="00E33831"/>
    <w:rsid w:val="00E34F7F"/>
    <w:rsid w:val="00E352C0"/>
    <w:rsid w:val="00E35365"/>
    <w:rsid w:val="00E359EA"/>
    <w:rsid w:val="00E3664F"/>
    <w:rsid w:val="00E37206"/>
    <w:rsid w:val="00E37BA9"/>
    <w:rsid w:val="00E37F9B"/>
    <w:rsid w:val="00E402A3"/>
    <w:rsid w:val="00E42411"/>
    <w:rsid w:val="00E42C8A"/>
    <w:rsid w:val="00E42CD7"/>
    <w:rsid w:val="00E4335F"/>
    <w:rsid w:val="00E436F2"/>
    <w:rsid w:val="00E43965"/>
    <w:rsid w:val="00E43E3B"/>
    <w:rsid w:val="00E4452C"/>
    <w:rsid w:val="00E4582E"/>
    <w:rsid w:val="00E46611"/>
    <w:rsid w:val="00E46AB8"/>
    <w:rsid w:val="00E473B3"/>
    <w:rsid w:val="00E479CE"/>
    <w:rsid w:val="00E5059D"/>
    <w:rsid w:val="00E50E8D"/>
    <w:rsid w:val="00E51F1C"/>
    <w:rsid w:val="00E523EB"/>
    <w:rsid w:val="00E52720"/>
    <w:rsid w:val="00E53E4F"/>
    <w:rsid w:val="00E53F1A"/>
    <w:rsid w:val="00E54097"/>
    <w:rsid w:val="00E54185"/>
    <w:rsid w:val="00E5444F"/>
    <w:rsid w:val="00E55507"/>
    <w:rsid w:val="00E55ABA"/>
    <w:rsid w:val="00E570FD"/>
    <w:rsid w:val="00E571C8"/>
    <w:rsid w:val="00E57CA7"/>
    <w:rsid w:val="00E60070"/>
    <w:rsid w:val="00E606DC"/>
    <w:rsid w:val="00E61C5E"/>
    <w:rsid w:val="00E61EC0"/>
    <w:rsid w:val="00E62415"/>
    <w:rsid w:val="00E62B36"/>
    <w:rsid w:val="00E62DF5"/>
    <w:rsid w:val="00E63BDC"/>
    <w:rsid w:val="00E6454D"/>
    <w:rsid w:val="00E647C8"/>
    <w:rsid w:val="00E64EFB"/>
    <w:rsid w:val="00E651B4"/>
    <w:rsid w:val="00E663B5"/>
    <w:rsid w:val="00E67C82"/>
    <w:rsid w:val="00E702CE"/>
    <w:rsid w:val="00E70B86"/>
    <w:rsid w:val="00E70F0A"/>
    <w:rsid w:val="00E71844"/>
    <w:rsid w:val="00E719D8"/>
    <w:rsid w:val="00E71E28"/>
    <w:rsid w:val="00E71FFE"/>
    <w:rsid w:val="00E721E4"/>
    <w:rsid w:val="00E731D7"/>
    <w:rsid w:val="00E7371B"/>
    <w:rsid w:val="00E73765"/>
    <w:rsid w:val="00E743F7"/>
    <w:rsid w:val="00E74ACE"/>
    <w:rsid w:val="00E75292"/>
    <w:rsid w:val="00E756B9"/>
    <w:rsid w:val="00E75A0F"/>
    <w:rsid w:val="00E777F0"/>
    <w:rsid w:val="00E77C06"/>
    <w:rsid w:val="00E82135"/>
    <w:rsid w:val="00E82B39"/>
    <w:rsid w:val="00E82B6A"/>
    <w:rsid w:val="00E831F7"/>
    <w:rsid w:val="00E835D7"/>
    <w:rsid w:val="00E83901"/>
    <w:rsid w:val="00E84A95"/>
    <w:rsid w:val="00E855E0"/>
    <w:rsid w:val="00E860B7"/>
    <w:rsid w:val="00E861EA"/>
    <w:rsid w:val="00E8780D"/>
    <w:rsid w:val="00E91619"/>
    <w:rsid w:val="00E92200"/>
    <w:rsid w:val="00E9221F"/>
    <w:rsid w:val="00E92644"/>
    <w:rsid w:val="00E935A0"/>
    <w:rsid w:val="00E93C24"/>
    <w:rsid w:val="00E94499"/>
    <w:rsid w:val="00E94728"/>
    <w:rsid w:val="00E95830"/>
    <w:rsid w:val="00E95DB8"/>
    <w:rsid w:val="00E95E3B"/>
    <w:rsid w:val="00E972EF"/>
    <w:rsid w:val="00E974B6"/>
    <w:rsid w:val="00E97527"/>
    <w:rsid w:val="00EA186C"/>
    <w:rsid w:val="00EA3B19"/>
    <w:rsid w:val="00EA46A8"/>
    <w:rsid w:val="00EA5A9E"/>
    <w:rsid w:val="00EA5F87"/>
    <w:rsid w:val="00EA6556"/>
    <w:rsid w:val="00EA661F"/>
    <w:rsid w:val="00EA6842"/>
    <w:rsid w:val="00EA6D25"/>
    <w:rsid w:val="00EA6EBD"/>
    <w:rsid w:val="00EA6FFD"/>
    <w:rsid w:val="00EA7D12"/>
    <w:rsid w:val="00EB0B6C"/>
    <w:rsid w:val="00EB10FB"/>
    <w:rsid w:val="00EB12A6"/>
    <w:rsid w:val="00EB1B80"/>
    <w:rsid w:val="00EB2BD6"/>
    <w:rsid w:val="00EB3ABF"/>
    <w:rsid w:val="00EB4260"/>
    <w:rsid w:val="00EB4C26"/>
    <w:rsid w:val="00EB5127"/>
    <w:rsid w:val="00EB53F2"/>
    <w:rsid w:val="00EB548C"/>
    <w:rsid w:val="00EB7595"/>
    <w:rsid w:val="00EB7673"/>
    <w:rsid w:val="00EB7700"/>
    <w:rsid w:val="00EB7765"/>
    <w:rsid w:val="00EB7803"/>
    <w:rsid w:val="00EC01AA"/>
    <w:rsid w:val="00EC0295"/>
    <w:rsid w:val="00EC0454"/>
    <w:rsid w:val="00EC06FE"/>
    <w:rsid w:val="00EC19FA"/>
    <w:rsid w:val="00EC1F39"/>
    <w:rsid w:val="00EC254E"/>
    <w:rsid w:val="00EC2948"/>
    <w:rsid w:val="00EC2B34"/>
    <w:rsid w:val="00EC46A4"/>
    <w:rsid w:val="00EC47F0"/>
    <w:rsid w:val="00EC5D6B"/>
    <w:rsid w:val="00EC5F86"/>
    <w:rsid w:val="00ED017A"/>
    <w:rsid w:val="00ED0940"/>
    <w:rsid w:val="00ED0DD0"/>
    <w:rsid w:val="00ED0F9C"/>
    <w:rsid w:val="00ED1DEE"/>
    <w:rsid w:val="00ED2131"/>
    <w:rsid w:val="00ED231D"/>
    <w:rsid w:val="00ED25CE"/>
    <w:rsid w:val="00ED3A55"/>
    <w:rsid w:val="00ED3B06"/>
    <w:rsid w:val="00ED402C"/>
    <w:rsid w:val="00ED4458"/>
    <w:rsid w:val="00ED511B"/>
    <w:rsid w:val="00ED5ABC"/>
    <w:rsid w:val="00ED6621"/>
    <w:rsid w:val="00ED7DD7"/>
    <w:rsid w:val="00EE07CA"/>
    <w:rsid w:val="00EE0ACF"/>
    <w:rsid w:val="00EE1AA5"/>
    <w:rsid w:val="00EE22E3"/>
    <w:rsid w:val="00EE249A"/>
    <w:rsid w:val="00EE2D2E"/>
    <w:rsid w:val="00EE2ED0"/>
    <w:rsid w:val="00EE3404"/>
    <w:rsid w:val="00EE37DE"/>
    <w:rsid w:val="00EE4A16"/>
    <w:rsid w:val="00EE5C16"/>
    <w:rsid w:val="00EE67C5"/>
    <w:rsid w:val="00EE76C4"/>
    <w:rsid w:val="00EF15E0"/>
    <w:rsid w:val="00EF18EF"/>
    <w:rsid w:val="00EF327A"/>
    <w:rsid w:val="00EF39D9"/>
    <w:rsid w:val="00EF4031"/>
    <w:rsid w:val="00EF45CE"/>
    <w:rsid w:val="00EF4A96"/>
    <w:rsid w:val="00EF4C71"/>
    <w:rsid w:val="00EF5658"/>
    <w:rsid w:val="00EF5743"/>
    <w:rsid w:val="00EF66B0"/>
    <w:rsid w:val="00EF695C"/>
    <w:rsid w:val="00EF6F31"/>
    <w:rsid w:val="00EF7AA4"/>
    <w:rsid w:val="00F00984"/>
    <w:rsid w:val="00F00ADF"/>
    <w:rsid w:val="00F01FF7"/>
    <w:rsid w:val="00F03DE5"/>
    <w:rsid w:val="00F04523"/>
    <w:rsid w:val="00F053DF"/>
    <w:rsid w:val="00F05908"/>
    <w:rsid w:val="00F10305"/>
    <w:rsid w:val="00F1076B"/>
    <w:rsid w:val="00F10D71"/>
    <w:rsid w:val="00F11751"/>
    <w:rsid w:val="00F11B0C"/>
    <w:rsid w:val="00F11B9B"/>
    <w:rsid w:val="00F11D20"/>
    <w:rsid w:val="00F120D0"/>
    <w:rsid w:val="00F122F0"/>
    <w:rsid w:val="00F132D6"/>
    <w:rsid w:val="00F1363A"/>
    <w:rsid w:val="00F13E0D"/>
    <w:rsid w:val="00F152AD"/>
    <w:rsid w:val="00F1588A"/>
    <w:rsid w:val="00F15DFF"/>
    <w:rsid w:val="00F16C90"/>
    <w:rsid w:val="00F175CA"/>
    <w:rsid w:val="00F17CBF"/>
    <w:rsid w:val="00F2052E"/>
    <w:rsid w:val="00F20888"/>
    <w:rsid w:val="00F20B6E"/>
    <w:rsid w:val="00F20FF5"/>
    <w:rsid w:val="00F22558"/>
    <w:rsid w:val="00F22B64"/>
    <w:rsid w:val="00F22E64"/>
    <w:rsid w:val="00F23F07"/>
    <w:rsid w:val="00F248EC"/>
    <w:rsid w:val="00F24BCF"/>
    <w:rsid w:val="00F24C64"/>
    <w:rsid w:val="00F2500E"/>
    <w:rsid w:val="00F2639B"/>
    <w:rsid w:val="00F270B6"/>
    <w:rsid w:val="00F271F4"/>
    <w:rsid w:val="00F276EE"/>
    <w:rsid w:val="00F3255F"/>
    <w:rsid w:val="00F33271"/>
    <w:rsid w:val="00F33539"/>
    <w:rsid w:val="00F33DE1"/>
    <w:rsid w:val="00F347D0"/>
    <w:rsid w:val="00F3510E"/>
    <w:rsid w:val="00F35B8D"/>
    <w:rsid w:val="00F368A8"/>
    <w:rsid w:val="00F373DC"/>
    <w:rsid w:val="00F37EF3"/>
    <w:rsid w:val="00F4032E"/>
    <w:rsid w:val="00F403D6"/>
    <w:rsid w:val="00F40782"/>
    <w:rsid w:val="00F40FFD"/>
    <w:rsid w:val="00F41EFB"/>
    <w:rsid w:val="00F422EF"/>
    <w:rsid w:val="00F42894"/>
    <w:rsid w:val="00F42F25"/>
    <w:rsid w:val="00F42FAE"/>
    <w:rsid w:val="00F43BDF"/>
    <w:rsid w:val="00F43E26"/>
    <w:rsid w:val="00F4532B"/>
    <w:rsid w:val="00F45CF2"/>
    <w:rsid w:val="00F470EA"/>
    <w:rsid w:val="00F47B25"/>
    <w:rsid w:val="00F5038E"/>
    <w:rsid w:val="00F506AE"/>
    <w:rsid w:val="00F50DF8"/>
    <w:rsid w:val="00F51346"/>
    <w:rsid w:val="00F5235B"/>
    <w:rsid w:val="00F52D25"/>
    <w:rsid w:val="00F541E3"/>
    <w:rsid w:val="00F5454B"/>
    <w:rsid w:val="00F54947"/>
    <w:rsid w:val="00F54F7B"/>
    <w:rsid w:val="00F55CD7"/>
    <w:rsid w:val="00F560DC"/>
    <w:rsid w:val="00F56151"/>
    <w:rsid w:val="00F56916"/>
    <w:rsid w:val="00F56AD0"/>
    <w:rsid w:val="00F56CB1"/>
    <w:rsid w:val="00F57035"/>
    <w:rsid w:val="00F57C56"/>
    <w:rsid w:val="00F57F6C"/>
    <w:rsid w:val="00F6023C"/>
    <w:rsid w:val="00F603F6"/>
    <w:rsid w:val="00F626C2"/>
    <w:rsid w:val="00F630EF"/>
    <w:rsid w:val="00F63F85"/>
    <w:rsid w:val="00F645CA"/>
    <w:rsid w:val="00F65809"/>
    <w:rsid w:val="00F65819"/>
    <w:rsid w:val="00F65F17"/>
    <w:rsid w:val="00F6617B"/>
    <w:rsid w:val="00F6680E"/>
    <w:rsid w:val="00F66865"/>
    <w:rsid w:val="00F66A93"/>
    <w:rsid w:val="00F670F6"/>
    <w:rsid w:val="00F67736"/>
    <w:rsid w:val="00F67A6B"/>
    <w:rsid w:val="00F70365"/>
    <w:rsid w:val="00F70B5B"/>
    <w:rsid w:val="00F710C7"/>
    <w:rsid w:val="00F7162F"/>
    <w:rsid w:val="00F71634"/>
    <w:rsid w:val="00F7244F"/>
    <w:rsid w:val="00F728F8"/>
    <w:rsid w:val="00F72962"/>
    <w:rsid w:val="00F72D23"/>
    <w:rsid w:val="00F73841"/>
    <w:rsid w:val="00F743D8"/>
    <w:rsid w:val="00F74C88"/>
    <w:rsid w:val="00F74CB0"/>
    <w:rsid w:val="00F75495"/>
    <w:rsid w:val="00F75510"/>
    <w:rsid w:val="00F75F2D"/>
    <w:rsid w:val="00F7639C"/>
    <w:rsid w:val="00F765EB"/>
    <w:rsid w:val="00F773A0"/>
    <w:rsid w:val="00F7784A"/>
    <w:rsid w:val="00F80402"/>
    <w:rsid w:val="00F80CC8"/>
    <w:rsid w:val="00F81CE4"/>
    <w:rsid w:val="00F822BA"/>
    <w:rsid w:val="00F836EA"/>
    <w:rsid w:val="00F853EA"/>
    <w:rsid w:val="00F866AA"/>
    <w:rsid w:val="00F8673B"/>
    <w:rsid w:val="00F8717B"/>
    <w:rsid w:val="00F87522"/>
    <w:rsid w:val="00F908F8"/>
    <w:rsid w:val="00F91DCE"/>
    <w:rsid w:val="00F92442"/>
    <w:rsid w:val="00F9263B"/>
    <w:rsid w:val="00F926C8"/>
    <w:rsid w:val="00F939DB"/>
    <w:rsid w:val="00F94126"/>
    <w:rsid w:val="00F94BB7"/>
    <w:rsid w:val="00F94E8C"/>
    <w:rsid w:val="00F964B0"/>
    <w:rsid w:val="00F96C2B"/>
    <w:rsid w:val="00F9739C"/>
    <w:rsid w:val="00F973F0"/>
    <w:rsid w:val="00F97B52"/>
    <w:rsid w:val="00F97D2D"/>
    <w:rsid w:val="00FA02BA"/>
    <w:rsid w:val="00FA05A4"/>
    <w:rsid w:val="00FA0666"/>
    <w:rsid w:val="00FA237E"/>
    <w:rsid w:val="00FA2A29"/>
    <w:rsid w:val="00FA2F87"/>
    <w:rsid w:val="00FA30C2"/>
    <w:rsid w:val="00FA31D8"/>
    <w:rsid w:val="00FA342B"/>
    <w:rsid w:val="00FA3542"/>
    <w:rsid w:val="00FA3EC5"/>
    <w:rsid w:val="00FA45B0"/>
    <w:rsid w:val="00FA4EF4"/>
    <w:rsid w:val="00FA63B6"/>
    <w:rsid w:val="00FA652C"/>
    <w:rsid w:val="00FA669F"/>
    <w:rsid w:val="00FA6958"/>
    <w:rsid w:val="00FA709B"/>
    <w:rsid w:val="00FA7135"/>
    <w:rsid w:val="00FA784C"/>
    <w:rsid w:val="00FB06E1"/>
    <w:rsid w:val="00FB08CA"/>
    <w:rsid w:val="00FB0CA2"/>
    <w:rsid w:val="00FB0D02"/>
    <w:rsid w:val="00FB110E"/>
    <w:rsid w:val="00FB1A25"/>
    <w:rsid w:val="00FB293B"/>
    <w:rsid w:val="00FB3DF6"/>
    <w:rsid w:val="00FB466C"/>
    <w:rsid w:val="00FB4A9E"/>
    <w:rsid w:val="00FB66AB"/>
    <w:rsid w:val="00FB6912"/>
    <w:rsid w:val="00FB6FC9"/>
    <w:rsid w:val="00FB7085"/>
    <w:rsid w:val="00FB783C"/>
    <w:rsid w:val="00FC00DD"/>
    <w:rsid w:val="00FC033D"/>
    <w:rsid w:val="00FC0A72"/>
    <w:rsid w:val="00FC1247"/>
    <w:rsid w:val="00FC13E2"/>
    <w:rsid w:val="00FC14D9"/>
    <w:rsid w:val="00FC1740"/>
    <w:rsid w:val="00FC1C66"/>
    <w:rsid w:val="00FC2204"/>
    <w:rsid w:val="00FC27D4"/>
    <w:rsid w:val="00FC35EC"/>
    <w:rsid w:val="00FC3CD4"/>
    <w:rsid w:val="00FC3E71"/>
    <w:rsid w:val="00FC4E2A"/>
    <w:rsid w:val="00FC5803"/>
    <w:rsid w:val="00FC5C65"/>
    <w:rsid w:val="00FC6CF3"/>
    <w:rsid w:val="00FC6F4F"/>
    <w:rsid w:val="00FD050D"/>
    <w:rsid w:val="00FD10AE"/>
    <w:rsid w:val="00FD1397"/>
    <w:rsid w:val="00FD1559"/>
    <w:rsid w:val="00FD1B30"/>
    <w:rsid w:val="00FD1D76"/>
    <w:rsid w:val="00FD292C"/>
    <w:rsid w:val="00FD37E4"/>
    <w:rsid w:val="00FD3D3E"/>
    <w:rsid w:val="00FD4156"/>
    <w:rsid w:val="00FD4975"/>
    <w:rsid w:val="00FD4C2F"/>
    <w:rsid w:val="00FD4EF6"/>
    <w:rsid w:val="00FD502F"/>
    <w:rsid w:val="00FD5051"/>
    <w:rsid w:val="00FD522D"/>
    <w:rsid w:val="00FD5958"/>
    <w:rsid w:val="00FD5A0F"/>
    <w:rsid w:val="00FD6CA6"/>
    <w:rsid w:val="00FD738C"/>
    <w:rsid w:val="00FD756D"/>
    <w:rsid w:val="00FD7972"/>
    <w:rsid w:val="00FD79EA"/>
    <w:rsid w:val="00FE059A"/>
    <w:rsid w:val="00FE0767"/>
    <w:rsid w:val="00FE0781"/>
    <w:rsid w:val="00FE09A4"/>
    <w:rsid w:val="00FE1091"/>
    <w:rsid w:val="00FE1725"/>
    <w:rsid w:val="00FE1B99"/>
    <w:rsid w:val="00FE2022"/>
    <w:rsid w:val="00FE29AF"/>
    <w:rsid w:val="00FE2DA0"/>
    <w:rsid w:val="00FE3032"/>
    <w:rsid w:val="00FE395C"/>
    <w:rsid w:val="00FE39A4"/>
    <w:rsid w:val="00FE3DE9"/>
    <w:rsid w:val="00FE4902"/>
    <w:rsid w:val="00FE54AE"/>
    <w:rsid w:val="00FE66C3"/>
    <w:rsid w:val="00FF0FE1"/>
    <w:rsid w:val="00FF1DA9"/>
    <w:rsid w:val="00FF1E56"/>
    <w:rsid w:val="00FF20BF"/>
    <w:rsid w:val="00FF2122"/>
    <w:rsid w:val="00FF2339"/>
    <w:rsid w:val="00FF2430"/>
    <w:rsid w:val="00FF2675"/>
    <w:rsid w:val="00FF26B9"/>
    <w:rsid w:val="00FF3218"/>
    <w:rsid w:val="00FF33AA"/>
    <w:rsid w:val="00FF371D"/>
    <w:rsid w:val="00FF4B33"/>
    <w:rsid w:val="00FF581C"/>
    <w:rsid w:val="00FF637D"/>
    <w:rsid w:val="00FF64CF"/>
    <w:rsid w:val="00FF6B5D"/>
    <w:rsid w:val="00FF6B8A"/>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6307"/>
    <w:pPr>
      <w:spacing w:after="240" w:line="260" w:lineRule="exact"/>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752E54"/>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uiPriority w:val="99"/>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qFormat/>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tabs>
        <w:tab w:val="clear" w:pos="283"/>
        <w:tab w:val="num" w:pos="360"/>
      </w:tabs>
      <w:ind w:left="0" w:firstLine="0"/>
    </w:pPr>
    <w:rPr>
      <w:lang w:val="x-none" w:eastAsia="x-none"/>
    </w:rPr>
  </w:style>
  <w:style w:type="paragraph" w:customStyle="1" w:styleId="Dash">
    <w:name w:val="Dash"/>
    <w:basedOn w:val="Normal"/>
    <w:qFormat/>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qFormat/>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uiPriority w:val="99"/>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rsid w:val="00EC5F86"/>
    <w:rPr>
      <w:rFonts w:ascii="Times New Roman" w:hAnsi="Times New Roman"/>
      <w:vanish/>
      <w:sz w:val="16"/>
    </w:rPr>
  </w:style>
  <w:style w:type="paragraph" w:customStyle="1" w:styleId="OverviewParagraph">
    <w:name w:val="Overview Paragraph"/>
    <w:basedOn w:val="Normal"/>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qFormat/>
    <w:rsid w:val="000C4F54"/>
    <w:pPr>
      <w:tabs>
        <w:tab w:val="center" w:pos="4153"/>
        <w:tab w:val="right" w:pos="8306"/>
      </w:tabs>
      <w:spacing w:after="0" w:line="240" w:lineRule="auto"/>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rPr>
      <w:lang w:val="x-none" w:eastAsia="x-none"/>
    </w:rPr>
  </w:style>
  <w:style w:type="paragraph" w:styleId="BalloonText">
    <w:name w:val="Balloon Text"/>
    <w:basedOn w:val="Normal"/>
    <w:link w:val="BalloonTextChar"/>
    <w:uiPriority w:val="99"/>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rsid w:val="00EC5F86"/>
    <w:rPr>
      <w:vertAlign w:val="superscript"/>
    </w:rPr>
  </w:style>
  <w:style w:type="paragraph" w:styleId="EndnoteText">
    <w:name w:val="endnote text"/>
    <w:basedOn w:val="Normal"/>
    <w:link w:val="EndnoteTextChar"/>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link w:val="MacroTextChar"/>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EC5F86"/>
    <w:pPr>
      <w:ind w:left="200" w:hanging="200"/>
    </w:pPr>
  </w:style>
  <w:style w:type="paragraph" w:styleId="TableofFigures">
    <w:name w:val="table of figures"/>
    <w:basedOn w:val="Normal"/>
    <w:next w:val="Normal"/>
    <w:rsid w:val="00EC5F86"/>
  </w:style>
  <w:style w:type="paragraph" w:styleId="TOAHeading">
    <w:name w:val="toa heading"/>
    <w:basedOn w:val="Normal"/>
    <w:next w:val="Normal"/>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2"/>
    <w:rsid w:val="00EC5F86"/>
    <w:pPr>
      <w:tabs>
        <w:tab w:val="right" w:leader="dot" w:pos="7700"/>
      </w:tabs>
      <w:spacing w:before="120"/>
      <w:ind w:right="851"/>
    </w:pPr>
    <w:rPr>
      <w:b/>
      <w:sz w:val="20"/>
    </w:rPr>
  </w:style>
  <w:style w:type="paragraph" w:styleId="TOC4">
    <w:name w:val="toc 4"/>
    <w:basedOn w:val="HeadingBase"/>
    <w:next w:val="Normal"/>
    <w:uiPriority w:val="2"/>
    <w:rsid w:val="00EC5F86"/>
    <w:pPr>
      <w:tabs>
        <w:tab w:val="right" w:leader="dot" w:pos="7700"/>
      </w:tabs>
      <w:spacing w:before="40"/>
      <w:ind w:right="851"/>
    </w:pPr>
    <w:rPr>
      <w:sz w:val="20"/>
    </w:rPr>
  </w:style>
  <w:style w:type="paragraph" w:styleId="TOC5">
    <w:name w:val="toc 5"/>
    <w:basedOn w:val="Normal"/>
    <w:next w:val="Normal"/>
    <w:autoRedefine/>
    <w:uiPriority w:val="2"/>
    <w:rsid w:val="00EC5F86"/>
    <w:pPr>
      <w:ind w:left="800"/>
    </w:pPr>
  </w:style>
  <w:style w:type="paragraph" w:styleId="TOC6">
    <w:name w:val="toc 6"/>
    <w:basedOn w:val="Normal"/>
    <w:next w:val="Normal"/>
    <w:autoRedefine/>
    <w:uiPriority w:val="2"/>
    <w:rsid w:val="00EC5F86"/>
    <w:pPr>
      <w:ind w:left="1000"/>
    </w:pPr>
  </w:style>
  <w:style w:type="paragraph" w:styleId="TOC7">
    <w:name w:val="toc 7"/>
    <w:basedOn w:val="Normal"/>
    <w:next w:val="Normal"/>
    <w:autoRedefine/>
    <w:uiPriority w:val="2"/>
    <w:rsid w:val="00EC5F86"/>
    <w:pPr>
      <w:ind w:left="1200"/>
    </w:pPr>
  </w:style>
  <w:style w:type="paragraph" w:styleId="TOC8">
    <w:name w:val="toc 8"/>
    <w:basedOn w:val="Normal"/>
    <w:next w:val="Normal"/>
    <w:autoRedefine/>
    <w:uiPriority w:val="2"/>
    <w:rsid w:val="00EC5F86"/>
    <w:pPr>
      <w:ind w:left="1400"/>
    </w:pPr>
  </w:style>
  <w:style w:type="paragraph" w:styleId="TOC9">
    <w:name w:val="toc 9"/>
    <w:basedOn w:val="Normal"/>
    <w:next w:val="Normal"/>
    <w:autoRedefine/>
    <w:uiPriority w:val="2"/>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uiPriority w:val="99"/>
    <w:rsid w:val="00EC5F86"/>
    <w:pPr>
      <w:spacing w:after="0"/>
    </w:pPr>
  </w:style>
  <w:style w:type="paragraph" w:customStyle="1" w:styleId="TransmittalStyle1">
    <w:name w:val="Transmittal Style 1"/>
    <w:basedOn w:val="HeadingBase"/>
    <w:uiPriority w:val="99"/>
    <w:rsid w:val="00EC5F86"/>
    <w:pPr>
      <w:spacing w:after="60"/>
      <w:jc w:val="right"/>
    </w:pPr>
    <w:rPr>
      <w:b/>
      <w:smallCaps/>
    </w:rPr>
  </w:style>
  <w:style w:type="paragraph" w:customStyle="1" w:styleId="TransmittalStyle2">
    <w:name w:val="Transmittal Style 2"/>
    <w:basedOn w:val="HeadingBase"/>
    <w:uiPriority w:val="99"/>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uiPriority w:val="99"/>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34"/>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752E54"/>
    <w:rPr>
      <w:rFonts w:ascii="Arial Bold" w:hAnsi="Arial Bold"/>
      <w:b/>
      <w:sz w:val="22"/>
    </w:rPr>
  </w:style>
  <w:style w:type="character" w:customStyle="1" w:styleId="CommentTextChar">
    <w:name w:val="Comment Text Char"/>
    <w:link w:val="CommentText"/>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rsid w:val="00605163"/>
    <w:rPr>
      <w:rFonts w:ascii="Arial" w:hAnsi="Arial"/>
    </w:rPr>
  </w:style>
  <w:style w:type="character" w:styleId="Strong">
    <w:name w:val="Strong"/>
    <w:uiPriority w:val="22"/>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8"/>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34"/>
    <w:qFormat/>
    <w:locked/>
    <w:rsid w:val="00790BE5"/>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1013E8"/>
    <w:rPr>
      <w:color w:val="605E5C"/>
      <w:shd w:val="clear" w:color="auto" w:fill="E1DFDD"/>
    </w:rPr>
  </w:style>
  <w:style w:type="paragraph" w:customStyle="1" w:styleId="Heading2-AustCo">
    <w:name w:val="Heading 2 - Aust Co"/>
    <w:basedOn w:val="Heading2"/>
    <w:qFormat/>
    <w:rsid w:val="00274808"/>
  </w:style>
  <w:style w:type="paragraph" w:customStyle="1" w:styleId="Heading3-AustCo">
    <w:name w:val="Heading 3 - Aust Co"/>
    <w:basedOn w:val="Heading3"/>
    <w:link w:val="Heading3-AustCoChar"/>
    <w:qFormat/>
    <w:rsid w:val="00274808"/>
  </w:style>
  <w:style w:type="character" w:customStyle="1" w:styleId="Heading3-AustCoChar">
    <w:name w:val="Heading 3 - Aust Co Char"/>
    <w:basedOn w:val="Heading3Char"/>
    <w:link w:val="Heading3-AustCo"/>
    <w:rsid w:val="00274808"/>
    <w:rPr>
      <w:rFonts w:ascii="Arial Bold" w:hAnsi="Arial Bold"/>
      <w:b/>
      <w:sz w:val="22"/>
    </w:rPr>
  </w:style>
  <w:style w:type="character" w:customStyle="1" w:styleId="Heading1Char">
    <w:name w:val="Heading 1 Char"/>
    <w:basedOn w:val="DefaultParagraphFont"/>
    <w:link w:val="Heading1"/>
    <w:rsid w:val="001C0F49"/>
    <w:rPr>
      <w:rFonts w:ascii="Arial Bold" w:hAnsi="Arial Bold"/>
      <w:b/>
      <w:kern w:val="34"/>
      <w:sz w:val="36"/>
    </w:rPr>
  </w:style>
  <w:style w:type="character" w:customStyle="1" w:styleId="Heading2Char">
    <w:name w:val="Heading 2 Char"/>
    <w:basedOn w:val="DefaultParagraphFont"/>
    <w:link w:val="Heading2"/>
    <w:rsid w:val="001C0F49"/>
    <w:rPr>
      <w:rFonts w:ascii="Arial Bold" w:hAnsi="Arial Bold"/>
      <w:b/>
      <w:sz w:val="26"/>
    </w:rPr>
  </w:style>
  <w:style w:type="character" w:customStyle="1" w:styleId="Heading4Char">
    <w:name w:val="Heading 4 Char"/>
    <w:basedOn w:val="DefaultParagraphFont"/>
    <w:link w:val="Heading4"/>
    <w:uiPriority w:val="9"/>
    <w:rsid w:val="001C0F49"/>
    <w:rPr>
      <w:rFonts w:ascii="Arial Bold" w:hAnsi="Arial Bold"/>
      <w:b/>
    </w:rPr>
  </w:style>
  <w:style w:type="character" w:customStyle="1" w:styleId="Heading5Char">
    <w:name w:val="Heading 5 Char"/>
    <w:basedOn w:val="DefaultParagraphFont"/>
    <w:link w:val="Heading5"/>
    <w:rsid w:val="001C0F49"/>
    <w:rPr>
      <w:rFonts w:ascii="Arial" w:hAnsi="Arial"/>
      <w:bCs/>
      <w:iCs/>
      <w:szCs w:val="26"/>
    </w:rPr>
  </w:style>
  <w:style w:type="character" w:customStyle="1" w:styleId="Heading6Char">
    <w:name w:val="Heading 6 Char"/>
    <w:basedOn w:val="DefaultParagraphFont"/>
    <w:link w:val="Heading6"/>
    <w:rsid w:val="001C0F49"/>
    <w:rPr>
      <w:rFonts w:ascii="Arial" w:hAnsi="Arial"/>
      <w:bCs/>
      <w:szCs w:val="22"/>
    </w:rPr>
  </w:style>
  <w:style w:type="character" w:customStyle="1" w:styleId="Heading7Char">
    <w:name w:val="Heading 7 Char"/>
    <w:basedOn w:val="DefaultParagraphFont"/>
    <w:link w:val="Heading7"/>
    <w:rsid w:val="001C0F49"/>
    <w:rPr>
      <w:rFonts w:ascii="Arial" w:hAnsi="Arial"/>
      <w:sz w:val="18"/>
      <w:szCs w:val="24"/>
    </w:rPr>
  </w:style>
  <w:style w:type="character" w:customStyle="1" w:styleId="Heading8Char">
    <w:name w:val="Heading 8 Char"/>
    <w:basedOn w:val="DefaultParagraphFont"/>
    <w:link w:val="Heading8"/>
    <w:rsid w:val="001C0F49"/>
    <w:rPr>
      <w:i/>
      <w:iCs/>
      <w:sz w:val="16"/>
      <w:szCs w:val="24"/>
    </w:rPr>
  </w:style>
  <w:style w:type="paragraph" w:customStyle="1" w:styleId="msonormal0">
    <w:name w:val="msonormal"/>
    <w:basedOn w:val="Normal"/>
    <w:rsid w:val="001C0F49"/>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1C0F49"/>
    <w:rPr>
      <w:rFonts w:ascii="Book Antiqua" w:hAnsi="Book Antiqua"/>
      <w:sz w:val="18"/>
    </w:rPr>
  </w:style>
  <w:style w:type="character" w:customStyle="1" w:styleId="EndnoteTextChar">
    <w:name w:val="Endnote Text Char"/>
    <w:basedOn w:val="DefaultParagraphFont"/>
    <w:link w:val="EndnoteText"/>
    <w:rsid w:val="001C0F49"/>
    <w:rPr>
      <w:rFonts w:ascii="Book Antiqua" w:hAnsi="Book Antiqua"/>
    </w:rPr>
  </w:style>
  <w:style w:type="character" w:customStyle="1" w:styleId="MacroTextChar">
    <w:name w:val="Macro Text Char"/>
    <w:basedOn w:val="DefaultParagraphFont"/>
    <w:link w:val="MacroText"/>
    <w:rsid w:val="001C0F49"/>
    <w:rPr>
      <w:rFonts w:ascii="Courier New" w:hAnsi="Courier New" w:cs="Courier New"/>
    </w:rPr>
  </w:style>
  <w:style w:type="paragraph" w:styleId="ListBullet">
    <w:name w:val="List Bullet"/>
    <w:basedOn w:val="Normal"/>
    <w:unhideWhenUsed/>
    <w:rsid w:val="001C0F49"/>
    <w:pPr>
      <w:tabs>
        <w:tab w:val="num" w:pos="360"/>
      </w:tabs>
      <w:ind w:left="360" w:hanging="360"/>
      <w:contextualSpacing/>
    </w:pPr>
  </w:style>
  <w:style w:type="character" w:customStyle="1" w:styleId="TitleChar">
    <w:name w:val="Title Char"/>
    <w:basedOn w:val="DefaultParagraphFont"/>
    <w:link w:val="Title"/>
    <w:rsid w:val="001C0F49"/>
    <w:rPr>
      <w:rFonts w:ascii="Arial" w:hAnsi="Arial" w:cs="Arial"/>
      <w:b/>
      <w:bCs/>
      <w:smallCaps/>
      <w:kern w:val="28"/>
      <w:sz w:val="52"/>
      <w:szCs w:val="32"/>
    </w:rPr>
  </w:style>
  <w:style w:type="character" w:customStyle="1" w:styleId="DocumentMapChar">
    <w:name w:val="Document Map Char"/>
    <w:basedOn w:val="DefaultParagraphFont"/>
    <w:link w:val="DocumentMap"/>
    <w:semiHidden/>
    <w:rsid w:val="001C0F49"/>
    <w:rPr>
      <w:rFonts w:ascii="Tahoma" w:hAnsi="Tahoma" w:cs="Tahoma"/>
      <w:shd w:val="clear" w:color="auto" w:fill="000080"/>
    </w:rPr>
  </w:style>
  <w:style w:type="character" w:customStyle="1" w:styleId="CommentSubjectChar">
    <w:name w:val="Comment Subject Char"/>
    <w:basedOn w:val="CommentTextChar"/>
    <w:link w:val="CommentSubject"/>
    <w:semiHidden/>
    <w:rsid w:val="001C0F49"/>
    <w:rPr>
      <w:rFonts w:ascii="Book Antiqua" w:hAnsi="Book Antiqua"/>
      <w:b/>
      <w:bCs/>
      <w:lang w:val="x-none" w:eastAsia="x-none"/>
    </w:rPr>
  </w:style>
  <w:style w:type="character" w:customStyle="1" w:styleId="BalloonTextChar">
    <w:name w:val="Balloon Text Char"/>
    <w:basedOn w:val="DefaultParagraphFont"/>
    <w:link w:val="BalloonText"/>
    <w:uiPriority w:val="99"/>
    <w:semiHidden/>
    <w:rsid w:val="001C0F49"/>
    <w:rPr>
      <w:rFonts w:ascii="Tahoma" w:hAnsi="Tahoma" w:cs="Tahoma"/>
      <w:sz w:val="16"/>
      <w:szCs w:val="16"/>
    </w:rPr>
  </w:style>
  <w:style w:type="paragraph" w:customStyle="1" w:styleId="BookAntiqua10left2">
    <w:name w:val="_Book Antiqua 10 left2"/>
    <w:basedOn w:val="Normal"/>
    <w:qFormat/>
    <w:rsid w:val="001C0F49"/>
    <w:pPr>
      <w:spacing w:after="120" w:line="240" w:lineRule="auto"/>
    </w:pPr>
    <w:rPr>
      <w:lang w:eastAsia="en-US"/>
    </w:rPr>
  </w:style>
  <w:style w:type="paragraph" w:customStyle="1" w:styleId="Heading2-DITRDC">
    <w:name w:val="Heading 2 - DITRDC"/>
    <w:basedOn w:val="Heading2"/>
    <w:qFormat/>
    <w:rsid w:val="001C0F49"/>
  </w:style>
  <w:style w:type="paragraph" w:customStyle="1" w:styleId="Heading3-ITRDC">
    <w:name w:val="Heading 3 - ITRDC"/>
    <w:basedOn w:val="Normal"/>
    <w:next w:val="Heading3"/>
    <w:qFormat/>
    <w:rsid w:val="001C0F49"/>
  </w:style>
  <w:style w:type="paragraph" w:customStyle="1" w:styleId="Heading3-DITRDC">
    <w:name w:val="Heading 3 - DITRDC"/>
    <w:basedOn w:val="Heading3"/>
    <w:qFormat/>
    <w:rsid w:val="001C0F49"/>
  </w:style>
  <w:style w:type="paragraph" w:customStyle="1" w:styleId="Default">
    <w:name w:val="Default"/>
    <w:rsid w:val="001C0F49"/>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1C0F49"/>
  </w:style>
  <w:style w:type="paragraph" w:customStyle="1" w:styleId="Heading3-AFTRS">
    <w:name w:val="Heading 3 - AFTRS"/>
    <w:basedOn w:val="Heading3"/>
    <w:qFormat/>
    <w:rsid w:val="001C0F49"/>
  </w:style>
  <w:style w:type="paragraph" w:customStyle="1" w:styleId="Heading2-AMSA">
    <w:name w:val="Heading 2 - AMSA"/>
    <w:basedOn w:val="Heading2"/>
    <w:qFormat/>
    <w:rsid w:val="001C0F49"/>
  </w:style>
  <w:style w:type="paragraph" w:customStyle="1" w:styleId="Heading3-AMSA">
    <w:name w:val="Heading 3 - AMSA"/>
    <w:basedOn w:val="Heading3"/>
    <w:qFormat/>
    <w:rsid w:val="001C0F49"/>
  </w:style>
  <w:style w:type="paragraph" w:customStyle="1" w:styleId="Heading2-AusCouncil">
    <w:name w:val="Heading 2 - Aus Council"/>
    <w:basedOn w:val="Heading2"/>
    <w:qFormat/>
    <w:rsid w:val="001C0F49"/>
  </w:style>
  <w:style w:type="paragraph" w:customStyle="1" w:styleId="pf0">
    <w:name w:val="pf0"/>
    <w:basedOn w:val="Normal"/>
    <w:rsid w:val="001C0F49"/>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1C0F49"/>
    <w:rPr>
      <w:rFonts w:ascii="Book Antiqua" w:hAnsi="Book Antiqua"/>
      <w:color w:val="000000"/>
    </w:rPr>
  </w:style>
  <w:style w:type="paragraph" w:customStyle="1" w:styleId="BulletBookAntiqua">
    <w:name w:val="_Bullet Book Antiqua"/>
    <w:basedOn w:val="Normal"/>
    <w:link w:val="BulletBookAntiquaChar"/>
    <w:autoRedefine/>
    <w:qFormat/>
    <w:rsid w:val="001C0F49"/>
    <w:pPr>
      <w:spacing w:after="120" w:line="240" w:lineRule="auto"/>
      <w:ind w:left="360" w:hanging="360"/>
    </w:pPr>
    <w:rPr>
      <w:color w:val="000000"/>
    </w:rPr>
  </w:style>
  <w:style w:type="paragraph" w:customStyle="1" w:styleId="Style1">
    <w:name w:val="Style1"/>
    <w:basedOn w:val="Heading3"/>
    <w:qFormat/>
    <w:rsid w:val="001C0F49"/>
    <w:pPr>
      <w:spacing w:before="0"/>
    </w:pPr>
    <w:rPr>
      <w:smallCaps/>
    </w:rPr>
  </w:style>
  <w:style w:type="paragraph" w:customStyle="1" w:styleId="Heading3-AustraliaCouncil">
    <w:name w:val="Heading 3 - Australia Council"/>
    <w:basedOn w:val="Heading2"/>
    <w:qFormat/>
    <w:rsid w:val="001C0F49"/>
    <w:pPr>
      <w:spacing w:before="120" w:after="120"/>
    </w:pPr>
    <w:rPr>
      <w:rFonts w:ascii="Arial" w:hAnsi="Arial"/>
      <w:sz w:val="22"/>
    </w:rPr>
  </w:style>
  <w:style w:type="paragraph" w:customStyle="1" w:styleId="Heading3-ABC">
    <w:name w:val="Heading 3 - ABC"/>
    <w:basedOn w:val="Heading2"/>
    <w:link w:val="Heading3-ABCChar"/>
    <w:qFormat/>
    <w:rsid w:val="001C0F49"/>
    <w:pPr>
      <w:spacing w:before="120" w:after="120"/>
    </w:pPr>
    <w:rPr>
      <w:rFonts w:ascii="Arial" w:hAnsi="Arial"/>
      <w:sz w:val="22"/>
    </w:rPr>
  </w:style>
  <w:style w:type="paragraph" w:customStyle="1" w:styleId="Heading3-ACMA">
    <w:name w:val="Heading 3 - ACMA"/>
    <w:basedOn w:val="Heading2"/>
    <w:link w:val="Heading3-ACMAChar"/>
    <w:qFormat/>
    <w:rsid w:val="001C0F49"/>
    <w:pPr>
      <w:spacing w:before="120" w:after="120"/>
    </w:pPr>
    <w:rPr>
      <w:rFonts w:ascii="Arial" w:hAnsi="Arial"/>
      <w:sz w:val="22"/>
    </w:rPr>
  </w:style>
  <w:style w:type="paragraph" w:customStyle="1" w:styleId="Heading3-ANMM">
    <w:name w:val="Heading 3 - ANMM"/>
    <w:basedOn w:val="Heading2"/>
    <w:qFormat/>
    <w:rsid w:val="001C0F49"/>
    <w:pPr>
      <w:spacing w:before="120" w:after="120"/>
    </w:pPr>
    <w:rPr>
      <w:rFonts w:ascii="Arial" w:hAnsi="Arial"/>
      <w:color w:val="000000" w:themeColor="text1"/>
      <w:sz w:val="22"/>
    </w:rPr>
  </w:style>
  <w:style w:type="paragraph" w:customStyle="1" w:styleId="Heading3-ATSB">
    <w:name w:val="Heading 3 - ATSB"/>
    <w:basedOn w:val="Heading3"/>
    <w:link w:val="Heading3-ATSBChar"/>
    <w:qFormat/>
    <w:rsid w:val="001C0F49"/>
    <w:pPr>
      <w:spacing w:before="240" w:after="240"/>
    </w:pPr>
  </w:style>
  <w:style w:type="paragraph" w:customStyle="1" w:styleId="Heading3-CASA">
    <w:name w:val="Heading 3 - CASA"/>
    <w:basedOn w:val="Heading2"/>
    <w:qFormat/>
    <w:rsid w:val="001C0F49"/>
    <w:pPr>
      <w:spacing w:before="120" w:after="120"/>
    </w:pPr>
    <w:rPr>
      <w:rFonts w:ascii="Arial" w:hAnsi="Arial"/>
      <w:sz w:val="22"/>
    </w:rPr>
  </w:style>
  <w:style w:type="paragraph" w:customStyle="1" w:styleId="Heading3-IA">
    <w:name w:val="Heading 3 - IA"/>
    <w:basedOn w:val="Heading3"/>
    <w:qFormat/>
    <w:rsid w:val="001C0F49"/>
  </w:style>
  <w:style w:type="paragraph" w:customStyle="1" w:styleId="Heading3-NCA">
    <w:name w:val="Heading 3 - NCA"/>
    <w:basedOn w:val="Heading3"/>
    <w:qFormat/>
    <w:rsid w:val="001C0F49"/>
  </w:style>
  <w:style w:type="paragraph" w:customStyle="1" w:styleId="Heading3-NFRA">
    <w:name w:val="Heading 3 - NFRA"/>
    <w:basedOn w:val="Heading3"/>
    <w:link w:val="Heading3-NFRAChar"/>
    <w:qFormat/>
    <w:rsid w:val="00D22F9F"/>
  </w:style>
  <w:style w:type="paragraph" w:customStyle="1" w:styleId="Heading3-NFSA">
    <w:name w:val="Heading 3 - NFSA"/>
    <w:basedOn w:val="Heading3"/>
    <w:qFormat/>
    <w:rsid w:val="001C0F49"/>
    <w:rPr>
      <w:rFonts w:ascii="Arial" w:hAnsi="Arial"/>
    </w:rPr>
  </w:style>
  <w:style w:type="paragraph" w:customStyle="1" w:styleId="Heading3-NGA">
    <w:name w:val="Heading 3 - NGA"/>
    <w:basedOn w:val="Heading3"/>
    <w:qFormat/>
    <w:rsid w:val="001C0F49"/>
  </w:style>
  <w:style w:type="paragraph" w:customStyle="1" w:styleId="Heading3-NLA">
    <w:name w:val="Heading 3 - NLA"/>
    <w:basedOn w:val="Heading2"/>
    <w:link w:val="Heading3-NLAChar"/>
    <w:qFormat/>
    <w:rsid w:val="001C0F49"/>
    <w:pPr>
      <w:spacing w:before="120" w:after="120"/>
    </w:pPr>
    <w:rPr>
      <w:rFonts w:ascii="Arial" w:hAnsi="Arial"/>
      <w:sz w:val="22"/>
    </w:rPr>
  </w:style>
  <w:style w:type="paragraph" w:customStyle="1" w:styleId="Heading3-NMA">
    <w:name w:val="Heading 3 - NMA"/>
    <w:basedOn w:val="Heading3"/>
    <w:qFormat/>
    <w:rsid w:val="001C0F49"/>
    <w:rPr>
      <w:rFonts w:ascii="Arial" w:hAnsi="Arial"/>
    </w:rPr>
  </w:style>
  <w:style w:type="paragraph" w:customStyle="1" w:styleId="Heading3-NPGA">
    <w:name w:val="Heading 3 - NPGA"/>
    <w:basedOn w:val="Heading2"/>
    <w:link w:val="Heading3-NPGAChar"/>
    <w:qFormat/>
    <w:rsid w:val="001C0F49"/>
    <w:pPr>
      <w:spacing w:before="120" w:after="120"/>
    </w:pPr>
    <w:rPr>
      <w:rFonts w:ascii="Arial" w:hAnsi="Arial"/>
      <w:sz w:val="22"/>
    </w:rPr>
  </w:style>
  <w:style w:type="paragraph" w:customStyle="1" w:styleId="Heading3-NTC">
    <w:name w:val="Heading 3 - NTC"/>
    <w:basedOn w:val="Heading2"/>
    <w:qFormat/>
    <w:rsid w:val="001C0F49"/>
    <w:pPr>
      <w:spacing w:before="120" w:after="120"/>
    </w:pPr>
    <w:rPr>
      <w:rFonts w:ascii="Arial" w:hAnsi="Arial"/>
      <w:sz w:val="22"/>
    </w:rPr>
  </w:style>
  <w:style w:type="paragraph" w:customStyle="1" w:styleId="Heading3-NQWIA">
    <w:name w:val="Heading 3 - NQWIA"/>
    <w:basedOn w:val="Heading3"/>
    <w:qFormat/>
    <w:rsid w:val="001C0F49"/>
  </w:style>
  <w:style w:type="paragraph" w:customStyle="1" w:styleId="Heading3-ScreenAustralia">
    <w:name w:val="Heading 3 - Screen Australia"/>
    <w:basedOn w:val="Heading3"/>
    <w:qFormat/>
    <w:rsid w:val="001C0F49"/>
    <w:pPr>
      <w:numPr>
        <w:ilvl w:val="1"/>
        <w:numId w:val="12"/>
      </w:numPr>
      <w:ind w:left="0" w:firstLine="0"/>
    </w:pPr>
  </w:style>
  <w:style w:type="paragraph" w:customStyle="1" w:styleId="Heading3-SBS">
    <w:name w:val="Heading 3 - SBS"/>
    <w:basedOn w:val="Heading3"/>
    <w:qFormat/>
    <w:rsid w:val="00E119F3"/>
  </w:style>
  <w:style w:type="paragraph" w:customStyle="1" w:styleId="Heading4-DITRDC">
    <w:name w:val="Heading 4 - DITRDC"/>
    <w:basedOn w:val="Heading3"/>
    <w:qFormat/>
    <w:rsid w:val="001C0F49"/>
    <w:pPr>
      <w:spacing w:before="240" w:after="240"/>
    </w:pPr>
    <w:rPr>
      <w:rFonts w:ascii="Arial" w:hAnsi="Arial"/>
      <w:smallCaps/>
      <w:sz w:val="26"/>
    </w:rPr>
  </w:style>
  <w:style w:type="paragraph" w:customStyle="1" w:styleId="Heading4-AustraliaCouncil">
    <w:name w:val="Heading 4 - Australia Council"/>
    <w:basedOn w:val="Heading3"/>
    <w:qFormat/>
    <w:rsid w:val="001C0F49"/>
    <w:pPr>
      <w:spacing w:before="240" w:after="240"/>
    </w:pPr>
  </w:style>
  <w:style w:type="character" w:customStyle="1" w:styleId="Heading4-ABCChar">
    <w:name w:val="Heading 4 - ABC Char"/>
    <w:basedOn w:val="Heading3Char"/>
    <w:link w:val="Heading4-ABC"/>
    <w:locked/>
    <w:rsid w:val="001C0F49"/>
    <w:rPr>
      <w:rFonts w:ascii="Arial Bold" w:eastAsiaTheme="majorEastAsia" w:hAnsi="Arial Bold" w:cstheme="majorBidi"/>
      <w:b/>
      <w:color w:val="1F4D78" w:themeColor="accent1" w:themeShade="7F"/>
      <w:sz w:val="22"/>
      <w:szCs w:val="24"/>
    </w:rPr>
  </w:style>
  <w:style w:type="paragraph" w:customStyle="1" w:styleId="Heading4-ABC">
    <w:name w:val="Heading 4 - ABC"/>
    <w:basedOn w:val="Heading3"/>
    <w:link w:val="Heading4-ABCChar"/>
    <w:qFormat/>
    <w:rsid w:val="001C0F49"/>
    <w:pPr>
      <w:spacing w:before="240" w:after="240"/>
    </w:pPr>
    <w:rPr>
      <w:rFonts w:eastAsiaTheme="majorEastAsia" w:cstheme="majorBidi"/>
      <w:color w:val="1F4D78" w:themeColor="accent1" w:themeShade="7F"/>
      <w:szCs w:val="24"/>
    </w:rPr>
  </w:style>
  <w:style w:type="paragraph" w:customStyle="1" w:styleId="Heading4-ACMA">
    <w:name w:val="Heading 4 - ACMA"/>
    <w:basedOn w:val="Heading3"/>
    <w:qFormat/>
    <w:rsid w:val="001C0F49"/>
    <w:pPr>
      <w:spacing w:before="240" w:after="240"/>
    </w:pPr>
  </w:style>
  <w:style w:type="paragraph" w:customStyle="1" w:styleId="Heading4-AFTRS">
    <w:name w:val="Heading 4 - AFTRS"/>
    <w:basedOn w:val="Heading3"/>
    <w:qFormat/>
    <w:rsid w:val="001C0F49"/>
    <w:pPr>
      <w:spacing w:before="240" w:after="240"/>
    </w:pPr>
    <w:rPr>
      <w:rFonts w:ascii="Arial" w:hAnsi="Arial"/>
      <w:smallCaps/>
      <w:sz w:val="26"/>
    </w:rPr>
  </w:style>
  <w:style w:type="paragraph" w:customStyle="1" w:styleId="Heading4-AMSA">
    <w:name w:val="Heading 4 - AMSA"/>
    <w:basedOn w:val="Heading3"/>
    <w:qFormat/>
    <w:rsid w:val="001C0F49"/>
    <w:pPr>
      <w:spacing w:before="240" w:after="240"/>
    </w:pPr>
  </w:style>
  <w:style w:type="paragraph" w:customStyle="1" w:styleId="Heading4-ANMM">
    <w:name w:val="Heading 4 - ANMM"/>
    <w:basedOn w:val="Heading3"/>
    <w:qFormat/>
    <w:rsid w:val="001C0F49"/>
    <w:pPr>
      <w:spacing w:before="240" w:after="240"/>
    </w:pPr>
  </w:style>
  <w:style w:type="paragraph" w:customStyle="1" w:styleId="Heading4-ATSB">
    <w:name w:val="Heading 4 - ATSB"/>
    <w:basedOn w:val="Heading3"/>
    <w:qFormat/>
    <w:rsid w:val="001C0F49"/>
    <w:pPr>
      <w:spacing w:before="240" w:after="240"/>
    </w:pPr>
  </w:style>
  <w:style w:type="paragraph" w:customStyle="1" w:styleId="Heading4-CASA">
    <w:name w:val="Heading 4 - CASA"/>
    <w:basedOn w:val="Heading3"/>
    <w:qFormat/>
    <w:rsid w:val="001C0F49"/>
    <w:pPr>
      <w:spacing w:before="240" w:after="240"/>
    </w:pPr>
  </w:style>
  <w:style w:type="paragraph" w:customStyle="1" w:styleId="Heading4-IA">
    <w:name w:val="Heading 4 - IA"/>
    <w:basedOn w:val="Heading3"/>
    <w:qFormat/>
    <w:rsid w:val="001C0F49"/>
    <w:pPr>
      <w:spacing w:before="240" w:after="240"/>
    </w:pPr>
  </w:style>
  <w:style w:type="paragraph" w:customStyle="1" w:styleId="Heading4-NCA">
    <w:name w:val="Heading 4 - NCA"/>
    <w:basedOn w:val="Heading3"/>
    <w:qFormat/>
    <w:rsid w:val="001C0F49"/>
    <w:pPr>
      <w:spacing w:before="240" w:after="240"/>
    </w:pPr>
  </w:style>
  <w:style w:type="paragraph" w:customStyle="1" w:styleId="Heading4-NFRA">
    <w:name w:val="Heading 4 - NFRA"/>
    <w:basedOn w:val="Heading3"/>
    <w:qFormat/>
    <w:rsid w:val="001C0F49"/>
    <w:pPr>
      <w:spacing w:before="240" w:after="240"/>
    </w:pPr>
  </w:style>
  <w:style w:type="paragraph" w:customStyle="1" w:styleId="Paragraphtext">
    <w:name w:val="_Paragraph text"/>
    <w:basedOn w:val="Normal"/>
    <w:qFormat/>
    <w:rsid w:val="001C0F49"/>
    <w:pPr>
      <w:spacing w:line="240" w:lineRule="auto"/>
    </w:pPr>
    <w:rPr>
      <w:lang w:eastAsia="en-US"/>
    </w:rPr>
  </w:style>
  <w:style w:type="paragraph" w:customStyle="1" w:styleId="ChartandTableFootnoteAlpha2">
    <w:name w:val="Chart and Table Footnote Alpha2"/>
    <w:basedOn w:val="HeadingBase"/>
    <w:next w:val="Normal"/>
    <w:rsid w:val="001C0F49"/>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1C0F49"/>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1C0F49"/>
    <w:pPr>
      <w:tabs>
        <w:tab w:val="left" w:pos="176"/>
      </w:tabs>
      <w:spacing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1C0F49"/>
    <w:pPr>
      <w:autoSpaceDE w:val="0"/>
      <w:autoSpaceDN w:val="0"/>
      <w:adjustRightInd w:val="0"/>
      <w:spacing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1C0F49"/>
    <w:rPr>
      <w:rFonts w:ascii="Arial" w:hAnsi="Arial"/>
      <w:color w:val="000000" w:themeColor="text1"/>
      <w:sz w:val="22"/>
      <w:lang w:val="en-GB" w:eastAsia="en-US"/>
    </w:rPr>
  </w:style>
  <w:style w:type="paragraph" w:customStyle="1" w:styleId="BodyText1">
    <w:name w:val="Body Text 1"/>
    <w:basedOn w:val="Normal"/>
    <w:link w:val="BodyText1Char"/>
    <w:qFormat/>
    <w:rsid w:val="001C0F49"/>
    <w:pPr>
      <w:numPr>
        <w:numId w:val="13"/>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1C0F49"/>
    <w:pPr>
      <w:spacing w:after="120" w:line="240" w:lineRule="auto"/>
    </w:pPr>
    <w:rPr>
      <w:rFonts w:ascii="Arial Bold" w:hAnsi="Arial Bold"/>
      <w:bCs w:val="0"/>
      <w:sz w:val="22"/>
      <w:szCs w:val="22"/>
    </w:rPr>
  </w:style>
  <w:style w:type="paragraph" w:customStyle="1" w:styleId="paragraph">
    <w:name w:val="paragraph"/>
    <w:basedOn w:val="Normal"/>
    <w:rsid w:val="001C0F49"/>
    <w:pPr>
      <w:spacing w:before="100" w:beforeAutospacing="1" w:after="100" w:afterAutospacing="1" w:line="240" w:lineRule="auto"/>
    </w:pPr>
    <w:rPr>
      <w:rFonts w:ascii="Calibri" w:eastAsiaTheme="minorHAnsi" w:hAnsi="Calibri" w:cs="Calibri"/>
      <w:sz w:val="22"/>
      <w:szCs w:val="22"/>
    </w:rPr>
  </w:style>
  <w:style w:type="paragraph" w:customStyle="1" w:styleId="bulletlevel1">
    <w:name w:val="bullet level 1"/>
    <w:basedOn w:val="Normal"/>
    <w:qFormat/>
    <w:rsid w:val="001C0F49"/>
    <w:pPr>
      <w:spacing w:before="120" w:after="120" w:line="240" w:lineRule="auto"/>
    </w:pPr>
    <w:rPr>
      <w:iCs/>
      <w:color w:val="000000" w:themeColor="text1"/>
    </w:rPr>
  </w:style>
  <w:style w:type="paragraph" w:customStyle="1" w:styleId="Tabletextcell8left6">
    <w:name w:val="_Table text cell 8 left6"/>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8E5BEC"/>
    <w:pPr>
      <w:numPr>
        <w:numId w:val="21"/>
      </w:numPr>
      <w:spacing w:after="60" w:line="240" w:lineRule="auto"/>
      <w:ind w:left="314" w:hanging="218"/>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1C0F49"/>
    <w:pPr>
      <w:spacing w:before="240" w:line="240" w:lineRule="auto"/>
    </w:pPr>
    <w:rPr>
      <w:lang w:eastAsia="en-US"/>
    </w:rPr>
  </w:style>
  <w:style w:type="paragraph" w:customStyle="1" w:styleId="TableParagraph">
    <w:name w:val="Table Paragraph"/>
    <w:basedOn w:val="Normal"/>
    <w:uiPriority w:val="1"/>
    <w:qFormat/>
    <w:rsid w:val="001C0F49"/>
    <w:pPr>
      <w:widowControl w:val="0"/>
      <w:autoSpaceDE w:val="0"/>
      <w:autoSpaceDN w:val="0"/>
      <w:spacing w:after="0" w:line="240" w:lineRule="auto"/>
    </w:pPr>
    <w:rPr>
      <w:rFonts w:ascii="Arial" w:eastAsia="Arial" w:hAnsi="Arial" w:cs="Arial"/>
      <w:sz w:val="22"/>
      <w:szCs w:val="22"/>
      <w:lang w:bidi="en-AU"/>
    </w:rPr>
  </w:style>
  <w:style w:type="paragraph" w:customStyle="1" w:styleId="KPITableBullet">
    <w:name w:val="KPI Table Bullet"/>
    <w:basedOn w:val="ListParagraph"/>
    <w:qFormat/>
    <w:rsid w:val="001C0F49"/>
    <w:pPr>
      <w:numPr>
        <w:numId w:val="14"/>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1C0F49"/>
  </w:style>
  <w:style w:type="paragraph" w:customStyle="1" w:styleId="TOC-NLA">
    <w:name w:val="TOC - NLA"/>
    <w:basedOn w:val="TOC5"/>
    <w:qFormat/>
    <w:rsid w:val="001C0F49"/>
  </w:style>
  <w:style w:type="paragraph" w:customStyle="1" w:styleId="TOC-Council">
    <w:name w:val="TOC - Council"/>
    <w:basedOn w:val="TOC-NLA"/>
    <w:qFormat/>
    <w:rsid w:val="001C0F49"/>
    <w:pPr>
      <w:ind w:left="0"/>
    </w:pPr>
  </w:style>
  <w:style w:type="paragraph" w:customStyle="1" w:styleId="TOC-ABC">
    <w:name w:val="TOC - ABC"/>
    <w:basedOn w:val="TOC-Council"/>
    <w:qFormat/>
    <w:rsid w:val="001C0F49"/>
  </w:style>
  <w:style w:type="paragraph" w:customStyle="1" w:styleId="TOC-ACMA">
    <w:name w:val="TOC - ACMA"/>
    <w:basedOn w:val="TOC-ABC"/>
    <w:qFormat/>
    <w:rsid w:val="001C0F49"/>
  </w:style>
  <w:style w:type="paragraph" w:customStyle="1" w:styleId="TOC-AFTRS">
    <w:name w:val="TOC - AFTRS"/>
    <w:basedOn w:val="TOC-NLA"/>
    <w:qFormat/>
    <w:rsid w:val="001C0F49"/>
  </w:style>
  <w:style w:type="paragraph" w:customStyle="1" w:styleId="TOC-AMSA">
    <w:name w:val="TOC - AMSA"/>
    <w:basedOn w:val="TOC-NLA"/>
    <w:qFormat/>
    <w:rsid w:val="001C0F49"/>
  </w:style>
  <w:style w:type="paragraph" w:customStyle="1" w:styleId="TOC-ATSB">
    <w:name w:val="TOC - ATSB"/>
    <w:basedOn w:val="TOC-NLA"/>
    <w:qFormat/>
    <w:rsid w:val="001C0F49"/>
  </w:style>
  <w:style w:type="paragraph" w:customStyle="1" w:styleId="TOC-CASA">
    <w:name w:val="TOC - CASA"/>
    <w:basedOn w:val="TOC-NLA"/>
    <w:qFormat/>
    <w:rsid w:val="001C0F49"/>
  </w:style>
  <w:style w:type="paragraph" w:customStyle="1" w:styleId="TOC-IA">
    <w:name w:val="TOC - IA"/>
    <w:basedOn w:val="TOC-NLA"/>
    <w:qFormat/>
    <w:rsid w:val="001C0F49"/>
  </w:style>
  <w:style w:type="paragraph" w:customStyle="1" w:styleId="TOC-NCA">
    <w:name w:val="TOC - NCA"/>
    <w:basedOn w:val="TOC-NLA"/>
    <w:qFormat/>
    <w:rsid w:val="001C0F49"/>
  </w:style>
  <w:style w:type="paragraph" w:customStyle="1" w:styleId="TOC-NFRA">
    <w:name w:val="TOC - NFRA"/>
    <w:basedOn w:val="TOC-NLA"/>
    <w:qFormat/>
    <w:rsid w:val="001C0F49"/>
  </w:style>
  <w:style w:type="paragraph" w:customStyle="1" w:styleId="TOC-NFSA">
    <w:name w:val="TOC - NFSA"/>
    <w:basedOn w:val="TOC-NLA"/>
    <w:qFormat/>
    <w:rsid w:val="001C0F49"/>
  </w:style>
  <w:style w:type="paragraph" w:customStyle="1" w:styleId="Heading4-NFSA">
    <w:name w:val="Heading 4 - NFSA"/>
    <w:basedOn w:val="Heading4-NFRA"/>
    <w:qFormat/>
    <w:rsid w:val="001C0F49"/>
  </w:style>
  <w:style w:type="paragraph" w:customStyle="1" w:styleId="TOC-NGA">
    <w:name w:val="TOC - NGA"/>
    <w:basedOn w:val="TOC-NLA"/>
    <w:qFormat/>
    <w:rsid w:val="001C0F49"/>
  </w:style>
  <w:style w:type="paragraph" w:customStyle="1" w:styleId="Heading4-NGA">
    <w:name w:val="Heading 4 - NGA"/>
    <w:basedOn w:val="Heading4-ABC"/>
    <w:qFormat/>
    <w:rsid w:val="001C0F49"/>
  </w:style>
  <w:style w:type="paragraph" w:customStyle="1" w:styleId="Heading4-NMA">
    <w:name w:val="Heading 4 - NMA"/>
    <w:basedOn w:val="Heading4-ABC"/>
    <w:qFormat/>
    <w:rsid w:val="001C0F49"/>
  </w:style>
  <w:style w:type="paragraph" w:customStyle="1" w:styleId="Heading4-NPGA">
    <w:name w:val="Heading 4 - NPGA"/>
    <w:basedOn w:val="Heading4-ABC"/>
    <w:qFormat/>
    <w:rsid w:val="001C0F49"/>
  </w:style>
  <w:style w:type="paragraph" w:customStyle="1" w:styleId="Heading4-NTC">
    <w:name w:val="Heading 4 - NTC"/>
    <w:basedOn w:val="Heading4-ABC"/>
    <w:qFormat/>
    <w:rsid w:val="001C0F49"/>
  </w:style>
  <w:style w:type="paragraph" w:customStyle="1" w:styleId="TOC-NTC">
    <w:name w:val="TOC - NTC"/>
    <w:basedOn w:val="TOC-NLA"/>
    <w:qFormat/>
    <w:rsid w:val="001C0F49"/>
  </w:style>
  <w:style w:type="paragraph" w:customStyle="1" w:styleId="Heading4-NQWIA">
    <w:name w:val="Heading 4 - NQWIA"/>
    <w:basedOn w:val="Heading4-ABC"/>
    <w:qFormat/>
    <w:rsid w:val="001C0F49"/>
  </w:style>
  <w:style w:type="paragraph" w:customStyle="1" w:styleId="Heading4-Screen">
    <w:name w:val="Heading 4 - Screen"/>
    <w:basedOn w:val="Heading4-ABC"/>
    <w:qFormat/>
    <w:rsid w:val="001C0F49"/>
  </w:style>
  <w:style w:type="paragraph" w:customStyle="1" w:styleId="TOC-Screen">
    <w:name w:val="TOC - Screen"/>
    <w:basedOn w:val="TOC-NTC"/>
    <w:qFormat/>
    <w:rsid w:val="001C0F49"/>
  </w:style>
  <w:style w:type="character" w:customStyle="1" w:styleId="Heading4-SBSChar">
    <w:name w:val="Heading 4 - SBS Char"/>
    <w:basedOn w:val="Heading4-ABCChar"/>
    <w:link w:val="Heading4-SBS"/>
    <w:locked/>
    <w:rsid w:val="001C0F49"/>
    <w:rPr>
      <w:rFonts w:ascii="Arial Bold" w:eastAsiaTheme="majorEastAsia" w:hAnsi="Arial Bold" w:cstheme="majorBidi"/>
      <w:b/>
      <w:color w:val="1F4D78" w:themeColor="accent1" w:themeShade="7F"/>
      <w:sz w:val="22"/>
      <w:szCs w:val="24"/>
    </w:rPr>
  </w:style>
  <w:style w:type="paragraph" w:customStyle="1" w:styleId="Heading4-SBS">
    <w:name w:val="Heading 4 - SBS"/>
    <w:basedOn w:val="Heading4-ABC"/>
    <w:link w:val="Heading4-SBSChar"/>
    <w:qFormat/>
    <w:rsid w:val="001C0F49"/>
  </w:style>
  <w:style w:type="paragraph" w:customStyle="1" w:styleId="TOC-SBS">
    <w:name w:val="TOC - SBS"/>
    <w:basedOn w:val="TOC-NLA"/>
    <w:qFormat/>
    <w:rsid w:val="001C0F49"/>
  </w:style>
  <w:style w:type="paragraph" w:customStyle="1" w:styleId="TOC-DITRDC">
    <w:name w:val="TOC - DITRDC"/>
    <w:basedOn w:val="TOC-NLA"/>
    <w:qFormat/>
    <w:rsid w:val="001C0F49"/>
  </w:style>
  <w:style w:type="paragraph" w:customStyle="1" w:styleId="TOC-Level1">
    <w:name w:val="TOC - Level 1"/>
    <w:basedOn w:val="TOC1"/>
    <w:next w:val="TOC1"/>
    <w:qFormat/>
    <w:rsid w:val="001C0F49"/>
    <w:rPr>
      <w:caps w:val="0"/>
    </w:rPr>
  </w:style>
  <w:style w:type="paragraph" w:customStyle="1" w:styleId="TOC-Entity">
    <w:name w:val="TOC - Entity"/>
    <w:basedOn w:val="TOC-Level1"/>
    <w:qFormat/>
    <w:rsid w:val="001C0F49"/>
  </w:style>
  <w:style w:type="paragraph" w:customStyle="1" w:styleId="Summarytabletextrightaligned">
    <w:name w:val="Summary table text right aligned"/>
    <w:basedOn w:val="Normal"/>
    <w:rsid w:val="001C0F49"/>
    <w:pPr>
      <w:spacing w:before="20" w:after="20" w:line="240" w:lineRule="auto"/>
      <w:ind w:right="57"/>
      <w:jc w:val="right"/>
    </w:pPr>
    <w:rPr>
      <w:rFonts w:ascii="Arial" w:hAnsi="Arial"/>
      <w:sz w:val="16"/>
    </w:rPr>
  </w:style>
  <w:style w:type="paragraph" w:customStyle="1" w:styleId="BodyCopy">
    <w:name w:val="Body Copy"/>
    <w:basedOn w:val="Normal"/>
    <w:qFormat/>
    <w:rsid w:val="001C0F49"/>
    <w:pPr>
      <w:spacing w:before="240"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1C0F49"/>
    <w:pPr>
      <w:numPr>
        <w:numId w:val="15"/>
      </w:numPr>
      <w:spacing w:before="120"/>
    </w:pPr>
  </w:style>
  <w:style w:type="character" w:customStyle="1" w:styleId="PBSxxheadingChar">
    <w:name w:val="PBS x.x heading Char"/>
    <w:basedOn w:val="Heading4-SBSChar"/>
    <w:link w:val="PBSxxheading"/>
    <w:locked/>
    <w:rsid w:val="001C0F49"/>
    <w:rPr>
      <w:rFonts w:ascii="Arial Bold" w:eastAsiaTheme="majorEastAsia" w:hAnsi="Arial Bold" w:cstheme="majorBidi"/>
      <w:b/>
      <w:smallCaps/>
      <w:color w:val="1F4D78" w:themeColor="accent1" w:themeShade="7F"/>
      <w:sz w:val="22"/>
      <w:szCs w:val="24"/>
    </w:rPr>
  </w:style>
  <w:style w:type="paragraph" w:customStyle="1" w:styleId="PBSxxheading">
    <w:name w:val="PBS x.x heading"/>
    <w:basedOn w:val="Heading4-SBS"/>
    <w:link w:val="PBSxxheadingChar"/>
    <w:qFormat/>
    <w:rsid w:val="001C0F49"/>
    <w:pPr>
      <w:spacing w:before="360" w:after="120"/>
    </w:pPr>
    <w:rPr>
      <w:smallCaps/>
    </w:rPr>
  </w:style>
  <w:style w:type="paragraph" w:customStyle="1" w:styleId="xl66">
    <w:name w:val="xl66"/>
    <w:basedOn w:val="Normal"/>
    <w:rsid w:val="001C0F49"/>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1C0F49"/>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1C0F49"/>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1C0F49"/>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1C0F49"/>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1C0F49"/>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1C0F49"/>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1C0F49"/>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1C0F49"/>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1C0F49"/>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1C0F49"/>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1C0F49"/>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1C0F49"/>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1C0F49"/>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1C0F49"/>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Heading2-CASA">
    <w:name w:val="Heading 2 - CASA"/>
    <w:basedOn w:val="Heading2"/>
    <w:qFormat/>
    <w:rsid w:val="001C0F49"/>
  </w:style>
  <w:style w:type="paragraph" w:customStyle="1" w:styleId="Heading2-ABC">
    <w:name w:val="Heading 2 - ABC"/>
    <w:basedOn w:val="Heading2"/>
    <w:qFormat/>
    <w:rsid w:val="001C0F49"/>
  </w:style>
  <w:style w:type="paragraph" w:customStyle="1" w:styleId="Style2">
    <w:name w:val="Style2"/>
    <w:basedOn w:val="Heading3-CASA"/>
    <w:qFormat/>
    <w:rsid w:val="001C0F49"/>
  </w:style>
  <w:style w:type="paragraph" w:customStyle="1" w:styleId="Heading2-ACMA">
    <w:name w:val="Heading 2 - ACMA"/>
    <w:basedOn w:val="Heading2"/>
    <w:link w:val="Heading2-ACMAChar"/>
    <w:qFormat/>
    <w:rsid w:val="001C0F49"/>
  </w:style>
  <w:style w:type="paragraph" w:customStyle="1" w:styleId="Heading2-ANMM">
    <w:name w:val="Heading 2 - ANMM"/>
    <w:basedOn w:val="Heading2"/>
    <w:qFormat/>
    <w:rsid w:val="001C0F49"/>
  </w:style>
  <w:style w:type="paragraph" w:customStyle="1" w:styleId="Heading2-ATSB">
    <w:name w:val="Heading 2 - ATSB"/>
    <w:basedOn w:val="Heading2"/>
    <w:qFormat/>
    <w:rsid w:val="001C0F49"/>
  </w:style>
  <w:style w:type="paragraph" w:customStyle="1" w:styleId="Heading2-IA">
    <w:name w:val="Heading 2 - IA"/>
    <w:basedOn w:val="Heading2"/>
    <w:qFormat/>
    <w:rsid w:val="001C0F49"/>
  </w:style>
  <w:style w:type="paragraph" w:customStyle="1" w:styleId="Heading2-NCA">
    <w:name w:val="Heading 2 - NCA"/>
    <w:basedOn w:val="Heading2"/>
    <w:qFormat/>
    <w:rsid w:val="001C0F49"/>
  </w:style>
  <w:style w:type="paragraph" w:customStyle="1" w:styleId="Heading2-NFRA">
    <w:name w:val="Heading 2 - NFRA"/>
    <w:basedOn w:val="Heading2"/>
    <w:qFormat/>
    <w:rsid w:val="001C0F49"/>
  </w:style>
  <w:style w:type="paragraph" w:customStyle="1" w:styleId="Heading2-NFSA">
    <w:name w:val="Heading 2 - NFSA"/>
    <w:basedOn w:val="Heading2"/>
    <w:qFormat/>
    <w:rsid w:val="001C0F49"/>
  </w:style>
  <w:style w:type="paragraph" w:customStyle="1" w:styleId="Heading2-NGA">
    <w:name w:val="Heading 2 - NGA"/>
    <w:basedOn w:val="Heading2"/>
    <w:qFormat/>
    <w:rsid w:val="001C0F49"/>
  </w:style>
  <w:style w:type="paragraph" w:customStyle="1" w:styleId="Heading2-NLA">
    <w:name w:val="Heading 2 - NLA"/>
    <w:basedOn w:val="Heading2"/>
    <w:qFormat/>
    <w:rsid w:val="001C0F49"/>
  </w:style>
  <w:style w:type="paragraph" w:customStyle="1" w:styleId="Heading2-NMA">
    <w:name w:val="Heading 2 - NMA"/>
    <w:basedOn w:val="Heading2"/>
    <w:qFormat/>
    <w:rsid w:val="001C0F49"/>
  </w:style>
  <w:style w:type="paragraph" w:customStyle="1" w:styleId="Heading2-NPGA">
    <w:name w:val="Heading 2 - NPGA"/>
    <w:basedOn w:val="Heading2"/>
    <w:qFormat/>
    <w:rsid w:val="001C0F49"/>
  </w:style>
  <w:style w:type="paragraph" w:customStyle="1" w:styleId="Heading2-NTC">
    <w:name w:val="Heading 2 - NTC"/>
    <w:basedOn w:val="Heading2"/>
    <w:qFormat/>
    <w:rsid w:val="001C0F49"/>
  </w:style>
  <w:style w:type="paragraph" w:customStyle="1" w:styleId="Heading2-NQWIA">
    <w:name w:val="Heading 2 - NQWIA"/>
    <w:basedOn w:val="Heading2"/>
    <w:qFormat/>
    <w:rsid w:val="001C0F49"/>
  </w:style>
  <w:style w:type="paragraph" w:customStyle="1" w:styleId="Heading2-NAIF">
    <w:name w:val="Heading 2 - NAIF"/>
    <w:basedOn w:val="Heading2"/>
    <w:qFormat/>
    <w:rsid w:val="001C0F49"/>
  </w:style>
  <w:style w:type="paragraph" w:customStyle="1" w:styleId="Heading3-NAIF">
    <w:name w:val="Heading 3 - NAIF"/>
    <w:basedOn w:val="Heading3"/>
    <w:link w:val="Heading3-NAIFChar"/>
    <w:qFormat/>
    <w:rsid w:val="001C0F49"/>
  </w:style>
  <w:style w:type="paragraph" w:customStyle="1" w:styleId="Heading2-ScreenAust">
    <w:name w:val="Heading 2 - Screen Aust"/>
    <w:basedOn w:val="Heading2"/>
    <w:qFormat/>
    <w:rsid w:val="001C0F49"/>
  </w:style>
  <w:style w:type="paragraph" w:customStyle="1" w:styleId="Heading2-SBS">
    <w:name w:val="Heading 2 - SBS"/>
    <w:basedOn w:val="Heading2"/>
    <w:qFormat/>
    <w:rsid w:val="001C0F49"/>
  </w:style>
  <w:style w:type="character" w:customStyle="1" w:styleId="UnresolvedMention1">
    <w:name w:val="Unresolved Mention1"/>
    <w:basedOn w:val="DefaultParagraphFont"/>
    <w:uiPriority w:val="99"/>
    <w:rsid w:val="001C0F49"/>
    <w:rPr>
      <w:color w:val="605E5C"/>
      <w:shd w:val="clear" w:color="auto" w:fill="E1DFDD"/>
    </w:rPr>
  </w:style>
  <w:style w:type="character" w:customStyle="1" w:styleId="cf01">
    <w:name w:val="cf01"/>
    <w:basedOn w:val="DefaultParagraphFont"/>
    <w:rsid w:val="001C0F49"/>
    <w:rPr>
      <w:rFonts w:ascii="Segoe UI" w:hAnsi="Segoe UI" w:cs="Segoe UI" w:hint="default"/>
      <w:sz w:val="18"/>
      <w:szCs w:val="18"/>
    </w:rPr>
  </w:style>
  <w:style w:type="character" w:customStyle="1" w:styleId="normaltextrun">
    <w:name w:val="normaltextrun"/>
    <w:basedOn w:val="DefaultParagraphFont"/>
    <w:rsid w:val="001C0F49"/>
  </w:style>
  <w:style w:type="character" w:customStyle="1" w:styleId="eop">
    <w:name w:val="eop"/>
    <w:basedOn w:val="DefaultParagraphFont"/>
    <w:rsid w:val="001C0F49"/>
  </w:style>
  <w:style w:type="character" w:customStyle="1" w:styleId="scxw95807845">
    <w:name w:val="scxw95807845"/>
    <w:basedOn w:val="DefaultParagraphFont"/>
    <w:rsid w:val="001C0F49"/>
  </w:style>
  <w:style w:type="character" w:customStyle="1" w:styleId="scxw97907998">
    <w:name w:val="scxw97907998"/>
    <w:basedOn w:val="DefaultParagraphFont"/>
    <w:rsid w:val="001C0F49"/>
  </w:style>
  <w:style w:type="table" w:customStyle="1" w:styleId="TableGrid1">
    <w:name w:val="Table Grid1"/>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0F49"/>
  </w:style>
  <w:style w:type="paragraph" w:customStyle="1" w:styleId="Area">
    <w:name w:val="Area"/>
    <w:basedOn w:val="Normal"/>
    <w:rsid w:val="001C0F49"/>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1C0F49"/>
    <w:pPr>
      <w:tabs>
        <w:tab w:val="right" w:pos="9639"/>
      </w:tabs>
      <w:spacing w:before="240" w:after="120"/>
      <w:jc w:val="right"/>
    </w:pPr>
    <w:rPr>
      <w:rFonts w:ascii="Times" w:hAnsi="Times"/>
      <w:b/>
      <w:i w:val="0"/>
      <w:caps/>
      <w:sz w:val="16"/>
      <w:szCs w:val="16"/>
    </w:rPr>
  </w:style>
  <w:style w:type="paragraph" w:customStyle="1" w:styleId="Singleparacentre">
    <w:name w:val="Single para centre"/>
    <w:basedOn w:val="SingleParagraph"/>
    <w:qFormat/>
    <w:rsid w:val="001C0F49"/>
    <w:pPr>
      <w:jc w:val="center"/>
    </w:pPr>
    <w:rPr>
      <w:lang w:val="en-GB"/>
    </w:rPr>
  </w:style>
  <w:style w:type="paragraph" w:styleId="NormalWeb">
    <w:name w:val="Normal (Web)"/>
    <w:basedOn w:val="Normal"/>
    <w:uiPriority w:val="99"/>
    <w:unhideWhenUsed/>
    <w:rsid w:val="001C0F49"/>
    <w:pPr>
      <w:spacing w:before="100" w:beforeAutospacing="1" w:after="100" w:afterAutospacing="1" w:line="240" w:lineRule="auto"/>
    </w:pPr>
    <w:rPr>
      <w:rFonts w:ascii="Times New Roman" w:hAnsi="Times New Roman"/>
      <w:sz w:val="24"/>
      <w:szCs w:val="24"/>
    </w:rPr>
  </w:style>
  <w:style w:type="paragraph" w:customStyle="1" w:styleId="Heading2-NAA">
    <w:name w:val="Heading 2 - NAA"/>
    <w:basedOn w:val="Heading2"/>
    <w:qFormat/>
    <w:rsid w:val="001C0F49"/>
  </w:style>
  <w:style w:type="paragraph" w:customStyle="1" w:styleId="Heading3-NAA">
    <w:name w:val="Heading 3 - NAA"/>
    <w:basedOn w:val="Heading3"/>
    <w:link w:val="Heading3-NAAChar"/>
    <w:qFormat/>
    <w:rsid w:val="001C0F49"/>
  </w:style>
  <w:style w:type="character" w:customStyle="1" w:styleId="Heading3-NAAChar">
    <w:name w:val="Heading 3 - NAA Char"/>
    <w:basedOn w:val="Heading3Char"/>
    <w:link w:val="Heading3-NAA"/>
    <w:rsid w:val="001C0F49"/>
    <w:rPr>
      <w:rFonts w:ascii="Arial Bold" w:hAnsi="Arial Bold"/>
      <w:b/>
      <w:sz w:val="22"/>
    </w:rPr>
  </w:style>
  <w:style w:type="character" w:customStyle="1" w:styleId="Heading3-NLAChar">
    <w:name w:val="Heading 3 - NLA Char"/>
    <w:basedOn w:val="Heading3Char"/>
    <w:link w:val="Heading3-NLA"/>
    <w:rsid w:val="001C0F49"/>
    <w:rPr>
      <w:rFonts w:ascii="Arial" w:hAnsi="Arial"/>
      <w:b/>
      <w:sz w:val="22"/>
    </w:rPr>
  </w:style>
  <w:style w:type="character" w:customStyle="1" w:styleId="UnresolvedMention2">
    <w:name w:val="Unresolved Mention2"/>
    <w:basedOn w:val="DefaultParagraphFont"/>
    <w:uiPriority w:val="99"/>
    <w:semiHidden/>
    <w:unhideWhenUsed/>
    <w:rsid w:val="001C0F49"/>
    <w:rPr>
      <w:color w:val="605E5C"/>
      <w:shd w:val="clear" w:color="auto" w:fill="E1DFDD"/>
    </w:rPr>
  </w:style>
  <w:style w:type="character" w:customStyle="1" w:styleId="Heading3-NPGAChar">
    <w:name w:val="Heading 3 - NPGA Char"/>
    <w:basedOn w:val="Heading3Char"/>
    <w:link w:val="Heading3-NPGA"/>
    <w:rsid w:val="001C0F49"/>
    <w:rPr>
      <w:rFonts w:ascii="Arial" w:hAnsi="Arial"/>
      <w:b/>
      <w:sz w:val="22"/>
    </w:rPr>
  </w:style>
  <w:style w:type="paragraph" w:customStyle="1" w:styleId="Tabletextcell8left12">
    <w:name w:val="_Table text cell 8 left12"/>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Heading2-OPH">
    <w:name w:val="Heading 2 - OPH"/>
    <w:basedOn w:val="Heading2"/>
    <w:qFormat/>
    <w:rsid w:val="001C0F49"/>
  </w:style>
  <w:style w:type="paragraph" w:customStyle="1" w:styleId="Heading3-OPH">
    <w:name w:val="Heading 3 - OPH"/>
    <w:basedOn w:val="Heading3"/>
    <w:link w:val="Heading3-OPHChar"/>
    <w:qFormat/>
    <w:rsid w:val="001C0F49"/>
  </w:style>
  <w:style w:type="character" w:customStyle="1" w:styleId="Heading3-OPHChar">
    <w:name w:val="Heading 3 - OPH Char"/>
    <w:basedOn w:val="Heading3Char"/>
    <w:link w:val="Heading3-OPH"/>
    <w:rsid w:val="001C0F49"/>
    <w:rPr>
      <w:rFonts w:ascii="Arial Bold" w:hAnsi="Arial Bold"/>
      <w:b/>
      <w:sz w:val="22"/>
    </w:rPr>
  </w:style>
  <w:style w:type="paragraph" w:customStyle="1" w:styleId="Box-continuedon">
    <w:name w:val="Box - continued on"/>
    <w:basedOn w:val="Normal"/>
    <w:qFormat/>
    <w:rsid w:val="00CB36D7"/>
    <w:pPr>
      <w:spacing w:before="240" w:line="240" w:lineRule="exact"/>
      <w:jc w:val="right"/>
    </w:pPr>
    <w:rPr>
      <w:rFonts w:ascii="Calibri Light" w:hAnsi="Calibri Light" w:cs="Calibri Light"/>
      <w:i/>
      <w:iCs/>
      <w:sz w:val="22"/>
      <w:szCs w:val="24"/>
    </w:rPr>
  </w:style>
  <w:style w:type="character" w:customStyle="1" w:styleId="BoxHeading-Continued">
    <w:name w:val="Box Heading - Continued"/>
    <w:uiPriority w:val="1"/>
    <w:qFormat/>
    <w:rsid w:val="00CB36D7"/>
    <w:rPr>
      <w:sz w:val="22"/>
    </w:rPr>
  </w:style>
  <w:style w:type="paragraph" w:customStyle="1" w:styleId="BoxSubHeading">
    <w:name w:val="Box Sub Heading"/>
    <w:basedOn w:val="Heading6"/>
    <w:rsid w:val="00CB36D7"/>
    <w:pPr>
      <w:spacing w:before="120" w:after="40"/>
    </w:pPr>
  </w:style>
  <w:style w:type="paragraph" w:customStyle="1" w:styleId="ChartHeading">
    <w:name w:val="Chart Heading"/>
    <w:basedOn w:val="HeadingBase"/>
    <w:next w:val="ChartGraphic"/>
    <w:qFormat/>
    <w:rsid w:val="00CB36D7"/>
    <w:pPr>
      <w:spacing w:before="120" w:after="20"/>
    </w:pPr>
    <w:rPr>
      <w:b/>
      <w:sz w:val="20"/>
    </w:rPr>
  </w:style>
  <w:style w:type="paragraph" w:customStyle="1" w:styleId="ChartLine">
    <w:name w:val="Chart Line"/>
    <w:basedOn w:val="NoSpacing"/>
    <w:autoRedefine/>
    <w:qFormat/>
    <w:rsid w:val="00CB36D7"/>
    <w:pPr>
      <w:pBdr>
        <w:bottom w:val="single" w:sz="4" w:space="2" w:color="D0CECE"/>
      </w:pBdr>
      <w:spacing w:after="240"/>
      <w:jc w:val="left"/>
    </w:pPr>
    <w:rPr>
      <w:rFonts w:ascii="Calibri" w:hAnsi="Calibri"/>
      <w:noProof/>
      <w:sz w:val="4"/>
      <w:szCs w:val="4"/>
    </w:rPr>
  </w:style>
  <w:style w:type="paragraph" w:customStyle="1" w:styleId="Heading3noTOC">
    <w:name w:val="Heading 3 no TOC"/>
    <w:basedOn w:val="Heading3"/>
    <w:rsid w:val="00CB36D7"/>
    <w:pPr>
      <w:tabs>
        <w:tab w:val="clear" w:pos="709"/>
      </w:tabs>
      <w:outlineLvl w:val="9"/>
    </w:pPr>
  </w:style>
  <w:style w:type="paragraph" w:customStyle="1" w:styleId="Statement">
    <w:name w:val="Statement"/>
    <w:basedOn w:val="Normal"/>
    <w:autoRedefine/>
    <w:qFormat/>
    <w:rsid w:val="00CB36D7"/>
    <w:pPr>
      <w:spacing w:before="240" w:line="240" w:lineRule="exact"/>
      <w:textboxTightWrap w:val="firstAndLastLine"/>
    </w:pPr>
    <w:rPr>
      <w:rFonts w:cs="Calibri"/>
      <w:kern w:val="18"/>
      <w:sz w:val="18"/>
    </w:rPr>
  </w:style>
  <w:style w:type="paragraph" w:customStyle="1" w:styleId="Statement-Bullet">
    <w:name w:val="Statement - Bullet"/>
    <w:basedOn w:val="Bullet"/>
    <w:qFormat/>
    <w:rsid w:val="00CB36D7"/>
    <w:pPr>
      <w:tabs>
        <w:tab w:val="clear" w:pos="360"/>
        <w:tab w:val="num" w:pos="283"/>
      </w:tabs>
      <w:spacing w:before="240" w:after="160" w:line="240" w:lineRule="exact"/>
      <w:ind w:left="284" w:hanging="284"/>
    </w:pPr>
    <w:rPr>
      <w:sz w:val="19"/>
      <w:lang w:val="en-AU" w:eastAsia="en-AU"/>
    </w:rPr>
  </w:style>
  <w:style w:type="paragraph" w:customStyle="1" w:styleId="TableLine">
    <w:name w:val="Table Line"/>
    <w:basedOn w:val="Normal"/>
    <w:next w:val="Normal"/>
    <w:autoRedefine/>
    <w:rsid w:val="00CB36D7"/>
    <w:pPr>
      <w:pBdr>
        <w:bottom w:val="single" w:sz="4" w:space="2" w:color="D0CECE"/>
      </w:pBdr>
      <w:spacing w:line="240" w:lineRule="auto"/>
    </w:pPr>
    <w:rPr>
      <w:noProof/>
      <w:sz w:val="4"/>
      <w:szCs w:val="4"/>
    </w:rPr>
  </w:style>
  <w:style w:type="paragraph" w:customStyle="1" w:styleId="TPHeading3bold">
    <w:name w:val="TP Heading 3 bold"/>
    <w:basedOn w:val="TPHeading3"/>
    <w:semiHidden/>
    <w:rsid w:val="00CB36D7"/>
    <w:pPr>
      <w:ind w:left="851"/>
      <w:jc w:val="left"/>
    </w:pPr>
    <w:rPr>
      <w:rFonts w:cs="Arial"/>
      <w:b/>
      <w:caps/>
      <w:spacing w:val="-10"/>
      <w:szCs w:val="22"/>
    </w:rPr>
  </w:style>
  <w:style w:type="paragraph" w:customStyle="1" w:styleId="TPHEADING3boldspace">
    <w:name w:val="TP HEADING 3 bold space"/>
    <w:basedOn w:val="TPHeading3bold"/>
    <w:semiHidden/>
    <w:rsid w:val="00CB36D7"/>
    <w:pPr>
      <w:spacing w:after="120"/>
    </w:pPr>
  </w:style>
  <w:style w:type="paragraph" w:customStyle="1" w:styleId="TPHEADING3space">
    <w:name w:val="TP HEADING 3 space"/>
    <w:basedOn w:val="TPHeading3"/>
    <w:semiHidden/>
    <w:rsid w:val="00CB36D7"/>
    <w:pPr>
      <w:spacing w:before="120" w:after="120"/>
      <w:ind w:left="851"/>
      <w:jc w:val="left"/>
    </w:pPr>
    <w:rPr>
      <w:rFonts w:cs="Arial"/>
      <w:caps/>
      <w:spacing w:val="-10"/>
      <w:szCs w:val="22"/>
    </w:rPr>
  </w:style>
  <w:style w:type="paragraph" w:customStyle="1" w:styleId="TPHeading4">
    <w:name w:val="TP Heading 4"/>
    <w:basedOn w:val="TPHeading3"/>
    <w:semiHidden/>
    <w:rsid w:val="00CB36D7"/>
    <w:pPr>
      <w:ind w:left="851"/>
      <w:jc w:val="left"/>
    </w:pPr>
    <w:rPr>
      <w:caps/>
      <w:spacing w:val="-10"/>
      <w:sz w:val="20"/>
    </w:rPr>
  </w:style>
  <w:style w:type="paragraph" w:customStyle="1" w:styleId="TPHEADING4space">
    <w:name w:val="TP HEADING 4 space"/>
    <w:basedOn w:val="TPHEADING3space"/>
    <w:semiHidden/>
    <w:rsid w:val="00CB36D7"/>
  </w:style>
  <w:style w:type="character" w:styleId="Emphasis">
    <w:name w:val="Emphasis"/>
    <w:basedOn w:val="DefaultParagraphFont"/>
    <w:uiPriority w:val="20"/>
    <w:qFormat/>
    <w:rsid w:val="00CB36D7"/>
    <w:rPr>
      <w:i/>
      <w:iCs/>
    </w:rPr>
  </w:style>
  <w:style w:type="paragraph" w:customStyle="1" w:styleId="Heading1-NoTOC">
    <w:name w:val="Heading 1 - No TOC"/>
    <w:basedOn w:val="Heading1"/>
    <w:rsid w:val="00CB36D7"/>
    <w:pPr>
      <w:spacing w:after="360"/>
      <w:outlineLvl w:val="9"/>
    </w:pPr>
    <w:rPr>
      <w:kern w:val="28"/>
      <w:lang w:val="x-none"/>
    </w:rPr>
  </w:style>
  <w:style w:type="paragraph" w:customStyle="1" w:styleId="Heading2-ITRDCA">
    <w:name w:val="Heading 2 - ITRDCA"/>
    <w:basedOn w:val="Heading2"/>
    <w:link w:val="Heading2-ITRDCAChar"/>
    <w:qFormat/>
    <w:rsid w:val="00CB36D7"/>
  </w:style>
  <w:style w:type="character" w:customStyle="1" w:styleId="Heading2-ITRDCAChar">
    <w:name w:val="Heading 2 - ITRDCA Char"/>
    <w:basedOn w:val="Heading2Char"/>
    <w:link w:val="Heading2-ITRDCA"/>
    <w:rsid w:val="00CB36D7"/>
    <w:rPr>
      <w:rFonts w:ascii="Arial Bold" w:hAnsi="Arial Bold"/>
      <w:b/>
      <w:sz w:val="26"/>
    </w:rPr>
  </w:style>
  <w:style w:type="paragraph" w:customStyle="1" w:styleId="Heading3-ITRDCA">
    <w:name w:val="Heading 3 - ITRDCA"/>
    <w:basedOn w:val="Heading3"/>
    <w:link w:val="Heading3-ITRDCAChar"/>
    <w:qFormat/>
    <w:rsid w:val="00CB36D7"/>
    <w:pPr>
      <w:tabs>
        <w:tab w:val="clear" w:pos="709"/>
      </w:tabs>
    </w:pPr>
  </w:style>
  <w:style w:type="character" w:customStyle="1" w:styleId="Heading3-ITRDCAChar">
    <w:name w:val="Heading 3 - ITRDCA Char"/>
    <w:basedOn w:val="Heading3Char"/>
    <w:link w:val="Heading3-ITRDCA"/>
    <w:rsid w:val="00CB36D7"/>
    <w:rPr>
      <w:rFonts w:ascii="Arial Bold" w:hAnsi="Arial Bold"/>
      <w:b/>
      <w:sz w:val="22"/>
    </w:rPr>
  </w:style>
  <w:style w:type="paragraph" w:customStyle="1" w:styleId="TableTextPortrait">
    <w:name w:val="Table Text Portrait"/>
    <w:basedOn w:val="Normal"/>
    <w:qFormat/>
    <w:rsid w:val="00CB36D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CB36D7"/>
  </w:style>
  <w:style w:type="character" w:customStyle="1" w:styleId="Mention1">
    <w:name w:val="Mention1"/>
    <w:basedOn w:val="DefaultParagraphFont"/>
    <w:uiPriority w:val="99"/>
    <w:unhideWhenUsed/>
    <w:rsid w:val="00CB36D7"/>
    <w:rPr>
      <w:color w:val="2B579A"/>
      <w:shd w:val="clear" w:color="auto" w:fill="E1DFDD"/>
    </w:rPr>
  </w:style>
  <w:style w:type="character" w:customStyle="1" w:styleId="Heading3-ABCChar">
    <w:name w:val="Heading 3 - ABC Char"/>
    <w:basedOn w:val="Heading3Char"/>
    <w:link w:val="Heading3-ABC"/>
    <w:rsid w:val="00CB36D7"/>
    <w:rPr>
      <w:rFonts w:ascii="Arial" w:hAnsi="Arial"/>
      <w:b/>
      <w:sz w:val="22"/>
    </w:rPr>
  </w:style>
  <w:style w:type="character" w:customStyle="1" w:styleId="Heading3-ACMAChar">
    <w:name w:val="Heading 3 - ACMA Char"/>
    <w:basedOn w:val="Heading3Char"/>
    <w:link w:val="Heading3-ACMA"/>
    <w:rsid w:val="00CB36D7"/>
    <w:rPr>
      <w:rFonts w:ascii="Arial" w:hAnsi="Arial"/>
      <w:b/>
      <w:sz w:val="22"/>
    </w:rPr>
  </w:style>
  <w:style w:type="character" w:customStyle="1" w:styleId="Heading2-ACMAChar">
    <w:name w:val="Heading 2 - ACMA Char"/>
    <w:basedOn w:val="Heading2Char"/>
    <w:link w:val="Heading2-ACMA"/>
    <w:rsid w:val="00CB36D7"/>
    <w:rPr>
      <w:rFonts w:ascii="Arial Bold" w:hAnsi="Arial Bold"/>
      <w:b/>
      <w:sz w:val="26"/>
    </w:rPr>
  </w:style>
  <w:style w:type="numbering" w:customStyle="1" w:styleId="NoList2">
    <w:name w:val="No List2"/>
    <w:next w:val="NoList"/>
    <w:uiPriority w:val="99"/>
    <w:semiHidden/>
    <w:unhideWhenUsed/>
    <w:rsid w:val="00CB36D7"/>
  </w:style>
  <w:style w:type="character" w:customStyle="1" w:styleId="Heading3-ATSBChar">
    <w:name w:val="Heading 3 - ATSB Char"/>
    <w:basedOn w:val="Heading3Char"/>
    <w:link w:val="Heading3-ATSB"/>
    <w:rsid w:val="00CB36D7"/>
    <w:rPr>
      <w:rFonts w:ascii="Arial Bold" w:hAnsi="Arial Bold"/>
      <w:b/>
      <w:sz w:val="22"/>
    </w:rPr>
  </w:style>
  <w:style w:type="character" w:customStyle="1" w:styleId="Heading3-NFRAChar">
    <w:name w:val="Heading 3 - NFRA Char"/>
    <w:basedOn w:val="Heading3Char"/>
    <w:link w:val="Heading3-NFRA"/>
    <w:rsid w:val="00CB36D7"/>
    <w:rPr>
      <w:rFonts w:ascii="Arial Bold" w:hAnsi="Arial Bold"/>
      <w:b/>
      <w:sz w:val="22"/>
    </w:rPr>
  </w:style>
  <w:style w:type="character" w:customStyle="1" w:styleId="Heading3-NAIFChar">
    <w:name w:val="Heading 3 - NAIF Char"/>
    <w:basedOn w:val="Heading3Char"/>
    <w:link w:val="Heading3-NAIF"/>
    <w:rsid w:val="00ED4458"/>
    <w:rPr>
      <w:rFonts w:ascii="Arial Bold" w:hAnsi="Arial Bold"/>
      <w:b/>
      <w:sz w:val="22"/>
    </w:rPr>
  </w:style>
  <w:style w:type="paragraph" w:customStyle="1" w:styleId="Heading1-HSRA">
    <w:name w:val="Heading 1 - HSRA"/>
    <w:basedOn w:val="Heading1"/>
    <w:qFormat/>
    <w:rsid w:val="00F74C88"/>
  </w:style>
  <w:style w:type="paragraph" w:customStyle="1" w:styleId="Heading2-HSRA">
    <w:name w:val="Heading 2 - HSRA"/>
    <w:basedOn w:val="Heading2"/>
    <w:qFormat/>
    <w:rsid w:val="00F74C88"/>
  </w:style>
  <w:style w:type="paragraph" w:customStyle="1" w:styleId="Heading3-HSRA">
    <w:name w:val="Heading 3 - HSRA"/>
    <w:basedOn w:val="Heading3"/>
    <w:qFormat/>
    <w:rsid w:val="00F74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50">
      <w:bodyDiv w:val="1"/>
      <w:marLeft w:val="0"/>
      <w:marRight w:val="0"/>
      <w:marTop w:val="0"/>
      <w:marBottom w:val="0"/>
      <w:divBdr>
        <w:top w:val="none" w:sz="0" w:space="0" w:color="auto"/>
        <w:left w:val="none" w:sz="0" w:space="0" w:color="auto"/>
        <w:bottom w:val="none" w:sz="0" w:space="0" w:color="auto"/>
        <w:right w:val="none" w:sz="0" w:space="0" w:color="auto"/>
      </w:divBdr>
    </w:div>
    <w:div w:id="8993401">
      <w:bodyDiv w:val="1"/>
      <w:marLeft w:val="0"/>
      <w:marRight w:val="0"/>
      <w:marTop w:val="0"/>
      <w:marBottom w:val="0"/>
      <w:divBdr>
        <w:top w:val="none" w:sz="0" w:space="0" w:color="auto"/>
        <w:left w:val="none" w:sz="0" w:space="0" w:color="auto"/>
        <w:bottom w:val="none" w:sz="0" w:space="0" w:color="auto"/>
        <w:right w:val="none" w:sz="0" w:space="0" w:color="auto"/>
      </w:divBdr>
    </w:div>
    <w:div w:id="10029848">
      <w:bodyDiv w:val="1"/>
      <w:marLeft w:val="0"/>
      <w:marRight w:val="0"/>
      <w:marTop w:val="0"/>
      <w:marBottom w:val="0"/>
      <w:divBdr>
        <w:top w:val="none" w:sz="0" w:space="0" w:color="auto"/>
        <w:left w:val="none" w:sz="0" w:space="0" w:color="auto"/>
        <w:bottom w:val="none" w:sz="0" w:space="0" w:color="auto"/>
        <w:right w:val="none" w:sz="0" w:space="0" w:color="auto"/>
      </w:divBdr>
    </w:div>
    <w:div w:id="16319270">
      <w:bodyDiv w:val="1"/>
      <w:marLeft w:val="0"/>
      <w:marRight w:val="0"/>
      <w:marTop w:val="0"/>
      <w:marBottom w:val="0"/>
      <w:divBdr>
        <w:top w:val="none" w:sz="0" w:space="0" w:color="auto"/>
        <w:left w:val="none" w:sz="0" w:space="0" w:color="auto"/>
        <w:bottom w:val="none" w:sz="0" w:space="0" w:color="auto"/>
        <w:right w:val="none" w:sz="0" w:space="0" w:color="auto"/>
      </w:divBdr>
    </w:div>
    <w:div w:id="18506881">
      <w:bodyDiv w:val="1"/>
      <w:marLeft w:val="0"/>
      <w:marRight w:val="0"/>
      <w:marTop w:val="0"/>
      <w:marBottom w:val="0"/>
      <w:divBdr>
        <w:top w:val="none" w:sz="0" w:space="0" w:color="auto"/>
        <w:left w:val="none" w:sz="0" w:space="0" w:color="auto"/>
        <w:bottom w:val="none" w:sz="0" w:space="0" w:color="auto"/>
        <w:right w:val="none" w:sz="0" w:space="0" w:color="auto"/>
      </w:divBdr>
    </w:div>
    <w:div w:id="28578179">
      <w:bodyDiv w:val="1"/>
      <w:marLeft w:val="0"/>
      <w:marRight w:val="0"/>
      <w:marTop w:val="0"/>
      <w:marBottom w:val="0"/>
      <w:divBdr>
        <w:top w:val="none" w:sz="0" w:space="0" w:color="auto"/>
        <w:left w:val="none" w:sz="0" w:space="0" w:color="auto"/>
        <w:bottom w:val="none" w:sz="0" w:space="0" w:color="auto"/>
        <w:right w:val="none" w:sz="0" w:space="0" w:color="auto"/>
      </w:divBdr>
    </w:div>
    <w:div w:id="33118746">
      <w:bodyDiv w:val="1"/>
      <w:marLeft w:val="0"/>
      <w:marRight w:val="0"/>
      <w:marTop w:val="0"/>
      <w:marBottom w:val="0"/>
      <w:divBdr>
        <w:top w:val="none" w:sz="0" w:space="0" w:color="auto"/>
        <w:left w:val="none" w:sz="0" w:space="0" w:color="auto"/>
        <w:bottom w:val="none" w:sz="0" w:space="0" w:color="auto"/>
        <w:right w:val="none" w:sz="0" w:space="0" w:color="auto"/>
      </w:divBdr>
    </w:div>
    <w:div w:id="35393592">
      <w:bodyDiv w:val="1"/>
      <w:marLeft w:val="0"/>
      <w:marRight w:val="0"/>
      <w:marTop w:val="0"/>
      <w:marBottom w:val="0"/>
      <w:divBdr>
        <w:top w:val="none" w:sz="0" w:space="0" w:color="auto"/>
        <w:left w:val="none" w:sz="0" w:space="0" w:color="auto"/>
        <w:bottom w:val="none" w:sz="0" w:space="0" w:color="auto"/>
        <w:right w:val="none" w:sz="0" w:space="0" w:color="auto"/>
      </w:divBdr>
    </w:div>
    <w:div w:id="36047532">
      <w:bodyDiv w:val="1"/>
      <w:marLeft w:val="0"/>
      <w:marRight w:val="0"/>
      <w:marTop w:val="0"/>
      <w:marBottom w:val="0"/>
      <w:divBdr>
        <w:top w:val="none" w:sz="0" w:space="0" w:color="auto"/>
        <w:left w:val="none" w:sz="0" w:space="0" w:color="auto"/>
        <w:bottom w:val="none" w:sz="0" w:space="0" w:color="auto"/>
        <w:right w:val="none" w:sz="0" w:space="0" w:color="auto"/>
      </w:divBdr>
    </w:div>
    <w:div w:id="38674197">
      <w:bodyDiv w:val="1"/>
      <w:marLeft w:val="0"/>
      <w:marRight w:val="0"/>
      <w:marTop w:val="0"/>
      <w:marBottom w:val="0"/>
      <w:divBdr>
        <w:top w:val="none" w:sz="0" w:space="0" w:color="auto"/>
        <w:left w:val="none" w:sz="0" w:space="0" w:color="auto"/>
        <w:bottom w:val="none" w:sz="0" w:space="0" w:color="auto"/>
        <w:right w:val="none" w:sz="0" w:space="0" w:color="auto"/>
      </w:divBdr>
    </w:div>
    <w:div w:id="45301716">
      <w:bodyDiv w:val="1"/>
      <w:marLeft w:val="0"/>
      <w:marRight w:val="0"/>
      <w:marTop w:val="0"/>
      <w:marBottom w:val="0"/>
      <w:divBdr>
        <w:top w:val="none" w:sz="0" w:space="0" w:color="auto"/>
        <w:left w:val="none" w:sz="0" w:space="0" w:color="auto"/>
        <w:bottom w:val="none" w:sz="0" w:space="0" w:color="auto"/>
        <w:right w:val="none" w:sz="0" w:space="0" w:color="auto"/>
      </w:divBdr>
    </w:div>
    <w:div w:id="50229326">
      <w:bodyDiv w:val="1"/>
      <w:marLeft w:val="0"/>
      <w:marRight w:val="0"/>
      <w:marTop w:val="0"/>
      <w:marBottom w:val="0"/>
      <w:divBdr>
        <w:top w:val="none" w:sz="0" w:space="0" w:color="auto"/>
        <w:left w:val="none" w:sz="0" w:space="0" w:color="auto"/>
        <w:bottom w:val="none" w:sz="0" w:space="0" w:color="auto"/>
        <w:right w:val="none" w:sz="0" w:space="0" w:color="auto"/>
      </w:divBdr>
    </w:div>
    <w:div w:id="56902362">
      <w:bodyDiv w:val="1"/>
      <w:marLeft w:val="0"/>
      <w:marRight w:val="0"/>
      <w:marTop w:val="0"/>
      <w:marBottom w:val="0"/>
      <w:divBdr>
        <w:top w:val="none" w:sz="0" w:space="0" w:color="auto"/>
        <w:left w:val="none" w:sz="0" w:space="0" w:color="auto"/>
        <w:bottom w:val="none" w:sz="0" w:space="0" w:color="auto"/>
        <w:right w:val="none" w:sz="0" w:space="0" w:color="auto"/>
      </w:divBdr>
    </w:div>
    <w:div w:id="64380545">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131979">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79572824">
      <w:bodyDiv w:val="1"/>
      <w:marLeft w:val="0"/>
      <w:marRight w:val="0"/>
      <w:marTop w:val="0"/>
      <w:marBottom w:val="0"/>
      <w:divBdr>
        <w:top w:val="none" w:sz="0" w:space="0" w:color="auto"/>
        <w:left w:val="none" w:sz="0" w:space="0" w:color="auto"/>
        <w:bottom w:val="none" w:sz="0" w:space="0" w:color="auto"/>
        <w:right w:val="none" w:sz="0" w:space="0" w:color="auto"/>
      </w:divBdr>
    </w:div>
    <w:div w:id="79641692">
      <w:bodyDiv w:val="1"/>
      <w:marLeft w:val="0"/>
      <w:marRight w:val="0"/>
      <w:marTop w:val="0"/>
      <w:marBottom w:val="0"/>
      <w:divBdr>
        <w:top w:val="none" w:sz="0" w:space="0" w:color="auto"/>
        <w:left w:val="none" w:sz="0" w:space="0" w:color="auto"/>
        <w:bottom w:val="none" w:sz="0" w:space="0" w:color="auto"/>
        <w:right w:val="none" w:sz="0" w:space="0" w:color="auto"/>
      </w:divBdr>
    </w:div>
    <w:div w:id="82722854">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4424709">
      <w:bodyDiv w:val="1"/>
      <w:marLeft w:val="0"/>
      <w:marRight w:val="0"/>
      <w:marTop w:val="0"/>
      <w:marBottom w:val="0"/>
      <w:divBdr>
        <w:top w:val="none" w:sz="0" w:space="0" w:color="auto"/>
        <w:left w:val="none" w:sz="0" w:space="0" w:color="auto"/>
        <w:bottom w:val="none" w:sz="0" w:space="0" w:color="auto"/>
        <w:right w:val="none" w:sz="0" w:space="0" w:color="auto"/>
      </w:divBdr>
    </w:div>
    <w:div w:id="107167512">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16416750">
      <w:bodyDiv w:val="1"/>
      <w:marLeft w:val="0"/>
      <w:marRight w:val="0"/>
      <w:marTop w:val="0"/>
      <w:marBottom w:val="0"/>
      <w:divBdr>
        <w:top w:val="none" w:sz="0" w:space="0" w:color="auto"/>
        <w:left w:val="none" w:sz="0" w:space="0" w:color="auto"/>
        <w:bottom w:val="none" w:sz="0" w:space="0" w:color="auto"/>
        <w:right w:val="none" w:sz="0" w:space="0" w:color="auto"/>
      </w:divBdr>
    </w:div>
    <w:div w:id="118569566">
      <w:bodyDiv w:val="1"/>
      <w:marLeft w:val="0"/>
      <w:marRight w:val="0"/>
      <w:marTop w:val="0"/>
      <w:marBottom w:val="0"/>
      <w:divBdr>
        <w:top w:val="none" w:sz="0" w:space="0" w:color="auto"/>
        <w:left w:val="none" w:sz="0" w:space="0" w:color="auto"/>
        <w:bottom w:val="none" w:sz="0" w:space="0" w:color="auto"/>
        <w:right w:val="none" w:sz="0" w:space="0" w:color="auto"/>
      </w:divBdr>
    </w:div>
    <w:div w:id="120811234">
      <w:bodyDiv w:val="1"/>
      <w:marLeft w:val="0"/>
      <w:marRight w:val="0"/>
      <w:marTop w:val="0"/>
      <w:marBottom w:val="0"/>
      <w:divBdr>
        <w:top w:val="none" w:sz="0" w:space="0" w:color="auto"/>
        <w:left w:val="none" w:sz="0" w:space="0" w:color="auto"/>
        <w:bottom w:val="none" w:sz="0" w:space="0" w:color="auto"/>
        <w:right w:val="none" w:sz="0" w:space="0" w:color="auto"/>
      </w:divBdr>
    </w:div>
    <w:div w:id="126508797">
      <w:bodyDiv w:val="1"/>
      <w:marLeft w:val="0"/>
      <w:marRight w:val="0"/>
      <w:marTop w:val="0"/>
      <w:marBottom w:val="0"/>
      <w:divBdr>
        <w:top w:val="none" w:sz="0" w:space="0" w:color="auto"/>
        <w:left w:val="none" w:sz="0" w:space="0" w:color="auto"/>
        <w:bottom w:val="none" w:sz="0" w:space="0" w:color="auto"/>
        <w:right w:val="none" w:sz="0" w:space="0" w:color="auto"/>
      </w:divBdr>
    </w:div>
    <w:div w:id="129132400">
      <w:bodyDiv w:val="1"/>
      <w:marLeft w:val="0"/>
      <w:marRight w:val="0"/>
      <w:marTop w:val="0"/>
      <w:marBottom w:val="0"/>
      <w:divBdr>
        <w:top w:val="none" w:sz="0" w:space="0" w:color="auto"/>
        <w:left w:val="none" w:sz="0" w:space="0" w:color="auto"/>
        <w:bottom w:val="none" w:sz="0" w:space="0" w:color="auto"/>
        <w:right w:val="none" w:sz="0" w:space="0" w:color="auto"/>
      </w:divBdr>
    </w:div>
    <w:div w:id="140390714">
      <w:bodyDiv w:val="1"/>
      <w:marLeft w:val="0"/>
      <w:marRight w:val="0"/>
      <w:marTop w:val="0"/>
      <w:marBottom w:val="0"/>
      <w:divBdr>
        <w:top w:val="none" w:sz="0" w:space="0" w:color="auto"/>
        <w:left w:val="none" w:sz="0" w:space="0" w:color="auto"/>
        <w:bottom w:val="none" w:sz="0" w:space="0" w:color="auto"/>
        <w:right w:val="none" w:sz="0" w:space="0" w:color="auto"/>
      </w:divBdr>
    </w:div>
    <w:div w:id="142284743">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48904611">
      <w:bodyDiv w:val="1"/>
      <w:marLeft w:val="0"/>
      <w:marRight w:val="0"/>
      <w:marTop w:val="0"/>
      <w:marBottom w:val="0"/>
      <w:divBdr>
        <w:top w:val="none" w:sz="0" w:space="0" w:color="auto"/>
        <w:left w:val="none" w:sz="0" w:space="0" w:color="auto"/>
        <w:bottom w:val="none" w:sz="0" w:space="0" w:color="auto"/>
        <w:right w:val="none" w:sz="0" w:space="0" w:color="auto"/>
      </w:divBdr>
    </w:div>
    <w:div w:id="149566324">
      <w:bodyDiv w:val="1"/>
      <w:marLeft w:val="0"/>
      <w:marRight w:val="0"/>
      <w:marTop w:val="0"/>
      <w:marBottom w:val="0"/>
      <w:divBdr>
        <w:top w:val="none" w:sz="0" w:space="0" w:color="auto"/>
        <w:left w:val="none" w:sz="0" w:space="0" w:color="auto"/>
        <w:bottom w:val="none" w:sz="0" w:space="0" w:color="auto"/>
        <w:right w:val="none" w:sz="0" w:space="0" w:color="auto"/>
      </w:divBdr>
    </w:div>
    <w:div w:id="150677200">
      <w:bodyDiv w:val="1"/>
      <w:marLeft w:val="0"/>
      <w:marRight w:val="0"/>
      <w:marTop w:val="0"/>
      <w:marBottom w:val="0"/>
      <w:divBdr>
        <w:top w:val="none" w:sz="0" w:space="0" w:color="auto"/>
        <w:left w:val="none" w:sz="0" w:space="0" w:color="auto"/>
        <w:bottom w:val="none" w:sz="0" w:space="0" w:color="auto"/>
        <w:right w:val="none" w:sz="0" w:space="0" w:color="auto"/>
      </w:divBdr>
    </w:div>
    <w:div w:id="153685597">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55734206">
      <w:bodyDiv w:val="1"/>
      <w:marLeft w:val="0"/>
      <w:marRight w:val="0"/>
      <w:marTop w:val="0"/>
      <w:marBottom w:val="0"/>
      <w:divBdr>
        <w:top w:val="none" w:sz="0" w:space="0" w:color="auto"/>
        <w:left w:val="none" w:sz="0" w:space="0" w:color="auto"/>
        <w:bottom w:val="none" w:sz="0" w:space="0" w:color="auto"/>
        <w:right w:val="none" w:sz="0" w:space="0" w:color="auto"/>
      </w:divBdr>
    </w:div>
    <w:div w:id="161746903">
      <w:bodyDiv w:val="1"/>
      <w:marLeft w:val="0"/>
      <w:marRight w:val="0"/>
      <w:marTop w:val="0"/>
      <w:marBottom w:val="0"/>
      <w:divBdr>
        <w:top w:val="none" w:sz="0" w:space="0" w:color="auto"/>
        <w:left w:val="none" w:sz="0" w:space="0" w:color="auto"/>
        <w:bottom w:val="none" w:sz="0" w:space="0" w:color="auto"/>
        <w:right w:val="none" w:sz="0" w:space="0" w:color="auto"/>
      </w:divBdr>
    </w:div>
    <w:div w:id="163323400">
      <w:bodyDiv w:val="1"/>
      <w:marLeft w:val="0"/>
      <w:marRight w:val="0"/>
      <w:marTop w:val="0"/>
      <w:marBottom w:val="0"/>
      <w:divBdr>
        <w:top w:val="none" w:sz="0" w:space="0" w:color="auto"/>
        <w:left w:val="none" w:sz="0" w:space="0" w:color="auto"/>
        <w:bottom w:val="none" w:sz="0" w:space="0" w:color="auto"/>
        <w:right w:val="none" w:sz="0" w:space="0" w:color="auto"/>
      </w:divBdr>
    </w:div>
    <w:div w:id="164251018">
      <w:bodyDiv w:val="1"/>
      <w:marLeft w:val="0"/>
      <w:marRight w:val="0"/>
      <w:marTop w:val="0"/>
      <w:marBottom w:val="0"/>
      <w:divBdr>
        <w:top w:val="none" w:sz="0" w:space="0" w:color="auto"/>
        <w:left w:val="none" w:sz="0" w:space="0" w:color="auto"/>
        <w:bottom w:val="none" w:sz="0" w:space="0" w:color="auto"/>
        <w:right w:val="none" w:sz="0" w:space="0" w:color="auto"/>
      </w:divBdr>
    </w:div>
    <w:div w:id="175465976">
      <w:bodyDiv w:val="1"/>
      <w:marLeft w:val="0"/>
      <w:marRight w:val="0"/>
      <w:marTop w:val="0"/>
      <w:marBottom w:val="0"/>
      <w:divBdr>
        <w:top w:val="none" w:sz="0" w:space="0" w:color="auto"/>
        <w:left w:val="none" w:sz="0" w:space="0" w:color="auto"/>
        <w:bottom w:val="none" w:sz="0" w:space="0" w:color="auto"/>
        <w:right w:val="none" w:sz="0" w:space="0" w:color="auto"/>
      </w:divBdr>
    </w:div>
    <w:div w:id="182789553">
      <w:bodyDiv w:val="1"/>
      <w:marLeft w:val="0"/>
      <w:marRight w:val="0"/>
      <w:marTop w:val="0"/>
      <w:marBottom w:val="0"/>
      <w:divBdr>
        <w:top w:val="none" w:sz="0" w:space="0" w:color="auto"/>
        <w:left w:val="none" w:sz="0" w:space="0" w:color="auto"/>
        <w:bottom w:val="none" w:sz="0" w:space="0" w:color="auto"/>
        <w:right w:val="none" w:sz="0" w:space="0" w:color="auto"/>
      </w:divBdr>
    </w:div>
    <w:div w:id="189340443">
      <w:bodyDiv w:val="1"/>
      <w:marLeft w:val="0"/>
      <w:marRight w:val="0"/>
      <w:marTop w:val="0"/>
      <w:marBottom w:val="0"/>
      <w:divBdr>
        <w:top w:val="none" w:sz="0" w:space="0" w:color="auto"/>
        <w:left w:val="none" w:sz="0" w:space="0" w:color="auto"/>
        <w:bottom w:val="none" w:sz="0" w:space="0" w:color="auto"/>
        <w:right w:val="none" w:sz="0" w:space="0" w:color="auto"/>
      </w:divBdr>
    </w:div>
    <w:div w:id="189952368">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6430669">
      <w:bodyDiv w:val="1"/>
      <w:marLeft w:val="0"/>
      <w:marRight w:val="0"/>
      <w:marTop w:val="0"/>
      <w:marBottom w:val="0"/>
      <w:divBdr>
        <w:top w:val="none" w:sz="0" w:space="0" w:color="auto"/>
        <w:left w:val="none" w:sz="0" w:space="0" w:color="auto"/>
        <w:bottom w:val="none" w:sz="0" w:space="0" w:color="auto"/>
        <w:right w:val="none" w:sz="0" w:space="0" w:color="auto"/>
      </w:divBdr>
    </w:div>
    <w:div w:id="199589539">
      <w:bodyDiv w:val="1"/>
      <w:marLeft w:val="0"/>
      <w:marRight w:val="0"/>
      <w:marTop w:val="0"/>
      <w:marBottom w:val="0"/>
      <w:divBdr>
        <w:top w:val="none" w:sz="0" w:space="0" w:color="auto"/>
        <w:left w:val="none" w:sz="0" w:space="0" w:color="auto"/>
        <w:bottom w:val="none" w:sz="0" w:space="0" w:color="auto"/>
        <w:right w:val="none" w:sz="0" w:space="0" w:color="auto"/>
      </w:divBdr>
    </w:div>
    <w:div w:id="200243570">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06794031">
      <w:bodyDiv w:val="1"/>
      <w:marLeft w:val="0"/>
      <w:marRight w:val="0"/>
      <w:marTop w:val="0"/>
      <w:marBottom w:val="0"/>
      <w:divBdr>
        <w:top w:val="none" w:sz="0" w:space="0" w:color="auto"/>
        <w:left w:val="none" w:sz="0" w:space="0" w:color="auto"/>
        <w:bottom w:val="none" w:sz="0" w:space="0" w:color="auto"/>
        <w:right w:val="none" w:sz="0" w:space="0" w:color="auto"/>
      </w:divBdr>
    </w:div>
    <w:div w:id="211313652">
      <w:bodyDiv w:val="1"/>
      <w:marLeft w:val="0"/>
      <w:marRight w:val="0"/>
      <w:marTop w:val="0"/>
      <w:marBottom w:val="0"/>
      <w:divBdr>
        <w:top w:val="none" w:sz="0" w:space="0" w:color="auto"/>
        <w:left w:val="none" w:sz="0" w:space="0" w:color="auto"/>
        <w:bottom w:val="none" w:sz="0" w:space="0" w:color="auto"/>
        <w:right w:val="none" w:sz="0" w:space="0" w:color="auto"/>
      </w:divBdr>
    </w:div>
    <w:div w:id="217280143">
      <w:bodyDiv w:val="1"/>
      <w:marLeft w:val="0"/>
      <w:marRight w:val="0"/>
      <w:marTop w:val="0"/>
      <w:marBottom w:val="0"/>
      <w:divBdr>
        <w:top w:val="none" w:sz="0" w:space="0" w:color="auto"/>
        <w:left w:val="none" w:sz="0" w:space="0" w:color="auto"/>
        <w:bottom w:val="none" w:sz="0" w:space="0" w:color="auto"/>
        <w:right w:val="none" w:sz="0" w:space="0" w:color="auto"/>
      </w:divBdr>
    </w:div>
    <w:div w:id="220750231">
      <w:bodyDiv w:val="1"/>
      <w:marLeft w:val="0"/>
      <w:marRight w:val="0"/>
      <w:marTop w:val="0"/>
      <w:marBottom w:val="0"/>
      <w:divBdr>
        <w:top w:val="none" w:sz="0" w:space="0" w:color="auto"/>
        <w:left w:val="none" w:sz="0" w:space="0" w:color="auto"/>
        <w:bottom w:val="none" w:sz="0" w:space="0" w:color="auto"/>
        <w:right w:val="none" w:sz="0" w:space="0" w:color="auto"/>
      </w:divBdr>
    </w:div>
    <w:div w:id="224685448">
      <w:bodyDiv w:val="1"/>
      <w:marLeft w:val="0"/>
      <w:marRight w:val="0"/>
      <w:marTop w:val="0"/>
      <w:marBottom w:val="0"/>
      <w:divBdr>
        <w:top w:val="none" w:sz="0" w:space="0" w:color="auto"/>
        <w:left w:val="none" w:sz="0" w:space="0" w:color="auto"/>
        <w:bottom w:val="none" w:sz="0" w:space="0" w:color="auto"/>
        <w:right w:val="none" w:sz="0" w:space="0" w:color="auto"/>
      </w:divBdr>
    </w:div>
    <w:div w:id="227570078">
      <w:bodyDiv w:val="1"/>
      <w:marLeft w:val="0"/>
      <w:marRight w:val="0"/>
      <w:marTop w:val="0"/>
      <w:marBottom w:val="0"/>
      <w:divBdr>
        <w:top w:val="none" w:sz="0" w:space="0" w:color="auto"/>
        <w:left w:val="none" w:sz="0" w:space="0" w:color="auto"/>
        <w:bottom w:val="none" w:sz="0" w:space="0" w:color="auto"/>
        <w:right w:val="none" w:sz="0" w:space="0" w:color="auto"/>
      </w:divBdr>
    </w:div>
    <w:div w:id="227810008">
      <w:bodyDiv w:val="1"/>
      <w:marLeft w:val="0"/>
      <w:marRight w:val="0"/>
      <w:marTop w:val="0"/>
      <w:marBottom w:val="0"/>
      <w:divBdr>
        <w:top w:val="none" w:sz="0" w:space="0" w:color="auto"/>
        <w:left w:val="none" w:sz="0" w:space="0" w:color="auto"/>
        <w:bottom w:val="none" w:sz="0" w:space="0" w:color="auto"/>
        <w:right w:val="none" w:sz="0" w:space="0" w:color="auto"/>
      </w:divBdr>
    </w:div>
    <w:div w:id="229970804">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39366737">
      <w:bodyDiv w:val="1"/>
      <w:marLeft w:val="0"/>
      <w:marRight w:val="0"/>
      <w:marTop w:val="0"/>
      <w:marBottom w:val="0"/>
      <w:divBdr>
        <w:top w:val="none" w:sz="0" w:space="0" w:color="auto"/>
        <w:left w:val="none" w:sz="0" w:space="0" w:color="auto"/>
        <w:bottom w:val="none" w:sz="0" w:space="0" w:color="auto"/>
        <w:right w:val="none" w:sz="0" w:space="0" w:color="auto"/>
      </w:divBdr>
    </w:div>
    <w:div w:id="248278041">
      <w:bodyDiv w:val="1"/>
      <w:marLeft w:val="0"/>
      <w:marRight w:val="0"/>
      <w:marTop w:val="0"/>
      <w:marBottom w:val="0"/>
      <w:divBdr>
        <w:top w:val="none" w:sz="0" w:space="0" w:color="auto"/>
        <w:left w:val="none" w:sz="0" w:space="0" w:color="auto"/>
        <w:bottom w:val="none" w:sz="0" w:space="0" w:color="auto"/>
        <w:right w:val="none" w:sz="0" w:space="0" w:color="auto"/>
      </w:divBdr>
    </w:div>
    <w:div w:id="250771842">
      <w:bodyDiv w:val="1"/>
      <w:marLeft w:val="0"/>
      <w:marRight w:val="0"/>
      <w:marTop w:val="0"/>
      <w:marBottom w:val="0"/>
      <w:divBdr>
        <w:top w:val="none" w:sz="0" w:space="0" w:color="auto"/>
        <w:left w:val="none" w:sz="0" w:space="0" w:color="auto"/>
        <w:bottom w:val="none" w:sz="0" w:space="0" w:color="auto"/>
        <w:right w:val="none" w:sz="0" w:space="0" w:color="auto"/>
      </w:divBdr>
    </w:div>
    <w:div w:id="257639985">
      <w:bodyDiv w:val="1"/>
      <w:marLeft w:val="0"/>
      <w:marRight w:val="0"/>
      <w:marTop w:val="0"/>
      <w:marBottom w:val="0"/>
      <w:divBdr>
        <w:top w:val="none" w:sz="0" w:space="0" w:color="auto"/>
        <w:left w:val="none" w:sz="0" w:space="0" w:color="auto"/>
        <w:bottom w:val="none" w:sz="0" w:space="0" w:color="auto"/>
        <w:right w:val="none" w:sz="0" w:space="0" w:color="auto"/>
      </w:divBdr>
    </w:div>
    <w:div w:id="267782586">
      <w:bodyDiv w:val="1"/>
      <w:marLeft w:val="0"/>
      <w:marRight w:val="0"/>
      <w:marTop w:val="0"/>
      <w:marBottom w:val="0"/>
      <w:divBdr>
        <w:top w:val="none" w:sz="0" w:space="0" w:color="auto"/>
        <w:left w:val="none" w:sz="0" w:space="0" w:color="auto"/>
        <w:bottom w:val="none" w:sz="0" w:space="0" w:color="auto"/>
        <w:right w:val="none" w:sz="0" w:space="0" w:color="auto"/>
      </w:divBdr>
    </w:div>
    <w:div w:id="271010590">
      <w:bodyDiv w:val="1"/>
      <w:marLeft w:val="0"/>
      <w:marRight w:val="0"/>
      <w:marTop w:val="0"/>
      <w:marBottom w:val="0"/>
      <w:divBdr>
        <w:top w:val="none" w:sz="0" w:space="0" w:color="auto"/>
        <w:left w:val="none" w:sz="0" w:space="0" w:color="auto"/>
        <w:bottom w:val="none" w:sz="0" w:space="0" w:color="auto"/>
        <w:right w:val="none" w:sz="0" w:space="0" w:color="auto"/>
      </w:divBdr>
    </w:div>
    <w:div w:id="272790865">
      <w:bodyDiv w:val="1"/>
      <w:marLeft w:val="0"/>
      <w:marRight w:val="0"/>
      <w:marTop w:val="0"/>
      <w:marBottom w:val="0"/>
      <w:divBdr>
        <w:top w:val="none" w:sz="0" w:space="0" w:color="auto"/>
        <w:left w:val="none" w:sz="0" w:space="0" w:color="auto"/>
        <w:bottom w:val="none" w:sz="0" w:space="0" w:color="auto"/>
        <w:right w:val="none" w:sz="0" w:space="0" w:color="auto"/>
      </w:divBdr>
    </w:div>
    <w:div w:id="276648050">
      <w:bodyDiv w:val="1"/>
      <w:marLeft w:val="0"/>
      <w:marRight w:val="0"/>
      <w:marTop w:val="0"/>
      <w:marBottom w:val="0"/>
      <w:divBdr>
        <w:top w:val="none" w:sz="0" w:space="0" w:color="auto"/>
        <w:left w:val="none" w:sz="0" w:space="0" w:color="auto"/>
        <w:bottom w:val="none" w:sz="0" w:space="0" w:color="auto"/>
        <w:right w:val="none" w:sz="0" w:space="0" w:color="auto"/>
      </w:divBdr>
    </w:div>
    <w:div w:id="283732092">
      <w:bodyDiv w:val="1"/>
      <w:marLeft w:val="0"/>
      <w:marRight w:val="0"/>
      <w:marTop w:val="0"/>
      <w:marBottom w:val="0"/>
      <w:divBdr>
        <w:top w:val="none" w:sz="0" w:space="0" w:color="auto"/>
        <w:left w:val="none" w:sz="0" w:space="0" w:color="auto"/>
        <w:bottom w:val="none" w:sz="0" w:space="0" w:color="auto"/>
        <w:right w:val="none" w:sz="0" w:space="0" w:color="auto"/>
      </w:divBdr>
    </w:div>
    <w:div w:id="284427127">
      <w:bodyDiv w:val="1"/>
      <w:marLeft w:val="0"/>
      <w:marRight w:val="0"/>
      <w:marTop w:val="0"/>
      <w:marBottom w:val="0"/>
      <w:divBdr>
        <w:top w:val="none" w:sz="0" w:space="0" w:color="auto"/>
        <w:left w:val="none" w:sz="0" w:space="0" w:color="auto"/>
        <w:bottom w:val="none" w:sz="0" w:space="0" w:color="auto"/>
        <w:right w:val="none" w:sz="0" w:space="0" w:color="auto"/>
      </w:divBdr>
    </w:div>
    <w:div w:id="284700609">
      <w:bodyDiv w:val="1"/>
      <w:marLeft w:val="0"/>
      <w:marRight w:val="0"/>
      <w:marTop w:val="0"/>
      <w:marBottom w:val="0"/>
      <w:divBdr>
        <w:top w:val="none" w:sz="0" w:space="0" w:color="auto"/>
        <w:left w:val="none" w:sz="0" w:space="0" w:color="auto"/>
        <w:bottom w:val="none" w:sz="0" w:space="0" w:color="auto"/>
        <w:right w:val="none" w:sz="0" w:space="0" w:color="auto"/>
      </w:divBdr>
    </w:div>
    <w:div w:id="286817480">
      <w:bodyDiv w:val="1"/>
      <w:marLeft w:val="0"/>
      <w:marRight w:val="0"/>
      <w:marTop w:val="0"/>
      <w:marBottom w:val="0"/>
      <w:divBdr>
        <w:top w:val="none" w:sz="0" w:space="0" w:color="auto"/>
        <w:left w:val="none" w:sz="0" w:space="0" w:color="auto"/>
        <w:bottom w:val="none" w:sz="0" w:space="0" w:color="auto"/>
        <w:right w:val="none" w:sz="0" w:space="0" w:color="auto"/>
      </w:divBdr>
    </w:div>
    <w:div w:id="293603432">
      <w:bodyDiv w:val="1"/>
      <w:marLeft w:val="0"/>
      <w:marRight w:val="0"/>
      <w:marTop w:val="0"/>
      <w:marBottom w:val="0"/>
      <w:divBdr>
        <w:top w:val="none" w:sz="0" w:space="0" w:color="auto"/>
        <w:left w:val="none" w:sz="0" w:space="0" w:color="auto"/>
        <w:bottom w:val="none" w:sz="0" w:space="0" w:color="auto"/>
        <w:right w:val="none" w:sz="0" w:space="0" w:color="auto"/>
      </w:divBdr>
    </w:div>
    <w:div w:id="294332767">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1270291">
      <w:bodyDiv w:val="1"/>
      <w:marLeft w:val="0"/>
      <w:marRight w:val="0"/>
      <w:marTop w:val="0"/>
      <w:marBottom w:val="0"/>
      <w:divBdr>
        <w:top w:val="none" w:sz="0" w:space="0" w:color="auto"/>
        <w:left w:val="none" w:sz="0" w:space="0" w:color="auto"/>
        <w:bottom w:val="none" w:sz="0" w:space="0" w:color="auto"/>
        <w:right w:val="none" w:sz="0" w:space="0" w:color="auto"/>
      </w:divBdr>
    </w:div>
    <w:div w:id="301664610">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09597066">
      <w:bodyDiv w:val="1"/>
      <w:marLeft w:val="0"/>
      <w:marRight w:val="0"/>
      <w:marTop w:val="0"/>
      <w:marBottom w:val="0"/>
      <w:divBdr>
        <w:top w:val="none" w:sz="0" w:space="0" w:color="auto"/>
        <w:left w:val="none" w:sz="0" w:space="0" w:color="auto"/>
        <w:bottom w:val="none" w:sz="0" w:space="0" w:color="auto"/>
        <w:right w:val="none" w:sz="0" w:space="0" w:color="auto"/>
      </w:divBdr>
    </w:div>
    <w:div w:id="311493519">
      <w:bodyDiv w:val="1"/>
      <w:marLeft w:val="0"/>
      <w:marRight w:val="0"/>
      <w:marTop w:val="0"/>
      <w:marBottom w:val="0"/>
      <w:divBdr>
        <w:top w:val="none" w:sz="0" w:space="0" w:color="auto"/>
        <w:left w:val="none" w:sz="0" w:space="0" w:color="auto"/>
        <w:bottom w:val="none" w:sz="0" w:space="0" w:color="auto"/>
        <w:right w:val="none" w:sz="0" w:space="0" w:color="auto"/>
      </w:divBdr>
    </w:div>
    <w:div w:id="316610760">
      <w:bodyDiv w:val="1"/>
      <w:marLeft w:val="0"/>
      <w:marRight w:val="0"/>
      <w:marTop w:val="0"/>
      <w:marBottom w:val="0"/>
      <w:divBdr>
        <w:top w:val="none" w:sz="0" w:space="0" w:color="auto"/>
        <w:left w:val="none" w:sz="0" w:space="0" w:color="auto"/>
        <w:bottom w:val="none" w:sz="0" w:space="0" w:color="auto"/>
        <w:right w:val="none" w:sz="0" w:space="0" w:color="auto"/>
      </w:divBdr>
    </w:div>
    <w:div w:id="317152680">
      <w:bodyDiv w:val="1"/>
      <w:marLeft w:val="0"/>
      <w:marRight w:val="0"/>
      <w:marTop w:val="0"/>
      <w:marBottom w:val="0"/>
      <w:divBdr>
        <w:top w:val="none" w:sz="0" w:space="0" w:color="auto"/>
        <w:left w:val="none" w:sz="0" w:space="0" w:color="auto"/>
        <w:bottom w:val="none" w:sz="0" w:space="0" w:color="auto"/>
        <w:right w:val="none" w:sz="0" w:space="0" w:color="auto"/>
      </w:divBdr>
    </w:div>
    <w:div w:id="319777827">
      <w:bodyDiv w:val="1"/>
      <w:marLeft w:val="0"/>
      <w:marRight w:val="0"/>
      <w:marTop w:val="0"/>
      <w:marBottom w:val="0"/>
      <w:divBdr>
        <w:top w:val="none" w:sz="0" w:space="0" w:color="auto"/>
        <w:left w:val="none" w:sz="0" w:space="0" w:color="auto"/>
        <w:bottom w:val="none" w:sz="0" w:space="0" w:color="auto"/>
        <w:right w:val="none" w:sz="0" w:space="0" w:color="auto"/>
      </w:divBdr>
    </w:div>
    <w:div w:id="323358730">
      <w:bodyDiv w:val="1"/>
      <w:marLeft w:val="0"/>
      <w:marRight w:val="0"/>
      <w:marTop w:val="0"/>
      <w:marBottom w:val="0"/>
      <w:divBdr>
        <w:top w:val="none" w:sz="0" w:space="0" w:color="auto"/>
        <w:left w:val="none" w:sz="0" w:space="0" w:color="auto"/>
        <w:bottom w:val="none" w:sz="0" w:space="0" w:color="auto"/>
        <w:right w:val="none" w:sz="0" w:space="0" w:color="auto"/>
      </w:divBdr>
    </w:div>
    <w:div w:id="324093470">
      <w:bodyDiv w:val="1"/>
      <w:marLeft w:val="0"/>
      <w:marRight w:val="0"/>
      <w:marTop w:val="0"/>
      <w:marBottom w:val="0"/>
      <w:divBdr>
        <w:top w:val="none" w:sz="0" w:space="0" w:color="auto"/>
        <w:left w:val="none" w:sz="0" w:space="0" w:color="auto"/>
        <w:bottom w:val="none" w:sz="0" w:space="0" w:color="auto"/>
        <w:right w:val="none" w:sz="0" w:space="0" w:color="auto"/>
      </w:divBdr>
    </w:div>
    <w:div w:id="330791889">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6273810">
      <w:bodyDiv w:val="1"/>
      <w:marLeft w:val="0"/>
      <w:marRight w:val="0"/>
      <w:marTop w:val="0"/>
      <w:marBottom w:val="0"/>
      <w:divBdr>
        <w:top w:val="none" w:sz="0" w:space="0" w:color="auto"/>
        <w:left w:val="none" w:sz="0" w:space="0" w:color="auto"/>
        <w:bottom w:val="none" w:sz="0" w:space="0" w:color="auto"/>
        <w:right w:val="none" w:sz="0" w:space="0" w:color="auto"/>
      </w:divBdr>
    </w:div>
    <w:div w:id="336427846">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44140384">
      <w:bodyDiv w:val="1"/>
      <w:marLeft w:val="0"/>
      <w:marRight w:val="0"/>
      <w:marTop w:val="0"/>
      <w:marBottom w:val="0"/>
      <w:divBdr>
        <w:top w:val="none" w:sz="0" w:space="0" w:color="auto"/>
        <w:left w:val="none" w:sz="0" w:space="0" w:color="auto"/>
        <w:bottom w:val="none" w:sz="0" w:space="0" w:color="auto"/>
        <w:right w:val="none" w:sz="0" w:space="0" w:color="auto"/>
      </w:divBdr>
    </w:div>
    <w:div w:id="351420301">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6181088">
      <w:bodyDiv w:val="1"/>
      <w:marLeft w:val="0"/>
      <w:marRight w:val="0"/>
      <w:marTop w:val="0"/>
      <w:marBottom w:val="0"/>
      <w:divBdr>
        <w:top w:val="none" w:sz="0" w:space="0" w:color="auto"/>
        <w:left w:val="none" w:sz="0" w:space="0" w:color="auto"/>
        <w:bottom w:val="none" w:sz="0" w:space="0" w:color="auto"/>
        <w:right w:val="none" w:sz="0" w:space="0" w:color="auto"/>
      </w:divBdr>
    </w:div>
    <w:div w:id="368452237">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70686800">
      <w:bodyDiv w:val="1"/>
      <w:marLeft w:val="0"/>
      <w:marRight w:val="0"/>
      <w:marTop w:val="0"/>
      <w:marBottom w:val="0"/>
      <w:divBdr>
        <w:top w:val="none" w:sz="0" w:space="0" w:color="auto"/>
        <w:left w:val="none" w:sz="0" w:space="0" w:color="auto"/>
        <w:bottom w:val="none" w:sz="0" w:space="0" w:color="auto"/>
        <w:right w:val="none" w:sz="0" w:space="0" w:color="auto"/>
      </w:divBdr>
    </w:div>
    <w:div w:id="371852156">
      <w:bodyDiv w:val="1"/>
      <w:marLeft w:val="0"/>
      <w:marRight w:val="0"/>
      <w:marTop w:val="0"/>
      <w:marBottom w:val="0"/>
      <w:divBdr>
        <w:top w:val="none" w:sz="0" w:space="0" w:color="auto"/>
        <w:left w:val="none" w:sz="0" w:space="0" w:color="auto"/>
        <w:bottom w:val="none" w:sz="0" w:space="0" w:color="auto"/>
        <w:right w:val="none" w:sz="0" w:space="0" w:color="auto"/>
      </w:divBdr>
    </w:div>
    <w:div w:id="382363575">
      <w:bodyDiv w:val="1"/>
      <w:marLeft w:val="0"/>
      <w:marRight w:val="0"/>
      <w:marTop w:val="0"/>
      <w:marBottom w:val="0"/>
      <w:divBdr>
        <w:top w:val="none" w:sz="0" w:space="0" w:color="auto"/>
        <w:left w:val="none" w:sz="0" w:space="0" w:color="auto"/>
        <w:bottom w:val="none" w:sz="0" w:space="0" w:color="auto"/>
        <w:right w:val="none" w:sz="0" w:space="0" w:color="auto"/>
      </w:divBdr>
    </w:div>
    <w:div w:id="387149843">
      <w:bodyDiv w:val="1"/>
      <w:marLeft w:val="0"/>
      <w:marRight w:val="0"/>
      <w:marTop w:val="0"/>
      <w:marBottom w:val="0"/>
      <w:divBdr>
        <w:top w:val="none" w:sz="0" w:space="0" w:color="auto"/>
        <w:left w:val="none" w:sz="0" w:space="0" w:color="auto"/>
        <w:bottom w:val="none" w:sz="0" w:space="0" w:color="auto"/>
        <w:right w:val="none" w:sz="0" w:space="0" w:color="auto"/>
      </w:divBdr>
    </w:div>
    <w:div w:id="388237081">
      <w:bodyDiv w:val="1"/>
      <w:marLeft w:val="0"/>
      <w:marRight w:val="0"/>
      <w:marTop w:val="0"/>
      <w:marBottom w:val="0"/>
      <w:divBdr>
        <w:top w:val="none" w:sz="0" w:space="0" w:color="auto"/>
        <w:left w:val="none" w:sz="0" w:space="0" w:color="auto"/>
        <w:bottom w:val="none" w:sz="0" w:space="0" w:color="auto"/>
        <w:right w:val="none" w:sz="0" w:space="0" w:color="auto"/>
      </w:divBdr>
    </w:div>
    <w:div w:id="392850344">
      <w:bodyDiv w:val="1"/>
      <w:marLeft w:val="0"/>
      <w:marRight w:val="0"/>
      <w:marTop w:val="0"/>
      <w:marBottom w:val="0"/>
      <w:divBdr>
        <w:top w:val="none" w:sz="0" w:space="0" w:color="auto"/>
        <w:left w:val="none" w:sz="0" w:space="0" w:color="auto"/>
        <w:bottom w:val="none" w:sz="0" w:space="0" w:color="auto"/>
        <w:right w:val="none" w:sz="0" w:space="0" w:color="auto"/>
      </w:divBdr>
    </w:div>
    <w:div w:id="394084481">
      <w:bodyDiv w:val="1"/>
      <w:marLeft w:val="0"/>
      <w:marRight w:val="0"/>
      <w:marTop w:val="0"/>
      <w:marBottom w:val="0"/>
      <w:divBdr>
        <w:top w:val="none" w:sz="0" w:space="0" w:color="auto"/>
        <w:left w:val="none" w:sz="0" w:space="0" w:color="auto"/>
        <w:bottom w:val="none" w:sz="0" w:space="0" w:color="auto"/>
        <w:right w:val="none" w:sz="0" w:space="0" w:color="auto"/>
      </w:divBdr>
    </w:div>
    <w:div w:id="395707185">
      <w:bodyDiv w:val="1"/>
      <w:marLeft w:val="0"/>
      <w:marRight w:val="0"/>
      <w:marTop w:val="0"/>
      <w:marBottom w:val="0"/>
      <w:divBdr>
        <w:top w:val="none" w:sz="0" w:space="0" w:color="auto"/>
        <w:left w:val="none" w:sz="0" w:space="0" w:color="auto"/>
        <w:bottom w:val="none" w:sz="0" w:space="0" w:color="auto"/>
        <w:right w:val="none" w:sz="0" w:space="0" w:color="auto"/>
      </w:divBdr>
    </w:div>
    <w:div w:id="400323895">
      <w:bodyDiv w:val="1"/>
      <w:marLeft w:val="0"/>
      <w:marRight w:val="0"/>
      <w:marTop w:val="0"/>
      <w:marBottom w:val="0"/>
      <w:divBdr>
        <w:top w:val="none" w:sz="0" w:space="0" w:color="auto"/>
        <w:left w:val="none" w:sz="0" w:space="0" w:color="auto"/>
        <w:bottom w:val="none" w:sz="0" w:space="0" w:color="auto"/>
        <w:right w:val="none" w:sz="0" w:space="0" w:color="auto"/>
      </w:divBdr>
    </w:div>
    <w:div w:id="402872495">
      <w:bodyDiv w:val="1"/>
      <w:marLeft w:val="0"/>
      <w:marRight w:val="0"/>
      <w:marTop w:val="0"/>
      <w:marBottom w:val="0"/>
      <w:divBdr>
        <w:top w:val="none" w:sz="0" w:space="0" w:color="auto"/>
        <w:left w:val="none" w:sz="0" w:space="0" w:color="auto"/>
        <w:bottom w:val="none" w:sz="0" w:space="0" w:color="auto"/>
        <w:right w:val="none" w:sz="0" w:space="0" w:color="auto"/>
      </w:divBdr>
    </w:div>
    <w:div w:id="403063121">
      <w:bodyDiv w:val="1"/>
      <w:marLeft w:val="0"/>
      <w:marRight w:val="0"/>
      <w:marTop w:val="0"/>
      <w:marBottom w:val="0"/>
      <w:divBdr>
        <w:top w:val="none" w:sz="0" w:space="0" w:color="auto"/>
        <w:left w:val="none" w:sz="0" w:space="0" w:color="auto"/>
        <w:bottom w:val="none" w:sz="0" w:space="0" w:color="auto"/>
        <w:right w:val="none" w:sz="0" w:space="0" w:color="auto"/>
      </w:divBdr>
    </w:div>
    <w:div w:id="405231207">
      <w:bodyDiv w:val="1"/>
      <w:marLeft w:val="0"/>
      <w:marRight w:val="0"/>
      <w:marTop w:val="0"/>
      <w:marBottom w:val="0"/>
      <w:divBdr>
        <w:top w:val="none" w:sz="0" w:space="0" w:color="auto"/>
        <w:left w:val="none" w:sz="0" w:space="0" w:color="auto"/>
        <w:bottom w:val="none" w:sz="0" w:space="0" w:color="auto"/>
        <w:right w:val="none" w:sz="0" w:space="0" w:color="auto"/>
      </w:divBdr>
    </w:div>
    <w:div w:id="406272929">
      <w:bodyDiv w:val="1"/>
      <w:marLeft w:val="0"/>
      <w:marRight w:val="0"/>
      <w:marTop w:val="0"/>
      <w:marBottom w:val="0"/>
      <w:divBdr>
        <w:top w:val="none" w:sz="0" w:space="0" w:color="auto"/>
        <w:left w:val="none" w:sz="0" w:space="0" w:color="auto"/>
        <w:bottom w:val="none" w:sz="0" w:space="0" w:color="auto"/>
        <w:right w:val="none" w:sz="0" w:space="0" w:color="auto"/>
      </w:divBdr>
    </w:div>
    <w:div w:id="408965514">
      <w:bodyDiv w:val="1"/>
      <w:marLeft w:val="0"/>
      <w:marRight w:val="0"/>
      <w:marTop w:val="0"/>
      <w:marBottom w:val="0"/>
      <w:divBdr>
        <w:top w:val="none" w:sz="0" w:space="0" w:color="auto"/>
        <w:left w:val="none" w:sz="0" w:space="0" w:color="auto"/>
        <w:bottom w:val="none" w:sz="0" w:space="0" w:color="auto"/>
        <w:right w:val="none" w:sz="0" w:space="0" w:color="auto"/>
      </w:divBdr>
    </w:div>
    <w:div w:id="409666429">
      <w:bodyDiv w:val="1"/>
      <w:marLeft w:val="0"/>
      <w:marRight w:val="0"/>
      <w:marTop w:val="0"/>
      <w:marBottom w:val="0"/>
      <w:divBdr>
        <w:top w:val="none" w:sz="0" w:space="0" w:color="auto"/>
        <w:left w:val="none" w:sz="0" w:space="0" w:color="auto"/>
        <w:bottom w:val="none" w:sz="0" w:space="0" w:color="auto"/>
        <w:right w:val="none" w:sz="0" w:space="0" w:color="auto"/>
      </w:divBdr>
    </w:div>
    <w:div w:id="426660718">
      <w:bodyDiv w:val="1"/>
      <w:marLeft w:val="0"/>
      <w:marRight w:val="0"/>
      <w:marTop w:val="0"/>
      <w:marBottom w:val="0"/>
      <w:divBdr>
        <w:top w:val="none" w:sz="0" w:space="0" w:color="auto"/>
        <w:left w:val="none" w:sz="0" w:space="0" w:color="auto"/>
        <w:bottom w:val="none" w:sz="0" w:space="0" w:color="auto"/>
        <w:right w:val="none" w:sz="0" w:space="0" w:color="auto"/>
      </w:divBdr>
    </w:div>
    <w:div w:id="426775629">
      <w:bodyDiv w:val="1"/>
      <w:marLeft w:val="0"/>
      <w:marRight w:val="0"/>
      <w:marTop w:val="0"/>
      <w:marBottom w:val="0"/>
      <w:divBdr>
        <w:top w:val="none" w:sz="0" w:space="0" w:color="auto"/>
        <w:left w:val="none" w:sz="0" w:space="0" w:color="auto"/>
        <w:bottom w:val="none" w:sz="0" w:space="0" w:color="auto"/>
        <w:right w:val="none" w:sz="0" w:space="0" w:color="auto"/>
      </w:divBdr>
    </w:div>
    <w:div w:id="427849485">
      <w:bodyDiv w:val="1"/>
      <w:marLeft w:val="0"/>
      <w:marRight w:val="0"/>
      <w:marTop w:val="0"/>
      <w:marBottom w:val="0"/>
      <w:divBdr>
        <w:top w:val="none" w:sz="0" w:space="0" w:color="auto"/>
        <w:left w:val="none" w:sz="0" w:space="0" w:color="auto"/>
        <w:bottom w:val="none" w:sz="0" w:space="0" w:color="auto"/>
        <w:right w:val="none" w:sz="0" w:space="0" w:color="auto"/>
      </w:divBdr>
    </w:div>
    <w:div w:id="435293269">
      <w:bodyDiv w:val="1"/>
      <w:marLeft w:val="0"/>
      <w:marRight w:val="0"/>
      <w:marTop w:val="0"/>
      <w:marBottom w:val="0"/>
      <w:divBdr>
        <w:top w:val="none" w:sz="0" w:space="0" w:color="auto"/>
        <w:left w:val="none" w:sz="0" w:space="0" w:color="auto"/>
        <w:bottom w:val="none" w:sz="0" w:space="0" w:color="auto"/>
        <w:right w:val="none" w:sz="0" w:space="0" w:color="auto"/>
      </w:divBdr>
    </w:div>
    <w:div w:id="438960571">
      <w:bodyDiv w:val="1"/>
      <w:marLeft w:val="0"/>
      <w:marRight w:val="0"/>
      <w:marTop w:val="0"/>
      <w:marBottom w:val="0"/>
      <w:divBdr>
        <w:top w:val="none" w:sz="0" w:space="0" w:color="auto"/>
        <w:left w:val="none" w:sz="0" w:space="0" w:color="auto"/>
        <w:bottom w:val="none" w:sz="0" w:space="0" w:color="auto"/>
        <w:right w:val="none" w:sz="0" w:space="0" w:color="auto"/>
      </w:divBdr>
    </w:div>
    <w:div w:id="439028017">
      <w:bodyDiv w:val="1"/>
      <w:marLeft w:val="0"/>
      <w:marRight w:val="0"/>
      <w:marTop w:val="0"/>
      <w:marBottom w:val="0"/>
      <w:divBdr>
        <w:top w:val="none" w:sz="0" w:space="0" w:color="auto"/>
        <w:left w:val="none" w:sz="0" w:space="0" w:color="auto"/>
        <w:bottom w:val="none" w:sz="0" w:space="0" w:color="auto"/>
        <w:right w:val="none" w:sz="0" w:space="0" w:color="auto"/>
      </w:divBdr>
    </w:div>
    <w:div w:id="440221096">
      <w:bodyDiv w:val="1"/>
      <w:marLeft w:val="0"/>
      <w:marRight w:val="0"/>
      <w:marTop w:val="0"/>
      <w:marBottom w:val="0"/>
      <w:divBdr>
        <w:top w:val="none" w:sz="0" w:space="0" w:color="auto"/>
        <w:left w:val="none" w:sz="0" w:space="0" w:color="auto"/>
        <w:bottom w:val="none" w:sz="0" w:space="0" w:color="auto"/>
        <w:right w:val="none" w:sz="0" w:space="0" w:color="auto"/>
      </w:divBdr>
    </w:div>
    <w:div w:id="440490617">
      <w:bodyDiv w:val="1"/>
      <w:marLeft w:val="0"/>
      <w:marRight w:val="0"/>
      <w:marTop w:val="0"/>
      <w:marBottom w:val="0"/>
      <w:divBdr>
        <w:top w:val="none" w:sz="0" w:space="0" w:color="auto"/>
        <w:left w:val="none" w:sz="0" w:space="0" w:color="auto"/>
        <w:bottom w:val="none" w:sz="0" w:space="0" w:color="auto"/>
        <w:right w:val="none" w:sz="0" w:space="0" w:color="auto"/>
      </w:divBdr>
    </w:div>
    <w:div w:id="443840490">
      <w:bodyDiv w:val="1"/>
      <w:marLeft w:val="0"/>
      <w:marRight w:val="0"/>
      <w:marTop w:val="0"/>
      <w:marBottom w:val="0"/>
      <w:divBdr>
        <w:top w:val="none" w:sz="0" w:space="0" w:color="auto"/>
        <w:left w:val="none" w:sz="0" w:space="0" w:color="auto"/>
        <w:bottom w:val="none" w:sz="0" w:space="0" w:color="auto"/>
        <w:right w:val="none" w:sz="0" w:space="0" w:color="auto"/>
      </w:divBdr>
    </w:div>
    <w:div w:id="44990588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6751372">
      <w:bodyDiv w:val="1"/>
      <w:marLeft w:val="0"/>
      <w:marRight w:val="0"/>
      <w:marTop w:val="0"/>
      <w:marBottom w:val="0"/>
      <w:divBdr>
        <w:top w:val="none" w:sz="0" w:space="0" w:color="auto"/>
        <w:left w:val="none" w:sz="0" w:space="0" w:color="auto"/>
        <w:bottom w:val="none" w:sz="0" w:space="0" w:color="auto"/>
        <w:right w:val="none" w:sz="0" w:space="0" w:color="auto"/>
      </w:divBdr>
    </w:div>
    <w:div w:id="470906117">
      <w:bodyDiv w:val="1"/>
      <w:marLeft w:val="0"/>
      <w:marRight w:val="0"/>
      <w:marTop w:val="0"/>
      <w:marBottom w:val="0"/>
      <w:divBdr>
        <w:top w:val="none" w:sz="0" w:space="0" w:color="auto"/>
        <w:left w:val="none" w:sz="0" w:space="0" w:color="auto"/>
        <w:bottom w:val="none" w:sz="0" w:space="0" w:color="auto"/>
        <w:right w:val="none" w:sz="0" w:space="0" w:color="auto"/>
      </w:divBdr>
    </w:div>
    <w:div w:id="472261008">
      <w:bodyDiv w:val="1"/>
      <w:marLeft w:val="0"/>
      <w:marRight w:val="0"/>
      <w:marTop w:val="0"/>
      <w:marBottom w:val="0"/>
      <w:divBdr>
        <w:top w:val="none" w:sz="0" w:space="0" w:color="auto"/>
        <w:left w:val="none" w:sz="0" w:space="0" w:color="auto"/>
        <w:bottom w:val="none" w:sz="0" w:space="0" w:color="auto"/>
        <w:right w:val="none" w:sz="0" w:space="0" w:color="auto"/>
      </w:divBdr>
    </w:div>
    <w:div w:id="474303285">
      <w:bodyDiv w:val="1"/>
      <w:marLeft w:val="0"/>
      <w:marRight w:val="0"/>
      <w:marTop w:val="0"/>
      <w:marBottom w:val="0"/>
      <w:divBdr>
        <w:top w:val="none" w:sz="0" w:space="0" w:color="auto"/>
        <w:left w:val="none" w:sz="0" w:space="0" w:color="auto"/>
        <w:bottom w:val="none" w:sz="0" w:space="0" w:color="auto"/>
        <w:right w:val="none" w:sz="0" w:space="0" w:color="auto"/>
      </w:divBdr>
    </w:div>
    <w:div w:id="479544124">
      <w:bodyDiv w:val="1"/>
      <w:marLeft w:val="0"/>
      <w:marRight w:val="0"/>
      <w:marTop w:val="0"/>
      <w:marBottom w:val="0"/>
      <w:divBdr>
        <w:top w:val="none" w:sz="0" w:space="0" w:color="auto"/>
        <w:left w:val="none" w:sz="0" w:space="0" w:color="auto"/>
        <w:bottom w:val="none" w:sz="0" w:space="0" w:color="auto"/>
        <w:right w:val="none" w:sz="0" w:space="0" w:color="auto"/>
      </w:divBdr>
    </w:div>
    <w:div w:id="484470414">
      <w:bodyDiv w:val="1"/>
      <w:marLeft w:val="0"/>
      <w:marRight w:val="0"/>
      <w:marTop w:val="0"/>
      <w:marBottom w:val="0"/>
      <w:divBdr>
        <w:top w:val="none" w:sz="0" w:space="0" w:color="auto"/>
        <w:left w:val="none" w:sz="0" w:space="0" w:color="auto"/>
        <w:bottom w:val="none" w:sz="0" w:space="0" w:color="auto"/>
        <w:right w:val="none" w:sz="0" w:space="0" w:color="auto"/>
      </w:divBdr>
    </w:div>
    <w:div w:id="486434661">
      <w:bodyDiv w:val="1"/>
      <w:marLeft w:val="0"/>
      <w:marRight w:val="0"/>
      <w:marTop w:val="0"/>
      <w:marBottom w:val="0"/>
      <w:divBdr>
        <w:top w:val="none" w:sz="0" w:space="0" w:color="auto"/>
        <w:left w:val="none" w:sz="0" w:space="0" w:color="auto"/>
        <w:bottom w:val="none" w:sz="0" w:space="0" w:color="auto"/>
        <w:right w:val="none" w:sz="0" w:space="0" w:color="auto"/>
      </w:divBdr>
    </w:div>
    <w:div w:id="488442859">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565865">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7354259">
      <w:bodyDiv w:val="1"/>
      <w:marLeft w:val="0"/>
      <w:marRight w:val="0"/>
      <w:marTop w:val="0"/>
      <w:marBottom w:val="0"/>
      <w:divBdr>
        <w:top w:val="none" w:sz="0" w:space="0" w:color="auto"/>
        <w:left w:val="none" w:sz="0" w:space="0" w:color="auto"/>
        <w:bottom w:val="none" w:sz="0" w:space="0" w:color="auto"/>
        <w:right w:val="none" w:sz="0" w:space="0" w:color="auto"/>
      </w:divBdr>
    </w:div>
    <w:div w:id="503209347">
      <w:bodyDiv w:val="1"/>
      <w:marLeft w:val="0"/>
      <w:marRight w:val="0"/>
      <w:marTop w:val="0"/>
      <w:marBottom w:val="0"/>
      <w:divBdr>
        <w:top w:val="none" w:sz="0" w:space="0" w:color="auto"/>
        <w:left w:val="none" w:sz="0" w:space="0" w:color="auto"/>
        <w:bottom w:val="none" w:sz="0" w:space="0" w:color="auto"/>
        <w:right w:val="none" w:sz="0" w:space="0" w:color="auto"/>
      </w:divBdr>
    </w:div>
    <w:div w:id="50332412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08564986">
      <w:bodyDiv w:val="1"/>
      <w:marLeft w:val="0"/>
      <w:marRight w:val="0"/>
      <w:marTop w:val="0"/>
      <w:marBottom w:val="0"/>
      <w:divBdr>
        <w:top w:val="none" w:sz="0" w:space="0" w:color="auto"/>
        <w:left w:val="none" w:sz="0" w:space="0" w:color="auto"/>
        <w:bottom w:val="none" w:sz="0" w:space="0" w:color="auto"/>
        <w:right w:val="none" w:sz="0" w:space="0" w:color="auto"/>
      </w:divBdr>
    </w:div>
    <w:div w:id="509370747">
      <w:bodyDiv w:val="1"/>
      <w:marLeft w:val="0"/>
      <w:marRight w:val="0"/>
      <w:marTop w:val="0"/>
      <w:marBottom w:val="0"/>
      <w:divBdr>
        <w:top w:val="none" w:sz="0" w:space="0" w:color="auto"/>
        <w:left w:val="none" w:sz="0" w:space="0" w:color="auto"/>
        <w:bottom w:val="none" w:sz="0" w:space="0" w:color="auto"/>
        <w:right w:val="none" w:sz="0" w:space="0" w:color="auto"/>
      </w:divBdr>
    </w:div>
    <w:div w:id="511728913">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21628886">
      <w:bodyDiv w:val="1"/>
      <w:marLeft w:val="0"/>
      <w:marRight w:val="0"/>
      <w:marTop w:val="0"/>
      <w:marBottom w:val="0"/>
      <w:divBdr>
        <w:top w:val="none" w:sz="0" w:space="0" w:color="auto"/>
        <w:left w:val="none" w:sz="0" w:space="0" w:color="auto"/>
        <w:bottom w:val="none" w:sz="0" w:space="0" w:color="auto"/>
        <w:right w:val="none" w:sz="0" w:space="0" w:color="auto"/>
      </w:divBdr>
    </w:div>
    <w:div w:id="556235670">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65576807">
      <w:bodyDiv w:val="1"/>
      <w:marLeft w:val="0"/>
      <w:marRight w:val="0"/>
      <w:marTop w:val="0"/>
      <w:marBottom w:val="0"/>
      <w:divBdr>
        <w:top w:val="none" w:sz="0" w:space="0" w:color="auto"/>
        <w:left w:val="none" w:sz="0" w:space="0" w:color="auto"/>
        <w:bottom w:val="none" w:sz="0" w:space="0" w:color="auto"/>
        <w:right w:val="none" w:sz="0" w:space="0" w:color="auto"/>
      </w:divBdr>
    </w:div>
    <w:div w:id="570233974">
      <w:bodyDiv w:val="1"/>
      <w:marLeft w:val="0"/>
      <w:marRight w:val="0"/>
      <w:marTop w:val="0"/>
      <w:marBottom w:val="0"/>
      <w:divBdr>
        <w:top w:val="none" w:sz="0" w:space="0" w:color="auto"/>
        <w:left w:val="none" w:sz="0" w:space="0" w:color="auto"/>
        <w:bottom w:val="none" w:sz="0" w:space="0" w:color="auto"/>
        <w:right w:val="none" w:sz="0" w:space="0" w:color="auto"/>
      </w:divBdr>
    </w:div>
    <w:div w:id="574171192">
      <w:bodyDiv w:val="1"/>
      <w:marLeft w:val="0"/>
      <w:marRight w:val="0"/>
      <w:marTop w:val="0"/>
      <w:marBottom w:val="0"/>
      <w:divBdr>
        <w:top w:val="none" w:sz="0" w:space="0" w:color="auto"/>
        <w:left w:val="none" w:sz="0" w:space="0" w:color="auto"/>
        <w:bottom w:val="none" w:sz="0" w:space="0" w:color="auto"/>
        <w:right w:val="none" w:sz="0" w:space="0" w:color="auto"/>
      </w:divBdr>
    </w:div>
    <w:div w:id="581372079">
      <w:bodyDiv w:val="1"/>
      <w:marLeft w:val="0"/>
      <w:marRight w:val="0"/>
      <w:marTop w:val="0"/>
      <w:marBottom w:val="0"/>
      <w:divBdr>
        <w:top w:val="none" w:sz="0" w:space="0" w:color="auto"/>
        <w:left w:val="none" w:sz="0" w:space="0" w:color="auto"/>
        <w:bottom w:val="none" w:sz="0" w:space="0" w:color="auto"/>
        <w:right w:val="none" w:sz="0" w:space="0" w:color="auto"/>
      </w:divBdr>
    </w:div>
    <w:div w:id="598680307">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8125956">
      <w:bodyDiv w:val="1"/>
      <w:marLeft w:val="0"/>
      <w:marRight w:val="0"/>
      <w:marTop w:val="0"/>
      <w:marBottom w:val="0"/>
      <w:divBdr>
        <w:top w:val="none" w:sz="0" w:space="0" w:color="auto"/>
        <w:left w:val="none" w:sz="0" w:space="0" w:color="auto"/>
        <w:bottom w:val="none" w:sz="0" w:space="0" w:color="auto"/>
        <w:right w:val="none" w:sz="0" w:space="0" w:color="auto"/>
      </w:divBdr>
    </w:div>
    <w:div w:id="627055917">
      <w:bodyDiv w:val="1"/>
      <w:marLeft w:val="0"/>
      <w:marRight w:val="0"/>
      <w:marTop w:val="0"/>
      <w:marBottom w:val="0"/>
      <w:divBdr>
        <w:top w:val="none" w:sz="0" w:space="0" w:color="auto"/>
        <w:left w:val="none" w:sz="0" w:space="0" w:color="auto"/>
        <w:bottom w:val="none" w:sz="0" w:space="0" w:color="auto"/>
        <w:right w:val="none" w:sz="0" w:space="0" w:color="auto"/>
      </w:divBdr>
    </w:div>
    <w:div w:id="632908843">
      <w:bodyDiv w:val="1"/>
      <w:marLeft w:val="0"/>
      <w:marRight w:val="0"/>
      <w:marTop w:val="0"/>
      <w:marBottom w:val="0"/>
      <w:divBdr>
        <w:top w:val="none" w:sz="0" w:space="0" w:color="auto"/>
        <w:left w:val="none" w:sz="0" w:space="0" w:color="auto"/>
        <w:bottom w:val="none" w:sz="0" w:space="0" w:color="auto"/>
        <w:right w:val="none" w:sz="0" w:space="0" w:color="auto"/>
      </w:divBdr>
    </w:div>
    <w:div w:id="633826670">
      <w:bodyDiv w:val="1"/>
      <w:marLeft w:val="0"/>
      <w:marRight w:val="0"/>
      <w:marTop w:val="0"/>
      <w:marBottom w:val="0"/>
      <w:divBdr>
        <w:top w:val="none" w:sz="0" w:space="0" w:color="auto"/>
        <w:left w:val="none" w:sz="0" w:space="0" w:color="auto"/>
        <w:bottom w:val="none" w:sz="0" w:space="0" w:color="auto"/>
        <w:right w:val="none" w:sz="0" w:space="0" w:color="auto"/>
      </w:divBdr>
    </w:div>
    <w:div w:id="640228269">
      <w:bodyDiv w:val="1"/>
      <w:marLeft w:val="0"/>
      <w:marRight w:val="0"/>
      <w:marTop w:val="0"/>
      <w:marBottom w:val="0"/>
      <w:divBdr>
        <w:top w:val="none" w:sz="0" w:space="0" w:color="auto"/>
        <w:left w:val="none" w:sz="0" w:space="0" w:color="auto"/>
        <w:bottom w:val="none" w:sz="0" w:space="0" w:color="auto"/>
        <w:right w:val="none" w:sz="0" w:space="0" w:color="auto"/>
      </w:divBdr>
    </w:div>
    <w:div w:id="640884371">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53682671">
      <w:bodyDiv w:val="1"/>
      <w:marLeft w:val="0"/>
      <w:marRight w:val="0"/>
      <w:marTop w:val="0"/>
      <w:marBottom w:val="0"/>
      <w:divBdr>
        <w:top w:val="none" w:sz="0" w:space="0" w:color="auto"/>
        <w:left w:val="none" w:sz="0" w:space="0" w:color="auto"/>
        <w:bottom w:val="none" w:sz="0" w:space="0" w:color="auto"/>
        <w:right w:val="none" w:sz="0" w:space="0" w:color="auto"/>
      </w:divBdr>
    </w:div>
    <w:div w:id="656156929">
      <w:bodyDiv w:val="1"/>
      <w:marLeft w:val="0"/>
      <w:marRight w:val="0"/>
      <w:marTop w:val="0"/>
      <w:marBottom w:val="0"/>
      <w:divBdr>
        <w:top w:val="none" w:sz="0" w:space="0" w:color="auto"/>
        <w:left w:val="none" w:sz="0" w:space="0" w:color="auto"/>
        <w:bottom w:val="none" w:sz="0" w:space="0" w:color="auto"/>
        <w:right w:val="none" w:sz="0" w:space="0" w:color="auto"/>
      </w:divBdr>
    </w:div>
    <w:div w:id="680737929">
      <w:bodyDiv w:val="1"/>
      <w:marLeft w:val="0"/>
      <w:marRight w:val="0"/>
      <w:marTop w:val="0"/>
      <w:marBottom w:val="0"/>
      <w:divBdr>
        <w:top w:val="none" w:sz="0" w:space="0" w:color="auto"/>
        <w:left w:val="none" w:sz="0" w:space="0" w:color="auto"/>
        <w:bottom w:val="none" w:sz="0" w:space="0" w:color="auto"/>
        <w:right w:val="none" w:sz="0" w:space="0" w:color="auto"/>
      </w:divBdr>
    </w:div>
    <w:div w:id="682975637">
      <w:bodyDiv w:val="1"/>
      <w:marLeft w:val="0"/>
      <w:marRight w:val="0"/>
      <w:marTop w:val="0"/>
      <w:marBottom w:val="0"/>
      <w:divBdr>
        <w:top w:val="none" w:sz="0" w:space="0" w:color="auto"/>
        <w:left w:val="none" w:sz="0" w:space="0" w:color="auto"/>
        <w:bottom w:val="none" w:sz="0" w:space="0" w:color="auto"/>
        <w:right w:val="none" w:sz="0" w:space="0" w:color="auto"/>
      </w:divBdr>
    </w:div>
    <w:div w:id="684600025">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3843848">
      <w:bodyDiv w:val="1"/>
      <w:marLeft w:val="0"/>
      <w:marRight w:val="0"/>
      <w:marTop w:val="0"/>
      <w:marBottom w:val="0"/>
      <w:divBdr>
        <w:top w:val="none" w:sz="0" w:space="0" w:color="auto"/>
        <w:left w:val="none" w:sz="0" w:space="0" w:color="auto"/>
        <w:bottom w:val="none" w:sz="0" w:space="0" w:color="auto"/>
        <w:right w:val="none" w:sz="0" w:space="0" w:color="auto"/>
      </w:divBdr>
    </w:div>
    <w:div w:id="697001544">
      <w:bodyDiv w:val="1"/>
      <w:marLeft w:val="0"/>
      <w:marRight w:val="0"/>
      <w:marTop w:val="0"/>
      <w:marBottom w:val="0"/>
      <w:divBdr>
        <w:top w:val="none" w:sz="0" w:space="0" w:color="auto"/>
        <w:left w:val="none" w:sz="0" w:space="0" w:color="auto"/>
        <w:bottom w:val="none" w:sz="0" w:space="0" w:color="auto"/>
        <w:right w:val="none" w:sz="0" w:space="0" w:color="auto"/>
      </w:divBdr>
    </w:div>
    <w:div w:id="703210726">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13038681">
      <w:bodyDiv w:val="1"/>
      <w:marLeft w:val="0"/>
      <w:marRight w:val="0"/>
      <w:marTop w:val="0"/>
      <w:marBottom w:val="0"/>
      <w:divBdr>
        <w:top w:val="none" w:sz="0" w:space="0" w:color="auto"/>
        <w:left w:val="none" w:sz="0" w:space="0" w:color="auto"/>
        <w:bottom w:val="none" w:sz="0" w:space="0" w:color="auto"/>
        <w:right w:val="none" w:sz="0" w:space="0" w:color="auto"/>
      </w:divBdr>
    </w:div>
    <w:div w:id="713039241">
      <w:bodyDiv w:val="1"/>
      <w:marLeft w:val="0"/>
      <w:marRight w:val="0"/>
      <w:marTop w:val="0"/>
      <w:marBottom w:val="0"/>
      <w:divBdr>
        <w:top w:val="none" w:sz="0" w:space="0" w:color="auto"/>
        <w:left w:val="none" w:sz="0" w:space="0" w:color="auto"/>
        <w:bottom w:val="none" w:sz="0" w:space="0" w:color="auto"/>
        <w:right w:val="none" w:sz="0" w:space="0" w:color="auto"/>
      </w:divBdr>
    </w:div>
    <w:div w:id="713584786">
      <w:bodyDiv w:val="1"/>
      <w:marLeft w:val="0"/>
      <w:marRight w:val="0"/>
      <w:marTop w:val="0"/>
      <w:marBottom w:val="0"/>
      <w:divBdr>
        <w:top w:val="none" w:sz="0" w:space="0" w:color="auto"/>
        <w:left w:val="none" w:sz="0" w:space="0" w:color="auto"/>
        <w:bottom w:val="none" w:sz="0" w:space="0" w:color="auto"/>
        <w:right w:val="none" w:sz="0" w:space="0" w:color="auto"/>
      </w:divBdr>
    </w:div>
    <w:div w:id="720979210">
      <w:bodyDiv w:val="1"/>
      <w:marLeft w:val="0"/>
      <w:marRight w:val="0"/>
      <w:marTop w:val="0"/>
      <w:marBottom w:val="0"/>
      <w:divBdr>
        <w:top w:val="none" w:sz="0" w:space="0" w:color="auto"/>
        <w:left w:val="none" w:sz="0" w:space="0" w:color="auto"/>
        <w:bottom w:val="none" w:sz="0" w:space="0" w:color="auto"/>
        <w:right w:val="none" w:sz="0" w:space="0" w:color="auto"/>
      </w:divBdr>
    </w:div>
    <w:div w:id="721366415">
      <w:bodyDiv w:val="1"/>
      <w:marLeft w:val="0"/>
      <w:marRight w:val="0"/>
      <w:marTop w:val="0"/>
      <w:marBottom w:val="0"/>
      <w:divBdr>
        <w:top w:val="none" w:sz="0" w:space="0" w:color="auto"/>
        <w:left w:val="none" w:sz="0" w:space="0" w:color="auto"/>
        <w:bottom w:val="none" w:sz="0" w:space="0" w:color="auto"/>
        <w:right w:val="none" w:sz="0" w:space="0" w:color="auto"/>
      </w:divBdr>
    </w:div>
    <w:div w:id="722825004">
      <w:bodyDiv w:val="1"/>
      <w:marLeft w:val="0"/>
      <w:marRight w:val="0"/>
      <w:marTop w:val="0"/>
      <w:marBottom w:val="0"/>
      <w:divBdr>
        <w:top w:val="none" w:sz="0" w:space="0" w:color="auto"/>
        <w:left w:val="none" w:sz="0" w:space="0" w:color="auto"/>
        <w:bottom w:val="none" w:sz="0" w:space="0" w:color="auto"/>
        <w:right w:val="none" w:sz="0" w:space="0" w:color="auto"/>
      </w:divBdr>
    </w:div>
    <w:div w:id="723141195">
      <w:bodyDiv w:val="1"/>
      <w:marLeft w:val="0"/>
      <w:marRight w:val="0"/>
      <w:marTop w:val="0"/>
      <w:marBottom w:val="0"/>
      <w:divBdr>
        <w:top w:val="none" w:sz="0" w:space="0" w:color="auto"/>
        <w:left w:val="none" w:sz="0" w:space="0" w:color="auto"/>
        <w:bottom w:val="none" w:sz="0" w:space="0" w:color="auto"/>
        <w:right w:val="none" w:sz="0" w:space="0" w:color="auto"/>
      </w:divBdr>
    </w:div>
    <w:div w:id="730425320">
      <w:bodyDiv w:val="1"/>
      <w:marLeft w:val="0"/>
      <w:marRight w:val="0"/>
      <w:marTop w:val="0"/>
      <w:marBottom w:val="0"/>
      <w:divBdr>
        <w:top w:val="none" w:sz="0" w:space="0" w:color="auto"/>
        <w:left w:val="none" w:sz="0" w:space="0" w:color="auto"/>
        <w:bottom w:val="none" w:sz="0" w:space="0" w:color="auto"/>
        <w:right w:val="none" w:sz="0" w:space="0" w:color="auto"/>
      </w:divBdr>
    </w:div>
    <w:div w:id="736709775">
      <w:bodyDiv w:val="1"/>
      <w:marLeft w:val="0"/>
      <w:marRight w:val="0"/>
      <w:marTop w:val="0"/>
      <w:marBottom w:val="0"/>
      <w:divBdr>
        <w:top w:val="none" w:sz="0" w:space="0" w:color="auto"/>
        <w:left w:val="none" w:sz="0" w:space="0" w:color="auto"/>
        <w:bottom w:val="none" w:sz="0" w:space="0" w:color="auto"/>
        <w:right w:val="none" w:sz="0" w:space="0" w:color="auto"/>
      </w:divBdr>
    </w:div>
    <w:div w:id="739257238">
      <w:bodyDiv w:val="1"/>
      <w:marLeft w:val="0"/>
      <w:marRight w:val="0"/>
      <w:marTop w:val="0"/>
      <w:marBottom w:val="0"/>
      <w:divBdr>
        <w:top w:val="none" w:sz="0" w:space="0" w:color="auto"/>
        <w:left w:val="none" w:sz="0" w:space="0" w:color="auto"/>
        <w:bottom w:val="none" w:sz="0" w:space="0" w:color="auto"/>
        <w:right w:val="none" w:sz="0" w:space="0" w:color="auto"/>
      </w:divBdr>
    </w:div>
    <w:div w:id="744498590">
      <w:bodyDiv w:val="1"/>
      <w:marLeft w:val="0"/>
      <w:marRight w:val="0"/>
      <w:marTop w:val="0"/>
      <w:marBottom w:val="0"/>
      <w:divBdr>
        <w:top w:val="none" w:sz="0" w:space="0" w:color="auto"/>
        <w:left w:val="none" w:sz="0" w:space="0" w:color="auto"/>
        <w:bottom w:val="none" w:sz="0" w:space="0" w:color="auto"/>
        <w:right w:val="none" w:sz="0" w:space="0" w:color="auto"/>
      </w:divBdr>
    </w:div>
    <w:div w:id="749959375">
      <w:bodyDiv w:val="1"/>
      <w:marLeft w:val="0"/>
      <w:marRight w:val="0"/>
      <w:marTop w:val="0"/>
      <w:marBottom w:val="0"/>
      <w:divBdr>
        <w:top w:val="none" w:sz="0" w:space="0" w:color="auto"/>
        <w:left w:val="none" w:sz="0" w:space="0" w:color="auto"/>
        <w:bottom w:val="none" w:sz="0" w:space="0" w:color="auto"/>
        <w:right w:val="none" w:sz="0" w:space="0" w:color="auto"/>
      </w:divBdr>
    </w:div>
    <w:div w:id="751589757">
      <w:bodyDiv w:val="1"/>
      <w:marLeft w:val="0"/>
      <w:marRight w:val="0"/>
      <w:marTop w:val="0"/>
      <w:marBottom w:val="0"/>
      <w:divBdr>
        <w:top w:val="none" w:sz="0" w:space="0" w:color="auto"/>
        <w:left w:val="none" w:sz="0" w:space="0" w:color="auto"/>
        <w:bottom w:val="none" w:sz="0" w:space="0" w:color="auto"/>
        <w:right w:val="none" w:sz="0" w:space="0" w:color="auto"/>
      </w:divBdr>
    </w:div>
    <w:div w:id="754084030">
      <w:bodyDiv w:val="1"/>
      <w:marLeft w:val="0"/>
      <w:marRight w:val="0"/>
      <w:marTop w:val="0"/>
      <w:marBottom w:val="0"/>
      <w:divBdr>
        <w:top w:val="none" w:sz="0" w:space="0" w:color="auto"/>
        <w:left w:val="none" w:sz="0" w:space="0" w:color="auto"/>
        <w:bottom w:val="none" w:sz="0" w:space="0" w:color="auto"/>
        <w:right w:val="none" w:sz="0" w:space="0" w:color="auto"/>
      </w:divBdr>
    </w:div>
    <w:div w:id="765418319">
      <w:bodyDiv w:val="1"/>
      <w:marLeft w:val="0"/>
      <w:marRight w:val="0"/>
      <w:marTop w:val="0"/>
      <w:marBottom w:val="0"/>
      <w:divBdr>
        <w:top w:val="none" w:sz="0" w:space="0" w:color="auto"/>
        <w:left w:val="none" w:sz="0" w:space="0" w:color="auto"/>
        <w:bottom w:val="none" w:sz="0" w:space="0" w:color="auto"/>
        <w:right w:val="none" w:sz="0" w:space="0" w:color="auto"/>
      </w:divBdr>
    </w:div>
    <w:div w:id="766541509">
      <w:bodyDiv w:val="1"/>
      <w:marLeft w:val="0"/>
      <w:marRight w:val="0"/>
      <w:marTop w:val="0"/>
      <w:marBottom w:val="0"/>
      <w:divBdr>
        <w:top w:val="none" w:sz="0" w:space="0" w:color="auto"/>
        <w:left w:val="none" w:sz="0" w:space="0" w:color="auto"/>
        <w:bottom w:val="none" w:sz="0" w:space="0" w:color="auto"/>
        <w:right w:val="none" w:sz="0" w:space="0" w:color="auto"/>
      </w:divBdr>
    </w:div>
    <w:div w:id="767121538">
      <w:bodyDiv w:val="1"/>
      <w:marLeft w:val="0"/>
      <w:marRight w:val="0"/>
      <w:marTop w:val="0"/>
      <w:marBottom w:val="0"/>
      <w:divBdr>
        <w:top w:val="none" w:sz="0" w:space="0" w:color="auto"/>
        <w:left w:val="none" w:sz="0" w:space="0" w:color="auto"/>
        <w:bottom w:val="none" w:sz="0" w:space="0" w:color="auto"/>
        <w:right w:val="none" w:sz="0" w:space="0" w:color="auto"/>
      </w:divBdr>
    </w:div>
    <w:div w:id="767192895">
      <w:bodyDiv w:val="1"/>
      <w:marLeft w:val="0"/>
      <w:marRight w:val="0"/>
      <w:marTop w:val="0"/>
      <w:marBottom w:val="0"/>
      <w:divBdr>
        <w:top w:val="none" w:sz="0" w:space="0" w:color="auto"/>
        <w:left w:val="none" w:sz="0" w:space="0" w:color="auto"/>
        <w:bottom w:val="none" w:sz="0" w:space="0" w:color="auto"/>
        <w:right w:val="none" w:sz="0" w:space="0" w:color="auto"/>
      </w:divBdr>
    </w:div>
    <w:div w:id="770128424">
      <w:bodyDiv w:val="1"/>
      <w:marLeft w:val="0"/>
      <w:marRight w:val="0"/>
      <w:marTop w:val="0"/>
      <w:marBottom w:val="0"/>
      <w:divBdr>
        <w:top w:val="none" w:sz="0" w:space="0" w:color="auto"/>
        <w:left w:val="none" w:sz="0" w:space="0" w:color="auto"/>
        <w:bottom w:val="none" w:sz="0" w:space="0" w:color="auto"/>
        <w:right w:val="none" w:sz="0" w:space="0" w:color="auto"/>
      </w:divBdr>
    </w:div>
    <w:div w:id="770471970">
      <w:bodyDiv w:val="1"/>
      <w:marLeft w:val="0"/>
      <w:marRight w:val="0"/>
      <w:marTop w:val="0"/>
      <w:marBottom w:val="0"/>
      <w:divBdr>
        <w:top w:val="none" w:sz="0" w:space="0" w:color="auto"/>
        <w:left w:val="none" w:sz="0" w:space="0" w:color="auto"/>
        <w:bottom w:val="none" w:sz="0" w:space="0" w:color="auto"/>
        <w:right w:val="none" w:sz="0" w:space="0" w:color="auto"/>
      </w:divBdr>
    </w:div>
    <w:div w:id="774058822">
      <w:bodyDiv w:val="1"/>
      <w:marLeft w:val="0"/>
      <w:marRight w:val="0"/>
      <w:marTop w:val="0"/>
      <w:marBottom w:val="0"/>
      <w:divBdr>
        <w:top w:val="none" w:sz="0" w:space="0" w:color="auto"/>
        <w:left w:val="none" w:sz="0" w:space="0" w:color="auto"/>
        <w:bottom w:val="none" w:sz="0" w:space="0" w:color="auto"/>
        <w:right w:val="none" w:sz="0" w:space="0" w:color="auto"/>
      </w:divBdr>
    </w:div>
    <w:div w:id="774130981">
      <w:bodyDiv w:val="1"/>
      <w:marLeft w:val="0"/>
      <w:marRight w:val="0"/>
      <w:marTop w:val="0"/>
      <w:marBottom w:val="0"/>
      <w:divBdr>
        <w:top w:val="none" w:sz="0" w:space="0" w:color="auto"/>
        <w:left w:val="none" w:sz="0" w:space="0" w:color="auto"/>
        <w:bottom w:val="none" w:sz="0" w:space="0" w:color="auto"/>
        <w:right w:val="none" w:sz="0" w:space="0" w:color="auto"/>
      </w:divBdr>
    </w:div>
    <w:div w:id="788278089">
      <w:bodyDiv w:val="1"/>
      <w:marLeft w:val="0"/>
      <w:marRight w:val="0"/>
      <w:marTop w:val="0"/>
      <w:marBottom w:val="0"/>
      <w:divBdr>
        <w:top w:val="none" w:sz="0" w:space="0" w:color="auto"/>
        <w:left w:val="none" w:sz="0" w:space="0" w:color="auto"/>
        <w:bottom w:val="none" w:sz="0" w:space="0" w:color="auto"/>
        <w:right w:val="none" w:sz="0" w:space="0" w:color="auto"/>
      </w:divBdr>
    </w:div>
    <w:div w:id="789399508">
      <w:bodyDiv w:val="1"/>
      <w:marLeft w:val="0"/>
      <w:marRight w:val="0"/>
      <w:marTop w:val="0"/>
      <w:marBottom w:val="0"/>
      <w:divBdr>
        <w:top w:val="none" w:sz="0" w:space="0" w:color="auto"/>
        <w:left w:val="none" w:sz="0" w:space="0" w:color="auto"/>
        <w:bottom w:val="none" w:sz="0" w:space="0" w:color="auto"/>
        <w:right w:val="none" w:sz="0" w:space="0" w:color="auto"/>
      </w:divBdr>
    </w:div>
    <w:div w:id="790828399">
      <w:bodyDiv w:val="1"/>
      <w:marLeft w:val="0"/>
      <w:marRight w:val="0"/>
      <w:marTop w:val="0"/>
      <w:marBottom w:val="0"/>
      <w:divBdr>
        <w:top w:val="none" w:sz="0" w:space="0" w:color="auto"/>
        <w:left w:val="none" w:sz="0" w:space="0" w:color="auto"/>
        <w:bottom w:val="none" w:sz="0" w:space="0" w:color="auto"/>
        <w:right w:val="none" w:sz="0" w:space="0" w:color="auto"/>
      </w:divBdr>
    </w:div>
    <w:div w:id="791827623">
      <w:bodyDiv w:val="1"/>
      <w:marLeft w:val="0"/>
      <w:marRight w:val="0"/>
      <w:marTop w:val="0"/>
      <w:marBottom w:val="0"/>
      <w:divBdr>
        <w:top w:val="none" w:sz="0" w:space="0" w:color="auto"/>
        <w:left w:val="none" w:sz="0" w:space="0" w:color="auto"/>
        <w:bottom w:val="none" w:sz="0" w:space="0" w:color="auto"/>
        <w:right w:val="none" w:sz="0" w:space="0" w:color="auto"/>
      </w:divBdr>
    </w:div>
    <w:div w:id="792285586">
      <w:bodyDiv w:val="1"/>
      <w:marLeft w:val="0"/>
      <w:marRight w:val="0"/>
      <w:marTop w:val="0"/>
      <w:marBottom w:val="0"/>
      <w:divBdr>
        <w:top w:val="none" w:sz="0" w:space="0" w:color="auto"/>
        <w:left w:val="none" w:sz="0" w:space="0" w:color="auto"/>
        <w:bottom w:val="none" w:sz="0" w:space="0" w:color="auto"/>
        <w:right w:val="none" w:sz="0" w:space="0" w:color="auto"/>
      </w:divBdr>
    </w:div>
    <w:div w:id="798911957">
      <w:bodyDiv w:val="1"/>
      <w:marLeft w:val="0"/>
      <w:marRight w:val="0"/>
      <w:marTop w:val="0"/>
      <w:marBottom w:val="0"/>
      <w:divBdr>
        <w:top w:val="none" w:sz="0" w:space="0" w:color="auto"/>
        <w:left w:val="none" w:sz="0" w:space="0" w:color="auto"/>
        <w:bottom w:val="none" w:sz="0" w:space="0" w:color="auto"/>
        <w:right w:val="none" w:sz="0" w:space="0" w:color="auto"/>
      </w:divBdr>
    </w:div>
    <w:div w:id="804009641">
      <w:bodyDiv w:val="1"/>
      <w:marLeft w:val="0"/>
      <w:marRight w:val="0"/>
      <w:marTop w:val="0"/>
      <w:marBottom w:val="0"/>
      <w:divBdr>
        <w:top w:val="none" w:sz="0" w:space="0" w:color="auto"/>
        <w:left w:val="none" w:sz="0" w:space="0" w:color="auto"/>
        <w:bottom w:val="none" w:sz="0" w:space="0" w:color="auto"/>
        <w:right w:val="none" w:sz="0" w:space="0" w:color="auto"/>
      </w:divBdr>
    </w:div>
    <w:div w:id="815561993">
      <w:bodyDiv w:val="1"/>
      <w:marLeft w:val="0"/>
      <w:marRight w:val="0"/>
      <w:marTop w:val="0"/>
      <w:marBottom w:val="0"/>
      <w:divBdr>
        <w:top w:val="none" w:sz="0" w:space="0" w:color="auto"/>
        <w:left w:val="none" w:sz="0" w:space="0" w:color="auto"/>
        <w:bottom w:val="none" w:sz="0" w:space="0" w:color="auto"/>
        <w:right w:val="none" w:sz="0" w:space="0" w:color="auto"/>
      </w:divBdr>
    </w:div>
    <w:div w:id="816841285">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25784202">
      <w:bodyDiv w:val="1"/>
      <w:marLeft w:val="0"/>
      <w:marRight w:val="0"/>
      <w:marTop w:val="0"/>
      <w:marBottom w:val="0"/>
      <w:divBdr>
        <w:top w:val="none" w:sz="0" w:space="0" w:color="auto"/>
        <w:left w:val="none" w:sz="0" w:space="0" w:color="auto"/>
        <w:bottom w:val="none" w:sz="0" w:space="0" w:color="auto"/>
        <w:right w:val="none" w:sz="0" w:space="0" w:color="auto"/>
      </w:divBdr>
    </w:div>
    <w:div w:id="832913424">
      <w:bodyDiv w:val="1"/>
      <w:marLeft w:val="0"/>
      <w:marRight w:val="0"/>
      <w:marTop w:val="0"/>
      <w:marBottom w:val="0"/>
      <w:divBdr>
        <w:top w:val="none" w:sz="0" w:space="0" w:color="auto"/>
        <w:left w:val="none" w:sz="0" w:space="0" w:color="auto"/>
        <w:bottom w:val="none" w:sz="0" w:space="0" w:color="auto"/>
        <w:right w:val="none" w:sz="0" w:space="0" w:color="auto"/>
      </w:divBdr>
    </w:div>
    <w:div w:id="834304608">
      <w:bodyDiv w:val="1"/>
      <w:marLeft w:val="0"/>
      <w:marRight w:val="0"/>
      <w:marTop w:val="0"/>
      <w:marBottom w:val="0"/>
      <w:divBdr>
        <w:top w:val="none" w:sz="0" w:space="0" w:color="auto"/>
        <w:left w:val="none" w:sz="0" w:space="0" w:color="auto"/>
        <w:bottom w:val="none" w:sz="0" w:space="0" w:color="auto"/>
        <w:right w:val="none" w:sz="0" w:space="0" w:color="auto"/>
      </w:divBdr>
    </w:div>
    <w:div w:id="834489001">
      <w:bodyDiv w:val="1"/>
      <w:marLeft w:val="0"/>
      <w:marRight w:val="0"/>
      <w:marTop w:val="0"/>
      <w:marBottom w:val="0"/>
      <w:divBdr>
        <w:top w:val="none" w:sz="0" w:space="0" w:color="auto"/>
        <w:left w:val="none" w:sz="0" w:space="0" w:color="auto"/>
        <w:bottom w:val="none" w:sz="0" w:space="0" w:color="auto"/>
        <w:right w:val="none" w:sz="0" w:space="0" w:color="auto"/>
      </w:divBdr>
    </w:div>
    <w:div w:id="842747892">
      <w:bodyDiv w:val="1"/>
      <w:marLeft w:val="0"/>
      <w:marRight w:val="0"/>
      <w:marTop w:val="0"/>
      <w:marBottom w:val="0"/>
      <w:divBdr>
        <w:top w:val="none" w:sz="0" w:space="0" w:color="auto"/>
        <w:left w:val="none" w:sz="0" w:space="0" w:color="auto"/>
        <w:bottom w:val="none" w:sz="0" w:space="0" w:color="auto"/>
        <w:right w:val="none" w:sz="0" w:space="0" w:color="auto"/>
      </w:divBdr>
    </w:div>
    <w:div w:id="846411189">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4341429">
      <w:bodyDiv w:val="1"/>
      <w:marLeft w:val="0"/>
      <w:marRight w:val="0"/>
      <w:marTop w:val="0"/>
      <w:marBottom w:val="0"/>
      <w:divBdr>
        <w:top w:val="none" w:sz="0" w:space="0" w:color="auto"/>
        <w:left w:val="none" w:sz="0" w:space="0" w:color="auto"/>
        <w:bottom w:val="none" w:sz="0" w:space="0" w:color="auto"/>
        <w:right w:val="none" w:sz="0" w:space="0" w:color="auto"/>
      </w:divBdr>
    </w:div>
    <w:div w:id="854466945">
      <w:bodyDiv w:val="1"/>
      <w:marLeft w:val="0"/>
      <w:marRight w:val="0"/>
      <w:marTop w:val="0"/>
      <w:marBottom w:val="0"/>
      <w:divBdr>
        <w:top w:val="none" w:sz="0" w:space="0" w:color="auto"/>
        <w:left w:val="none" w:sz="0" w:space="0" w:color="auto"/>
        <w:bottom w:val="none" w:sz="0" w:space="0" w:color="auto"/>
        <w:right w:val="none" w:sz="0" w:space="0" w:color="auto"/>
      </w:divBdr>
    </w:div>
    <w:div w:id="859901638">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68835970">
      <w:bodyDiv w:val="1"/>
      <w:marLeft w:val="0"/>
      <w:marRight w:val="0"/>
      <w:marTop w:val="0"/>
      <w:marBottom w:val="0"/>
      <w:divBdr>
        <w:top w:val="none" w:sz="0" w:space="0" w:color="auto"/>
        <w:left w:val="none" w:sz="0" w:space="0" w:color="auto"/>
        <w:bottom w:val="none" w:sz="0" w:space="0" w:color="auto"/>
        <w:right w:val="none" w:sz="0" w:space="0" w:color="auto"/>
      </w:divBdr>
    </w:div>
    <w:div w:id="872890110">
      <w:bodyDiv w:val="1"/>
      <w:marLeft w:val="0"/>
      <w:marRight w:val="0"/>
      <w:marTop w:val="0"/>
      <w:marBottom w:val="0"/>
      <w:divBdr>
        <w:top w:val="none" w:sz="0" w:space="0" w:color="auto"/>
        <w:left w:val="none" w:sz="0" w:space="0" w:color="auto"/>
        <w:bottom w:val="none" w:sz="0" w:space="0" w:color="auto"/>
        <w:right w:val="none" w:sz="0" w:space="0" w:color="auto"/>
      </w:divBdr>
    </w:div>
    <w:div w:id="873156281">
      <w:bodyDiv w:val="1"/>
      <w:marLeft w:val="0"/>
      <w:marRight w:val="0"/>
      <w:marTop w:val="0"/>
      <w:marBottom w:val="0"/>
      <w:divBdr>
        <w:top w:val="none" w:sz="0" w:space="0" w:color="auto"/>
        <w:left w:val="none" w:sz="0" w:space="0" w:color="auto"/>
        <w:bottom w:val="none" w:sz="0" w:space="0" w:color="auto"/>
        <w:right w:val="none" w:sz="0" w:space="0" w:color="auto"/>
      </w:divBdr>
    </w:div>
    <w:div w:id="877931576">
      <w:bodyDiv w:val="1"/>
      <w:marLeft w:val="0"/>
      <w:marRight w:val="0"/>
      <w:marTop w:val="0"/>
      <w:marBottom w:val="0"/>
      <w:divBdr>
        <w:top w:val="none" w:sz="0" w:space="0" w:color="auto"/>
        <w:left w:val="none" w:sz="0" w:space="0" w:color="auto"/>
        <w:bottom w:val="none" w:sz="0" w:space="0" w:color="auto"/>
        <w:right w:val="none" w:sz="0" w:space="0" w:color="auto"/>
      </w:divBdr>
    </w:div>
    <w:div w:id="878013824">
      <w:bodyDiv w:val="1"/>
      <w:marLeft w:val="0"/>
      <w:marRight w:val="0"/>
      <w:marTop w:val="0"/>
      <w:marBottom w:val="0"/>
      <w:divBdr>
        <w:top w:val="none" w:sz="0" w:space="0" w:color="auto"/>
        <w:left w:val="none" w:sz="0" w:space="0" w:color="auto"/>
        <w:bottom w:val="none" w:sz="0" w:space="0" w:color="auto"/>
        <w:right w:val="none" w:sz="0" w:space="0" w:color="auto"/>
      </w:divBdr>
    </w:div>
    <w:div w:id="878202629">
      <w:bodyDiv w:val="1"/>
      <w:marLeft w:val="0"/>
      <w:marRight w:val="0"/>
      <w:marTop w:val="0"/>
      <w:marBottom w:val="0"/>
      <w:divBdr>
        <w:top w:val="none" w:sz="0" w:space="0" w:color="auto"/>
        <w:left w:val="none" w:sz="0" w:space="0" w:color="auto"/>
        <w:bottom w:val="none" w:sz="0" w:space="0" w:color="auto"/>
        <w:right w:val="none" w:sz="0" w:space="0" w:color="auto"/>
      </w:divBdr>
    </w:div>
    <w:div w:id="881206457">
      <w:bodyDiv w:val="1"/>
      <w:marLeft w:val="0"/>
      <w:marRight w:val="0"/>
      <w:marTop w:val="0"/>
      <w:marBottom w:val="0"/>
      <w:divBdr>
        <w:top w:val="none" w:sz="0" w:space="0" w:color="auto"/>
        <w:left w:val="none" w:sz="0" w:space="0" w:color="auto"/>
        <w:bottom w:val="none" w:sz="0" w:space="0" w:color="auto"/>
        <w:right w:val="none" w:sz="0" w:space="0" w:color="auto"/>
      </w:divBdr>
    </w:div>
    <w:div w:id="886188807">
      <w:bodyDiv w:val="1"/>
      <w:marLeft w:val="0"/>
      <w:marRight w:val="0"/>
      <w:marTop w:val="0"/>
      <w:marBottom w:val="0"/>
      <w:divBdr>
        <w:top w:val="none" w:sz="0" w:space="0" w:color="auto"/>
        <w:left w:val="none" w:sz="0" w:space="0" w:color="auto"/>
        <w:bottom w:val="none" w:sz="0" w:space="0" w:color="auto"/>
        <w:right w:val="none" w:sz="0" w:space="0" w:color="auto"/>
      </w:divBdr>
    </w:div>
    <w:div w:id="886987048">
      <w:bodyDiv w:val="1"/>
      <w:marLeft w:val="0"/>
      <w:marRight w:val="0"/>
      <w:marTop w:val="0"/>
      <w:marBottom w:val="0"/>
      <w:divBdr>
        <w:top w:val="none" w:sz="0" w:space="0" w:color="auto"/>
        <w:left w:val="none" w:sz="0" w:space="0" w:color="auto"/>
        <w:bottom w:val="none" w:sz="0" w:space="0" w:color="auto"/>
        <w:right w:val="none" w:sz="0" w:space="0" w:color="auto"/>
      </w:divBdr>
    </w:div>
    <w:div w:id="890073125">
      <w:bodyDiv w:val="1"/>
      <w:marLeft w:val="0"/>
      <w:marRight w:val="0"/>
      <w:marTop w:val="0"/>
      <w:marBottom w:val="0"/>
      <w:divBdr>
        <w:top w:val="none" w:sz="0" w:space="0" w:color="auto"/>
        <w:left w:val="none" w:sz="0" w:space="0" w:color="auto"/>
        <w:bottom w:val="none" w:sz="0" w:space="0" w:color="auto"/>
        <w:right w:val="none" w:sz="0" w:space="0" w:color="auto"/>
      </w:divBdr>
    </w:div>
    <w:div w:id="900166422">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1257424">
      <w:bodyDiv w:val="1"/>
      <w:marLeft w:val="0"/>
      <w:marRight w:val="0"/>
      <w:marTop w:val="0"/>
      <w:marBottom w:val="0"/>
      <w:divBdr>
        <w:top w:val="none" w:sz="0" w:space="0" w:color="auto"/>
        <w:left w:val="none" w:sz="0" w:space="0" w:color="auto"/>
        <w:bottom w:val="none" w:sz="0" w:space="0" w:color="auto"/>
        <w:right w:val="none" w:sz="0" w:space="0" w:color="auto"/>
      </w:divBdr>
    </w:div>
    <w:div w:id="910962220">
      <w:bodyDiv w:val="1"/>
      <w:marLeft w:val="0"/>
      <w:marRight w:val="0"/>
      <w:marTop w:val="0"/>
      <w:marBottom w:val="0"/>
      <w:divBdr>
        <w:top w:val="none" w:sz="0" w:space="0" w:color="auto"/>
        <w:left w:val="none" w:sz="0" w:space="0" w:color="auto"/>
        <w:bottom w:val="none" w:sz="0" w:space="0" w:color="auto"/>
        <w:right w:val="none" w:sz="0" w:space="0" w:color="auto"/>
      </w:divBdr>
    </w:div>
    <w:div w:id="912853828">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6860906">
      <w:bodyDiv w:val="1"/>
      <w:marLeft w:val="0"/>
      <w:marRight w:val="0"/>
      <w:marTop w:val="0"/>
      <w:marBottom w:val="0"/>
      <w:divBdr>
        <w:top w:val="none" w:sz="0" w:space="0" w:color="auto"/>
        <w:left w:val="none" w:sz="0" w:space="0" w:color="auto"/>
        <w:bottom w:val="none" w:sz="0" w:space="0" w:color="auto"/>
        <w:right w:val="none" w:sz="0" w:space="0" w:color="auto"/>
      </w:divBdr>
    </w:div>
    <w:div w:id="928078970">
      <w:bodyDiv w:val="1"/>
      <w:marLeft w:val="0"/>
      <w:marRight w:val="0"/>
      <w:marTop w:val="0"/>
      <w:marBottom w:val="0"/>
      <w:divBdr>
        <w:top w:val="none" w:sz="0" w:space="0" w:color="auto"/>
        <w:left w:val="none" w:sz="0" w:space="0" w:color="auto"/>
        <w:bottom w:val="none" w:sz="0" w:space="0" w:color="auto"/>
        <w:right w:val="none" w:sz="0" w:space="0" w:color="auto"/>
      </w:divBdr>
    </w:div>
    <w:div w:id="930432832">
      <w:bodyDiv w:val="1"/>
      <w:marLeft w:val="0"/>
      <w:marRight w:val="0"/>
      <w:marTop w:val="0"/>
      <w:marBottom w:val="0"/>
      <w:divBdr>
        <w:top w:val="none" w:sz="0" w:space="0" w:color="auto"/>
        <w:left w:val="none" w:sz="0" w:space="0" w:color="auto"/>
        <w:bottom w:val="none" w:sz="0" w:space="0" w:color="auto"/>
        <w:right w:val="none" w:sz="0" w:space="0" w:color="auto"/>
      </w:divBdr>
    </w:div>
    <w:div w:id="939022345">
      <w:bodyDiv w:val="1"/>
      <w:marLeft w:val="0"/>
      <w:marRight w:val="0"/>
      <w:marTop w:val="0"/>
      <w:marBottom w:val="0"/>
      <w:divBdr>
        <w:top w:val="none" w:sz="0" w:space="0" w:color="auto"/>
        <w:left w:val="none" w:sz="0" w:space="0" w:color="auto"/>
        <w:bottom w:val="none" w:sz="0" w:space="0" w:color="auto"/>
        <w:right w:val="none" w:sz="0" w:space="0" w:color="auto"/>
      </w:divBdr>
    </w:div>
    <w:div w:id="949166089">
      <w:bodyDiv w:val="1"/>
      <w:marLeft w:val="0"/>
      <w:marRight w:val="0"/>
      <w:marTop w:val="0"/>
      <w:marBottom w:val="0"/>
      <w:divBdr>
        <w:top w:val="none" w:sz="0" w:space="0" w:color="auto"/>
        <w:left w:val="none" w:sz="0" w:space="0" w:color="auto"/>
        <w:bottom w:val="none" w:sz="0" w:space="0" w:color="auto"/>
        <w:right w:val="none" w:sz="0" w:space="0" w:color="auto"/>
      </w:divBdr>
    </w:div>
    <w:div w:id="953442025">
      <w:bodyDiv w:val="1"/>
      <w:marLeft w:val="0"/>
      <w:marRight w:val="0"/>
      <w:marTop w:val="0"/>
      <w:marBottom w:val="0"/>
      <w:divBdr>
        <w:top w:val="none" w:sz="0" w:space="0" w:color="auto"/>
        <w:left w:val="none" w:sz="0" w:space="0" w:color="auto"/>
        <w:bottom w:val="none" w:sz="0" w:space="0" w:color="auto"/>
        <w:right w:val="none" w:sz="0" w:space="0" w:color="auto"/>
      </w:divBdr>
    </w:div>
    <w:div w:id="959338648">
      <w:bodyDiv w:val="1"/>
      <w:marLeft w:val="0"/>
      <w:marRight w:val="0"/>
      <w:marTop w:val="0"/>
      <w:marBottom w:val="0"/>
      <w:divBdr>
        <w:top w:val="none" w:sz="0" w:space="0" w:color="auto"/>
        <w:left w:val="none" w:sz="0" w:space="0" w:color="auto"/>
        <w:bottom w:val="none" w:sz="0" w:space="0" w:color="auto"/>
        <w:right w:val="none" w:sz="0" w:space="0" w:color="auto"/>
      </w:divBdr>
    </w:div>
    <w:div w:id="960845657">
      <w:bodyDiv w:val="1"/>
      <w:marLeft w:val="0"/>
      <w:marRight w:val="0"/>
      <w:marTop w:val="0"/>
      <w:marBottom w:val="0"/>
      <w:divBdr>
        <w:top w:val="none" w:sz="0" w:space="0" w:color="auto"/>
        <w:left w:val="none" w:sz="0" w:space="0" w:color="auto"/>
        <w:bottom w:val="none" w:sz="0" w:space="0" w:color="auto"/>
        <w:right w:val="none" w:sz="0" w:space="0" w:color="auto"/>
      </w:divBdr>
    </w:div>
    <w:div w:id="963314853">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4480935">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9113683">
      <w:bodyDiv w:val="1"/>
      <w:marLeft w:val="0"/>
      <w:marRight w:val="0"/>
      <w:marTop w:val="0"/>
      <w:marBottom w:val="0"/>
      <w:divBdr>
        <w:top w:val="none" w:sz="0" w:space="0" w:color="auto"/>
        <w:left w:val="none" w:sz="0" w:space="0" w:color="auto"/>
        <w:bottom w:val="none" w:sz="0" w:space="0" w:color="auto"/>
        <w:right w:val="none" w:sz="0" w:space="0" w:color="auto"/>
      </w:divBdr>
    </w:div>
    <w:div w:id="1000038164">
      <w:bodyDiv w:val="1"/>
      <w:marLeft w:val="0"/>
      <w:marRight w:val="0"/>
      <w:marTop w:val="0"/>
      <w:marBottom w:val="0"/>
      <w:divBdr>
        <w:top w:val="none" w:sz="0" w:space="0" w:color="auto"/>
        <w:left w:val="none" w:sz="0" w:space="0" w:color="auto"/>
        <w:bottom w:val="none" w:sz="0" w:space="0" w:color="auto"/>
        <w:right w:val="none" w:sz="0" w:space="0" w:color="auto"/>
      </w:divBdr>
    </w:div>
    <w:div w:id="1001736916">
      <w:bodyDiv w:val="1"/>
      <w:marLeft w:val="0"/>
      <w:marRight w:val="0"/>
      <w:marTop w:val="0"/>
      <w:marBottom w:val="0"/>
      <w:divBdr>
        <w:top w:val="none" w:sz="0" w:space="0" w:color="auto"/>
        <w:left w:val="none" w:sz="0" w:space="0" w:color="auto"/>
        <w:bottom w:val="none" w:sz="0" w:space="0" w:color="auto"/>
        <w:right w:val="none" w:sz="0" w:space="0" w:color="auto"/>
      </w:divBdr>
    </w:div>
    <w:div w:id="1001859558">
      <w:bodyDiv w:val="1"/>
      <w:marLeft w:val="0"/>
      <w:marRight w:val="0"/>
      <w:marTop w:val="0"/>
      <w:marBottom w:val="0"/>
      <w:divBdr>
        <w:top w:val="none" w:sz="0" w:space="0" w:color="auto"/>
        <w:left w:val="none" w:sz="0" w:space="0" w:color="auto"/>
        <w:bottom w:val="none" w:sz="0" w:space="0" w:color="auto"/>
        <w:right w:val="none" w:sz="0" w:space="0" w:color="auto"/>
      </w:divBdr>
    </w:div>
    <w:div w:id="1009481586">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1571186">
      <w:bodyDiv w:val="1"/>
      <w:marLeft w:val="0"/>
      <w:marRight w:val="0"/>
      <w:marTop w:val="0"/>
      <w:marBottom w:val="0"/>
      <w:divBdr>
        <w:top w:val="none" w:sz="0" w:space="0" w:color="auto"/>
        <w:left w:val="none" w:sz="0" w:space="0" w:color="auto"/>
        <w:bottom w:val="none" w:sz="0" w:space="0" w:color="auto"/>
        <w:right w:val="none" w:sz="0" w:space="0" w:color="auto"/>
      </w:divBdr>
    </w:div>
    <w:div w:id="1018511062">
      <w:bodyDiv w:val="1"/>
      <w:marLeft w:val="0"/>
      <w:marRight w:val="0"/>
      <w:marTop w:val="0"/>
      <w:marBottom w:val="0"/>
      <w:divBdr>
        <w:top w:val="none" w:sz="0" w:space="0" w:color="auto"/>
        <w:left w:val="none" w:sz="0" w:space="0" w:color="auto"/>
        <w:bottom w:val="none" w:sz="0" w:space="0" w:color="auto"/>
        <w:right w:val="none" w:sz="0" w:space="0" w:color="auto"/>
      </w:divBdr>
    </w:div>
    <w:div w:id="1020399904">
      <w:bodyDiv w:val="1"/>
      <w:marLeft w:val="0"/>
      <w:marRight w:val="0"/>
      <w:marTop w:val="0"/>
      <w:marBottom w:val="0"/>
      <w:divBdr>
        <w:top w:val="none" w:sz="0" w:space="0" w:color="auto"/>
        <w:left w:val="none" w:sz="0" w:space="0" w:color="auto"/>
        <w:bottom w:val="none" w:sz="0" w:space="0" w:color="auto"/>
        <w:right w:val="none" w:sz="0" w:space="0" w:color="auto"/>
      </w:divBdr>
    </w:div>
    <w:div w:id="1032994084">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9552222">
      <w:bodyDiv w:val="1"/>
      <w:marLeft w:val="0"/>
      <w:marRight w:val="0"/>
      <w:marTop w:val="0"/>
      <w:marBottom w:val="0"/>
      <w:divBdr>
        <w:top w:val="none" w:sz="0" w:space="0" w:color="auto"/>
        <w:left w:val="none" w:sz="0" w:space="0" w:color="auto"/>
        <w:bottom w:val="none" w:sz="0" w:space="0" w:color="auto"/>
        <w:right w:val="none" w:sz="0" w:space="0" w:color="auto"/>
      </w:divBdr>
    </w:div>
    <w:div w:id="1040399313">
      <w:bodyDiv w:val="1"/>
      <w:marLeft w:val="0"/>
      <w:marRight w:val="0"/>
      <w:marTop w:val="0"/>
      <w:marBottom w:val="0"/>
      <w:divBdr>
        <w:top w:val="none" w:sz="0" w:space="0" w:color="auto"/>
        <w:left w:val="none" w:sz="0" w:space="0" w:color="auto"/>
        <w:bottom w:val="none" w:sz="0" w:space="0" w:color="auto"/>
        <w:right w:val="none" w:sz="0" w:space="0" w:color="auto"/>
      </w:divBdr>
    </w:div>
    <w:div w:id="1041516529">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6486608">
      <w:bodyDiv w:val="1"/>
      <w:marLeft w:val="0"/>
      <w:marRight w:val="0"/>
      <w:marTop w:val="0"/>
      <w:marBottom w:val="0"/>
      <w:divBdr>
        <w:top w:val="none" w:sz="0" w:space="0" w:color="auto"/>
        <w:left w:val="none" w:sz="0" w:space="0" w:color="auto"/>
        <w:bottom w:val="none" w:sz="0" w:space="0" w:color="auto"/>
        <w:right w:val="none" w:sz="0" w:space="0" w:color="auto"/>
      </w:divBdr>
    </w:div>
    <w:div w:id="1056515918">
      <w:bodyDiv w:val="1"/>
      <w:marLeft w:val="0"/>
      <w:marRight w:val="0"/>
      <w:marTop w:val="0"/>
      <w:marBottom w:val="0"/>
      <w:divBdr>
        <w:top w:val="none" w:sz="0" w:space="0" w:color="auto"/>
        <w:left w:val="none" w:sz="0" w:space="0" w:color="auto"/>
        <w:bottom w:val="none" w:sz="0" w:space="0" w:color="auto"/>
        <w:right w:val="none" w:sz="0" w:space="0" w:color="auto"/>
      </w:divBdr>
    </w:div>
    <w:div w:id="1058472836">
      <w:bodyDiv w:val="1"/>
      <w:marLeft w:val="0"/>
      <w:marRight w:val="0"/>
      <w:marTop w:val="0"/>
      <w:marBottom w:val="0"/>
      <w:divBdr>
        <w:top w:val="none" w:sz="0" w:space="0" w:color="auto"/>
        <w:left w:val="none" w:sz="0" w:space="0" w:color="auto"/>
        <w:bottom w:val="none" w:sz="0" w:space="0" w:color="auto"/>
        <w:right w:val="none" w:sz="0" w:space="0" w:color="auto"/>
      </w:divBdr>
    </w:div>
    <w:div w:id="1068386887">
      <w:bodyDiv w:val="1"/>
      <w:marLeft w:val="0"/>
      <w:marRight w:val="0"/>
      <w:marTop w:val="0"/>
      <w:marBottom w:val="0"/>
      <w:divBdr>
        <w:top w:val="none" w:sz="0" w:space="0" w:color="auto"/>
        <w:left w:val="none" w:sz="0" w:space="0" w:color="auto"/>
        <w:bottom w:val="none" w:sz="0" w:space="0" w:color="auto"/>
        <w:right w:val="none" w:sz="0" w:space="0" w:color="auto"/>
      </w:divBdr>
    </w:div>
    <w:div w:id="1074934198">
      <w:bodyDiv w:val="1"/>
      <w:marLeft w:val="0"/>
      <w:marRight w:val="0"/>
      <w:marTop w:val="0"/>
      <w:marBottom w:val="0"/>
      <w:divBdr>
        <w:top w:val="none" w:sz="0" w:space="0" w:color="auto"/>
        <w:left w:val="none" w:sz="0" w:space="0" w:color="auto"/>
        <w:bottom w:val="none" w:sz="0" w:space="0" w:color="auto"/>
        <w:right w:val="none" w:sz="0" w:space="0" w:color="auto"/>
      </w:divBdr>
    </w:div>
    <w:div w:id="1074937495">
      <w:bodyDiv w:val="1"/>
      <w:marLeft w:val="0"/>
      <w:marRight w:val="0"/>
      <w:marTop w:val="0"/>
      <w:marBottom w:val="0"/>
      <w:divBdr>
        <w:top w:val="none" w:sz="0" w:space="0" w:color="auto"/>
        <w:left w:val="none" w:sz="0" w:space="0" w:color="auto"/>
        <w:bottom w:val="none" w:sz="0" w:space="0" w:color="auto"/>
        <w:right w:val="none" w:sz="0" w:space="0" w:color="auto"/>
      </w:divBdr>
    </w:div>
    <w:div w:id="1078792669">
      <w:bodyDiv w:val="1"/>
      <w:marLeft w:val="0"/>
      <w:marRight w:val="0"/>
      <w:marTop w:val="0"/>
      <w:marBottom w:val="0"/>
      <w:divBdr>
        <w:top w:val="none" w:sz="0" w:space="0" w:color="auto"/>
        <w:left w:val="none" w:sz="0" w:space="0" w:color="auto"/>
        <w:bottom w:val="none" w:sz="0" w:space="0" w:color="auto"/>
        <w:right w:val="none" w:sz="0" w:space="0" w:color="auto"/>
      </w:divBdr>
    </w:div>
    <w:div w:id="108248201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871430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4962494">
      <w:bodyDiv w:val="1"/>
      <w:marLeft w:val="0"/>
      <w:marRight w:val="0"/>
      <w:marTop w:val="0"/>
      <w:marBottom w:val="0"/>
      <w:divBdr>
        <w:top w:val="none" w:sz="0" w:space="0" w:color="auto"/>
        <w:left w:val="none" w:sz="0" w:space="0" w:color="auto"/>
        <w:bottom w:val="none" w:sz="0" w:space="0" w:color="auto"/>
        <w:right w:val="none" w:sz="0" w:space="0" w:color="auto"/>
      </w:divBdr>
    </w:div>
    <w:div w:id="1106147774">
      <w:bodyDiv w:val="1"/>
      <w:marLeft w:val="0"/>
      <w:marRight w:val="0"/>
      <w:marTop w:val="0"/>
      <w:marBottom w:val="0"/>
      <w:divBdr>
        <w:top w:val="none" w:sz="0" w:space="0" w:color="auto"/>
        <w:left w:val="none" w:sz="0" w:space="0" w:color="auto"/>
        <w:bottom w:val="none" w:sz="0" w:space="0" w:color="auto"/>
        <w:right w:val="none" w:sz="0" w:space="0" w:color="auto"/>
      </w:divBdr>
    </w:div>
    <w:div w:id="1106313812">
      <w:bodyDiv w:val="1"/>
      <w:marLeft w:val="0"/>
      <w:marRight w:val="0"/>
      <w:marTop w:val="0"/>
      <w:marBottom w:val="0"/>
      <w:divBdr>
        <w:top w:val="none" w:sz="0" w:space="0" w:color="auto"/>
        <w:left w:val="none" w:sz="0" w:space="0" w:color="auto"/>
        <w:bottom w:val="none" w:sz="0" w:space="0" w:color="auto"/>
        <w:right w:val="none" w:sz="0" w:space="0" w:color="auto"/>
      </w:divBdr>
    </w:div>
    <w:div w:id="1108046905">
      <w:bodyDiv w:val="1"/>
      <w:marLeft w:val="0"/>
      <w:marRight w:val="0"/>
      <w:marTop w:val="0"/>
      <w:marBottom w:val="0"/>
      <w:divBdr>
        <w:top w:val="none" w:sz="0" w:space="0" w:color="auto"/>
        <w:left w:val="none" w:sz="0" w:space="0" w:color="auto"/>
        <w:bottom w:val="none" w:sz="0" w:space="0" w:color="auto"/>
        <w:right w:val="none" w:sz="0" w:space="0" w:color="auto"/>
      </w:divBdr>
    </w:div>
    <w:div w:id="111432908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23309701">
      <w:bodyDiv w:val="1"/>
      <w:marLeft w:val="0"/>
      <w:marRight w:val="0"/>
      <w:marTop w:val="0"/>
      <w:marBottom w:val="0"/>
      <w:divBdr>
        <w:top w:val="none" w:sz="0" w:space="0" w:color="auto"/>
        <w:left w:val="none" w:sz="0" w:space="0" w:color="auto"/>
        <w:bottom w:val="none" w:sz="0" w:space="0" w:color="auto"/>
        <w:right w:val="none" w:sz="0" w:space="0" w:color="auto"/>
      </w:divBdr>
    </w:div>
    <w:div w:id="1124884388">
      <w:bodyDiv w:val="1"/>
      <w:marLeft w:val="0"/>
      <w:marRight w:val="0"/>
      <w:marTop w:val="0"/>
      <w:marBottom w:val="0"/>
      <w:divBdr>
        <w:top w:val="none" w:sz="0" w:space="0" w:color="auto"/>
        <w:left w:val="none" w:sz="0" w:space="0" w:color="auto"/>
        <w:bottom w:val="none" w:sz="0" w:space="0" w:color="auto"/>
        <w:right w:val="none" w:sz="0" w:space="0" w:color="auto"/>
      </w:divBdr>
    </w:div>
    <w:div w:id="1127940616">
      <w:bodyDiv w:val="1"/>
      <w:marLeft w:val="0"/>
      <w:marRight w:val="0"/>
      <w:marTop w:val="0"/>
      <w:marBottom w:val="0"/>
      <w:divBdr>
        <w:top w:val="none" w:sz="0" w:space="0" w:color="auto"/>
        <w:left w:val="none" w:sz="0" w:space="0" w:color="auto"/>
        <w:bottom w:val="none" w:sz="0" w:space="0" w:color="auto"/>
        <w:right w:val="none" w:sz="0" w:space="0" w:color="auto"/>
      </w:divBdr>
    </w:div>
    <w:div w:id="1128665267">
      <w:bodyDiv w:val="1"/>
      <w:marLeft w:val="0"/>
      <w:marRight w:val="0"/>
      <w:marTop w:val="0"/>
      <w:marBottom w:val="0"/>
      <w:divBdr>
        <w:top w:val="none" w:sz="0" w:space="0" w:color="auto"/>
        <w:left w:val="none" w:sz="0" w:space="0" w:color="auto"/>
        <w:bottom w:val="none" w:sz="0" w:space="0" w:color="auto"/>
        <w:right w:val="none" w:sz="0" w:space="0" w:color="auto"/>
      </w:divBdr>
    </w:div>
    <w:div w:id="1131826562">
      <w:bodyDiv w:val="1"/>
      <w:marLeft w:val="0"/>
      <w:marRight w:val="0"/>
      <w:marTop w:val="0"/>
      <w:marBottom w:val="0"/>
      <w:divBdr>
        <w:top w:val="none" w:sz="0" w:space="0" w:color="auto"/>
        <w:left w:val="none" w:sz="0" w:space="0" w:color="auto"/>
        <w:bottom w:val="none" w:sz="0" w:space="0" w:color="auto"/>
        <w:right w:val="none" w:sz="0" w:space="0" w:color="auto"/>
      </w:divBdr>
    </w:div>
    <w:div w:id="1134443257">
      <w:bodyDiv w:val="1"/>
      <w:marLeft w:val="0"/>
      <w:marRight w:val="0"/>
      <w:marTop w:val="0"/>
      <w:marBottom w:val="0"/>
      <w:divBdr>
        <w:top w:val="none" w:sz="0" w:space="0" w:color="auto"/>
        <w:left w:val="none" w:sz="0" w:space="0" w:color="auto"/>
        <w:bottom w:val="none" w:sz="0" w:space="0" w:color="auto"/>
        <w:right w:val="none" w:sz="0" w:space="0" w:color="auto"/>
      </w:divBdr>
    </w:div>
    <w:div w:id="1144350180">
      <w:bodyDiv w:val="1"/>
      <w:marLeft w:val="0"/>
      <w:marRight w:val="0"/>
      <w:marTop w:val="0"/>
      <w:marBottom w:val="0"/>
      <w:divBdr>
        <w:top w:val="none" w:sz="0" w:space="0" w:color="auto"/>
        <w:left w:val="none" w:sz="0" w:space="0" w:color="auto"/>
        <w:bottom w:val="none" w:sz="0" w:space="0" w:color="auto"/>
        <w:right w:val="none" w:sz="0" w:space="0" w:color="auto"/>
      </w:divBdr>
    </w:div>
    <w:div w:id="1144590798">
      <w:bodyDiv w:val="1"/>
      <w:marLeft w:val="0"/>
      <w:marRight w:val="0"/>
      <w:marTop w:val="0"/>
      <w:marBottom w:val="0"/>
      <w:divBdr>
        <w:top w:val="none" w:sz="0" w:space="0" w:color="auto"/>
        <w:left w:val="none" w:sz="0" w:space="0" w:color="auto"/>
        <w:bottom w:val="none" w:sz="0" w:space="0" w:color="auto"/>
        <w:right w:val="none" w:sz="0" w:space="0" w:color="auto"/>
      </w:divBdr>
    </w:div>
    <w:div w:id="1151827255">
      <w:bodyDiv w:val="1"/>
      <w:marLeft w:val="0"/>
      <w:marRight w:val="0"/>
      <w:marTop w:val="0"/>
      <w:marBottom w:val="0"/>
      <w:divBdr>
        <w:top w:val="none" w:sz="0" w:space="0" w:color="auto"/>
        <w:left w:val="none" w:sz="0" w:space="0" w:color="auto"/>
        <w:bottom w:val="none" w:sz="0" w:space="0" w:color="auto"/>
        <w:right w:val="none" w:sz="0" w:space="0" w:color="auto"/>
      </w:divBdr>
    </w:div>
    <w:div w:id="1163811168">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8402556">
      <w:bodyDiv w:val="1"/>
      <w:marLeft w:val="0"/>
      <w:marRight w:val="0"/>
      <w:marTop w:val="0"/>
      <w:marBottom w:val="0"/>
      <w:divBdr>
        <w:top w:val="none" w:sz="0" w:space="0" w:color="auto"/>
        <w:left w:val="none" w:sz="0" w:space="0" w:color="auto"/>
        <w:bottom w:val="none" w:sz="0" w:space="0" w:color="auto"/>
        <w:right w:val="none" w:sz="0" w:space="0" w:color="auto"/>
      </w:divBdr>
    </w:div>
    <w:div w:id="1169296048">
      <w:bodyDiv w:val="1"/>
      <w:marLeft w:val="0"/>
      <w:marRight w:val="0"/>
      <w:marTop w:val="0"/>
      <w:marBottom w:val="0"/>
      <w:divBdr>
        <w:top w:val="none" w:sz="0" w:space="0" w:color="auto"/>
        <w:left w:val="none" w:sz="0" w:space="0" w:color="auto"/>
        <w:bottom w:val="none" w:sz="0" w:space="0" w:color="auto"/>
        <w:right w:val="none" w:sz="0" w:space="0" w:color="auto"/>
      </w:divBdr>
    </w:div>
    <w:div w:id="1178033222">
      <w:bodyDiv w:val="1"/>
      <w:marLeft w:val="0"/>
      <w:marRight w:val="0"/>
      <w:marTop w:val="0"/>
      <w:marBottom w:val="0"/>
      <w:divBdr>
        <w:top w:val="none" w:sz="0" w:space="0" w:color="auto"/>
        <w:left w:val="none" w:sz="0" w:space="0" w:color="auto"/>
        <w:bottom w:val="none" w:sz="0" w:space="0" w:color="auto"/>
        <w:right w:val="none" w:sz="0" w:space="0" w:color="auto"/>
      </w:divBdr>
    </w:div>
    <w:div w:id="1181966281">
      <w:bodyDiv w:val="1"/>
      <w:marLeft w:val="0"/>
      <w:marRight w:val="0"/>
      <w:marTop w:val="0"/>
      <w:marBottom w:val="0"/>
      <w:divBdr>
        <w:top w:val="none" w:sz="0" w:space="0" w:color="auto"/>
        <w:left w:val="none" w:sz="0" w:space="0" w:color="auto"/>
        <w:bottom w:val="none" w:sz="0" w:space="0" w:color="auto"/>
        <w:right w:val="none" w:sz="0" w:space="0" w:color="auto"/>
      </w:divBdr>
    </w:div>
    <w:div w:id="1185368819">
      <w:bodyDiv w:val="1"/>
      <w:marLeft w:val="0"/>
      <w:marRight w:val="0"/>
      <w:marTop w:val="0"/>
      <w:marBottom w:val="0"/>
      <w:divBdr>
        <w:top w:val="none" w:sz="0" w:space="0" w:color="auto"/>
        <w:left w:val="none" w:sz="0" w:space="0" w:color="auto"/>
        <w:bottom w:val="none" w:sz="0" w:space="0" w:color="auto"/>
        <w:right w:val="none" w:sz="0" w:space="0" w:color="auto"/>
      </w:divBdr>
    </w:div>
    <w:div w:id="1185444226">
      <w:bodyDiv w:val="1"/>
      <w:marLeft w:val="0"/>
      <w:marRight w:val="0"/>
      <w:marTop w:val="0"/>
      <w:marBottom w:val="0"/>
      <w:divBdr>
        <w:top w:val="none" w:sz="0" w:space="0" w:color="auto"/>
        <w:left w:val="none" w:sz="0" w:space="0" w:color="auto"/>
        <w:bottom w:val="none" w:sz="0" w:space="0" w:color="auto"/>
        <w:right w:val="none" w:sz="0" w:space="0" w:color="auto"/>
      </w:divBdr>
    </w:div>
    <w:div w:id="1187598540">
      <w:bodyDiv w:val="1"/>
      <w:marLeft w:val="0"/>
      <w:marRight w:val="0"/>
      <w:marTop w:val="0"/>
      <w:marBottom w:val="0"/>
      <w:divBdr>
        <w:top w:val="none" w:sz="0" w:space="0" w:color="auto"/>
        <w:left w:val="none" w:sz="0" w:space="0" w:color="auto"/>
        <w:bottom w:val="none" w:sz="0" w:space="0" w:color="auto"/>
        <w:right w:val="none" w:sz="0" w:space="0" w:color="auto"/>
      </w:divBdr>
    </w:div>
    <w:div w:id="1199244491">
      <w:bodyDiv w:val="1"/>
      <w:marLeft w:val="0"/>
      <w:marRight w:val="0"/>
      <w:marTop w:val="0"/>
      <w:marBottom w:val="0"/>
      <w:divBdr>
        <w:top w:val="none" w:sz="0" w:space="0" w:color="auto"/>
        <w:left w:val="none" w:sz="0" w:space="0" w:color="auto"/>
        <w:bottom w:val="none" w:sz="0" w:space="0" w:color="auto"/>
        <w:right w:val="none" w:sz="0" w:space="0" w:color="auto"/>
      </w:divBdr>
    </w:div>
    <w:div w:id="1204563392">
      <w:bodyDiv w:val="1"/>
      <w:marLeft w:val="0"/>
      <w:marRight w:val="0"/>
      <w:marTop w:val="0"/>
      <w:marBottom w:val="0"/>
      <w:divBdr>
        <w:top w:val="none" w:sz="0" w:space="0" w:color="auto"/>
        <w:left w:val="none" w:sz="0" w:space="0" w:color="auto"/>
        <w:bottom w:val="none" w:sz="0" w:space="0" w:color="auto"/>
        <w:right w:val="none" w:sz="0" w:space="0" w:color="auto"/>
      </w:divBdr>
    </w:div>
    <w:div w:id="1210605374">
      <w:bodyDiv w:val="1"/>
      <w:marLeft w:val="0"/>
      <w:marRight w:val="0"/>
      <w:marTop w:val="0"/>
      <w:marBottom w:val="0"/>
      <w:divBdr>
        <w:top w:val="none" w:sz="0" w:space="0" w:color="auto"/>
        <w:left w:val="none" w:sz="0" w:space="0" w:color="auto"/>
        <w:bottom w:val="none" w:sz="0" w:space="0" w:color="auto"/>
        <w:right w:val="none" w:sz="0" w:space="0" w:color="auto"/>
      </w:divBdr>
    </w:div>
    <w:div w:id="1223130190">
      <w:bodyDiv w:val="1"/>
      <w:marLeft w:val="0"/>
      <w:marRight w:val="0"/>
      <w:marTop w:val="0"/>
      <w:marBottom w:val="0"/>
      <w:divBdr>
        <w:top w:val="none" w:sz="0" w:space="0" w:color="auto"/>
        <w:left w:val="none" w:sz="0" w:space="0" w:color="auto"/>
        <w:bottom w:val="none" w:sz="0" w:space="0" w:color="auto"/>
        <w:right w:val="none" w:sz="0" w:space="0" w:color="auto"/>
      </w:divBdr>
    </w:div>
    <w:div w:id="1225603074">
      <w:bodyDiv w:val="1"/>
      <w:marLeft w:val="0"/>
      <w:marRight w:val="0"/>
      <w:marTop w:val="0"/>
      <w:marBottom w:val="0"/>
      <w:divBdr>
        <w:top w:val="none" w:sz="0" w:space="0" w:color="auto"/>
        <w:left w:val="none" w:sz="0" w:space="0" w:color="auto"/>
        <w:bottom w:val="none" w:sz="0" w:space="0" w:color="auto"/>
        <w:right w:val="none" w:sz="0" w:space="0" w:color="auto"/>
      </w:divBdr>
    </w:div>
    <w:div w:id="1227565000">
      <w:bodyDiv w:val="1"/>
      <w:marLeft w:val="0"/>
      <w:marRight w:val="0"/>
      <w:marTop w:val="0"/>
      <w:marBottom w:val="0"/>
      <w:divBdr>
        <w:top w:val="none" w:sz="0" w:space="0" w:color="auto"/>
        <w:left w:val="none" w:sz="0" w:space="0" w:color="auto"/>
        <w:bottom w:val="none" w:sz="0" w:space="0" w:color="auto"/>
        <w:right w:val="none" w:sz="0" w:space="0" w:color="auto"/>
      </w:divBdr>
    </w:div>
    <w:div w:id="1239438558">
      <w:bodyDiv w:val="1"/>
      <w:marLeft w:val="0"/>
      <w:marRight w:val="0"/>
      <w:marTop w:val="0"/>
      <w:marBottom w:val="0"/>
      <w:divBdr>
        <w:top w:val="none" w:sz="0" w:space="0" w:color="auto"/>
        <w:left w:val="none" w:sz="0" w:space="0" w:color="auto"/>
        <w:bottom w:val="none" w:sz="0" w:space="0" w:color="auto"/>
        <w:right w:val="none" w:sz="0" w:space="0" w:color="auto"/>
      </w:divBdr>
    </w:div>
    <w:div w:id="1245384060">
      <w:bodyDiv w:val="1"/>
      <w:marLeft w:val="0"/>
      <w:marRight w:val="0"/>
      <w:marTop w:val="0"/>
      <w:marBottom w:val="0"/>
      <w:divBdr>
        <w:top w:val="none" w:sz="0" w:space="0" w:color="auto"/>
        <w:left w:val="none" w:sz="0" w:space="0" w:color="auto"/>
        <w:bottom w:val="none" w:sz="0" w:space="0" w:color="auto"/>
        <w:right w:val="none" w:sz="0" w:space="0" w:color="auto"/>
      </w:divBdr>
    </w:div>
    <w:div w:id="124676878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6860600">
      <w:bodyDiv w:val="1"/>
      <w:marLeft w:val="0"/>
      <w:marRight w:val="0"/>
      <w:marTop w:val="0"/>
      <w:marBottom w:val="0"/>
      <w:divBdr>
        <w:top w:val="none" w:sz="0" w:space="0" w:color="auto"/>
        <w:left w:val="none" w:sz="0" w:space="0" w:color="auto"/>
        <w:bottom w:val="none" w:sz="0" w:space="0" w:color="auto"/>
        <w:right w:val="none" w:sz="0" w:space="0" w:color="auto"/>
      </w:divBdr>
    </w:div>
    <w:div w:id="1266616486">
      <w:bodyDiv w:val="1"/>
      <w:marLeft w:val="0"/>
      <w:marRight w:val="0"/>
      <w:marTop w:val="0"/>
      <w:marBottom w:val="0"/>
      <w:divBdr>
        <w:top w:val="none" w:sz="0" w:space="0" w:color="auto"/>
        <w:left w:val="none" w:sz="0" w:space="0" w:color="auto"/>
        <w:bottom w:val="none" w:sz="0" w:space="0" w:color="auto"/>
        <w:right w:val="none" w:sz="0" w:space="0" w:color="auto"/>
      </w:divBdr>
    </w:div>
    <w:div w:id="1267271134">
      <w:bodyDiv w:val="1"/>
      <w:marLeft w:val="0"/>
      <w:marRight w:val="0"/>
      <w:marTop w:val="0"/>
      <w:marBottom w:val="0"/>
      <w:divBdr>
        <w:top w:val="none" w:sz="0" w:space="0" w:color="auto"/>
        <w:left w:val="none" w:sz="0" w:space="0" w:color="auto"/>
        <w:bottom w:val="none" w:sz="0" w:space="0" w:color="auto"/>
        <w:right w:val="none" w:sz="0" w:space="0" w:color="auto"/>
      </w:divBdr>
    </w:div>
    <w:div w:id="1271351908">
      <w:bodyDiv w:val="1"/>
      <w:marLeft w:val="0"/>
      <w:marRight w:val="0"/>
      <w:marTop w:val="0"/>
      <w:marBottom w:val="0"/>
      <w:divBdr>
        <w:top w:val="none" w:sz="0" w:space="0" w:color="auto"/>
        <w:left w:val="none" w:sz="0" w:space="0" w:color="auto"/>
        <w:bottom w:val="none" w:sz="0" w:space="0" w:color="auto"/>
        <w:right w:val="none" w:sz="0" w:space="0" w:color="auto"/>
      </w:divBdr>
    </w:div>
    <w:div w:id="1285118278">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421815">
      <w:bodyDiv w:val="1"/>
      <w:marLeft w:val="0"/>
      <w:marRight w:val="0"/>
      <w:marTop w:val="0"/>
      <w:marBottom w:val="0"/>
      <w:divBdr>
        <w:top w:val="none" w:sz="0" w:space="0" w:color="auto"/>
        <w:left w:val="none" w:sz="0" w:space="0" w:color="auto"/>
        <w:bottom w:val="none" w:sz="0" w:space="0" w:color="auto"/>
        <w:right w:val="none" w:sz="0" w:space="0" w:color="auto"/>
      </w:divBdr>
    </w:div>
    <w:div w:id="1289237166">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4426915">
      <w:bodyDiv w:val="1"/>
      <w:marLeft w:val="0"/>
      <w:marRight w:val="0"/>
      <w:marTop w:val="0"/>
      <w:marBottom w:val="0"/>
      <w:divBdr>
        <w:top w:val="none" w:sz="0" w:space="0" w:color="auto"/>
        <w:left w:val="none" w:sz="0" w:space="0" w:color="auto"/>
        <w:bottom w:val="none" w:sz="0" w:space="0" w:color="auto"/>
        <w:right w:val="none" w:sz="0" w:space="0" w:color="auto"/>
      </w:divBdr>
    </w:div>
    <w:div w:id="1325204554">
      <w:bodyDiv w:val="1"/>
      <w:marLeft w:val="0"/>
      <w:marRight w:val="0"/>
      <w:marTop w:val="0"/>
      <w:marBottom w:val="0"/>
      <w:divBdr>
        <w:top w:val="none" w:sz="0" w:space="0" w:color="auto"/>
        <w:left w:val="none" w:sz="0" w:space="0" w:color="auto"/>
        <w:bottom w:val="none" w:sz="0" w:space="0" w:color="auto"/>
        <w:right w:val="none" w:sz="0" w:space="0" w:color="auto"/>
      </w:divBdr>
    </w:div>
    <w:div w:id="1325742223">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30910940">
      <w:bodyDiv w:val="1"/>
      <w:marLeft w:val="0"/>
      <w:marRight w:val="0"/>
      <w:marTop w:val="0"/>
      <w:marBottom w:val="0"/>
      <w:divBdr>
        <w:top w:val="none" w:sz="0" w:space="0" w:color="auto"/>
        <w:left w:val="none" w:sz="0" w:space="0" w:color="auto"/>
        <w:bottom w:val="none" w:sz="0" w:space="0" w:color="auto"/>
        <w:right w:val="none" w:sz="0" w:space="0" w:color="auto"/>
      </w:divBdr>
    </w:div>
    <w:div w:id="1338507809">
      <w:bodyDiv w:val="1"/>
      <w:marLeft w:val="0"/>
      <w:marRight w:val="0"/>
      <w:marTop w:val="0"/>
      <w:marBottom w:val="0"/>
      <w:divBdr>
        <w:top w:val="none" w:sz="0" w:space="0" w:color="auto"/>
        <w:left w:val="none" w:sz="0" w:space="0" w:color="auto"/>
        <w:bottom w:val="none" w:sz="0" w:space="0" w:color="auto"/>
        <w:right w:val="none" w:sz="0" w:space="0" w:color="auto"/>
      </w:divBdr>
    </w:div>
    <w:div w:id="1340813307">
      <w:bodyDiv w:val="1"/>
      <w:marLeft w:val="0"/>
      <w:marRight w:val="0"/>
      <w:marTop w:val="0"/>
      <w:marBottom w:val="0"/>
      <w:divBdr>
        <w:top w:val="none" w:sz="0" w:space="0" w:color="auto"/>
        <w:left w:val="none" w:sz="0" w:space="0" w:color="auto"/>
        <w:bottom w:val="none" w:sz="0" w:space="0" w:color="auto"/>
        <w:right w:val="none" w:sz="0" w:space="0" w:color="auto"/>
      </w:divBdr>
    </w:div>
    <w:div w:id="1341541785">
      <w:bodyDiv w:val="1"/>
      <w:marLeft w:val="0"/>
      <w:marRight w:val="0"/>
      <w:marTop w:val="0"/>
      <w:marBottom w:val="0"/>
      <w:divBdr>
        <w:top w:val="none" w:sz="0" w:space="0" w:color="auto"/>
        <w:left w:val="none" w:sz="0" w:space="0" w:color="auto"/>
        <w:bottom w:val="none" w:sz="0" w:space="0" w:color="auto"/>
        <w:right w:val="none" w:sz="0" w:space="0" w:color="auto"/>
      </w:divBdr>
    </w:div>
    <w:div w:id="1347975057">
      <w:bodyDiv w:val="1"/>
      <w:marLeft w:val="0"/>
      <w:marRight w:val="0"/>
      <w:marTop w:val="0"/>
      <w:marBottom w:val="0"/>
      <w:divBdr>
        <w:top w:val="none" w:sz="0" w:space="0" w:color="auto"/>
        <w:left w:val="none" w:sz="0" w:space="0" w:color="auto"/>
        <w:bottom w:val="none" w:sz="0" w:space="0" w:color="auto"/>
        <w:right w:val="none" w:sz="0" w:space="0" w:color="auto"/>
      </w:divBdr>
    </w:div>
    <w:div w:id="1354064903">
      <w:bodyDiv w:val="1"/>
      <w:marLeft w:val="0"/>
      <w:marRight w:val="0"/>
      <w:marTop w:val="0"/>
      <w:marBottom w:val="0"/>
      <w:divBdr>
        <w:top w:val="none" w:sz="0" w:space="0" w:color="auto"/>
        <w:left w:val="none" w:sz="0" w:space="0" w:color="auto"/>
        <w:bottom w:val="none" w:sz="0" w:space="0" w:color="auto"/>
        <w:right w:val="none" w:sz="0" w:space="0" w:color="auto"/>
      </w:divBdr>
    </w:div>
    <w:div w:id="1355417776">
      <w:bodyDiv w:val="1"/>
      <w:marLeft w:val="0"/>
      <w:marRight w:val="0"/>
      <w:marTop w:val="0"/>
      <w:marBottom w:val="0"/>
      <w:divBdr>
        <w:top w:val="none" w:sz="0" w:space="0" w:color="auto"/>
        <w:left w:val="none" w:sz="0" w:space="0" w:color="auto"/>
        <w:bottom w:val="none" w:sz="0" w:space="0" w:color="auto"/>
        <w:right w:val="none" w:sz="0" w:space="0" w:color="auto"/>
      </w:divBdr>
    </w:div>
    <w:div w:id="1359430214">
      <w:bodyDiv w:val="1"/>
      <w:marLeft w:val="0"/>
      <w:marRight w:val="0"/>
      <w:marTop w:val="0"/>
      <w:marBottom w:val="0"/>
      <w:divBdr>
        <w:top w:val="none" w:sz="0" w:space="0" w:color="auto"/>
        <w:left w:val="none" w:sz="0" w:space="0" w:color="auto"/>
        <w:bottom w:val="none" w:sz="0" w:space="0" w:color="auto"/>
        <w:right w:val="none" w:sz="0" w:space="0" w:color="auto"/>
      </w:divBdr>
    </w:div>
    <w:div w:id="1369531993">
      <w:bodyDiv w:val="1"/>
      <w:marLeft w:val="0"/>
      <w:marRight w:val="0"/>
      <w:marTop w:val="0"/>
      <w:marBottom w:val="0"/>
      <w:divBdr>
        <w:top w:val="none" w:sz="0" w:space="0" w:color="auto"/>
        <w:left w:val="none" w:sz="0" w:space="0" w:color="auto"/>
        <w:bottom w:val="none" w:sz="0" w:space="0" w:color="auto"/>
        <w:right w:val="none" w:sz="0" w:space="0" w:color="auto"/>
      </w:divBdr>
    </w:div>
    <w:div w:id="1372149714">
      <w:bodyDiv w:val="1"/>
      <w:marLeft w:val="0"/>
      <w:marRight w:val="0"/>
      <w:marTop w:val="0"/>
      <w:marBottom w:val="0"/>
      <w:divBdr>
        <w:top w:val="none" w:sz="0" w:space="0" w:color="auto"/>
        <w:left w:val="none" w:sz="0" w:space="0" w:color="auto"/>
        <w:bottom w:val="none" w:sz="0" w:space="0" w:color="auto"/>
        <w:right w:val="none" w:sz="0" w:space="0" w:color="auto"/>
      </w:divBdr>
    </w:div>
    <w:div w:id="1380319492">
      <w:bodyDiv w:val="1"/>
      <w:marLeft w:val="0"/>
      <w:marRight w:val="0"/>
      <w:marTop w:val="0"/>
      <w:marBottom w:val="0"/>
      <w:divBdr>
        <w:top w:val="none" w:sz="0" w:space="0" w:color="auto"/>
        <w:left w:val="none" w:sz="0" w:space="0" w:color="auto"/>
        <w:bottom w:val="none" w:sz="0" w:space="0" w:color="auto"/>
        <w:right w:val="none" w:sz="0" w:space="0" w:color="auto"/>
      </w:divBdr>
    </w:div>
    <w:div w:id="1400789288">
      <w:bodyDiv w:val="1"/>
      <w:marLeft w:val="0"/>
      <w:marRight w:val="0"/>
      <w:marTop w:val="0"/>
      <w:marBottom w:val="0"/>
      <w:divBdr>
        <w:top w:val="none" w:sz="0" w:space="0" w:color="auto"/>
        <w:left w:val="none" w:sz="0" w:space="0" w:color="auto"/>
        <w:bottom w:val="none" w:sz="0" w:space="0" w:color="auto"/>
        <w:right w:val="none" w:sz="0" w:space="0" w:color="auto"/>
      </w:divBdr>
    </w:div>
    <w:div w:id="1421677327">
      <w:bodyDiv w:val="1"/>
      <w:marLeft w:val="0"/>
      <w:marRight w:val="0"/>
      <w:marTop w:val="0"/>
      <w:marBottom w:val="0"/>
      <w:divBdr>
        <w:top w:val="none" w:sz="0" w:space="0" w:color="auto"/>
        <w:left w:val="none" w:sz="0" w:space="0" w:color="auto"/>
        <w:bottom w:val="none" w:sz="0" w:space="0" w:color="auto"/>
        <w:right w:val="none" w:sz="0" w:space="0" w:color="auto"/>
      </w:divBdr>
    </w:div>
    <w:div w:id="1425879386">
      <w:bodyDiv w:val="1"/>
      <w:marLeft w:val="0"/>
      <w:marRight w:val="0"/>
      <w:marTop w:val="0"/>
      <w:marBottom w:val="0"/>
      <w:divBdr>
        <w:top w:val="none" w:sz="0" w:space="0" w:color="auto"/>
        <w:left w:val="none" w:sz="0" w:space="0" w:color="auto"/>
        <w:bottom w:val="none" w:sz="0" w:space="0" w:color="auto"/>
        <w:right w:val="none" w:sz="0" w:space="0" w:color="auto"/>
      </w:divBdr>
    </w:div>
    <w:div w:id="1434281153">
      <w:bodyDiv w:val="1"/>
      <w:marLeft w:val="0"/>
      <w:marRight w:val="0"/>
      <w:marTop w:val="0"/>
      <w:marBottom w:val="0"/>
      <w:divBdr>
        <w:top w:val="none" w:sz="0" w:space="0" w:color="auto"/>
        <w:left w:val="none" w:sz="0" w:space="0" w:color="auto"/>
        <w:bottom w:val="none" w:sz="0" w:space="0" w:color="auto"/>
        <w:right w:val="none" w:sz="0" w:space="0" w:color="auto"/>
      </w:divBdr>
    </w:div>
    <w:div w:id="1436171677">
      <w:bodyDiv w:val="1"/>
      <w:marLeft w:val="0"/>
      <w:marRight w:val="0"/>
      <w:marTop w:val="0"/>
      <w:marBottom w:val="0"/>
      <w:divBdr>
        <w:top w:val="none" w:sz="0" w:space="0" w:color="auto"/>
        <w:left w:val="none" w:sz="0" w:space="0" w:color="auto"/>
        <w:bottom w:val="none" w:sz="0" w:space="0" w:color="auto"/>
        <w:right w:val="none" w:sz="0" w:space="0" w:color="auto"/>
      </w:divBdr>
    </w:div>
    <w:div w:id="1465545053">
      <w:bodyDiv w:val="1"/>
      <w:marLeft w:val="0"/>
      <w:marRight w:val="0"/>
      <w:marTop w:val="0"/>
      <w:marBottom w:val="0"/>
      <w:divBdr>
        <w:top w:val="none" w:sz="0" w:space="0" w:color="auto"/>
        <w:left w:val="none" w:sz="0" w:space="0" w:color="auto"/>
        <w:bottom w:val="none" w:sz="0" w:space="0" w:color="auto"/>
        <w:right w:val="none" w:sz="0" w:space="0" w:color="auto"/>
      </w:divBdr>
    </w:div>
    <w:div w:id="1466389328">
      <w:bodyDiv w:val="1"/>
      <w:marLeft w:val="0"/>
      <w:marRight w:val="0"/>
      <w:marTop w:val="0"/>
      <w:marBottom w:val="0"/>
      <w:divBdr>
        <w:top w:val="none" w:sz="0" w:space="0" w:color="auto"/>
        <w:left w:val="none" w:sz="0" w:space="0" w:color="auto"/>
        <w:bottom w:val="none" w:sz="0" w:space="0" w:color="auto"/>
        <w:right w:val="none" w:sz="0" w:space="0" w:color="auto"/>
      </w:divBdr>
    </w:div>
    <w:div w:id="1467162255">
      <w:bodyDiv w:val="1"/>
      <w:marLeft w:val="0"/>
      <w:marRight w:val="0"/>
      <w:marTop w:val="0"/>
      <w:marBottom w:val="0"/>
      <w:divBdr>
        <w:top w:val="none" w:sz="0" w:space="0" w:color="auto"/>
        <w:left w:val="none" w:sz="0" w:space="0" w:color="auto"/>
        <w:bottom w:val="none" w:sz="0" w:space="0" w:color="auto"/>
        <w:right w:val="none" w:sz="0" w:space="0" w:color="auto"/>
      </w:divBdr>
    </w:div>
    <w:div w:id="1467553057">
      <w:bodyDiv w:val="1"/>
      <w:marLeft w:val="0"/>
      <w:marRight w:val="0"/>
      <w:marTop w:val="0"/>
      <w:marBottom w:val="0"/>
      <w:divBdr>
        <w:top w:val="none" w:sz="0" w:space="0" w:color="auto"/>
        <w:left w:val="none" w:sz="0" w:space="0" w:color="auto"/>
        <w:bottom w:val="none" w:sz="0" w:space="0" w:color="auto"/>
        <w:right w:val="none" w:sz="0" w:space="0" w:color="auto"/>
      </w:divBdr>
    </w:div>
    <w:div w:id="146820819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75414671">
      <w:bodyDiv w:val="1"/>
      <w:marLeft w:val="0"/>
      <w:marRight w:val="0"/>
      <w:marTop w:val="0"/>
      <w:marBottom w:val="0"/>
      <w:divBdr>
        <w:top w:val="none" w:sz="0" w:space="0" w:color="auto"/>
        <w:left w:val="none" w:sz="0" w:space="0" w:color="auto"/>
        <w:bottom w:val="none" w:sz="0" w:space="0" w:color="auto"/>
        <w:right w:val="none" w:sz="0" w:space="0" w:color="auto"/>
      </w:divBdr>
    </w:div>
    <w:div w:id="1478254945">
      <w:bodyDiv w:val="1"/>
      <w:marLeft w:val="0"/>
      <w:marRight w:val="0"/>
      <w:marTop w:val="0"/>
      <w:marBottom w:val="0"/>
      <w:divBdr>
        <w:top w:val="none" w:sz="0" w:space="0" w:color="auto"/>
        <w:left w:val="none" w:sz="0" w:space="0" w:color="auto"/>
        <w:bottom w:val="none" w:sz="0" w:space="0" w:color="auto"/>
        <w:right w:val="none" w:sz="0" w:space="0" w:color="auto"/>
      </w:divBdr>
    </w:div>
    <w:div w:id="1484007474">
      <w:bodyDiv w:val="1"/>
      <w:marLeft w:val="0"/>
      <w:marRight w:val="0"/>
      <w:marTop w:val="0"/>
      <w:marBottom w:val="0"/>
      <w:divBdr>
        <w:top w:val="none" w:sz="0" w:space="0" w:color="auto"/>
        <w:left w:val="none" w:sz="0" w:space="0" w:color="auto"/>
        <w:bottom w:val="none" w:sz="0" w:space="0" w:color="auto"/>
        <w:right w:val="none" w:sz="0" w:space="0" w:color="auto"/>
      </w:divBdr>
    </w:div>
    <w:div w:id="1485273596">
      <w:bodyDiv w:val="1"/>
      <w:marLeft w:val="0"/>
      <w:marRight w:val="0"/>
      <w:marTop w:val="0"/>
      <w:marBottom w:val="0"/>
      <w:divBdr>
        <w:top w:val="none" w:sz="0" w:space="0" w:color="auto"/>
        <w:left w:val="none" w:sz="0" w:space="0" w:color="auto"/>
        <w:bottom w:val="none" w:sz="0" w:space="0" w:color="auto"/>
        <w:right w:val="none" w:sz="0" w:space="0" w:color="auto"/>
      </w:divBdr>
    </w:div>
    <w:div w:id="1485733165">
      <w:bodyDiv w:val="1"/>
      <w:marLeft w:val="0"/>
      <w:marRight w:val="0"/>
      <w:marTop w:val="0"/>
      <w:marBottom w:val="0"/>
      <w:divBdr>
        <w:top w:val="none" w:sz="0" w:space="0" w:color="auto"/>
        <w:left w:val="none" w:sz="0" w:space="0" w:color="auto"/>
        <w:bottom w:val="none" w:sz="0" w:space="0" w:color="auto"/>
        <w:right w:val="none" w:sz="0" w:space="0" w:color="auto"/>
      </w:divBdr>
    </w:div>
    <w:div w:id="1489903313">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09443242">
      <w:bodyDiv w:val="1"/>
      <w:marLeft w:val="0"/>
      <w:marRight w:val="0"/>
      <w:marTop w:val="0"/>
      <w:marBottom w:val="0"/>
      <w:divBdr>
        <w:top w:val="none" w:sz="0" w:space="0" w:color="auto"/>
        <w:left w:val="none" w:sz="0" w:space="0" w:color="auto"/>
        <w:bottom w:val="none" w:sz="0" w:space="0" w:color="auto"/>
        <w:right w:val="none" w:sz="0" w:space="0" w:color="auto"/>
      </w:divBdr>
    </w:div>
    <w:div w:id="1510028056">
      <w:bodyDiv w:val="1"/>
      <w:marLeft w:val="0"/>
      <w:marRight w:val="0"/>
      <w:marTop w:val="0"/>
      <w:marBottom w:val="0"/>
      <w:divBdr>
        <w:top w:val="none" w:sz="0" w:space="0" w:color="auto"/>
        <w:left w:val="none" w:sz="0" w:space="0" w:color="auto"/>
        <w:bottom w:val="none" w:sz="0" w:space="0" w:color="auto"/>
        <w:right w:val="none" w:sz="0" w:space="0" w:color="auto"/>
      </w:divBdr>
    </w:div>
    <w:div w:id="1530143987">
      <w:bodyDiv w:val="1"/>
      <w:marLeft w:val="0"/>
      <w:marRight w:val="0"/>
      <w:marTop w:val="0"/>
      <w:marBottom w:val="0"/>
      <w:divBdr>
        <w:top w:val="none" w:sz="0" w:space="0" w:color="auto"/>
        <w:left w:val="none" w:sz="0" w:space="0" w:color="auto"/>
        <w:bottom w:val="none" w:sz="0" w:space="0" w:color="auto"/>
        <w:right w:val="none" w:sz="0" w:space="0" w:color="auto"/>
      </w:divBdr>
    </w:div>
    <w:div w:id="1532037265">
      <w:bodyDiv w:val="1"/>
      <w:marLeft w:val="0"/>
      <w:marRight w:val="0"/>
      <w:marTop w:val="0"/>
      <w:marBottom w:val="0"/>
      <w:divBdr>
        <w:top w:val="none" w:sz="0" w:space="0" w:color="auto"/>
        <w:left w:val="none" w:sz="0" w:space="0" w:color="auto"/>
        <w:bottom w:val="none" w:sz="0" w:space="0" w:color="auto"/>
        <w:right w:val="none" w:sz="0" w:space="0" w:color="auto"/>
      </w:divBdr>
    </w:div>
    <w:div w:id="1533419453">
      <w:bodyDiv w:val="1"/>
      <w:marLeft w:val="0"/>
      <w:marRight w:val="0"/>
      <w:marTop w:val="0"/>
      <w:marBottom w:val="0"/>
      <w:divBdr>
        <w:top w:val="none" w:sz="0" w:space="0" w:color="auto"/>
        <w:left w:val="none" w:sz="0" w:space="0" w:color="auto"/>
        <w:bottom w:val="none" w:sz="0" w:space="0" w:color="auto"/>
        <w:right w:val="none" w:sz="0" w:space="0" w:color="auto"/>
      </w:divBdr>
    </w:div>
    <w:div w:id="1552228540">
      <w:bodyDiv w:val="1"/>
      <w:marLeft w:val="0"/>
      <w:marRight w:val="0"/>
      <w:marTop w:val="0"/>
      <w:marBottom w:val="0"/>
      <w:divBdr>
        <w:top w:val="none" w:sz="0" w:space="0" w:color="auto"/>
        <w:left w:val="none" w:sz="0" w:space="0" w:color="auto"/>
        <w:bottom w:val="none" w:sz="0" w:space="0" w:color="auto"/>
        <w:right w:val="none" w:sz="0" w:space="0" w:color="auto"/>
      </w:divBdr>
    </w:div>
    <w:div w:id="1556314511">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66965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7741305">
      <w:bodyDiv w:val="1"/>
      <w:marLeft w:val="0"/>
      <w:marRight w:val="0"/>
      <w:marTop w:val="0"/>
      <w:marBottom w:val="0"/>
      <w:divBdr>
        <w:top w:val="none" w:sz="0" w:space="0" w:color="auto"/>
        <w:left w:val="none" w:sz="0" w:space="0" w:color="auto"/>
        <w:bottom w:val="none" w:sz="0" w:space="0" w:color="auto"/>
        <w:right w:val="none" w:sz="0" w:space="0" w:color="auto"/>
      </w:divBdr>
    </w:div>
    <w:div w:id="1588465151">
      <w:bodyDiv w:val="1"/>
      <w:marLeft w:val="0"/>
      <w:marRight w:val="0"/>
      <w:marTop w:val="0"/>
      <w:marBottom w:val="0"/>
      <w:divBdr>
        <w:top w:val="none" w:sz="0" w:space="0" w:color="auto"/>
        <w:left w:val="none" w:sz="0" w:space="0" w:color="auto"/>
        <w:bottom w:val="none" w:sz="0" w:space="0" w:color="auto"/>
        <w:right w:val="none" w:sz="0" w:space="0" w:color="auto"/>
      </w:divBdr>
    </w:div>
    <w:div w:id="1588466181">
      <w:bodyDiv w:val="1"/>
      <w:marLeft w:val="0"/>
      <w:marRight w:val="0"/>
      <w:marTop w:val="0"/>
      <w:marBottom w:val="0"/>
      <w:divBdr>
        <w:top w:val="none" w:sz="0" w:space="0" w:color="auto"/>
        <w:left w:val="none" w:sz="0" w:space="0" w:color="auto"/>
        <w:bottom w:val="none" w:sz="0" w:space="0" w:color="auto"/>
        <w:right w:val="none" w:sz="0" w:space="0" w:color="auto"/>
      </w:divBdr>
    </w:div>
    <w:div w:id="1590387135">
      <w:bodyDiv w:val="1"/>
      <w:marLeft w:val="0"/>
      <w:marRight w:val="0"/>
      <w:marTop w:val="0"/>
      <w:marBottom w:val="0"/>
      <w:divBdr>
        <w:top w:val="none" w:sz="0" w:space="0" w:color="auto"/>
        <w:left w:val="none" w:sz="0" w:space="0" w:color="auto"/>
        <w:bottom w:val="none" w:sz="0" w:space="0" w:color="auto"/>
        <w:right w:val="none" w:sz="0" w:space="0" w:color="auto"/>
      </w:divBdr>
    </w:div>
    <w:div w:id="1590655179">
      <w:bodyDiv w:val="1"/>
      <w:marLeft w:val="0"/>
      <w:marRight w:val="0"/>
      <w:marTop w:val="0"/>
      <w:marBottom w:val="0"/>
      <w:divBdr>
        <w:top w:val="none" w:sz="0" w:space="0" w:color="auto"/>
        <w:left w:val="none" w:sz="0" w:space="0" w:color="auto"/>
        <w:bottom w:val="none" w:sz="0" w:space="0" w:color="auto"/>
        <w:right w:val="none" w:sz="0" w:space="0" w:color="auto"/>
      </w:divBdr>
    </w:div>
    <w:div w:id="1595672523">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8153674">
      <w:bodyDiv w:val="1"/>
      <w:marLeft w:val="0"/>
      <w:marRight w:val="0"/>
      <w:marTop w:val="0"/>
      <w:marBottom w:val="0"/>
      <w:divBdr>
        <w:top w:val="none" w:sz="0" w:space="0" w:color="auto"/>
        <w:left w:val="none" w:sz="0" w:space="0" w:color="auto"/>
        <w:bottom w:val="none" w:sz="0" w:space="0" w:color="auto"/>
        <w:right w:val="none" w:sz="0" w:space="0" w:color="auto"/>
      </w:divBdr>
    </w:div>
    <w:div w:id="1609777692">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17983062">
      <w:bodyDiv w:val="1"/>
      <w:marLeft w:val="0"/>
      <w:marRight w:val="0"/>
      <w:marTop w:val="0"/>
      <w:marBottom w:val="0"/>
      <w:divBdr>
        <w:top w:val="none" w:sz="0" w:space="0" w:color="auto"/>
        <w:left w:val="none" w:sz="0" w:space="0" w:color="auto"/>
        <w:bottom w:val="none" w:sz="0" w:space="0" w:color="auto"/>
        <w:right w:val="none" w:sz="0" w:space="0" w:color="auto"/>
      </w:divBdr>
    </w:div>
    <w:div w:id="1623534058">
      <w:bodyDiv w:val="1"/>
      <w:marLeft w:val="0"/>
      <w:marRight w:val="0"/>
      <w:marTop w:val="0"/>
      <w:marBottom w:val="0"/>
      <w:divBdr>
        <w:top w:val="none" w:sz="0" w:space="0" w:color="auto"/>
        <w:left w:val="none" w:sz="0" w:space="0" w:color="auto"/>
        <w:bottom w:val="none" w:sz="0" w:space="0" w:color="auto"/>
        <w:right w:val="none" w:sz="0" w:space="0" w:color="auto"/>
      </w:divBdr>
    </w:div>
    <w:div w:id="1626352287">
      <w:bodyDiv w:val="1"/>
      <w:marLeft w:val="0"/>
      <w:marRight w:val="0"/>
      <w:marTop w:val="0"/>
      <w:marBottom w:val="0"/>
      <w:divBdr>
        <w:top w:val="none" w:sz="0" w:space="0" w:color="auto"/>
        <w:left w:val="none" w:sz="0" w:space="0" w:color="auto"/>
        <w:bottom w:val="none" w:sz="0" w:space="0" w:color="auto"/>
        <w:right w:val="none" w:sz="0" w:space="0" w:color="auto"/>
      </w:divBdr>
    </w:div>
    <w:div w:id="1626544485">
      <w:bodyDiv w:val="1"/>
      <w:marLeft w:val="0"/>
      <w:marRight w:val="0"/>
      <w:marTop w:val="0"/>
      <w:marBottom w:val="0"/>
      <w:divBdr>
        <w:top w:val="none" w:sz="0" w:space="0" w:color="auto"/>
        <w:left w:val="none" w:sz="0" w:space="0" w:color="auto"/>
        <w:bottom w:val="none" w:sz="0" w:space="0" w:color="auto"/>
        <w:right w:val="none" w:sz="0" w:space="0" w:color="auto"/>
      </w:divBdr>
    </w:div>
    <w:div w:id="1627345079">
      <w:bodyDiv w:val="1"/>
      <w:marLeft w:val="0"/>
      <w:marRight w:val="0"/>
      <w:marTop w:val="0"/>
      <w:marBottom w:val="0"/>
      <w:divBdr>
        <w:top w:val="none" w:sz="0" w:space="0" w:color="auto"/>
        <w:left w:val="none" w:sz="0" w:space="0" w:color="auto"/>
        <w:bottom w:val="none" w:sz="0" w:space="0" w:color="auto"/>
        <w:right w:val="none" w:sz="0" w:space="0" w:color="auto"/>
      </w:divBdr>
    </w:div>
    <w:div w:id="1640718970">
      <w:bodyDiv w:val="1"/>
      <w:marLeft w:val="0"/>
      <w:marRight w:val="0"/>
      <w:marTop w:val="0"/>
      <w:marBottom w:val="0"/>
      <w:divBdr>
        <w:top w:val="none" w:sz="0" w:space="0" w:color="auto"/>
        <w:left w:val="none" w:sz="0" w:space="0" w:color="auto"/>
        <w:bottom w:val="none" w:sz="0" w:space="0" w:color="auto"/>
        <w:right w:val="none" w:sz="0" w:space="0" w:color="auto"/>
      </w:divBdr>
    </w:div>
    <w:div w:id="1645281952">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2079004">
      <w:bodyDiv w:val="1"/>
      <w:marLeft w:val="0"/>
      <w:marRight w:val="0"/>
      <w:marTop w:val="0"/>
      <w:marBottom w:val="0"/>
      <w:divBdr>
        <w:top w:val="none" w:sz="0" w:space="0" w:color="auto"/>
        <w:left w:val="none" w:sz="0" w:space="0" w:color="auto"/>
        <w:bottom w:val="none" w:sz="0" w:space="0" w:color="auto"/>
        <w:right w:val="none" w:sz="0" w:space="0" w:color="auto"/>
      </w:divBdr>
    </w:div>
    <w:div w:id="1663659230">
      <w:bodyDiv w:val="1"/>
      <w:marLeft w:val="0"/>
      <w:marRight w:val="0"/>
      <w:marTop w:val="0"/>
      <w:marBottom w:val="0"/>
      <w:divBdr>
        <w:top w:val="none" w:sz="0" w:space="0" w:color="auto"/>
        <w:left w:val="none" w:sz="0" w:space="0" w:color="auto"/>
        <w:bottom w:val="none" w:sz="0" w:space="0" w:color="auto"/>
        <w:right w:val="none" w:sz="0" w:space="0" w:color="auto"/>
      </w:divBdr>
    </w:div>
    <w:div w:id="1668052969">
      <w:bodyDiv w:val="1"/>
      <w:marLeft w:val="0"/>
      <w:marRight w:val="0"/>
      <w:marTop w:val="0"/>
      <w:marBottom w:val="0"/>
      <w:divBdr>
        <w:top w:val="none" w:sz="0" w:space="0" w:color="auto"/>
        <w:left w:val="none" w:sz="0" w:space="0" w:color="auto"/>
        <w:bottom w:val="none" w:sz="0" w:space="0" w:color="auto"/>
        <w:right w:val="none" w:sz="0" w:space="0" w:color="auto"/>
      </w:divBdr>
    </w:div>
    <w:div w:id="1669214754">
      <w:bodyDiv w:val="1"/>
      <w:marLeft w:val="0"/>
      <w:marRight w:val="0"/>
      <w:marTop w:val="0"/>
      <w:marBottom w:val="0"/>
      <w:divBdr>
        <w:top w:val="none" w:sz="0" w:space="0" w:color="auto"/>
        <w:left w:val="none" w:sz="0" w:space="0" w:color="auto"/>
        <w:bottom w:val="none" w:sz="0" w:space="0" w:color="auto"/>
        <w:right w:val="none" w:sz="0" w:space="0" w:color="auto"/>
      </w:divBdr>
    </w:div>
    <w:div w:id="1678538161">
      <w:bodyDiv w:val="1"/>
      <w:marLeft w:val="0"/>
      <w:marRight w:val="0"/>
      <w:marTop w:val="0"/>
      <w:marBottom w:val="0"/>
      <w:divBdr>
        <w:top w:val="none" w:sz="0" w:space="0" w:color="auto"/>
        <w:left w:val="none" w:sz="0" w:space="0" w:color="auto"/>
        <w:bottom w:val="none" w:sz="0" w:space="0" w:color="auto"/>
        <w:right w:val="none" w:sz="0" w:space="0" w:color="auto"/>
      </w:divBdr>
    </w:div>
    <w:div w:id="1693148246">
      <w:bodyDiv w:val="1"/>
      <w:marLeft w:val="0"/>
      <w:marRight w:val="0"/>
      <w:marTop w:val="0"/>
      <w:marBottom w:val="0"/>
      <w:divBdr>
        <w:top w:val="none" w:sz="0" w:space="0" w:color="auto"/>
        <w:left w:val="none" w:sz="0" w:space="0" w:color="auto"/>
        <w:bottom w:val="none" w:sz="0" w:space="0" w:color="auto"/>
        <w:right w:val="none" w:sz="0" w:space="0" w:color="auto"/>
      </w:divBdr>
    </w:div>
    <w:div w:id="1695691401">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4019753">
      <w:bodyDiv w:val="1"/>
      <w:marLeft w:val="0"/>
      <w:marRight w:val="0"/>
      <w:marTop w:val="0"/>
      <w:marBottom w:val="0"/>
      <w:divBdr>
        <w:top w:val="none" w:sz="0" w:space="0" w:color="auto"/>
        <w:left w:val="none" w:sz="0" w:space="0" w:color="auto"/>
        <w:bottom w:val="none" w:sz="0" w:space="0" w:color="auto"/>
        <w:right w:val="none" w:sz="0" w:space="0" w:color="auto"/>
      </w:divBdr>
    </w:div>
    <w:div w:id="1718436536">
      <w:bodyDiv w:val="1"/>
      <w:marLeft w:val="0"/>
      <w:marRight w:val="0"/>
      <w:marTop w:val="0"/>
      <w:marBottom w:val="0"/>
      <w:divBdr>
        <w:top w:val="none" w:sz="0" w:space="0" w:color="auto"/>
        <w:left w:val="none" w:sz="0" w:space="0" w:color="auto"/>
        <w:bottom w:val="none" w:sz="0" w:space="0" w:color="auto"/>
        <w:right w:val="none" w:sz="0" w:space="0" w:color="auto"/>
      </w:divBdr>
    </w:div>
    <w:div w:id="1720779849">
      <w:bodyDiv w:val="1"/>
      <w:marLeft w:val="0"/>
      <w:marRight w:val="0"/>
      <w:marTop w:val="0"/>
      <w:marBottom w:val="0"/>
      <w:divBdr>
        <w:top w:val="none" w:sz="0" w:space="0" w:color="auto"/>
        <w:left w:val="none" w:sz="0" w:space="0" w:color="auto"/>
        <w:bottom w:val="none" w:sz="0" w:space="0" w:color="auto"/>
        <w:right w:val="none" w:sz="0" w:space="0" w:color="auto"/>
      </w:divBdr>
    </w:div>
    <w:div w:id="1729108412">
      <w:bodyDiv w:val="1"/>
      <w:marLeft w:val="0"/>
      <w:marRight w:val="0"/>
      <w:marTop w:val="0"/>
      <w:marBottom w:val="0"/>
      <w:divBdr>
        <w:top w:val="none" w:sz="0" w:space="0" w:color="auto"/>
        <w:left w:val="none" w:sz="0" w:space="0" w:color="auto"/>
        <w:bottom w:val="none" w:sz="0" w:space="0" w:color="auto"/>
        <w:right w:val="none" w:sz="0" w:space="0" w:color="auto"/>
      </w:divBdr>
    </w:div>
    <w:div w:id="1730493306">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2189740">
      <w:bodyDiv w:val="1"/>
      <w:marLeft w:val="0"/>
      <w:marRight w:val="0"/>
      <w:marTop w:val="0"/>
      <w:marBottom w:val="0"/>
      <w:divBdr>
        <w:top w:val="none" w:sz="0" w:space="0" w:color="auto"/>
        <w:left w:val="none" w:sz="0" w:space="0" w:color="auto"/>
        <w:bottom w:val="none" w:sz="0" w:space="0" w:color="auto"/>
        <w:right w:val="none" w:sz="0" w:space="0" w:color="auto"/>
      </w:divBdr>
    </w:div>
    <w:div w:id="1732651146">
      <w:bodyDiv w:val="1"/>
      <w:marLeft w:val="0"/>
      <w:marRight w:val="0"/>
      <w:marTop w:val="0"/>
      <w:marBottom w:val="0"/>
      <w:divBdr>
        <w:top w:val="none" w:sz="0" w:space="0" w:color="auto"/>
        <w:left w:val="none" w:sz="0" w:space="0" w:color="auto"/>
        <w:bottom w:val="none" w:sz="0" w:space="0" w:color="auto"/>
        <w:right w:val="none" w:sz="0" w:space="0" w:color="auto"/>
      </w:divBdr>
    </w:div>
    <w:div w:id="1733039284">
      <w:bodyDiv w:val="1"/>
      <w:marLeft w:val="0"/>
      <w:marRight w:val="0"/>
      <w:marTop w:val="0"/>
      <w:marBottom w:val="0"/>
      <w:divBdr>
        <w:top w:val="none" w:sz="0" w:space="0" w:color="auto"/>
        <w:left w:val="none" w:sz="0" w:space="0" w:color="auto"/>
        <w:bottom w:val="none" w:sz="0" w:space="0" w:color="auto"/>
        <w:right w:val="none" w:sz="0" w:space="0" w:color="auto"/>
      </w:divBdr>
    </w:div>
    <w:div w:id="1735814513">
      <w:bodyDiv w:val="1"/>
      <w:marLeft w:val="0"/>
      <w:marRight w:val="0"/>
      <w:marTop w:val="0"/>
      <w:marBottom w:val="0"/>
      <w:divBdr>
        <w:top w:val="none" w:sz="0" w:space="0" w:color="auto"/>
        <w:left w:val="none" w:sz="0" w:space="0" w:color="auto"/>
        <w:bottom w:val="none" w:sz="0" w:space="0" w:color="auto"/>
        <w:right w:val="none" w:sz="0" w:space="0" w:color="auto"/>
      </w:divBdr>
    </w:div>
    <w:div w:id="1738236704">
      <w:bodyDiv w:val="1"/>
      <w:marLeft w:val="0"/>
      <w:marRight w:val="0"/>
      <w:marTop w:val="0"/>
      <w:marBottom w:val="0"/>
      <w:divBdr>
        <w:top w:val="none" w:sz="0" w:space="0" w:color="auto"/>
        <w:left w:val="none" w:sz="0" w:space="0" w:color="auto"/>
        <w:bottom w:val="none" w:sz="0" w:space="0" w:color="auto"/>
        <w:right w:val="none" w:sz="0" w:space="0" w:color="auto"/>
      </w:divBdr>
    </w:div>
    <w:div w:id="1738242470">
      <w:bodyDiv w:val="1"/>
      <w:marLeft w:val="0"/>
      <w:marRight w:val="0"/>
      <w:marTop w:val="0"/>
      <w:marBottom w:val="0"/>
      <w:divBdr>
        <w:top w:val="none" w:sz="0" w:space="0" w:color="auto"/>
        <w:left w:val="none" w:sz="0" w:space="0" w:color="auto"/>
        <w:bottom w:val="none" w:sz="0" w:space="0" w:color="auto"/>
        <w:right w:val="none" w:sz="0" w:space="0" w:color="auto"/>
      </w:divBdr>
    </w:div>
    <w:div w:id="1741825888">
      <w:bodyDiv w:val="1"/>
      <w:marLeft w:val="0"/>
      <w:marRight w:val="0"/>
      <w:marTop w:val="0"/>
      <w:marBottom w:val="0"/>
      <w:divBdr>
        <w:top w:val="none" w:sz="0" w:space="0" w:color="auto"/>
        <w:left w:val="none" w:sz="0" w:space="0" w:color="auto"/>
        <w:bottom w:val="none" w:sz="0" w:space="0" w:color="auto"/>
        <w:right w:val="none" w:sz="0" w:space="0" w:color="auto"/>
      </w:divBdr>
    </w:div>
    <w:div w:id="1755779869">
      <w:bodyDiv w:val="1"/>
      <w:marLeft w:val="0"/>
      <w:marRight w:val="0"/>
      <w:marTop w:val="0"/>
      <w:marBottom w:val="0"/>
      <w:divBdr>
        <w:top w:val="none" w:sz="0" w:space="0" w:color="auto"/>
        <w:left w:val="none" w:sz="0" w:space="0" w:color="auto"/>
        <w:bottom w:val="none" w:sz="0" w:space="0" w:color="auto"/>
        <w:right w:val="none" w:sz="0" w:space="0" w:color="auto"/>
      </w:divBdr>
    </w:div>
    <w:div w:id="1760978689">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9344927">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78862605">
      <w:bodyDiv w:val="1"/>
      <w:marLeft w:val="0"/>
      <w:marRight w:val="0"/>
      <w:marTop w:val="0"/>
      <w:marBottom w:val="0"/>
      <w:divBdr>
        <w:top w:val="none" w:sz="0" w:space="0" w:color="auto"/>
        <w:left w:val="none" w:sz="0" w:space="0" w:color="auto"/>
        <w:bottom w:val="none" w:sz="0" w:space="0" w:color="auto"/>
        <w:right w:val="none" w:sz="0" w:space="0" w:color="auto"/>
      </w:divBdr>
    </w:div>
    <w:div w:id="1783257785">
      <w:bodyDiv w:val="1"/>
      <w:marLeft w:val="0"/>
      <w:marRight w:val="0"/>
      <w:marTop w:val="0"/>
      <w:marBottom w:val="0"/>
      <w:divBdr>
        <w:top w:val="none" w:sz="0" w:space="0" w:color="auto"/>
        <w:left w:val="none" w:sz="0" w:space="0" w:color="auto"/>
        <w:bottom w:val="none" w:sz="0" w:space="0" w:color="auto"/>
        <w:right w:val="none" w:sz="0" w:space="0" w:color="auto"/>
      </w:divBdr>
    </w:div>
    <w:div w:id="1795055760">
      <w:bodyDiv w:val="1"/>
      <w:marLeft w:val="0"/>
      <w:marRight w:val="0"/>
      <w:marTop w:val="0"/>
      <w:marBottom w:val="0"/>
      <w:divBdr>
        <w:top w:val="none" w:sz="0" w:space="0" w:color="auto"/>
        <w:left w:val="none" w:sz="0" w:space="0" w:color="auto"/>
        <w:bottom w:val="none" w:sz="0" w:space="0" w:color="auto"/>
        <w:right w:val="none" w:sz="0" w:space="0" w:color="auto"/>
      </w:divBdr>
    </w:div>
    <w:div w:id="1799637838">
      <w:bodyDiv w:val="1"/>
      <w:marLeft w:val="0"/>
      <w:marRight w:val="0"/>
      <w:marTop w:val="0"/>
      <w:marBottom w:val="0"/>
      <w:divBdr>
        <w:top w:val="none" w:sz="0" w:space="0" w:color="auto"/>
        <w:left w:val="none" w:sz="0" w:space="0" w:color="auto"/>
        <w:bottom w:val="none" w:sz="0" w:space="0" w:color="auto"/>
        <w:right w:val="none" w:sz="0" w:space="0" w:color="auto"/>
      </w:divBdr>
    </w:div>
    <w:div w:id="1801800405">
      <w:bodyDiv w:val="1"/>
      <w:marLeft w:val="0"/>
      <w:marRight w:val="0"/>
      <w:marTop w:val="0"/>
      <w:marBottom w:val="0"/>
      <w:divBdr>
        <w:top w:val="none" w:sz="0" w:space="0" w:color="auto"/>
        <w:left w:val="none" w:sz="0" w:space="0" w:color="auto"/>
        <w:bottom w:val="none" w:sz="0" w:space="0" w:color="auto"/>
        <w:right w:val="none" w:sz="0" w:space="0" w:color="auto"/>
      </w:divBdr>
    </w:div>
    <w:div w:id="1803963957">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5637969">
      <w:bodyDiv w:val="1"/>
      <w:marLeft w:val="0"/>
      <w:marRight w:val="0"/>
      <w:marTop w:val="0"/>
      <w:marBottom w:val="0"/>
      <w:divBdr>
        <w:top w:val="none" w:sz="0" w:space="0" w:color="auto"/>
        <w:left w:val="none" w:sz="0" w:space="0" w:color="auto"/>
        <w:bottom w:val="none" w:sz="0" w:space="0" w:color="auto"/>
        <w:right w:val="none" w:sz="0" w:space="0" w:color="auto"/>
      </w:divBdr>
    </w:div>
    <w:div w:id="1818381355">
      <w:bodyDiv w:val="1"/>
      <w:marLeft w:val="0"/>
      <w:marRight w:val="0"/>
      <w:marTop w:val="0"/>
      <w:marBottom w:val="0"/>
      <w:divBdr>
        <w:top w:val="none" w:sz="0" w:space="0" w:color="auto"/>
        <w:left w:val="none" w:sz="0" w:space="0" w:color="auto"/>
        <w:bottom w:val="none" w:sz="0" w:space="0" w:color="auto"/>
        <w:right w:val="none" w:sz="0" w:space="0" w:color="auto"/>
      </w:divBdr>
    </w:div>
    <w:div w:id="1819303726">
      <w:bodyDiv w:val="1"/>
      <w:marLeft w:val="0"/>
      <w:marRight w:val="0"/>
      <w:marTop w:val="0"/>
      <w:marBottom w:val="0"/>
      <w:divBdr>
        <w:top w:val="none" w:sz="0" w:space="0" w:color="auto"/>
        <w:left w:val="none" w:sz="0" w:space="0" w:color="auto"/>
        <w:bottom w:val="none" w:sz="0" w:space="0" w:color="auto"/>
        <w:right w:val="none" w:sz="0" w:space="0" w:color="auto"/>
      </w:divBdr>
    </w:div>
    <w:div w:id="1820490237">
      <w:bodyDiv w:val="1"/>
      <w:marLeft w:val="0"/>
      <w:marRight w:val="0"/>
      <w:marTop w:val="0"/>
      <w:marBottom w:val="0"/>
      <w:divBdr>
        <w:top w:val="none" w:sz="0" w:space="0" w:color="auto"/>
        <w:left w:val="none" w:sz="0" w:space="0" w:color="auto"/>
        <w:bottom w:val="none" w:sz="0" w:space="0" w:color="auto"/>
        <w:right w:val="none" w:sz="0" w:space="0" w:color="auto"/>
      </w:divBdr>
    </w:div>
    <w:div w:id="1821071717">
      <w:bodyDiv w:val="1"/>
      <w:marLeft w:val="0"/>
      <w:marRight w:val="0"/>
      <w:marTop w:val="0"/>
      <w:marBottom w:val="0"/>
      <w:divBdr>
        <w:top w:val="none" w:sz="0" w:space="0" w:color="auto"/>
        <w:left w:val="none" w:sz="0" w:space="0" w:color="auto"/>
        <w:bottom w:val="none" w:sz="0" w:space="0" w:color="auto"/>
        <w:right w:val="none" w:sz="0" w:space="0" w:color="auto"/>
      </w:divBdr>
    </w:div>
    <w:div w:id="1823043391">
      <w:bodyDiv w:val="1"/>
      <w:marLeft w:val="0"/>
      <w:marRight w:val="0"/>
      <w:marTop w:val="0"/>
      <w:marBottom w:val="0"/>
      <w:divBdr>
        <w:top w:val="none" w:sz="0" w:space="0" w:color="auto"/>
        <w:left w:val="none" w:sz="0" w:space="0" w:color="auto"/>
        <w:bottom w:val="none" w:sz="0" w:space="0" w:color="auto"/>
        <w:right w:val="none" w:sz="0" w:space="0" w:color="auto"/>
      </w:divBdr>
    </w:div>
    <w:div w:id="1828741200">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46167663">
      <w:bodyDiv w:val="1"/>
      <w:marLeft w:val="0"/>
      <w:marRight w:val="0"/>
      <w:marTop w:val="0"/>
      <w:marBottom w:val="0"/>
      <w:divBdr>
        <w:top w:val="none" w:sz="0" w:space="0" w:color="auto"/>
        <w:left w:val="none" w:sz="0" w:space="0" w:color="auto"/>
        <w:bottom w:val="none" w:sz="0" w:space="0" w:color="auto"/>
        <w:right w:val="none" w:sz="0" w:space="0" w:color="auto"/>
      </w:divBdr>
    </w:div>
    <w:div w:id="1848472423">
      <w:bodyDiv w:val="1"/>
      <w:marLeft w:val="0"/>
      <w:marRight w:val="0"/>
      <w:marTop w:val="0"/>
      <w:marBottom w:val="0"/>
      <w:divBdr>
        <w:top w:val="none" w:sz="0" w:space="0" w:color="auto"/>
        <w:left w:val="none" w:sz="0" w:space="0" w:color="auto"/>
        <w:bottom w:val="none" w:sz="0" w:space="0" w:color="auto"/>
        <w:right w:val="none" w:sz="0" w:space="0" w:color="auto"/>
      </w:divBdr>
    </w:div>
    <w:div w:id="1868448738">
      <w:bodyDiv w:val="1"/>
      <w:marLeft w:val="0"/>
      <w:marRight w:val="0"/>
      <w:marTop w:val="0"/>
      <w:marBottom w:val="0"/>
      <w:divBdr>
        <w:top w:val="none" w:sz="0" w:space="0" w:color="auto"/>
        <w:left w:val="none" w:sz="0" w:space="0" w:color="auto"/>
        <w:bottom w:val="none" w:sz="0" w:space="0" w:color="auto"/>
        <w:right w:val="none" w:sz="0" w:space="0" w:color="auto"/>
      </w:divBdr>
    </w:div>
    <w:div w:id="1877544332">
      <w:bodyDiv w:val="1"/>
      <w:marLeft w:val="0"/>
      <w:marRight w:val="0"/>
      <w:marTop w:val="0"/>
      <w:marBottom w:val="0"/>
      <w:divBdr>
        <w:top w:val="none" w:sz="0" w:space="0" w:color="auto"/>
        <w:left w:val="none" w:sz="0" w:space="0" w:color="auto"/>
        <w:bottom w:val="none" w:sz="0" w:space="0" w:color="auto"/>
        <w:right w:val="none" w:sz="0" w:space="0" w:color="auto"/>
      </w:divBdr>
    </w:div>
    <w:div w:id="1881043306">
      <w:bodyDiv w:val="1"/>
      <w:marLeft w:val="0"/>
      <w:marRight w:val="0"/>
      <w:marTop w:val="0"/>
      <w:marBottom w:val="0"/>
      <w:divBdr>
        <w:top w:val="none" w:sz="0" w:space="0" w:color="auto"/>
        <w:left w:val="none" w:sz="0" w:space="0" w:color="auto"/>
        <w:bottom w:val="none" w:sz="0" w:space="0" w:color="auto"/>
        <w:right w:val="none" w:sz="0" w:space="0" w:color="auto"/>
      </w:divBdr>
    </w:div>
    <w:div w:id="1885407714">
      <w:bodyDiv w:val="1"/>
      <w:marLeft w:val="0"/>
      <w:marRight w:val="0"/>
      <w:marTop w:val="0"/>
      <w:marBottom w:val="0"/>
      <w:divBdr>
        <w:top w:val="none" w:sz="0" w:space="0" w:color="auto"/>
        <w:left w:val="none" w:sz="0" w:space="0" w:color="auto"/>
        <w:bottom w:val="none" w:sz="0" w:space="0" w:color="auto"/>
        <w:right w:val="none" w:sz="0" w:space="0" w:color="auto"/>
      </w:divBdr>
    </w:div>
    <w:div w:id="1888445424">
      <w:bodyDiv w:val="1"/>
      <w:marLeft w:val="0"/>
      <w:marRight w:val="0"/>
      <w:marTop w:val="0"/>
      <w:marBottom w:val="0"/>
      <w:divBdr>
        <w:top w:val="none" w:sz="0" w:space="0" w:color="auto"/>
        <w:left w:val="none" w:sz="0" w:space="0" w:color="auto"/>
        <w:bottom w:val="none" w:sz="0" w:space="0" w:color="auto"/>
        <w:right w:val="none" w:sz="0" w:space="0" w:color="auto"/>
      </w:divBdr>
    </w:div>
    <w:div w:id="1890797238">
      <w:bodyDiv w:val="1"/>
      <w:marLeft w:val="0"/>
      <w:marRight w:val="0"/>
      <w:marTop w:val="0"/>
      <w:marBottom w:val="0"/>
      <w:divBdr>
        <w:top w:val="none" w:sz="0" w:space="0" w:color="auto"/>
        <w:left w:val="none" w:sz="0" w:space="0" w:color="auto"/>
        <w:bottom w:val="none" w:sz="0" w:space="0" w:color="auto"/>
        <w:right w:val="none" w:sz="0" w:space="0" w:color="auto"/>
      </w:divBdr>
    </w:div>
    <w:div w:id="1891190509">
      <w:bodyDiv w:val="1"/>
      <w:marLeft w:val="0"/>
      <w:marRight w:val="0"/>
      <w:marTop w:val="0"/>
      <w:marBottom w:val="0"/>
      <w:divBdr>
        <w:top w:val="none" w:sz="0" w:space="0" w:color="auto"/>
        <w:left w:val="none" w:sz="0" w:space="0" w:color="auto"/>
        <w:bottom w:val="none" w:sz="0" w:space="0" w:color="auto"/>
        <w:right w:val="none" w:sz="0" w:space="0" w:color="auto"/>
      </w:divBdr>
    </w:div>
    <w:div w:id="1905796061">
      <w:bodyDiv w:val="1"/>
      <w:marLeft w:val="0"/>
      <w:marRight w:val="0"/>
      <w:marTop w:val="0"/>
      <w:marBottom w:val="0"/>
      <w:divBdr>
        <w:top w:val="none" w:sz="0" w:space="0" w:color="auto"/>
        <w:left w:val="none" w:sz="0" w:space="0" w:color="auto"/>
        <w:bottom w:val="none" w:sz="0" w:space="0" w:color="auto"/>
        <w:right w:val="none" w:sz="0" w:space="0" w:color="auto"/>
      </w:divBdr>
    </w:div>
    <w:div w:id="1908372700">
      <w:bodyDiv w:val="1"/>
      <w:marLeft w:val="0"/>
      <w:marRight w:val="0"/>
      <w:marTop w:val="0"/>
      <w:marBottom w:val="0"/>
      <w:divBdr>
        <w:top w:val="none" w:sz="0" w:space="0" w:color="auto"/>
        <w:left w:val="none" w:sz="0" w:space="0" w:color="auto"/>
        <w:bottom w:val="none" w:sz="0" w:space="0" w:color="auto"/>
        <w:right w:val="none" w:sz="0" w:space="0" w:color="auto"/>
      </w:divBdr>
    </w:div>
    <w:div w:id="1909875043">
      <w:bodyDiv w:val="1"/>
      <w:marLeft w:val="0"/>
      <w:marRight w:val="0"/>
      <w:marTop w:val="0"/>
      <w:marBottom w:val="0"/>
      <w:divBdr>
        <w:top w:val="none" w:sz="0" w:space="0" w:color="auto"/>
        <w:left w:val="none" w:sz="0" w:space="0" w:color="auto"/>
        <w:bottom w:val="none" w:sz="0" w:space="0" w:color="auto"/>
        <w:right w:val="none" w:sz="0" w:space="0" w:color="auto"/>
      </w:divBdr>
    </w:div>
    <w:div w:id="1916940208">
      <w:bodyDiv w:val="1"/>
      <w:marLeft w:val="0"/>
      <w:marRight w:val="0"/>
      <w:marTop w:val="0"/>
      <w:marBottom w:val="0"/>
      <w:divBdr>
        <w:top w:val="none" w:sz="0" w:space="0" w:color="auto"/>
        <w:left w:val="none" w:sz="0" w:space="0" w:color="auto"/>
        <w:bottom w:val="none" w:sz="0" w:space="0" w:color="auto"/>
        <w:right w:val="none" w:sz="0" w:space="0" w:color="auto"/>
      </w:divBdr>
    </w:div>
    <w:div w:id="1918200338">
      <w:bodyDiv w:val="1"/>
      <w:marLeft w:val="0"/>
      <w:marRight w:val="0"/>
      <w:marTop w:val="0"/>
      <w:marBottom w:val="0"/>
      <w:divBdr>
        <w:top w:val="none" w:sz="0" w:space="0" w:color="auto"/>
        <w:left w:val="none" w:sz="0" w:space="0" w:color="auto"/>
        <w:bottom w:val="none" w:sz="0" w:space="0" w:color="auto"/>
        <w:right w:val="none" w:sz="0" w:space="0" w:color="auto"/>
      </w:divBdr>
    </w:div>
    <w:div w:id="1918320536">
      <w:bodyDiv w:val="1"/>
      <w:marLeft w:val="0"/>
      <w:marRight w:val="0"/>
      <w:marTop w:val="0"/>
      <w:marBottom w:val="0"/>
      <w:divBdr>
        <w:top w:val="none" w:sz="0" w:space="0" w:color="auto"/>
        <w:left w:val="none" w:sz="0" w:space="0" w:color="auto"/>
        <w:bottom w:val="none" w:sz="0" w:space="0" w:color="auto"/>
        <w:right w:val="none" w:sz="0" w:space="0" w:color="auto"/>
      </w:divBdr>
    </w:div>
    <w:div w:id="1920363308">
      <w:bodyDiv w:val="1"/>
      <w:marLeft w:val="0"/>
      <w:marRight w:val="0"/>
      <w:marTop w:val="0"/>
      <w:marBottom w:val="0"/>
      <w:divBdr>
        <w:top w:val="none" w:sz="0" w:space="0" w:color="auto"/>
        <w:left w:val="none" w:sz="0" w:space="0" w:color="auto"/>
        <w:bottom w:val="none" w:sz="0" w:space="0" w:color="auto"/>
        <w:right w:val="none" w:sz="0" w:space="0" w:color="auto"/>
      </w:divBdr>
    </w:div>
    <w:div w:id="1922635413">
      <w:bodyDiv w:val="1"/>
      <w:marLeft w:val="0"/>
      <w:marRight w:val="0"/>
      <w:marTop w:val="0"/>
      <w:marBottom w:val="0"/>
      <w:divBdr>
        <w:top w:val="none" w:sz="0" w:space="0" w:color="auto"/>
        <w:left w:val="none" w:sz="0" w:space="0" w:color="auto"/>
        <w:bottom w:val="none" w:sz="0" w:space="0" w:color="auto"/>
        <w:right w:val="none" w:sz="0" w:space="0" w:color="auto"/>
      </w:divBdr>
    </w:div>
    <w:div w:id="1924954011">
      <w:bodyDiv w:val="1"/>
      <w:marLeft w:val="0"/>
      <w:marRight w:val="0"/>
      <w:marTop w:val="0"/>
      <w:marBottom w:val="0"/>
      <w:divBdr>
        <w:top w:val="none" w:sz="0" w:space="0" w:color="auto"/>
        <w:left w:val="none" w:sz="0" w:space="0" w:color="auto"/>
        <w:bottom w:val="none" w:sz="0" w:space="0" w:color="auto"/>
        <w:right w:val="none" w:sz="0" w:space="0" w:color="auto"/>
      </w:divBdr>
    </w:div>
    <w:div w:id="1925841219">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1889050">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4075173">
      <w:bodyDiv w:val="1"/>
      <w:marLeft w:val="0"/>
      <w:marRight w:val="0"/>
      <w:marTop w:val="0"/>
      <w:marBottom w:val="0"/>
      <w:divBdr>
        <w:top w:val="none" w:sz="0" w:space="0" w:color="auto"/>
        <w:left w:val="none" w:sz="0" w:space="0" w:color="auto"/>
        <w:bottom w:val="none" w:sz="0" w:space="0" w:color="auto"/>
        <w:right w:val="none" w:sz="0" w:space="0" w:color="auto"/>
      </w:divBdr>
    </w:div>
    <w:div w:id="1947346054">
      <w:bodyDiv w:val="1"/>
      <w:marLeft w:val="0"/>
      <w:marRight w:val="0"/>
      <w:marTop w:val="0"/>
      <w:marBottom w:val="0"/>
      <w:divBdr>
        <w:top w:val="none" w:sz="0" w:space="0" w:color="auto"/>
        <w:left w:val="none" w:sz="0" w:space="0" w:color="auto"/>
        <w:bottom w:val="none" w:sz="0" w:space="0" w:color="auto"/>
        <w:right w:val="none" w:sz="0" w:space="0" w:color="auto"/>
      </w:divBdr>
    </w:div>
    <w:div w:id="1957177141">
      <w:bodyDiv w:val="1"/>
      <w:marLeft w:val="0"/>
      <w:marRight w:val="0"/>
      <w:marTop w:val="0"/>
      <w:marBottom w:val="0"/>
      <w:divBdr>
        <w:top w:val="none" w:sz="0" w:space="0" w:color="auto"/>
        <w:left w:val="none" w:sz="0" w:space="0" w:color="auto"/>
        <w:bottom w:val="none" w:sz="0" w:space="0" w:color="auto"/>
        <w:right w:val="none" w:sz="0" w:space="0" w:color="auto"/>
      </w:divBdr>
    </w:div>
    <w:div w:id="1957515001">
      <w:bodyDiv w:val="1"/>
      <w:marLeft w:val="0"/>
      <w:marRight w:val="0"/>
      <w:marTop w:val="0"/>
      <w:marBottom w:val="0"/>
      <w:divBdr>
        <w:top w:val="none" w:sz="0" w:space="0" w:color="auto"/>
        <w:left w:val="none" w:sz="0" w:space="0" w:color="auto"/>
        <w:bottom w:val="none" w:sz="0" w:space="0" w:color="auto"/>
        <w:right w:val="none" w:sz="0" w:space="0" w:color="auto"/>
      </w:divBdr>
    </w:div>
    <w:div w:id="1959993912">
      <w:bodyDiv w:val="1"/>
      <w:marLeft w:val="0"/>
      <w:marRight w:val="0"/>
      <w:marTop w:val="0"/>
      <w:marBottom w:val="0"/>
      <w:divBdr>
        <w:top w:val="none" w:sz="0" w:space="0" w:color="auto"/>
        <w:left w:val="none" w:sz="0" w:space="0" w:color="auto"/>
        <w:bottom w:val="none" w:sz="0" w:space="0" w:color="auto"/>
        <w:right w:val="none" w:sz="0" w:space="0" w:color="auto"/>
      </w:divBdr>
    </w:div>
    <w:div w:id="1961451580">
      <w:bodyDiv w:val="1"/>
      <w:marLeft w:val="0"/>
      <w:marRight w:val="0"/>
      <w:marTop w:val="0"/>
      <w:marBottom w:val="0"/>
      <w:divBdr>
        <w:top w:val="none" w:sz="0" w:space="0" w:color="auto"/>
        <w:left w:val="none" w:sz="0" w:space="0" w:color="auto"/>
        <w:bottom w:val="none" w:sz="0" w:space="0" w:color="auto"/>
        <w:right w:val="none" w:sz="0" w:space="0" w:color="auto"/>
      </w:divBdr>
    </w:div>
    <w:div w:id="196260720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74867845">
      <w:bodyDiv w:val="1"/>
      <w:marLeft w:val="0"/>
      <w:marRight w:val="0"/>
      <w:marTop w:val="0"/>
      <w:marBottom w:val="0"/>
      <w:divBdr>
        <w:top w:val="none" w:sz="0" w:space="0" w:color="auto"/>
        <w:left w:val="none" w:sz="0" w:space="0" w:color="auto"/>
        <w:bottom w:val="none" w:sz="0" w:space="0" w:color="auto"/>
        <w:right w:val="none" w:sz="0" w:space="0" w:color="auto"/>
      </w:divBdr>
    </w:div>
    <w:div w:id="1981376805">
      <w:bodyDiv w:val="1"/>
      <w:marLeft w:val="0"/>
      <w:marRight w:val="0"/>
      <w:marTop w:val="0"/>
      <w:marBottom w:val="0"/>
      <w:divBdr>
        <w:top w:val="none" w:sz="0" w:space="0" w:color="auto"/>
        <w:left w:val="none" w:sz="0" w:space="0" w:color="auto"/>
        <w:bottom w:val="none" w:sz="0" w:space="0" w:color="auto"/>
        <w:right w:val="none" w:sz="0" w:space="0" w:color="auto"/>
      </w:divBdr>
    </w:div>
    <w:div w:id="1983539499">
      <w:bodyDiv w:val="1"/>
      <w:marLeft w:val="0"/>
      <w:marRight w:val="0"/>
      <w:marTop w:val="0"/>
      <w:marBottom w:val="0"/>
      <w:divBdr>
        <w:top w:val="none" w:sz="0" w:space="0" w:color="auto"/>
        <w:left w:val="none" w:sz="0" w:space="0" w:color="auto"/>
        <w:bottom w:val="none" w:sz="0" w:space="0" w:color="auto"/>
        <w:right w:val="none" w:sz="0" w:space="0" w:color="auto"/>
      </w:divBdr>
    </w:div>
    <w:div w:id="1984119651">
      <w:bodyDiv w:val="1"/>
      <w:marLeft w:val="0"/>
      <w:marRight w:val="0"/>
      <w:marTop w:val="0"/>
      <w:marBottom w:val="0"/>
      <w:divBdr>
        <w:top w:val="none" w:sz="0" w:space="0" w:color="auto"/>
        <w:left w:val="none" w:sz="0" w:space="0" w:color="auto"/>
        <w:bottom w:val="none" w:sz="0" w:space="0" w:color="auto"/>
        <w:right w:val="none" w:sz="0" w:space="0" w:color="auto"/>
      </w:divBdr>
    </w:div>
    <w:div w:id="1984773732">
      <w:bodyDiv w:val="1"/>
      <w:marLeft w:val="0"/>
      <w:marRight w:val="0"/>
      <w:marTop w:val="0"/>
      <w:marBottom w:val="0"/>
      <w:divBdr>
        <w:top w:val="none" w:sz="0" w:space="0" w:color="auto"/>
        <w:left w:val="none" w:sz="0" w:space="0" w:color="auto"/>
        <w:bottom w:val="none" w:sz="0" w:space="0" w:color="auto"/>
        <w:right w:val="none" w:sz="0" w:space="0" w:color="auto"/>
      </w:divBdr>
    </w:div>
    <w:div w:id="1984890793">
      <w:bodyDiv w:val="1"/>
      <w:marLeft w:val="0"/>
      <w:marRight w:val="0"/>
      <w:marTop w:val="0"/>
      <w:marBottom w:val="0"/>
      <w:divBdr>
        <w:top w:val="none" w:sz="0" w:space="0" w:color="auto"/>
        <w:left w:val="none" w:sz="0" w:space="0" w:color="auto"/>
        <w:bottom w:val="none" w:sz="0" w:space="0" w:color="auto"/>
        <w:right w:val="none" w:sz="0" w:space="0" w:color="auto"/>
      </w:divBdr>
    </w:div>
    <w:div w:id="1993559403">
      <w:bodyDiv w:val="1"/>
      <w:marLeft w:val="0"/>
      <w:marRight w:val="0"/>
      <w:marTop w:val="0"/>
      <w:marBottom w:val="0"/>
      <w:divBdr>
        <w:top w:val="none" w:sz="0" w:space="0" w:color="auto"/>
        <w:left w:val="none" w:sz="0" w:space="0" w:color="auto"/>
        <w:bottom w:val="none" w:sz="0" w:space="0" w:color="auto"/>
        <w:right w:val="none" w:sz="0" w:space="0" w:color="auto"/>
      </w:divBdr>
    </w:div>
    <w:div w:id="1995134198">
      <w:bodyDiv w:val="1"/>
      <w:marLeft w:val="0"/>
      <w:marRight w:val="0"/>
      <w:marTop w:val="0"/>
      <w:marBottom w:val="0"/>
      <w:divBdr>
        <w:top w:val="none" w:sz="0" w:space="0" w:color="auto"/>
        <w:left w:val="none" w:sz="0" w:space="0" w:color="auto"/>
        <w:bottom w:val="none" w:sz="0" w:space="0" w:color="auto"/>
        <w:right w:val="none" w:sz="0" w:space="0" w:color="auto"/>
      </w:divBdr>
    </w:div>
    <w:div w:id="1997222277">
      <w:bodyDiv w:val="1"/>
      <w:marLeft w:val="0"/>
      <w:marRight w:val="0"/>
      <w:marTop w:val="0"/>
      <w:marBottom w:val="0"/>
      <w:divBdr>
        <w:top w:val="none" w:sz="0" w:space="0" w:color="auto"/>
        <w:left w:val="none" w:sz="0" w:space="0" w:color="auto"/>
        <w:bottom w:val="none" w:sz="0" w:space="0" w:color="auto"/>
        <w:right w:val="none" w:sz="0" w:space="0" w:color="auto"/>
      </w:divBdr>
    </w:div>
    <w:div w:id="1998067010">
      <w:bodyDiv w:val="1"/>
      <w:marLeft w:val="0"/>
      <w:marRight w:val="0"/>
      <w:marTop w:val="0"/>
      <w:marBottom w:val="0"/>
      <w:divBdr>
        <w:top w:val="none" w:sz="0" w:space="0" w:color="auto"/>
        <w:left w:val="none" w:sz="0" w:space="0" w:color="auto"/>
        <w:bottom w:val="none" w:sz="0" w:space="0" w:color="auto"/>
        <w:right w:val="none" w:sz="0" w:space="0" w:color="auto"/>
      </w:divBdr>
    </w:div>
    <w:div w:id="2004426985">
      <w:bodyDiv w:val="1"/>
      <w:marLeft w:val="0"/>
      <w:marRight w:val="0"/>
      <w:marTop w:val="0"/>
      <w:marBottom w:val="0"/>
      <w:divBdr>
        <w:top w:val="none" w:sz="0" w:space="0" w:color="auto"/>
        <w:left w:val="none" w:sz="0" w:space="0" w:color="auto"/>
        <w:bottom w:val="none" w:sz="0" w:space="0" w:color="auto"/>
        <w:right w:val="none" w:sz="0" w:space="0" w:color="auto"/>
      </w:divBdr>
    </w:div>
    <w:div w:id="2008248535">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5035799">
      <w:bodyDiv w:val="1"/>
      <w:marLeft w:val="0"/>
      <w:marRight w:val="0"/>
      <w:marTop w:val="0"/>
      <w:marBottom w:val="0"/>
      <w:divBdr>
        <w:top w:val="none" w:sz="0" w:space="0" w:color="auto"/>
        <w:left w:val="none" w:sz="0" w:space="0" w:color="auto"/>
        <w:bottom w:val="none" w:sz="0" w:space="0" w:color="auto"/>
        <w:right w:val="none" w:sz="0" w:space="0" w:color="auto"/>
      </w:divBdr>
    </w:div>
    <w:div w:id="2025672319">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0014661">
      <w:bodyDiv w:val="1"/>
      <w:marLeft w:val="0"/>
      <w:marRight w:val="0"/>
      <w:marTop w:val="0"/>
      <w:marBottom w:val="0"/>
      <w:divBdr>
        <w:top w:val="none" w:sz="0" w:space="0" w:color="auto"/>
        <w:left w:val="none" w:sz="0" w:space="0" w:color="auto"/>
        <w:bottom w:val="none" w:sz="0" w:space="0" w:color="auto"/>
        <w:right w:val="none" w:sz="0" w:space="0" w:color="auto"/>
      </w:divBdr>
    </w:div>
    <w:div w:id="2062900772">
      <w:bodyDiv w:val="1"/>
      <w:marLeft w:val="0"/>
      <w:marRight w:val="0"/>
      <w:marTop w:val="0"/>
      <w:marBottom w:val="0"/>
      <w:divBdr>
        <w:top w:val="none" w:sz="0" w:space="0" w:color="auto"/>
        <w:left w:val="none" w:sz="0" w:space="0" w:color="auto"/>
        <w:bottom w:val="none" w:sz="0" w:space="0" w:color="auto"/>
        <w:right w:val="none" w:sz="0" w:space="0" w:color="auto"/>
      </w:divBdr>
    </w:div>
    <w:div w:id="2066709566">
      <w:bodyDiv w:val="1"/>
      <w:marLeft w:val="0"/>
      <w:marRight w:val="0"/>
      <w:marTop w:val="0"/>
      <w:marBottom w:val="0"/>
      <w:divBdr>
        <w:top w:val="none" w:sz="0" w:space="0" w:color="auto"/>
        <w:left w:val="none" w:sz="0" w:space="0" w:color="auto"/>
        <w:bottom w:val="none" w:sz="0" w:space="0" w:color="auto"/>
        <w:right w:val="none" w:sz="0" w:space="0" w:color="auto"/>
      </w:divBdr>
    </w:div>
    <w:div w:id="2068646334">
      <w:bodyDiv w:val="1"/>
      <w:marLeft w:val="0"/>
      <w:marRight w:val="0"/>
      <w:marTop w:val="0"/>
      <w:marBottom w:val="0"/>
      <w:divBdr>
        <w:top w:val="none" w:sz="0" w:space="0" w:color="auto"/>
        <w:left w:val="none" w:sz="0" w:space="0" w:color="auto"/>
        <w:bottom w:val="none" w:sz="0" w:space="0" w:color="auto"/>
        <w:right w:val="none" w:sz="0" w:space="0" w:color="auto"/>
      </w:divBdr>
    </w:div>
    <w:div w:id="2085182392">
      <w:bodyDiv w:val="1"/>
      <w:marLeft w:val="0"/>
      <w:marRight w:val="0"/>
      <w:marTop w:val="0"/>
      <w:marBottom w:val="0"/>
      <w:divBdr>
        <w:top w:val="none" w:sz="0" w:space="0" w:color="auto"/>
        <w:left w:val="none" w:sz="0" w:space="0" w:color="auto"/>
        <w:bottom w:val="none" w:sz="0" w:space="0" w:color="auto"/>
        <w:right w:val="none" w:sz="0" w:space="0" w:color="auto"/>
      </w:divBdr>
    </w:div>
    <w:div w:id="2089156753">
      <w:bodyDiv w:val="1"/>
      <w:marLeft w:val="0"/>
      <w:marRight w:val="0"/>
      <w:marTop w:val="0"/>
      <w:marBottom w:val="0"/>
      <w:divBdr>
        <w:top w:val="none" w:sz="0" w:space="0" w:color="auto"/>
        <w:left w:val="none" w:sz="0" w:space="0" w:color="auto"/>
        <w:bottom w:val="none" w:sz="0" w:space="0" w:color="auto"/>
        <w:right w:val="none" w:sz="0" w:space="0" w:color="auto"/>
      </w:divBdr>
    </w:div>
    <w:div w:id="2096632468">
      <w:bodyDiv w:val="1"/>
      <w:marLeft w:val="0"/>
      <w:marRight w:val="0"/>
      <w:marTop w:val="0"/>
      <w:marBottom w:val="0"/>
      <w:divBdr>
        <w:top w:val="none" w:sz="0" w:space="0" w:color="auto"/>
        <w:left w:val="none" w:sz="0" w:space="0" w:color="auto"/>
        <w:bottom w:val="none" w:sz="0" w:space="0" w:color="auto"/>
        <w:right w:val="none" w:sz="0" w:space="0" w:color="auto"/>
      </w:divBdr>
    </w:div>
    <w:div w:id="2098481504">
      <w:bodyDiv w:val="1"/>
      <w:marLeft w:val="0"/>
      <w:marRight w:val="0"/>
      <w:marTop w:val="0"/>
      <w:marBottom w:val="0"/>
      <w:divBdr>
        <w:top w:val="none" w:sz="0" w:space="0" w:color="auto"/>
        <w:left w:val="none" w:sz="0" w:space="0" w:color="auto"/>
        <w:bottom w:val="none" w:sz="0" w:space="0" w:color="auto"/>
        <w:right w:val="none" w:sz="0" w:space="0" w:color="auto"/>
      </w:divBdr>
    </w:div>
    <w:div w:id="211655466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budget.gov.au/2023-24/content/bp3/index.htm" TargetMode="External"/><Relationship Id="rId28" Type="http://schemas.openxmlformats.org/officeDocument/2006/relationships/header" Target="header7.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budget.gov.au/2023-24/content/bp3/index.htm" TargetMode="External"/><Relationship Id="rId27" Type="http://schemas.openxmlformats.org/officeDocument/2006/relationships/header" Target="header6.xml"/><Relationship Id="rId30"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5fb5116-7131-45fb-9d92-926478776364" ContentTypeId="0x010100B321FEA60C5BA343A52BC94EC00ABC9E07" PreviousValue="false"/>
</file>

<file path=customXml/item6.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2.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3.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5.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6.xml><?xml version="1.0" encoding="utf-8"?>
<ds:datastoreItem xmlns:ds="http://schemas.openxmlformats.org/officeDocument/2006/customXml" ds:itemID="{26CEAD22-808A-4C85-A925-26BD5C865F70}">
  <ds:schemaRefs>
    <ds:schemaRef ds:uri="http://www.w3.org/XML/1998/namespace"/>
    <ds:schemaRef ds:uri="http://purl.org/dc/terms/"/>
    <ds:schemaRef ds:uri="http://schemas.microsoft.com/office/infopath/2007/PartnerControls"/>
    <ds:schemaRef ds:uri="http://schemas.microsoft.com/office/2006/documentManagement/types"/>
    <ds:schemaRef ds:uri="http://schemas.microsoft.com/office/2006/metadata/properties"/>
    <ds:schemaRef ds:uri="7f038680-7400-4805-8f95-861f74a21749"/>
    <ds:schemaRef ds:uri="http://purl.org/dc/elements/1.1/"/>
    <ds:schemaRef ds:uri="http://schemas.openxmlformats.org/package/2006/metadata/core-properties"/>
    <ds:schemaRef ds:uri="82ff9d9b-d3fc-4aad-bc42-9949ee83b815"/>
    <ds:schemaRef ds:uri="http://schemas.microsoft.com/sharepoint/v3"/>
    <ds:schemaRef ds:uri="http://purl.org/dc/dcmitype/"/>
  </ds:schemaRefs>
</ds:datastoreItem>
</file>

<file path=customXml/itemProps7.xml><?xml version="1.0" encoding="utf-8"?>
<ds:datastoreItem xmlns:ds="http://schemas.openxmlformats.org/officeDocument/2006/customXml" ds:itemID="{4D5D97FF-4117-4FD8-8F71-4A174F508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21354</Words>
  <Characters>135114</Characters>
  <Application>Microsoft Office Word</Application>
  <DocSecurity>0</DocSecurity>
  <Lines>1125</Lines>
  <Paragraphs>312</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156156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
  <dc:creator/>
  <cp:keywords/>
  <cp:lastModifiedBy/>
  <cp:revision>1</cp:revision>
  <dcterms:created xsi:type="dcterms:W3CDTF">2023-05-08T10:29:00Z</dcterms:created>
  <dcterms:modified xsi:type="dcterms:W3CDTF">2023-05-08T11:23:00Z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