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2289" w14:textId="77777777" w:rsidR="00752811" w:rsidRPr="005A7C0B" w:rsidRDefault="00752811" w:rsidP="00745005">
      <w:pPr>
        <w:pStyle w:val="PartHeading"/>
      </w:pPr>
      <w:bookmarkStart w:id="0" w:name="_Toc190766151"/>
      <w:bookmarkStart w:id="1" w:name="_Toc444523519"/>
      <w:r>
        <w:t>Infrastructure Australia</w:t>
      </w:r>
    </w:p>
    <w:p w14:paraId="7067CC17" w14:textId="77777777" w:rsidR="00752811" w:rsidRDefault="00752811" w:rsidP="00745005">
      <w:pPr>
        <w:pStyle w:val="PartHeading"/>
      </w:pPr>
    </w:p>
    <w:p w14:paraId="590D84F7" w14:textId="77777777" w:rsidR="00752811" w:rsidRDefault="00752811" w:rsidP="00745005">
      <w:pPr>
        <w:pStyle w:val="PartHeading"/>
      </w:pPr>
    </w:p>
    <w:p w14:paraId="76B2E63F" w14:textId="77777777" w:rsidR="00752811" w:rsidRDefault="00752811" w:rsidP="00745005">
      <w:pPr>
        <w:pStyle w:val="PartHeading"/>
      </w:pPr>
      <w:r>
        <w:t>Entity resources and planned performance</w:t>
      </w:r>
    </w:p>
    <w:p w14:paraId="4837FC04" w14:textId="77777777" w:rsidR="00752811" w:rsidRDefault="00752811" w:rsidP="00745005">
      <w:pPr>
        <w:pStyle w:val="PartHeading"/>
        <w:sectPr w:rsidR="00752811" w:rsidSect="00782467">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vAlign w:val="center"/>
          <w:titlePg/>
          <w:docGrid w:linePitch="360"/>
        </w:sectPr>
      </w:pPr>
    </w:p>
    <w:p w14:paraId="26CC0C7B" w14:textId="77777777" w:rsidR="00752811" w:rsidRPr="002A32FD" w:rsidRDefault="00752811" w:rsidP="00752811">
      <w:pPr>
        <w:pStyle w:val="ContentsHeading"/>
      </w:pPr>
      <w:r>
        <w:lastRenderedPageBreak/>
        <w:t>Infrastructure Australia</w:t>
      </w:r>
    </w:p>
    <w:p w14:paraId="1FA065B5" w14:textId="3B0F9188" w:rsidR="00DE4437" w:rsidRDefault="00DE4437">
      <w:pPr>
        <w:pStyle w:val="TOC1"/>
        <w:rPr>
          <w:rFonts w:asciiTheme="minorHAnsi" w:eastAsiaTheme="minorEastAsia" w:hAnsiTheme="minorHAnsi" w:cstheme="minorBidi"/>
          <w:b w:val="0"/>
          <w:caps w:val="0"/>
          <w:noProof/>
          <w:sz w:val="22"/>
          <w:szCs w:val="22"/>
        </w:rPr>
      </w:pPr>
      <w:r>
        <w:fldChar w:fldCharType="begin"/>
      </w:r>
      <w:r>
        <w:instrText xml:space="preserve"> TOC \h \z \t "Heading 3 - IA,2,Heading 2 - IA,1" </w:instrText>
      </w:r>
      <w:r>
        <w:fldChar w:fldCharType="separate"/>
      </w:r>
      <w:hyperlink w:anchor="_Toc98534094" w:history="1">
        <w:r w:rsidRPr="00E26C8C">
          <w:rPr>
            <w:rStyle w:val="Hyperlink"/>
            <w:noProof/>
          </w:rPr>
          <w:t>Section 1: Entity overview and resources</w:t>
        </w:r>
        <w:r>
          <w:rPr>
            <w:noProof/>
            <w:webHidden/>
          </w:rPr>
          <w:tab/>
        </w:r>
        <w:r>
          <w:rPr>
            <w:noProof/>
            <w:webHidden/>
          </w:rPr>
          <w:fldChar w:fldCharType="begin"/>
        </w:r>
        <w:r>
          <w:rPr>
            <w:noProof/>
            <w:webHidden/>
          </w:rPr>
          <w:instrText xml:space="preserve"> PAGEREF _Toc98534094 \h </w:instrText>
        </w:r>
        <w:r>
          <w:rPr>
            <w:noProof/>
            <w:webHidden/>
          </w:rPr>
        </w:r>
        <w:r>
          <w:rPr>
            <w:noProof/>
            <w:webHidden/>
          </w:rPr>
          <w:fldChar w:fldCharType="separate"/>
        </w:r>
        <w:r w:rsidR="008B2352">
          <w:rPr>
            <w:noProof/>
            <w:webHidden/>
          </w:rPr>
          <w:t>273</w:t>
        </w:r>
        <w:r>
          <w:rPr>
            <w:noProof/>
            <w:webHidden/>
          </w:rPr>
          <w:fldChar w:fldCharType="end"/>
        </w:r>
      </w:hyperlink>
    </w:p>
    <w:p w14:paraId="676A90F7" w14:textId="436FE714" w:rsidR="00DE4437" w:rsidRDefault="003B6D98">
      <w:pPr>
        <w:pStyle w:val="TOC2"/>
        <w:tabs>
          <w:tab w:val="left" w:pos="800"/>
        </w:tabs>
        <w:rPr>
          <w:rFonts w:asciiTheme="minorHAnsi" w:eastAsiaTheme="minorEastAsia" w:hAnsiTheme="minorHAnsi" w:cstheme="minorBidi"/>
          <w:noProof/>
          <w:sz w:val="22"/>
          <w:szCs w:val="22"/>
        </w:rPr>
      </w:pPr>
      <w:hyperlink w:anchor="_Toc98534095" w:history="1">
        <w:r w:rsidR="00DE4437" w:rsidRPr="00E26C8C">
          <w:rPr>
            <w:rStyle w:val="Hyperlink"/>
            <w:noProof/>
          </w:rPr>
          <w:t>1.1</w:t>
        </w:r>
        <w:r w:rsidR="00DE4437">
          <w:rPr>
            <w:rFonts w:asciiTheme="minorHAnsi" w:eastAsiaTheme="minorEastAsia" w:hAnsiTheme="minorHAnsi" w:cstheme="minorBidi"/>
            <w:noProof/>
            <w:sz w:val="22"/>
            <w:szCs w:val="22"/>
          </w:rPr>
          <w:tab/>
        </w:r>
        <w:r w:rsidR="00DE4437" w:rsidRPr="00E26C8C">
          <w:rPr>
            <w:rStyle w:val="Hyperlink"/>
            <w:noProof/>
          </w:rPr>
          <w:t>Strategic direction statement</w:t>
        </w:r>
        <w:r w:rsidR="00DE4437">
          <w:rPr>
            <w:noProof/>
            <w:webHidden/>
          </w:rPr>
          <w:tab/>
        </w:r>
        <w:r w:rsidR="00DE4437">
          <w:rPr>
            <w:noProof/>
            <w:webHidden/>
          </w:rPr>
          <w:fldChar w:fldCharType="begin"/>
        </w:r>
        <w:r w:rsidR="00DE4437">
          <w:rPr>
            <w:noProof/>
            <w:webHidden/>
          </w:rPr>
          <w:instrText xml:space="preserve"> PAGEREF _Toc98534095 \h </w:instrText>
        </w:r>
        <w:r w:rsidR="00DE4437">
          <w:rPr>
            <w:noProof/>
            <w:webHidden/>
          </w:rPr>
        </w:r>
        <w:r w:rsidR="00DE4437">
          <w:rPr>
            <w:noProof/>
            <w:webHidden/>
          </w:rPr>
          <w:fldChar w:fldCharType="separate"/>
        </w:r>
        <w:r w:rsidR="008B2352">
          <w:rPr>
            <w:noProof/>
            <w:webHidden/>
          </w:rPr>
          <w:t>273</w:t>
        </w:r>
        <w:r w:rsidR="00DE4437">
          <w:rPr>
            <w:noProof/>
            <w:webHidden/>
          </w:rPr>
          <w:fldChar w:fldCharType="end"/>
        </w:r>
      </w:hyperlink>
    </w:p>
    <w:p w14:paraId="7E48471E" w14:textId="67688EAA" w:rsidR="00DE4437" w:rsidRDefault="003B6D98">
      <w:pPr>
        <w:pStyle w:val="TOC2"/>
        <w:tabs>
          <w:tab w:val="left" w:pos="800"/>
        </w:tabs>
        <w:rPr>
          <w:rFonts w:asciiTheme="minorHAnsi" w:eastAsiaTheme="minorEastAsia" w:hAnsiTheme="minorHAnsi" w:cstheme="minorBidi"/>
          <w:noProof/>
          <w:sz w:val="22"/>
          <w:szCs w:val="22"/>
        </w:rPr>
      </w:pPr>
      <w:hyperlink w:anchor="_Toc98534096" w:history="1">
        <w:r w:rsidR="00DE4437" w:rsidRPr="00E26C8C">
          <w:rPr>
            <w:rStyle w:val="Hyperlink"/>
            <w:noProof/>
          </w:rPr>
          <w:t>1.2</w:t>
        </w:r>
        <w:r w:rsidR="00DE4437">
          <w:rPr>
            <w:rFonts w:asciiTheme="minorHAnsi" w:eastAsiaTheme="minorEastAsia" w:hAnsiTheme="minorHAnsi" w:cstheme="minorBidi"/>
            <w:noProof/>
            <w:sz w:val="22"/>
            <w:szCs w:val="22"/>
          </w:rPr>
          <w:tab/>
        </w:r>
        <w:r w:rsidR="00DE4437" w:rsidRPr="00E26C8C">
          <w:rPr>
            <w:rStyle w:val="Hyperlink"/>
            <w:noProof/>
          </w:rPr>
          <w:t>Entity resource statement</w:t>
        </w:r>
        <w:r w:rsidR="00DE4437">
          <w:rPr>
            <w:noProof/>
            <w:webHidden/>
          </w:rPr>
          <w:tab/>
        </w:r>
        <w:r w:rsidR="00DE4437">
          <w:rPr>
            <w:noProof/>
            <w:webHidden/>
          </w:rPr>
          <w:fldChar w:fldCharType="begin"/>
        </w:r>
        <w:r w:rsidR="00DE4437">
          <w:rPr>
            <w:noProof/>
            <w:webHidden/>
          </w:rPr>
          <w:instrText xml:space="preserve"> PAGEREF _Toc98534096 \h </w:instrText>
        </w:r>
        <w:r w:rsidR="00DE4437">
          <w:rPr>
            <w:noProof/>
            <w:webHidden/>
          </w:rPr>
        </w:r>
        <w:r w:rsidR="00DE4437">
          <w:rPr>
            <w:noProof/>
            <w:webHidden/>
          </w:rPr>
          <w:fldChar w:fldCharType="separate"/>
        </w:r>
        <w:r w:rsidR="008B2352">
          <w:rPr>
            <w:noProof/>
            <w:webHidden/>
          </w:rPr>
          <w:t>275</w:t>
        </w:r>
        <w:r w:rsidR="00DE4437">
          <w:rPr>
            <w:noProof/>
            <w:webHidden/>
          </w:rPr>
          <w:fldChar w:fldCharType="end"/>
        </w:r>
      </w:hyperlink>
    </w:p>
    <w:p w14:paraId="35DD3F9D" w14:textId="373915F1" w:rsidR="00DE4437" w:rsidRDefault="003B6D98">
      <w:pPr>
        <w:pStyle w:val="TOC2"/>
        <w:tabs>
          <w:tab w:val="left" w:pos="800"/>
        </w:tabs>
        <w:rPr>
          <w:rFonts w:asciiTheme="minorHAnsi" w:eastAsiaTheme="minorEastAsia" w:hAnsiTheme="minorHAnsi" w:cstheme="minorBidi"/>
          <w:noProof/>
          <w:sz w:val="22"/>
          <w:szCs w:val="22"/>
        </w:rPr>
      </w:pPr>
      <w:hyperlink w:anchor="_Toc98534097" w:history="1">
        <w:r w:rsidR="00DE4437" w:rsidRPr="00E26C8C">
          <w:rPr>
            <w:rStyle w:val="Hyperlink"/>
            <w:noProof/>
          </w:rPr>
          <w:t>1.3</w:t>
        </w:r>
        <w:r w:rsidR="00DE4437">
          <w:rPr>
            <w:rFonts w:asciiTheme="minorHAnsi" w:eastAsiaTheme="minorEastAsia" w:hAnsiTheme="minorHAnsi" w:cstheme="minorBidi"/>
            <w:noProof/>
            <w:sz w:val="22"/>
            <w:szCs w:val="22"/>
          </w:rPr>
          <w:tab/>
        </w:r>
        <w:r w:rsidR="00DE4437" w:rsidRPr="00E26C8C">
          <w:rPr>
            <w:rStyle w:val="Hyperlink"/>
            <w:noProof/>
          </w:rPr>
          <w:t>Budget measures</w:t>
        </w:r>
        <w:r w:rsidR="00DE4437">
          <w:rPr>
            <w:noProof/>
            <w:webHidden/>
          </w:rPr>
          <w:tab/>
        </w:r>
        <w:r w:rsidR="00DE4437">
          <w:rPr>
            <w:noProof/>
            <w:webHidden/>
          </w:rPr>
          <w:fldChar w:fldCharType="begin"/>
        </w:r>
        <w:r w:rsidR="00DE4437">
          <w:rPr>
            <w:noProof/>
            <w:webHidden/>
          </w:rPr>
          <w:instrText xml:space="preserve"> PAGEREF _Toc98534097 \h </w:instrText>
        </w:r>
        <w:r w:rsidR="00DE4437">
          <w:rPr>
            <w:noProof/>
            <w:webHidden/>
          </w:rPr>
        </w:r>
        <w:r w:rsidR="00DE4437">
          <w:rPr>
            <w:noProof/>
            <w:webHidden/>
          </w:rPr>
          <w:fldChar w:fldCharType="separate"/>
        </w:r>
        <w:r w:rsidR="008B2352">
          <w:rPr>
            <w:noProof/>
            <w:webHidden/>
          </w:rPr>
          <w:t>275</w:t>
        </w:r>
        <w:r w:rsidR="00DE4437">
          <w:rPr>
            <w:noProof/>
            <w:webHidden/>
          </w:rPr>
          <w:fldChar w:fldCharType="end"/>
        </w:r>
      </w:hyperlink>
    </w:p>
    <w:p w14:paraId="03DE2B4D" w14:textId="37136D2C" w:rsidR="00DE4437" w:rsidRDefault="003B6D98">
      <w:pPr>
        <w:pStyle w:val="TOC1"/>
        <w:rPr>
          <w:rFonts w:asciiTheme="minorHAnsi" w:eastAsiaTheme="minorEastAsia" w:hAnsiTheme="minorHAnsi" w:cstheme="minorBidi"/>
          <w:b w:val="0"/>
          <w:caps w:val="0"/>
          <w:noProof/>
          <w:sz w:val="22"/>
          <w:szCs w:val="22"/>
        </w:rPr>
      </w:pPr>
      <w:hyperlink w:anchor="_Toc98534098" w:history="1">
        <w:r w:rsidR="00DE4437" w:rsidRPr="00E26C8C">
          <w:rPr>
            <w:rStyle w:val="Hyperlink"/>
            <w:noProof/>
          </w:rPr>
          <w:t>Section 2: Outcomes and planned performance</w:t>
        </w:r>
        <w:r w:rsidR="00DE4437">
          <w:rPr>
            <w:noProof/>
            <w:webHidden/>
          </w:rPr>
          <w:tab/>
        </w:r>
        <w:r w:rsidR="00DE4437">
          <w:rPr>
            <w:noProof/>
            <w:webHidden/>
          </w:rPr>
          <w:fldChar w:fldCharType="begin"/>
        </w:r>
        <w:r w:rsidR="00DE4437">
          <w:rPr>
            <w:noProof/>
            <w:webHidden/>
          </w:rPr>
          <w:instrText xml:space="preserve"> PAGEREF _Toc98534098 \h </w:instrText>
        </w:r>
        <w:r w:rsidR="00DE4437">
          <w:rPr>
            <w:noProof/>
            <w:webHidden/>
          </w:rPr>
        </w:r>
        <w:r w:rsidR="00DE4437">
          <w:rPr>
            <w:noProof/>
            <w:webHidden/>
          </w:rPr>
          <w:fldChar w:fldCharType="separate"/>
        </w:r>
        <w:r w:rsidR="008B2352">
          <w:rPr>
            <w:noProof/>
            <w:webHidden/>
          </w:rPr>
          <w:t>276</w:t>
        </w:r>
        <w:r w:rsidR="00DE4437">
          <w:rPr>
            <w:noProof/>
            <w:webHidden/>
          </w:rPr>
          <w:fldChar w:fldCharType="end"/>
        </w:r>
      </w:hyperlink>
    </w:p>
    <w:p w14:paraId="7D2FE476" w14:textId="5F61849E" w:rsidR="00DE4437" w:rsidRDefault="003B6D98">
      <w:pPr>
        <w:pStyle w:val="TOC2"/>
        <w:tabs>
          <w:tab w:val="left" w:pos="800"/>
        </w:tabs>
        <w:rPr>
          <w:rFonts w:asciiTheme="minorHAnsi" w:eastAsiaTheme="minorEastAsia" w:hAnsiTheme="minorHAnsi" w:cstheme="minorBidi"/>
          <w:noProof/>
          <w:sz w:val="22"/>
          <w:szCs w:val="22"/>
        </w:rPr>
      </w:pPr>
      <w:hyperlink w:anchor="_Toc98534099" w:history="1">
        <w:r w:rsidR="00DE4437" w:rsidRPr="00E26C8C">
          <w:rPr>
            <w:rStyle w:val="Hyperlink"/>
            <w:noProof/>
          </w:rPr>
          <w:t xml:space="preserve">2.1 </w:t>
        </w:r>
        <w:r w:rsidR="00DE4437">
          <w:rPr>
            <w:rFonts w:asciiTheme="minorHAnsi" w:eastAsiaTheme="minorEastAsia" w:hAnsiTheme="minorHAnsi" w:cstheme="minorBidi"/>
            <w:noProof/>
            <w:sz w:val="22"/>
            <w:szCs w:val="22"/>
          </w:rPr>
          <w:tab/>
        </w:r>
        <w:r w:rsidR="00DE4437" w:rsidRPr="00E26C8C">
          <w:rPr>
            <w:rStyle w:val="Hyperlink"/>
            <w:noProof/>
          </w:rPr>
          <w:t>Budgeted expenses and performance for Outcome 1</w:t>
        </w:r>
        <w:r w:rsidR="00DE4437">
          <w:rPr>
            <w:noProof/>
            <w:webHidden/>
          </w:rPr>
          <w:tab/>
        </w:r>
        <w:r w:rsidR="00DE4437">
          <w:rPr>
            <w:noProof/>
            <w:webHidden/>
          </w:rPr>
          <w:fldChar w:fldCharType="begin"/>
        </w:r>
        <w:r w:rsidR="00DE4437">
          <w:rPr>
            <w:noProof/>
            <w:webHidden/>
          </w:rPr>
          <w:instrText xml:space="preserve"> PAGEREF _Toc98534099 \h </w:instrText>
        </w:r>
        <w:r w:rsidR="00DE4437">
          <w:rPr>
            <w:noProof/>
            <w:webHidden/>
          </w:rPr>
        </w:r>
        <w:r w:rsidR="00DE4437">
          <w:rPr>
            <w:noProof/>
            <w:webHidden/>
          </w:rPr>
          <w:fldChar w:fldCharType="separate"/>
        </w:r>
        <w:r w:rsidR="008B2352">
          <w:rPr>
            <w:noProof/>
            <w:webHidden/>
          </w:rPr>
          <w:t>277</w:t>
        </w:r>
        <w:r w:rsidR="00DE4437">
          <w:rPr>
            <w:noProof/>
            <w:webHidden/>
          </w:rPr>
          <w:fldChar w:fldCharType="end"/>
        </w:r>
      </w:hyperlink>
    </w:p>
    <w:p w14:paraId="315C8B9D" w14:textId="7C57F814" w:rsidR="00DE4437" w:rsidRDefault="003B6D98">
      <w:pPr>
        <w:pStyle w:val="TOC1"/>
        <w:rPr>
          <w:rFonts w:asciiTheme="minorHAnsi" w:eastAsiaTheme="minorEastAsia" w:hAnsiTheme="minorHAnsi" w:cstheme="minorBidi"/>
          <w:b w:val="0"/>
          <w:caps w:val="0"/>
          <w:noProof/>
          <w:sz w:val="22"/>
          <w:szCs w:val="22"/>
        </w:rPr>
      </w:pPr>
      <w:hyperlink w:anchor="_Toc98534100" w:history="1">
        <w:r w:rsidR="00DE4437" w:rsidRPr="00E26C8C">
          <w:rPr>
            <w:rStyle w:val="Hyperlink"/>
            <w:noProof/>
          </w:rPr>
          <w:t>Section 3: Budgeted financial statements</w:t>
        </w:r>
        <w:r w:rsidR="00DE4437">
          <w:rPr>
            <w:noProof/>
            <w:webHidden/>
          </w:rPr>
          <w:tab/>
        </w:r>
        <w:r w:rsidR="00DE4437">
          <w:rPr>
            <w:noProof/>
            <w:webHidden/>
          </w:rPr>
          <w:fldChar w:fldCharType="begin"/>
        </w:r>
        <w:r w:rsidR="00DE4437">
          <w:rPr>
            <w:noProof/>
            <w:webHidden/>
          </w:rPr>
          <w:instrText xml:space="preserve"> PAGEREF _Toc98534100 \h </w:instrText>
        </w:r>
        <w:r w:rsidR="00DE4437">
          <w:rPr>
            <w:noProof/>
            <w:webHidden/>
          </w:rPr>
        </w:r>
        <w:r w:rsidR="00DE4437">
          <w:rPr>
            <w:noProof/>
            <w:webHidden/>
          </w:rPr>
          <w:fldChar w:fldCharType="separate"/>
        </w:r>
        <w:r w:rsidR="008B2352">
          <w:rPr>
            <w:noProof/>
            <w:webHidden/>
          </w:rPr>
          <w:t>279</w:t>
        </w:r>
        <w:r w:rsidR="00DE4437">
          <w:rPr>
            <w:noProof/>
            <w:webHidden/>
          </w:rPr>
          <w:fldChar w:fldCharType="end"/>
        </w:r>
      </w:hyperlink>
    </w:p>
    <w:p w14:paraId="4664CC8B" w14:textId="1C4E5167" w:rsidR="00DE4437" w:rsidRDefault="003B6D98">
      <w:pPr>
        <w:pStyle w:val="TOC2"/>
        <w:tabs>
          <w:tab w:val="left" w:pos="800"/>
        </w:tabs>
        <w:rPr>
          <w:rFonts w:asciiTheme="minorHAnsi" w:eastAsiaTheme="minorEastAsia" w:hAnsiTheme="minorHAnsi" w:cstheme="minorBidi"/>
          <w:noProof/>
          <w:sz w:val="22"/>
          <w:szCs w:val="22"/>
        </w:rPr>
      </w:pPr>
      <w:hyperlink w:anchor="_Toc98534101" w:history="1">
        <w:r w:rsidR="00DE4437" w:rsidRPr="00E26C8C">
          <w:rPr>
            <w:rStyle w:val="Hyperlink"/>
            <w:noProof/>
          </w:rPr>
          <w:t>3.1</w:t>
        </w:r>
        <w:r w:rsidR="00DE4437">
          <w:rPr>
            <w:rFonts w:asciiTheme="minorHAnsi" w:eastAsiaTheme="minorEastAsia" w:hAnsiTheme="minorHAnsi" w:cstheme="minorBidi"/>
            <w:noProof/>
            <w:sz w:val="22"/>
            <w:szCs w:val="22"/>
          </w:rPr>
          <w:tab/>
        </w:r>
        <w:r w:rsidR="00DE4437" w:rsidRPr="00E26C8C">
          <w:rPr>
            <w:rStyle w:val="Hyperlink"/>
            <w:noProof/>
          </w:rPr>
          <w:t>Budgeted financial statements</w:t>
        </w:r>
        <w:r w:rsidR="00DE4437">
          <w:rPr>
            <w:noProof/>
            <w:webHidden/>
          </w:rPr>
          <w:tab/>
        </w:r>
        <w:r w:rsidR="00DE4437">
          <w:rPr>
            <w:noProof/>
            <w:webHidden/>
          </w:rPr>
          <w:fldChar w:fldCharType="begin"/>
        </w:r>
        <w:r w:rsidR="00DE4437">
          <w:rPr>
            <w:noProof/>
            <w:webHidden/>
          </w:rPr>
          <w:instrText xml:space="preserve"> PAGEREF _Toc98534101 \h </w:instrText>
        </w:r>
        <w:r w:rsidR="00DE4437">
          <w:rPr>
            <w:noProof/>
            <w:webHidden/>
          </w:rPr>
        </w:r>
        <w:r w:rsidR="00DE4437">
          <w:rPr>
            <w:noProof/>
            <w:webHidden/>
          </w:rPr>
          <w:fldChar w:fldCharType="separate"/>
        </w:r>
        <w:r w:rsidR="008B2352">
          <w:rPr>
            <w:noProof/>
            <w:webHidden/>
          </w:rPr>
          <w:t>279</w:t>
        </w:r>
        <w:r w:rsidR="00DE4437">
          <w:rPr>
            <w:noProof/>
            <w:webHidden/>
          </w:rPr>
          <w:fldChar w:fldCharType="end"/>
        </w:r>
      </w:hyperlink>
    </w:p>
    <w:p w14:paraId="2407C76A" w14:textId="07E5E0D5" w:rsidR="00DE4437" w:rsidRDefault="003B6D98">
      <w:pPr>
        <w:pStyle w:val="TOC2"/>
        <w:tabs>
          <w:tab w:val="left" w:pos="800"/>
        </w:tabs>
        <w:rPr>
          <w:rFonts w:asciiTheme="minorHAnsi" w:eastAsiaTheme="minorEastAsia" w:hAnsiTheme="minorHAnsi" w:cstheme="minorBidi"/>
          <w:noProof/>
          <w:sz w:val="22"/>
          <w:szCs w:val="22"/>
        </w:rPr>
      </w:pPr>
      <w:hyperlink w:anchor="_Toc98534102" w:history="1">
        <w:r w:rsidR="00DE4437" w:rsidRPr="00E26C8C">
          <w:rPr>
            <w:rStyle w:val="Hyperlink"/>
            <w:noProof/>
          </w:rPr>
          <w:t>3.2</w:t>
        </w:r>
        <w:r w:rsidR="00DE4437">
          <w:rPr>
            <w:rFonts w:asciiTheme="minorHAnsi" w:eastAsiaTheme="minorEastAsia" w:hAnsiTheme="minorHAnsi" w:cstheme="minorBidi"/>
            <w:noProof/>
            <w:sz w:val="22"/>
            <w:szCs w:val="22"/>
          </w:rPr>
          <w:tab/>
        </w:r>
        <w:r w:rsidR="00DE4437" w:rsidRPr="00E26C8C">
          <w:rPr>
            <w:rStyle w:val="Hyperlink"/>
            <w:noProof/>
          </w:rPr>
          <w:t>Budgeted financial statements tables</w:t>
        </w:r>
        <w:r w:rsidR="00DE4437">
          <w:rPr>
            <w:noProof/>
            <w:webHidden/>
          </w:rPr>
          <w:tab/>
        </w:r>
        <w:r w:rsidR="00DE4437">
          <w:rPr>
            <w:noProof/>
            <w:webHidden/>
          </w:rPr>
          <w:fldChar w:fldCharType="begin"/>
        </w:r>
        <w:r w:rsidR="00DE4437">
          <w:rPr>
            <w:noProof/>
            <w:webHidden/>
          </w:rPr>
          <w:instrText xml:space="preserve"> PAGEREF _Toc98534102 \h </w:instrText>
        </w:r>
        <w:r w:rsidR="00DE4437">
          <w:rPr>
            <w:noProof/>
            <w:webHidden/>
          </w:rPr>
        </w:r>
        <w:r w:rsidR="00DE4437">
          <w:rPr>
            <w:noProof/>
            <w:webHidden/>
          </w:rPr>
          <w:fldChar w:fldCharType="separate"/>
        </w:r>
        <w:r w:rsidR="008B2352">
          <w:rPr>
            <w:noProof/>
            <w:webHidden/>
          </w:rPr>
          <w:t>280</w:t>
        </w:r>
        <w:r w:rsidR="00DE4437">
          <w:rPr>
            <w:noProof/>
            <w:webHidden/>
          </w:rPr>
          <w:fldChar w:fldCharType="end"/>
        </w:r>
      </w:hyperlink>
    </w:p>
    <w:p w14:paraId="53782FD3" w14:textId="1DCE1A7D" w:rsidR="00011FDA" w:rsidRDefault="00DE4437" w:rsidP="00011FDA">
      <w:pPr>
        <w:pStyle w:val="TOC1"/>
      </w:pPr>
      <w:r>
        <w:fldChar w:fldCharType="end"/>
      </w:r>
    </w:p>
    <w:p w14:paraId="53CB67D4" w14:textId="77777777" w:rsidR="00752811" w:rsidRPr="008B5AFD" w:rsidRDefault="00752811" w:rsidP="00752811"/>
    <w:p w14:paraId="3D5B0489" w14:textId="77777777" w:rsidR="00752811" w:rsidRDefault="00752811" w:rsidP="00752811">
      <w:pPr>
        <w:sectPr w:rsidR="00752811" w:rsidSect="00782467">
          <w:headerReference w:type="first" r:id="rId20"/>
          <w:footerReference w:type="first" r:id="rId21"/>
          <w:type w:val="oddPage"/>
          <w:pgSz w:w="11906" w:h="16838" w:code="9"/>
          <w:pgMar w:top="2835" w:right="2098" w:bottom="2466" w:left="2098" w:header="1814" w:footer="1814" w:gutter="0"/>
          <w:cols w:space="708"/>
          <w:titlePg/>
          <w:docGrid w:linePitch="360"/>
        </w:sectPr>
      </w:pPr>
    </w:p>
    <w:p w14:paraId="67C9D169" w14:textId="77777777" w:rsidR="00752811" w:rsidRDefault="00752811" w:rsidP="00745005">
      <w:pPr>
        <w:pStyle w:val="Heading1"/>
      </w:pPr>
      <w:bookmarkStart w:id="2" w:name="_Toc98440173"/>
      <w:r w:rsidRPr="00745005">
        <w:lastRenderedPageBreak/>
        <w:t>Infrastructure</w:t>
      </w:r>
      <w:r>
        <w:t xml:space="preserve"> Australia</w:t>
      </w:r>
      <w:bookmarkEnd w:id="2"/>
    </w:p>
    <w:p w14:paraId="44739A96" w14:textId="77777777" w:rsidR="00752811" w:rsidRPr="00803FCD" w:rsidRDefault="00752811" w:rsidP="005B1467">
      <w:pPr>
        <w:pStyle w:val="Heading2-IA"/>
      </w:pPr>
      <w:bookmarkStart w:id="3" w:name="_Toc97321020"/>
      <w:bookmarkStart w:id="4" w:name="_Toc98440322"/>
      <w:bookmarkStart w:id="5" w:name="_Toc98440470"/>
      <w:bookmarkStart w:id="6" w:name="_Toc98440618"/>
      <w:bookmarkStart w:id="7" w:name="_Toc98440766"/>
      <w:bookmarkStart w:id="8" w:name="_Toc98440914"/>
      <w:bookmarkStart w:id="9" w:name="_Toc98534094"/>
      <w:r w:rsidRPr="00803FCD">
        <w:t xml:space="preserve">Section 1: </w:t>
      </w:r>
      <w:r w:rsidRPr="005B1467">
        <w:t>Entity</w:t>
      </w:r>
      <w:r w:rsidRPr="00803FCD">
        <w:t xml:space="preserve"> overview and resources</w:t>
      </w:r>
      <w:bookmarkEnd w:id="3"/>
      <w:bookmarkEnd w:id="4"/>
      <w:bookmarkEnd w:id="5"/>
      <w:bookmarkEnd w:id="6"/>
      <w:bookmarkEnd w:id="7"/>
      <w:bookmarkEnd w:id="8"/>
      <w:bookmarkEnd w:id="9"/>
    </w:p>
    <w:p w14:paraId="21FE467C" w14:textId="77777777" w:rsidR="00752811" w:rsidRPr="00803FCD" w:rsidRDefault="00752811" w:rsidP="005B1467">
      <w:pPr>
        <w:pStyle w:val="Heading3-IA"/>
      </w:pPr>
      <w:bookmarkStart w:id="10" w:name="_Toc97321021"/>
      <w:bookmarkStart w:id="11" w:name="_Toc98440323"/>
      <w:bookmarkStart w:id="12" w:name="_Toc98440471"/>
      <w:bookmarkStart w:id="13" w:name="_Toc98440619"/>
      <w:bookmarkStart w:id="14" w:name="_Toc98440767"/>
      <w:bookmarkStart w:id="15" w:name="_Toc98440915"/>
      <w:bookmarkStart w:id="16" w:name="_Toc98534095"/>
      <w:r w:rsidRPr="00803FCD">
        <w:t>1.1</w:t>
      </w:r>
      <w:r w:rsidRPr="00803FCD">
        <w:tab/>
        <w:t>Strategic direction statement</w:t>
      </w:r>
      <w:bookmarkEnd w:id="10"/>
      <w:bookmarkEnd w:id="11"/>
      <w:bookmarkEnd w:id="12"/>
      <w:bookmarkEnd w:id="13"/>
      <w:bookmarkEnd w:id="14"/>
      <w:bookmarkEnd w:id="15"/>
      <w:bookmarkEnd w:id="16"/>
    </w:p>
    <w:p w14:paraId="32E2BC4B" w14:textId="77777777" w:rsidR="00752811" w:rsidRPr="00803FCD" w:rsidRDefault="00752811" w:rsidP="00752811">
      <w:pPr>
        <w:pStyle w:val="Exampletext"/>
        <w:jc w:val="left"/>
        <w:rPr>
          <w:i w:val="0"/>
          <w:color w:val="auto"/>
        </w:rPr>
      </w:pPr>
      <w:r w:rsidRPr="00803FCD">
        <w:rPr>
          <w:i w:val="0"/>
          <w:color w:val="auto"/>
        </w:rPr>
        <w:t xml:space="preserve">Infrastructure Australia (IA) is a statutory authority established on 1 September 2014 following amendment of the </w:t>
      </w:r>
      <w:r w:rsidRPr="0016574C">
        <w:rPr>
          <w:color w:val="auto"/>
        </w:rPr>
        <w:t>Infrastructure Australia Act 2008</w:t>
      </w:r>
      <w:r w:rsidRPr="00803FCD">
        <w:rPr>
          <w:i w:val="0"/>
          <w:color w:val="auto"/>
        </w:rPr>
        <w:t>. IA's primary role is to support the Australian Government's plan to build a strong and prosperous economy. This is to be done through the provision of high quality independent advice concerning nationally significant infrastructure matters. This advice is for the Australian Government, and in turn, all levels of government, industry and stakeholders.</w:t>
      </w:r>
    </w:p>
    <w:p w14:paraId="3F5E5A65" w14:textId="77777777" w:rsidR="00752811" w:rsidRPr="00803FCD" w:rsidRDefault="00752811" w:rsidP="00752811">
      <w:pPr>
        <w:pStyle w:val="Exampletext"/>
        <w:spacing w:after="120"/>
        <w:jc w:val="left"/>
        <w:rPr>
          <w:i w:val="0"/>
          <w:color w:val="auto"/>
        </w:rPr>
      </w:pPr>
      <w:r w:rsidRPr="00803FCD">
        <w:rPr>
          <w:i w:val="0"/>
          <w:color w:val="auto"/>
        </w:rPr>
        <w:t>In accordance with the outcome in Section 2 of this document, ‘Outcomes and Planned Performance’, IA is responsible for providing independent advice for:</w:t>
      </w:r>
    </w:p>
    <w:p w14:paraId="21BEA3AB" w14:textId="77777777" w:rsidR="00752811" w:rsidRPr="00803FCD" w:rsidRDefault="00752811" w:rsidP="00AD2EFF">
      <w:pPr>
        <w:pStyle w:val="Exampletext"/>
        <w:numPr>
          <w:ilvl w:val="0"/>
          <w:numId w:val="88"/>
        </w:numPr>
        <w:spacing w:before="120" w:after="120"/>
        <w:ind w:left="360"/>
        <w:jc w:val="left"/>
        <w:rPr>
          <w:i w:val="0"/>
          <w:color w:val="auto"/>
        </w:rPr>
      </w:pPr>
      <w:r w:rsidRPr="00803FCD">
        <w:rPr>
          <w:i w:val="0"/>
          <w:color w:val="auto"/>
        </w:rPr>
        <w:t>improved decision-making on infrastructure matters</w:t>
      </w:r>
    </w:p>
    <w:p w14:paraId="29999BD5" w14:textId="77777777" w:rsidR="00752811" w:rsidRPr="00803FCD" w:rsidRDefault="00752811" w:rsidP="00AD2EFF">
      <w:pPr>
        <w:pStyle w:val="Exampletext"/>
        <w:numPr>
          <w:ilvl w:val="0"/>
          <w:numId w:val="88"/>
        </w:numPr>
        <w:spacing w:before="120" w:after="120"/>
        <w:ind w:left="360"/>
        <w:jc w:val="left"/>
        <w:rPr>
          <w:i w:val="0"/>
          <w:color w:val="auto"/>
        </w:rPr>
      </w:pPr>
      <w:r w:rsidRPr="00803FCD">
        <w:rPr>
          <w:i w:val="0"/>
          <w:color w:val="auto"/>
        </w:rPr>
        <w:t>better identification and assessment of key drivers of infrastructure demand and utilisation</w:t>
      </w:r>
    </w:p>
    <w:p w14:paraId="04FC0383" w14:textId="77777777" w:rsidR="00752811" w:rsidRPr="00803FCD" w:rsidRDefault="00752811" w:rsidP="00AD2EFF">
      <w:pPr>
        <w:pStyle w:val="Exampletext"/>
        <w:numPr>
          <w:ilvl w:val="0"/>
          <w:numId w:val="88"/>
        </w:numPr>
        <w:spacing w:before="120" w:after="120"/>
        <w:ind w:left="360"/>
        <w:jc w:val="left"/>
        <w:rPr>
          <w:i w:val="0"/>
          <w:color w:val="auto"/>
        </w:rPr>
      </w:pPr>
      <w:r w:rsidRPr="00803FCD">
        <w:rPr>
          <w:i w:val="0"/>
          <w:color w:val="auto"/>
        </w:rPr>
        <w:t>improved prioritisation of infrastructure projects</w:t>
      </w:r>
    </w:p>
    <w:p w14:paraId="531F76DB" w14:textId="77777777" w:rsidR="00752811" w:rsidRPr="00803FCD" w:rsidRDefault="00752811" w:rsidP="00AD2EFF">
      <w:pPr>
        <w:pStyle w:val="Exampletext"/>
        <w:numPr>
          <w:ilvl w:val="0"/>
          <w:numId w:val="88"/>
        </w:numPr>
        <w:spacing w:before="120" w:after="120"/>
        <w:ind w:left="360"/>
        <w:jc w:val="left"/>
        <w:rPr>
          <w:i w:val="0"/>
          <w:color w:val="auto"/>
        </w:rPr>
      </w:pPr>
      <w:r w:rsidRPr="00803FCD">
        <w:rPr>
          <w:i w:val="0"/>
          <w:color w:val="auto"/>
        </w:rPr>
        <w:t>the identification, implementation and promotion of best practice infrastructure planning, financing, delivery and operation.</w:t>
      </w:r>
    </w:p>
    <w:p w14:paraId="791F8739" w14:textId="77777777" w:rsidR="00752811" w:rsidRPr="00803FCD" w:rsidRDefault="00752811" w:rsidP="00752811">
      <w:pPr>
        <w:pStyle w:val="Exampletext"/>
        <w:spacing w:after="120"/>
        <w:jc w:val="left"/>
        <w:rPr>
          <w:i w:val="0"/>
          <w:color w:val="auto"/>
          <w:lang w:val="en-US"/>
        </w:rPr>
      </w:pPr>
      <w:r w:rsidRPr="00803FCD">
        <w:rPr>
          <w:i w:val="0"/>
          <w:color w:val="auto"/>
        </w:rPr>
        <w:t>In 202</w:t>
      </w:r>
      <w:r w:rsidRPr="00803FCD">
        <w:rPr>
          <w:i w:val="0"/>
          <w:color w:val="auto"/>
          <w:lang w:val="en-US"/>
        </w:rPr>
        <w:t xml:space="preserve">2-23 </w:t>
      </w:r>
      <w:r w:rsidRPr="00803FCD">
        <w:rPr>
          <w:i w:val="0"/>
          <w:color w:val="auto"/>
        </w:rPr>
        <w:t>IA will play an active role in ongoing research and collaboration initiatives that promote and develop effective data and information sharing, analysis and benchmarking. In particular, IA will undertake initiatives to maintain the currency of its data to inform future Audits, plans, priority lists and project evaluations.</w:t>
      </w:r>
    </w:p>
    <w:p w14:paraId="4993837A" w14:textId="77777777" w:rsidR="00752811" w:rsidRPr="00803FCD" w:rsidRDefault="00752811" w:rsidP="00752811">
      <w:pPr>
        <w:pStyle w:val="Exampletext"/>
        <w:spacing w:after="120"/>
        <w:jc w:val="left"/>
        <w:rPr>
          <w:i w:val="0"/>
          <w:color w:val="auto"/>
        </w:rPr>
      </w:pPr>
      <w:r w:rsidRPr="00803FCD">
        <w:rPr>
          <w:i w:val="0"/>
          <w:color w:val="auto"/>
        </w:rPr>
        <w:t>The key priorities for IA in 20</w:t>
      </w:r>
      <w:r w:rsidRPr="00803FCD">
        <w:rPr>
          <w:i w:val="0"/>
          <w:color w:val="auto"/>
          <w:lang w:val="en-US"/>
        </w:rPr>
        <w:t>22</w:t>
      </w:r>
      <w:r w:rsidRPr="00803FCD">
        <w:rPr>
          <w:i w:val="0"/>
          <w:color w:val="auto"/>
        </w:rPr>
        <w:t>–2</w:t>
      </w:r>
      <w:r w:rsidRPr="00803FCD">
        <w:rPr>
          <w:i w:val="0"/>
          <w:color w:val="auto"/>
          <w:lang w:val="en-US"/>
        </w:rPr>
        <w:t>3</w:t>
      </w:r>
      <w:r w:rsidRPr="00803FCD">
        <w:rPr>
          <w:i w:val="0"/>
          <w:color w:val="auto"/>
        </w:rPr>
        <w:t xml:space="preserve"> are:</w:t>
      </w:r>
    </w:p>
    <w:p w14:paraId="3B27BD35" w14:textId="25CBFF28" w:rsidR="00752811" w:rsidRPr="00ED1123" w:rsidRDefault="00752811" w:rsidP="00AD2EFF">
      <w:pPr>
        <w:pStyle w:val="Exampletext"/>
        <w:numPr>
          <w:ilvl w:val="0"/>
          <w:numId w:val="88"/>
        </w:numPr>
        <w:spacing w:before="120" w:after="120"/>
        <w:ind w:left="360"/>
        <w:jc w:val="left"/>
        <w:rPr>
          <w:i w:val="0"/>
          <w:color w:val="auto"/>
        </w:rPr>
      </w:pPr>
      <w:r w:rsidRPr="00ED1123">
        <w:rPr>
          <w:i w:val="0"/>
          <w:color w:val="auto"/>
        </w:rPr>
        <w:t>continue to undertake evaluations on all infrastructure proposals where funding of more than $</w:t>
      </w:r>
      <w:r w:rsidRPr="00ED1123">
        <w:rPr>
          <w:i w:val="0"/>
          <w:color w:val="auto"/>
          <w:lang w:val="en-US"/>
        </w:rPr>
        <w:t>250</w:t>
      </w:r>
      <w:r w:rsidRPr="00ED1123">
        <w:rPr>
          <w:i w:val="0"/>
          <w:color w:val="auto"/>
        </w:rPr>
        <w:t xml:space="preserve"> million is sought from the </w:t>
      </w:r>
      <w:r>
        <w:rPr>
          <w:i w:val="0"/>
          <w:color w:val="auto"/>
        </w:rPr>
        <w:t>Australian Government</w:t>
      </w:r>
      <w:r w:rsidRPr="00ED1123">
        <w:rPr>
          <w:i w:val="0"/>
          <w:color w:val="auto"/>
        </w:rPr>
        <w:t>. This includes economic and social infrastructure proposals but excludes defence proposals</w:t>
      </w:r>
      <w:r w:rsidR="0095744D">
        <w:rPr>
          <w:i w:val="0"/>
          <w:color w:val="auto"/>
          <w:lang w:val="en-GB"/>
        </w:rPr>
        <w:t>.</w:t>
      </w:r>
    </w:p>
    <w:p w14:paraId="7E926494" w14:textId="2B07608F" w:rsidR="00752811" w:rsidRPr="00ED1123" w:rsidRDefault="00752811" w:rsidP="00AD2EFF">
      <w:pPr>
        <w:pStyle w:val="Exampletext"/>
        <w:numPr>
          <w:ilvl w:val="0"/>
          <w:numId w:val="88"/>
        </w:numPr>
        <w:spacing w:before="120" w:after="120"/>
        <w:ind w:left="360"/>
        <w:jc w:val="left"/>
        <w:rPr>
          <w:i w:val="0"/>
          <w:color w:val="auto"/>
        </w:rPr>
      </w:pPr>
      <w:r w:rsidRPr="00ED1123">
        <w:rPr>
          <w:i w:val="0"/>
          <w:color w:val="auto"/>
        </w:rPr>
        <w:t>regularly update and further develop the Infrastructure Priority List. This priority list will be informed by the other work of IA, in particular the Australian Infrastructure Audit, the Australian Infrastructure Plan and evaluation of infrastructure proposals</w:t>
      </w:r>
      <w:r w:rsidR="0095744D">
        <w:rPr>
          <w:i w:val="0"/>
          <w:color w:val="auto"/>
          <w:lang w:val="en-GB"/>
        </w:rPr>
        <w:t>.</w:t>
      </w:r>
    </w:p>
    <w:p w14:paraId="51298929" w14:textId="4CFB09EC" w:rsidR="00752811" w:rsidRPr="00ED1123" w:rsidRDefault="00752811" w:rsidP="00AD2EFF">
      <w:pPr>
        <w:pStyle w:val="Exampletext"/>
        <w:numPr>
          <w:ilvl w:val="0"/>
          <w:numId w:val="88"/>
        </w:numPr>
        <w:spacing w:before="120" w:after="120"/>
        <w:ind w:left="360"/>
        <w:jc w:val="left"/>
        <w:rPr>
          <w:i w:val="0"/>
          <w:color w:val="auto"/>
        </w:rPr>
      </w:pPr>
      <w:proofErr w:type="gramStart"/>
      <w:r w:rsidRPr="00ED1123">
        <w:rPr>
          <w:i w:val="0"/>
          <w:color w:val="auto"/>
          <w:lang w:val="en-US"/>
        </w:rPr>
        <w:t>engage</w:t>
      </w:r>
      <w:proofErr w:type="gramEnd"/>
      <w:r w:rsidRPr="00ED1123">
        <w:rPr>
          <w:i w:val="0"/>
          <w:color w:val="auto"/>
          <w:lang w:val="en-US"/>
        </w:rPr>
        <w:t xml:space="preserve"> with stakeholders on the recommendations from</w:t>
      </w:r>
      <w:r w:rsidRPr="00ED1123">
        <w:rPr>
          <w:i w:val="0"/>
          <w:color w:val="auto"/>
        </w:rPr>
        <w:t xml:space="preserve"> the 2021 Australian Infrastructure Plan. </w:t>
      </w:r>
    </w:p>
    <w:p w14:paraId="417FCC6D" w14:textId="7EBFEEFA" w:rsidR="00752811" w:rsidRPr="00ED1123" w:rsidRDefault="00752811" w:rsidP="00AD2EFF">
      <w:pPr>
        <w:pStyle w:val="Exampletext"/>
        <w:numPr>
          <w:ilvl w:val="0"/>
          <w:numId w:val="88"/>
        </w:numPr>
        <w:spacing w:before="120" w:after="120"/>
        <w:ind w:left="360"/>
        <w:jc w:val="left"/>
        <w:rPr>
          <w:i w:val="0"/>
          <w:color w:val="auto"/>
        </w:rPr>
      </w:pPr>
      <w:r w:rsidRPr="00ED1123">
        <w:rPr>
          <w:i w:val="0"/>
          <w:color w:val="auto"/>
        </w:rPr>
        <w:t>develop and maintain data sources to inform future plans and priority lists</w:t>
      </w:r>
      <w:r w:rsidR="0095744D">
        <w:rPr>
          <w:i w:val="0"/>
          <w:color w:val="auto"/>
          <w:lang w:val="en-GB"/>
        </w:rPr>
        <w:t>.</w:t>
      </w:r>
    </w:p>
    <w:p w14:paraId="5ED245F7" w14:textId="6360E120" w:rsidR="00752811" w:rsidRPr="00FB30C9" w:rsidRDefault="00752811" w:rsidP="00AD2EFF">
      <w:pPr>
        <w:pStyle w:val="Exampletext"/>
        <w:numPr>
          <w:ilvl w:val="0"/>
          <w:numId w:val="88"/>
        </w:numPr>
        <w:spacing w:before="120"/>
        <w:ind w:left="360"/>
        <w:jc w:val="left"/>
        <w:rPr>
          <w:i w:val="0"/>
          <w:color w:val="auto"/>
        </w:rPr>
      </w:pPr>
      <w:r w:rsidRPr="00FB30C9">
        <w:rPr>
          <w:i w:val="0"/>
          <w:color w:val="auto"/>
        </w:rPr>
        <w:t xml:space="preserve">continue to establish and develop the corporate capabilities to support IA's role as an independent entity that provides high </w:t>
      </w:r>
      <w:r w:rsidR="0095744D">
        <w:rPr>
          <w:i w:val="0"/>
          <w:color w:val="auto"/>
        </w:rPr>
        <w:t>quality advice</w:t>
      </w:r>
      <w:r w:rsidR="0095744D">
        <w:rPr>
          <w:i w:val="0"/>
          <w:color w:val="auto"/>
          <w:lang w:val="en-GB"/>
        </w:rPr>
        <w:t>.</w:t>
      </w:r>
    </w:p>
    <w:p w14:paraId="43D302CD" w14:textId="77777777" w:rsidR="00752811" w:rsidRPr="0084487C" w:rsidRDefault="00752811" w:rsidP="00AD2EFF">
      <w:pPr>
        <w:pStyle w:val="Exampletext"/>
        <w:numPr>
          <w:ilvl w:val="0"/>
          <w:numId w:val="88"/>
        </w:numPr>
        <w:spacing w:before="120"/>
        <w:ind w:left="360"/>
        <w:jc w:val="left"/>
        <w:rPr>
          <w:i w:val="0"/>
          <w:color w:val="auto"/>
        </w:rPr>
      </w:pPr>
      <w:r w:rsidRPr="00FB30C9">
        <w:rPr>
          <w:i w:val="0"/>
          <w:color w:val="auto"/>
        </w:rPr>
        <w:lastRenderedPageBreak/>
        <w:t xml:space="preserve">deliver annual analytical assessments of infrastructure market capacity, as requested by the Prime Minister and other First Ministers at </w:t>
      </w:r>
      <w:r w:rsidRPr="00FB30C9">
        <w:rPr>
          <w:i w:val="0"/>
          <w:color w:val="auto"/>
          <w:lang w:val="en-US"/>
        </w:rPr>
        <w:t>the Council of Australian</w:t>
      </w:r>
      <w:r w:rsidRPr="00ED1123">
        <w:rPr>
          <w:i w:val="0"/>
          <w:color w:val="auto"/>
          <w:lang w:val="en-US"/>
        </w:rPr>
        <w:t xml:space="preserve"> Government (</w:t>
      </w:r>
      <w:r w:rsidRPr="00ED1123">
        <w:rPr>
          <w:i w:val="0"/>
          <w:color w:val="auto"/>
        </w:rPr>
        <w:t>COAG</w:t>
      </w:r>
      <w:r w:rsidRPr="00ED1123">
        <w:rPr>
          <w:i w:val="0"/>
          <w:color w:val="auto"/>
          <w:lang w:val="en-US"/>
        </w:rPr>
        <w:t>)</w:t>
      </w:r>
      <w:r w:rsidRPr="00ED1123">
        <w:rPr>
          <w:i w:val="0"/>
          <w:color w:val="auto"/>
        </w:rPr>
        <w:t xml:space="preserve"> </w:t>
      </w:r>
      <w:r w:rsidRPr="00ED1123">
        <w:rPr>
          <w:i w:val="0"/>
          <w:color w:val="auto"/>
          <w:lang w:val="en-US"/>
        </w:rPr>
        <w:t xml:space="preserve">meeting of </w:t>
      </w:r>
      <w:r w:rsidRPr="00ED1123">
        <w:rPr>
          <w:i w:val="0"/>
          <w:color w:val="auto"/>
        </w:rPr>
        <w:t xml:space="preserve">13 March </w:t>
      </w:r>
      <w:r w:rsidRPr="00FB30C9">
        <w:rPr>
          <w:i w:val="0"/>
          <w:color w:val="auto"/>
        </w:rPr>
        <w:t>2020</w:t>
      </w:r>
      <w:r w:rsidRPr="0084487C">
        <w:rPr>
          <w:i w:val="0"/>
          <w:color w:val="auto"/>
          <w:lang w:val="en-US"/>
        </w:rPr>
        <w:t>. This will involve the collection, collation, interpretation and display of Australian Government, State and Territory and industry data, as well as the establishment of new data sets through primary collection.</w:t>
      </w:r>
      <w:r w:rsidRPr="0084487C">
        <w:rPr>
          <w:i w:val="0"/>
          <w:color w:val="auto"/>
        </w:rPr>
        <w:t xml:space="preserve"> </w:t>
      </w:r>
    </w:p>
    <w:p w14:paraId="111F45CC" w14:textId="77777777" w:rsidR="00752811" w:rsidRPr="0084487C" w:rsidRDefault="00752811" w:rsidP="00AD2EFF">
      <w:pPr>
        <w:pStyle w:val="Exampletext"/>
        <w:numPr>
          <w:ilvl w:val="0"/>
          <w:numId w:val="88"/>
        </w:numPr>
        <w:spacing w:before="120"/>
        <w:ind w:left="357" w:hanging="357"/>
        <w:jc w:val="left"/>
        <w:rPr>
          <w:i w:val="0"/>
          <w:color w:val="auto"/>
        </w:rPr>
      </w:pPr>
      <w:r w:rsidRPr="0084487C">
        <w:rPr>
          <w:i w:val="0"/>
          <w:color w:val="auto"/>
        </w:rPr>
        <w:t>continu</w:t>
      </w:r>
      <w:r w:rsidRPr="0084487C">
        <w:rPr>
          <w:i w:val="0"/>
          <w:color w:val="auto"/>
          <w:lang w:val="en-US"/>
        </w:rPr>
        <w:t>e</w:t>
      </w:r>
      <w:r w:rsidRPr="0084487C">
        <w:rPr>
          <w:i w:val="0"/>
          <w:color w:val="auto"/>
        </w:rPr>
        <w:t xml:space="preserve"> to evolve the frameworks utilised by jurisdictions in submitting proposals to IA for evaluation to promote best practice in infrastructure planning, procurement and delivery. This will include consideration of costs and benefits and the appropriate assessment of wider benefits (in addition to direct benefits) providing guidance on how these should be measured and applied, if required</w:t>
      </w:r>
      <w:r w:rsidRPr="0084487C">
        <w:rPr>
          <w:i w:val="0"/>
          <w:color w:val="auto"/>
          <w:lang w:val="en-US"/>
        </w:rPr>
        <w:t>.</w:t>
      </w:r>
      <w:r w:rsidRPr="0084487C">
        <w:rPr>
          <w:i w:val="0"/>
          <w:color w:val="auto"/>
        </w:rPr>
        <w:t xml:space="preserve"> </w:t>
      </w:r>
    </w:p>
    <w:p w14:paraId="77C555FC" w14:textId="5A3C7C53" w:rsidR="00752811" w:rsidRPr="0084487C" w:rsidRDefault="00752811" w:rsidP="00AD2EFF">
      <w:pPr>
        <w:pStyle w:val="Exampletext"/>
        <w:numPr>
          <w:ilvl w:val="0"/>
          <w:numId w:val="88"/>
        </w:numPr>
        <w:spacing w:before="120"/>
        <w:ind w:left="357" w:hanging="357"/>
        <w:jc w:val="left"/>
        <w:rPr>
          <w:color w:val="auto"/>
        </w:rPr>
      </w:pPr>
      <w:r w:rsidRPr="0084487C">
        <w:rPr>
          <w:i w:val="0"/>
          <w:color w:val="auto"/>
        </w:rPr>
        <w:t>continu</w:t>
      </w:r>
      <w:r w:rsidRPr="0084487C">
        <w:rPr>
          <w:i w:val="0"/>
          <w:color w:val="auto"/>
          <w:lang w:val="en-US"/>
        </w:rPr>
        <w:t>e</w:t>
      </w:r>
      <w:r w:rsidRPr="0084487C">
        <w:rPr>
          <w:i w:val="0"/>
          <w:color w:val="auto"/>
        </w:rPr>
        <w:t xml:space="preserve"> to establish and maintain productive working relationships with all levels of government and industry. This includes engaging closely with </w:t>
      </w:r>
      <w:r w:rsidR="0095744D">
        <w:rPr>
          <w:i w:val="0"/>
          <w:color w:val="auto"/>
          <w:lang w:val="en-GB"/>
        </w:rPr>
        <w:t>Australian Government</w:t>
      </w:r>
      <w:r w:rsidRPr="0084487C">
        <w:rPr>
          <w:i w:val="0"/>
          <w:color w:val="auto"/>
        </w:rPr>
        <w:t xml:space="preserve"> </w:t>
      </w:r>
      <w:r w:rsidR="003C4CC6">
        <w:rPr>
          <w:i w:val="0"/>
          <w:color w:val="auto"/>
        </w:rPr>
        <w:t>Department</w:t>
      </w:r>
      <w:r w:rsidRPr="0084487C">
        <w:rPr>
          <w:i w:val="0"/>
          <w:color w:val="auto"/>
        </w:rPr>
        <w:t>s, agencies and entities as well as states, territories, local governments, investors in infrastructure, owners of infrastructure and communities—as the end users of infrastructure.</w:t>
      </w:r>
    </w:p>
    <w:p w14:paraId="68808B32" w14:textId="77777777" w:rsidR="00752811" w:rsidRDefault="00752811" w:rsidP="005B1467">
      <w:pPr>
        <w:pStyle w:val="Heading3-IA"/>
      </w:pPr>
      <w:r w:rsidRPr="0079797F">
        <w:br w:type="page"/>
      </w:r>
      <w:bookmarkStart w:id="17" w:name="_Toc97321022"/>
      <w:bookmarkStart w:id="18" w:name="_Toc98440324"/>
      <w:bookmarkStart w:id="19" w:name="_Toc98440472"/>
      <w:bookmarkStart w:id="20" w:name="_Toc98440620"/>
      <w:bookmarkStart w:id="21" w:name="_Toc98440768"/>
      <w:bookmarkStart w:id="22" w:name="_Toc98440916"/>
      <w:bookmarkStart w:id="23" w:name="_Toc98534096"/>
      <w:r>
        <w:lastRenderedPageBreak/>
        <w:t>1.2</w:t>
      </w:r>
      <w:r>
        <w:tab/>
        <w:t>Entity resource statement</w:t>
      </w:r>
      <w:bookmarkEnd w:id="17"/>
      <w:bookmarkEnd w:id="18"/>
      <w:bookmarkEnd w:id="19"/>
      <w:bookmarkEnd w:id="20"/>
      <w:bookmarkEnd w:id="21"/>
      <w:bookmarkEnd w:id="22"/>
      <w:bookmarkEnd w:id="23"/>
    </w:p>
    <w:p w14:paraId="2668F7AC" w14:textId="77777777" w:rsidR="00752811" w:rsidRDefault="00752811" w:rsidP="00752811">
      <w:pPr>
        <w:jc w:val="left"/>
      </w:pPr>
      <w:r>
        <w:t>Table 1.1 shows the total funding from all sources available to the entity for its operations and to deliver programs and services on behalf of the Government.</w:t>
      </w:r>
    </w:p>
    <w:p w14:paraId="23F25AA7" w14:textId="3A38F7D3" w:rsidR="00752811" w:rsidRDefault="00752811" w:rsidP="00752811">
      <w:pPr>
        <w:jc w:val="left"/>
      </w:pPr>
      <w:r>
        <w:t xml:space="preserve">The table summarises how resources will be applied by outcome (government strategic policy objectives) and by </w:t>
      </w:r>
      <w:r w:rsidR="003C4CC6">
        <w:t>Department</w:t>
      </w:r>
      <w:r>
        <w:t>al (for IA’s operations) classification.</w:t>
      </w:r>
    </w:p>
    <w:p w14:paraId="238C71FD"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5DFDCF06" w14:textId="77777777" w:rsidR="00752811" w:rsidRDefault="00752811" w:rsidP="00752811">
      <w:pPr>
        <w:pStyle w:val="TableHeading"/>
      </w:pPr>
      <w:r w:rsidRPr="004E671F">
        <w:t xml:space="preserve">Table 1.1: </w:t>
      </w:r>
      <w:r>
        <w:rPr>
          <w:lang w:val="en-AU"/>
        </w:rPr>
        <w:t>Infrastructure Australia</w:t>
      </w:r>
      <w:r w:rsidRPr="004E671F">
        <w:t xml:space="preserve"> resource statement — Budget estimates for </w:t>
      </w:r>
      <w:r w:rsidRPr="004E671F">
        <w:rPr>
          <w:lang w:val="en-AU"/>
        </w:rPr>
        <w:t>2022-23</w:t>
      </w:r>
      <w:r w:rsidRPr="004E671F">
        <w:t xml:space="preserve"> as at Budget </w:t>
      </w:r>
      <w:r w:rsidRPr="004E671F">
        <w:rPr>
          <w:lang w:val="en-AU"/>
        </w:rPr>
        <w:t>March</w:t>
      </w:r>
      <w:r w:rsidRPr="004E671F">
        <w:t xml:space="preserve"> </w:t>
      </w:r>
      <w:r w:rsidRPr="004E671F">
        <w:rPr>
          <w:lang w:val="en-AU"/>
        </w:rPr>
        <w:t>2022</w:t>
      </w:r>
    </w:p>
    <w:tbl>
      <w:tblPr>
        <w:tblW w:w="7240" w:type="dxa"/>
        <w:tblLook w:val="04A0" w:firstRow="1" w:lastRow="0" w:firstColumn="1" w:lastColumn="0" w:noHBand="0" w:noVBand="1"/>
      </w:tblPr>
      <w:tblGrid>
        <w:gridCol w:w="5016"/>
        <w:gridCol w:w="1113"/>
        <w:gridCol w:w="1111"/>
      </w:tblGrid>
      <w:tr w:rsidR="00752811" w:rsidRPr="00701045" w14:paraId="5B1B61B3" w14:textId="77777777" w:rsidTr="00333C84">
        <w:trPr>
          <w:trHeight w:val="204"/>
        </w:trPr>
        <w:tc>
          <w:tcPr>
            <w:tcW w:w="5016" w:type="dxa"/>
            <w:tcBorders>
              <w:top w:val="single" w:sz="4" w:space="0" w:color="auto"/>
              <w:left w:val="nil"/>
              <w:bottom w:val="nil"/>
              <w:right w:val="nil"/>
            </w:tcBorders>
            <w:shd w:val="clear" w:color="000000" w:fill="FFFFFF"/>
            <w:noWrap/>
            <w:vAlign w:val="bottom"/>
            <w:hideMark/>
          </w:tcPr>
          <w:p w14:paraId="6CFC0A65" w14:textId="77777777" w:rsidR="00752811" w:rsidRPr="00701045" w:rsidRDefault="00752811" w:rsidP="00333C84">
            <w:pPr>
              <w:spacing w:after="0" w:line="240" w:lineRule="auto"/>
              <w:jc w:val="left"/>
              <w:rPr>
                <w:rFonts w:ascii="Arial" w:hAnsi="Arial" w:cs="Arial"/>
                <w:color w:val="000000"/>
                <w:sz w:val="16"/>
                <w:szCs w:val="16"/>
              </w:rPr>
            </w:pPr>
            <w:r w:rsidRPr="00701045">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vAlign w:val="bottom"/>
            <w:hideMark/>
          </w:tcPr>
          <w:p w14:paraId="1C27B024" w14:textId="77777777" w:rsidR="00752811" w:rsidRPr="00701045" w:rsidRDefault="00752811" w:rsidP="00333C84">
            <w:pPr>
              <w:spacing w:after="0" w:line="240" w:lineRule="auto"/>
              <w:jc w:val="right"/>
              <w:rPr>
                <w:rFonts w:ascii="Arial" w:hAnsi="Arial" w:cs="Arial"/>
                <w:color w:val="000000"/>
                <w:sz w:val="16"/>
                <w:szCs w:val="16"/>
              </w:rPr>
            </w:pPr>
            <w:r w:rsidRPr="00701045">
              <w:rPr>
                <w:rFonts w:ascii="Arial" w:hAnsi="Arial" w:cs="Arial"/>
                <w:color w:val="000000"/>
                <w:sz w:val="16"/>
                <w:szCs w:val="16"/>
              </w:rPr>
              <w:t>2021-22 Estimated actual</w:t>
            </w:r>
            <w:r w:rsidRPr="00701045">
              <w:rPr>
                <w:rFonts w:ascii="Arial" w:hAnsi="Arial" w:cs="Arial"/>
                <w:color w:val="000000"/>
                <w:sz w:val="16"/>
                <w:szCs w:val="16"/>
              </w:rPr>
              <w:br/>
              <w:t>$'000</w:t>
            </w:r>
          </w:p>
        </w:tc>
        <w:tc>
          <w:tcPr>
            <w:tcW w:w="1111" w:type="dxa"/>
            <w:tcBorders>
              <w:top w:val="single" w:sz="4" w:space="0" w:color="auto"/>
              <w:left w:val="nil"/>
              <w:bottom w:val="single" w:sz="4" w:space="0" w:color="auto"/>
              <w:right w:val="nil"/>
            </w:tcBorders>
            <w:shd w:val="clear" w:color="000000" w:fill="E6E6E6"/>
            <w:vAlign w:val="bottom"/>
            <w:hideMark/>
          </w:tcPr>
          <w:p w14:paraId="399D1AD6" w14:textId="77777777" w:rsidR="00752811" w:rsidRPr="00701045" w:rsidRDefault="00752811" w:rsidP="00333C84">
            <w:pPr>
              <w:spacing w:after="0" w:line="240" w:lineRule="auto"/>
              <w:jc w:val="right"/>
              <w:rPr>
                <w:rFonts w:ascii="Arial" w:hAnsi="Arial" w:cs="Arial"/>
                <w:color w:val="000000"/>
                <w:sz w:val="16"/>
                <w:szCs w:val="16"/>
              </w:rPr>
            </w:pPr>
            <w:r w:rsidRPr="00701045">
              <w:rPr>
                <w:rFonts w:ascii="Arial" w:hAnsi="Arial" w:cs="Arial"/>
                <w:color w:val="000000"/>
                <w:sz w:val="16"/>
                <w:szCs w:val="16"/>
              </w:rPr>
              <w:t>2022-23 Estimate</w:t>
            </w:r>
            <w:r w:rsidRPr="00701045">
              <w:rPr>
                <w:rFonts w:ascii="Arial" w:hAnsi="Arial" w:cs="Arial"/>
                <w:color w:val="000000"/>
                <w:sz w:val="16"/>
                <w:szCs w:val="16"/>
              </w:rPr>
              <w:br/>
            </w:r>
            <w:r w:rsidRPr="00701045">
              <w:rPr>
                <w:rFonts w:ascii="Arial" w:hAnsi="Arial" w:cs="Arial"/>
                <w:color w:val="000000"/>
                <w:sz w:val="16"/>
                <w:szCs w:val="16"/>
              </w:rPr>
              <w:br/>
              <w:t>$'000</w:t>
            </w:r>
          </w:p>
        </w:tc>
      </w:tr>
      <w:tr w:rsidR="00752811" w:rsidRPr="00701045" w14:paraId="6600EDB6" w14:textId="77777777" w:rsidTr="00333C84">
        <w:trPr>
          <w:trHeight w:val="204"/>
        </w:trPr>
        <w:tc>
          <w:tcPr>
            <w:tcW w:w="5016" w:type="dxa"/>
            <w:tcBorders>
              <w:top w:val="nil"/>
              <w:left w:val="nil"/>
              <w:bottom w:val="nil"/>
              <w:right w:val="nil"/>
            </w:tcBorders>
            <w:shd w:val="clear" w:color="000000" w:fill="FFFFFF"/>
            <w:noWrap/>
            <w:vAlign w:val="bottom"/>
            <w:hideMark/>
          </w:tcPr>
          <w:p w14:paraId="448007B0"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7EB3C7D8" w14:textId="77777777" w:rsidR="00752811" w:rsidRPr="0095744D" w:rsidRDefault="00752811" w:rsidP="00333C84">
            <w:pPr>
              <w:spacing w:after="0" w:line="240" w:lineRule="auto"/>
              <w:jc w:val="right"/>
              <w:rPr>
                <w:rFonts w:ascii="Arial" w:hAnsi="Arial" w:cs="Arial"/>
                <w:b/>
                <w:color w:val="000000"/>
                <w:sz w:val="16"/>
                <w:szCs w:val="16"/>
              </w:rPr>
            </w:pPr>
            <w:r w:rsidRPr="0095744D">
              <w:rPr>
                <w:rFonts w:ascii="Arial" w:hAnsi="Arial" w:cs="Arial"/>
                <w:b/>
                <w:color w:val="000000"/>
                <w:sz w:val="16"/>
                <w:szCs w:val="16"/>
              </w:rPr>
              <w:t>6,478</w:t>
            </w:r>
          </w:p>
        </w:tc>
        <w:tc>
          <w:tcPr>
            <w:tcW w:w="1111" w:type="dxa"/>
            <w:tcBorders>
              <w:top w:val="single" w:sz="4" w:space="0" w:color="auto"/>
              <w:left w:val="nil"/>
              <w:bottom w:val="single" w:sz="4" w:space="0" w:color="auto"/>
              <w:right w:val="nil"/>
            </w:tcBorders>
            <w:shd w:val="clear" w:color="000000" w:fill="E6E6E6"/>
            <w:noWrap/>
            <w:vAlign w:val="bottom"/>
            <w:hideMark/>
          </w:tcPr>
          <w:p w14:paraId="5206B2A9" w14:textId="77777777" w:rsidR="00752811" w:rsidRPr="0095744D" w:rsidRDefault="00752811" w:rsidP="00333C84">
            <w:pPr>
              <w:spacing w:after="0" w:line="240" w:lineRule="auto"/>
              <w:jc w:val="right"/>
              <w:rPr>
                <w:rFonts w:ascii="Arial" w:hAnsi="Arial" w:cs="Arial"/>
                <w:b/>
                <w:color w:val="000000"/>
                <w:sz w:val="16"/>
                <w:szCs w:val="16"/>
              </w:rPr>
            </w:pPr>
            <w:r w:rsidRPr="0095744D">
              <w:rPr>
                <w:rFonts w:ascii="Arial" w:hAnsi="Arial" w:cs="Arial"/>
                <w:b/>
                <w:color w:val="000000"/>
                <w:sz w:val="16"/>
                <w:szCs w:val="16"/>
              </w:rPr>
              <w:t>4,445</w:t>
            </w:r>
          </w:p>
        </w:tc>
      </w:tr>
      <w:tr w:rsidR="00752811" w:rsidRPr="00701045" w14:paraId="27998D62" w14:textId="77777777" w:rsidTr="00333C84">
        <w:trPr>
          <w:trHeight w:val="204"/>
        </w:trPr>
        <w:tc>
          <w:tcPr>
            <w:tcW w:w="5016" w:type="dxa"/>
            <w:tcBorders>
              <w:top w:val="nil"/>
              <w:left w:val="nil"/>
              <w:bottom w:val="nil"/>
              <w:right w:val="nil"/>
            </w:tcBorders>
            <w:shd w:val="clear" w:color="000000" w:fill="FFFFFF"/>
            <w:vAlign w:val="bottom"/>
            <w:hideMark/>
          </w:tcPr>
          <w:p w14:paraId="4CAC43AC"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07ACEE30" w14:textId="77777777" w:rsidR="00752811" w:rsidRPr="00701045"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103A4C9B" w14:textId="77777777" w:rsidR="00752811" w:rsidRPr="00701045" w:rsidRDefault="00752811" w:rsidP="00333C84">
            <w:pPr>
              <w:spacing w:after="0" w:line="240" w:lineRule="auto"/>
              <w:jc w:val="right"/>
              <w:rPr>
                <w:rFonts w:ascii="Arial" w:hAnsi="Arial" w:cs="Arial"/>
                <w:color w:val="000000"/>
                <w:sz w:val="16"/>
                <w:szCs w:val="16"/>
              </w:rPr>
            </w:pPr>
          </w:p>
        </w:tc>
      </w:tr>
      <w:tr w:rsidR="00752811" w:rsidRPr="00701045" w14:paraId="6EE60C81" w14:textId="77777777" w:rsidTr="00333C84">
        <w:trPr>
          <w:trHeight w:val="204"/>
        </w:trPr>
        <w:tc>
          <w:tcPr>
            <w:tcW w:w="5016" w:type="dxa"/>
            <w:tcBorders>
              <w:top w:val="nil"/>
              <w:left w:val="nil"/>
              <w:bottom w:val="nil"/>
              <w:right w:val="nil"/>
            </w:tcBorders>
            <w:shd w:val="clear" w:color="000000" w:fill="FFFFFF"/>
            <w:vAlign w:val="bottom"/>
            <w:hideMark/>
          </w:tcPr>
          <w:p w14:paraId="48D1AF7C" w14:textId="77777777" w:rsidR="00752811" w:rsidRPr="00701045" w:rsidRDefault="00752811" w:rsidP="00333C84">
            <w:pPr>
              <w:spacing w:after="0" w:line="240" w:lineRule="auto"/>
              <w:jc w:val="left"/>
              <w:rPr>
                <w:rFonts w:ascii="Arial" w:hAnsi="Arial" w:cs="Arial"/>
                <w:color w:val="000000"/>
                <w:sz w:val="16"/>
                <w:szCs w:val="16"/>
              </w:rPr>
            </w:pPr>
            <w:r w:rsidRPr="00701045">
              <w:rPr>
                <w:rFonts w:ascii="Arial" w:hAnsi="Arial" w:cs="Arial"/>
                <w:color w:val="000000"/>
                <w:sz w:val="16"/>
                <w:szCs w:val="16"/>
              </w:rPr>
              <w:t>Annual appropriations - ordinary annual services</w:t>
            </w:r>
            <w:r w:rsidRPr="00701045">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2F45FB72" w14:textId="77777777" w:rsidR="00752811" w:rsidRPr="00701045"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2ACBFE43" w14:textId="77777777" w:rsidR="00752811" w:rsidRPr="00701045" w:rsidRDefault="00752811" w:rsidP="00333C84">
            <w:pPr>
              <w:spacing w:after="0" w:line="240" w:lineRule="auto"/>
              <w:jc w:val="right"/>
              <w:rPr>
                <w:rFonts w:ascii="Arial" w:hAnsi="Arial" w:cs="Arial"/>
                <w:color w:val="000000"/>
                <w:sz w:val="16"/>
                <w:szCs w:val="16"/>
              </w:rPr>
            </w:pPr>
          </w:p>
        </w:tc>
      </w:tr>
      <w:tr w:rsidR="00752811" w:rsidRPr="00701045" w14:paraId="0DB4EDEA" w14:textId="77777777" w:rsidTr="00333C84">
        <w:trPr>
          <w:trHeight w:val="204"/>
        </w:trPr>
        <w:tc>
          <w:tcPr>
            <w:tcW w:w="5016" w:type="dxa"/>
            <w:tcBorders>
              <w:top w:val="nil"/>
              <w:left w:val="nil"/>
              <w:bottom w:val="nil"/>
              <w:right w:val="nil"/>
            </w:tcBorders>
            <w:shd w:val="clear" w:color="000000" w:fill="FFFFFF"/>
            <w:vAlign w:val="bottom"/>
            <w:hideMark/>
          </w:tcPr>
          <w:p w14:paraId="0A7AAB99" w14:textId="77777777" w:rsidR="00752811" w:rsidRPr="00701045" w:rsidRDefault="00752811" w:rsidP="00333C84">
            <w:pPr>
              <w:spacing w:after="0" w:line="240" w:lineRule="auto"/>
              <w:ind w:left="113"/>
              <w:jc w:val="left"/>
              <w:rPr>
                <w:rFonts w:ascii="Arial" w:hAnsi="Arial" w:cs="Arial"/>
                <w:color w:val="000000"/>
                <w:sz w:val="16"/>
                <w:szCs w:val="16"/>
              </w:rPr>
            </w:pPr>
            <w:r w:rsidRPr="0016574C">
              <w:rPr>
                <w:rFonts w:ascii="Arial" w:hAnsi="Arial" w:cs="Arial"/>
                <w:sz w:val="16"/>
                <w:szCs w:val="16"/>
              </w:rPr>
              <w:t>Outcome</w:t>
            </w:r>
            <w:r w:rsidRPr="00701045">
              <w:rPr>
                <w:rFonts w:ascii="Arial" w:hAnsi="Arial" w:cs="Arial"/>
                <w:color w:val="000000"/>
                <w:sz w:val="16"/>
                <w:szCs w:val="16"/>
              </w:rPr>
              <w:t xml:space="preserve"> 1</w:t>
            </w:r>
          </w:p>
        </w:tc>
        <w:tc>
          <w:tcPr>
            <w:tcW w:w="1113" w:type="dxa"/>
            <w:tcBorders>
              <w:top w:val="nil"/>
              <w:left w:val="nil"/>
              <w:bottom w:val="nil"/>
              <w:right w:val="nil"/>
            </w:tcBorders>
            <w:shd w:val="clear" w:color="000000" w:fill="FFFFFF"/>
            <w:noWrap/>
            <w:vAlign w:val="bottom"/>
            <w:hideMark/>
          </w:tcPr>
          <w:p w14:paraId="1F15D471" w14:textId="77777777" w:rsidR="00752811" w:rsidRPr="00701045"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12,853</w:t>
            </w:r>
          </w:p>
        </w:tc>
        <w:tc>
          <w:tcPr>
            <w:tcW w:w="1111" w:type="dxa"/>
            <w:tcBorders>
              <w:top w:val="nil"/>
              <w:left w:val="nil"/>
              <w:bottom w:val="nil"/>
              <w:right w:val="nil"/>
            </w:tcBorders>
            <w:shd w:val="clear" w:color="000000" w:fill="E6E6E6"/>
            <w:noWrap/>
            <w:vAlign w:val="bottom"/>
            <w:hideMark/>
          </w:tcPr>
          <w:p w14:paraId="2383ADF2" w14:textId="77777777" w:rsidR="00752811" w:rsidRPr="00701045"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12,733</w:t>
            </w:r>
          </w:p>
        </w:tc>
      </w:tr>
      <w:tr w:rsidR="00752811" w:rsidRPr="00701045" w14:paraId="62D90397" w14:textId="77777777" w:rsidTr="00333C84">
        <w:trPr>
          <w:trHeight w:val="204"/>
        </w:trPr>
        <w:tc>
          <w:tcPr>
            <w:tcW w:w="5016" w:type="dxa"/>
            <w:tcBorders>
              <w:top w:val="nil"/>
              <w:left w:val="nil"/>
              <w:bottom w:val="nil"/>
              <w:right w:val="nil"/>
            </w:tcBorders>
            <w:shd w:val="clear" w:color="000000" w:fill="FFFFFF"/>
            <w:vAlign w:val="bottom"/>
            <w:hideMark/>
          </w:tcPr>
          <w:p w14:paraId="7117EB0B" w14:textId="77777777" w:rsidR="00752811" w:rsidRPr="00701045" w:rsidRDefault="00752811" w:rsidP="00333C84">
            <w:pPr>
              <w:spacing w:after="0" w:line="240" w:lineRule="auto"/>
              <w:jc w:val="left"/>
              <w:rPr>
                <w:rFonts w:ascii="Arial" w:hAnsi="Arial" w:cs="Arial"/>
                <w:color w:val="000000"/>
                <w:sz w:val="16"/>
                <w:szCs w:val="16"/>
              </w:rPr>
            </w:pPr>
            <w:r w:rsidRPr="00701045">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000000" w:fill="FFFFFF"/>
            <w:noWrap/>
            <w:vAlign w:val="bottom"/>
            <w:hideMark/>
          </w:tcPr>
          <w:p w14:paraId="3DA0F850" w14:textId="77777777" w:rsidR="00752811" w:rsidRPr="00701045"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12,853</w:t>
            </w:r>
          </w:p>
        </w:tc>
        <w:tc>
          <w:tcPr>
            <w:tcW w:w="1111" w:type="dxa"/>
            <w:tcBorders>
              <w:top w:val="single" w:sz="4" w:space="0" w:color="auto"/>
              <w:left w:val="nil"/>
              <w:bottom w:val="single" w:sz="4" w:space="0" w:color="auto"/>
              <w:right w:val="nil"/>
            </w:tcBorders>
            <w:shd w:val="clear" w:color="000000" w:fill="E6E6E6"/>
            <w:noWrap/>
            <w:vAlign w:val="bottom"/>
            <w:hideMark/>
          </w:tcPr>
          <w:p w14:paraId="6362DD84" w14:textId="77777777" w:rsidR="00752811" w:rsidRPr="0095744D" w:rsidRDefault="00752811" w:rsidP="00333C84">
            <w:pPr>
              <w:spacing w:after="0" w:line="240" w:lineRule="auto"/>
              <w:jc w:val="right"/>
              <w:rPr>
                <w:rFonts w:ascii="Arial" w:hAnsi="Arial" w:cs="Arial"/>
                <w:iCs/>
                <w:color w:val="000000"/>
                <w:sz w:val="16"/>
                <w:szCs w:val="16"/>
              </w:rPr>
            </w:pPr>
            <w:r w:rsidRPr="0095744D">
              <w:rPr>
                <w:rFonts w:ascii="Arial" w:hAnsi="Arial" w:cs="Arial"/>
                <w:iCs/>
                <w:color w:val="000000"/>
                <w:sz w:val="16"/>
                <w:szCs w:val="16"/>
              </w:rPr>
              <w:t>12,733</w:t>
            </w:r>
          </w:p>
        </w:tc>
      </w:tr>
      <w:tr w:rsidR="00752811" w:rsidRPr="00701045" w14:paraId="72BA2290" w14:textId="77777777" w:rsidTr="00333C84">
        <w:trPr>
          <w:trHeight w:val="204"/>
        </w:trPr>
        <w:tc>
          <w:tcPr>
            <w:tcW w:w="5016" w:type="dxa"/>
            <w:tcBorders>
              <w:top w:val="nil"/>
              <w:left w:val="nil"/>
              <w:bottom w:val="nil"/>
              <w:right w:val="nil"/>
            </w:tcBorders>
            <w:shd w:val="clear" w:color="000000" w:fill="FFFFFF"/>
            <w:vAlign w:val="bottom"/>
            <w:hideMark/>
          </w:tcPr>
          <w:p w14:paraId="3A6BB49D"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50FCAF12" w14:textId="77777777" w:rsidR="00752811" w:rsidRPr="00701045"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12,853</w:t>
            </w:r>
          </w:p>
        </w:tc>
        <w:tc>
          <w:tcPr>
            <w:tcW w:w="1111" w:type="dxa"/>
            <w:tcBorders>
              <w:top w:val="single" w:sz="4" w:space="0" w:color="auto"/>
              <w:left w:val="nil"/>
              <w:bottom w:val="single" w:sz="4" w:space="0" w:color="auto"/>
              <w:right w:val="nil"/>
            </w:tcBorders>
            <w:shd w:val="clear" w:color="000000" w:fill="E6E6E6"/>
            <w:noWrap/>
            <w:vAlign w:val="bottom"/>
            <w:hideMark/>
          </w:tcPr>
          <w:p w14:paraId="08D51CAF" w14:textId="77777777" w:rsidR="00752811" w:rsidRPr="00701045"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12,733</w:t>
            </w:r>
          </w:p>
        </w:tc>
      </w:tr>
      <w:tr w:rsidR="00752811" w:rsidRPr="00701045" w14:paraId="42883F10" w14:textId="77777777" w:rsidTr="00333C84">
        <w:trPr>
          <w:trHeight w:val="204"/>
        </w:trPr>
        <w:tc>
          <w:tcPr>
            <w:tcW w:w="5016" w:type="dxa"/>
            <w:tcBorders>
              <w:top w:val="nil"/>
              <w:left w:val="nil"/>
              <w:bottom w:val="nil"/>
              <w:right w:val="nil"/>
            </w:tcBorders>
            <w:shd w:val="clear" w:color="000000" w:fill="FFFFFF"/>
            <w:vAlign w:val="bottom"/>
            <w:hideMark/>
          </w:tcPr>
          <w:p w14:paraId="69CCE8F8"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Funds from industry sources</w:t>
            </w:r>
          </w:p>
        </w:tc>
        <w:tc>
          <w:tcPr>
            <w:tcW w:w="1113" w:type="dxa"/>
            <w:tcBorders>
              <w:top w:val="nil"/>
              <w:left w:val="nil"/>
              <w:bottom w:val="nil"/>
              <w:right w:val="nil"/>
            </w:tcBorders>
            <w:shd w:val="clear" w:color="000000" w:fill="FFFFFF"/>
            <w:noWrap/>
            <w:vAlign w:val="bottom"/>
            <w:hideMark/>
          </w:tcPr>
          <w:p w14:paraId="75125944" w14:textId="77777777" w:rsidR="00752811" w:rsidRPr="00701045"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5BF78A7A" w14:textId="77777777" w:rsidR="00752811" w:rsidRPr="00701045" w:rsidRDefault="00752811" w:rsidP="00333C84">
            <w:pPr>
              <w:spacing w:after="0" w:line="240" w:lineRule="auto"/>
              <w:jc w:val="right"/>
              <w:rPr>
                <w:rFonts w:ascii="Arial" w:hAnsi="Arial" w:cs="Arial"/>
                <w:color w:val="000000"/>
                <w:sz w:val="16"/>
                <w:szCs w:val="16"/>
              </w:rPr>
            </w:pPr>
          </w:p>
        </w:tc>
      </w:tr>
      <w:tr w:rsidR="00752811" w:rsidRPr="00701045" w14:paraId="73EA1DF2" w14:textId="77777777" w:rsidTr="00333C84">
        <w:trPr>
          <w:trHeight w:val="204"/>
        </w:trPr>
        <w:tc>
          <w:tcPr>
            <w:tcW w:w="5016" w:type="dxa"/>
            <w:tcBorders>
              <w:top w:val="nil"/>
              <w:left w:val="nil"/>
              <w:bottom w:val="nil"/>
              <w:right w:val="nil"/>
            </w:tcBorders>
            <w:shd w:val="clear" w:color="000000" w:fill="FFFFFF"/>
            <w:vAlign w:val="bottom"/>
            <w:hideMark/>
          </w:tcPr>
          <w:p w14:paraId="7FE8335B"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Funds from other sources</w:t>
            </w:r>
          </w:p>
        </w:tc>
        <w:tc>
          <w:tcPr>
            <w:tcW w:w="1113" w:type="dxa"/>
            <w:tcBorders>
              <w:top w:val="nil"/>
              <w:left w:val="nil"/>
              <w:bottom w:val="nil"/>
              <w:right w:val="nil"/>
            </w:tcBorders>
            <w:shd w:val="clear" w:color="000000" w:fill="FFFFFF"/>
            <w:noWrap/>
            <w:vAlign w:val="bottom"/>
            <w:hideMark/>
          </w:tcPr>
          <w:p w14:paraId="0A073581" w14:textId="77777777" w:rsidR="00752811" w:rsidRPr="00701045"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519C4AB0" w14:textId="77777777" w:rsidR="00752811" w:rsidRPr="00701045" w:rsidRDefault="00752811" w:rsidP="00333C84">
            <w:pPr>
              <w:spacing w:after="0" w:line="240" w:lineRule="auto"/>
              <w:jc w:val="right"/>
              <w:rPr>
                <w:rFonts w:ascii="Arial" w:hAnsi="Arial" w:cs="Arial"/>
                <w:color w:val="000000"/>
                <w:sz w:val="16"/>
                <w:szCs w:val="16"/>
              </w:rPr>
            </w:pPr>
          </w:p>
        </w:tc>
      </w:tr>
      <w:tr w:rsidR="00752811" w:rsidRPr="00701045" w14:paraId="2683BCA0" w14:textId="77777777" w:rsidTr="00333C84">
        <w:trPr>
          <w:trHeight w:val="204"/>
        </w:trPr>
        <w:tc>
          <w:tcPr>
            <w:tcW w:w="5016" w:type="dxa"/>
            <w:tcBorders>
              <w:top w:val="nil"/>
              <w:left w:val="nil"/>
              <w:bottom w:val="nil"/>
              <w:right w:val="nil"/>
            </w:tcBorders>
            <w:shd w:val="clear" w:color="000000" w:fill="FFFFFF"/>
            <w:vAlign w:val="bottom"/>
            <w:hideMark/>
          </w:tcPr>
          <w:p w14:paraId="778BCF36" w14:textId="77777777" w:rsidR="00752811" w:rsidRPr="00701045" w:rsidRDefault="00752811" w:rsidP="00333C84">
            <w:pPr>
              <w:spacing w:after="0" w:line="240" w:lineRule="auto"/>
              <w:ind w:left="113"/>
              <w:jc w:val="left"/>
              <w:rPr>
                <w:rFonts w:ascii="Arial" w:hAnsi="Arial" w:cs="Arial"/>
                <w:color w:val="000000"/>
                <w:sz w:val="16"/>
                <w:szCs w:val="16"/>
              </w:rPr>
            </w:pPr>
            <w:r w:rsidRPr="0016574C">
              <w:rPr>
                <w:rFonts w:ascii="Arial" w:hAnsi="Arial" w:cs="Arial"/>
                <w:sz w:val="16"/>
                <w:szCs w:val="16"/>
              </w:rPr>
              <w:t>Interest</w:t>
            </w:r>
          </w:p>
        </w:tc>
        <w:tc>
          <w:tcPr>
            <w:tcW w:w="1113" w:type="dxa"/>
            <w:tcBorders>
              <w:top w:val="nil"/>
              <w:left w:val="nil"/>
              <w:bottom w:val="nil"/>
              <w:right w:val="nil"/>
            </w:tcBorders>
            <w:shd w:val="clear" w:color="000000" w:fill="FFFFFF"/>
            <w:noWrap/>
            <w:vAlign w:val="bottom"/>
            <w:hideMark/>
          </w:tcPr>
          <w:p w14:paraId="49994606" w14:textId="77777777" w:rsidR="00752811" w:rsidRPr="00701045"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111" w:type="dxa"/>
            <w:tcBorders>
              <w:top w:val="nil"/>
              <w:left w:val="nil"/>
              <w:bottom w:val="nil"/>
              <w:right w:val="nil"/>
            </w:tcBorders>
            <w:shd w:val="clear" w:color="000000" w:fill="E6E6E6"/>
            <w:noWrap/>
            <w:vAlign w:val="bottom"/>
            <w:hideMark/>
          </w:tcPr>
          <w:p w14:paraId="18203451" w14:textId="77777777" w:rsidR="00752811" w:rsidRPr="00701045"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752811" w:rsidRPr="00701045" w14:paraId="22E62FC7" w14:textId="77777777" w:rsidTr="00333C84">
        <w:trPr>
          <w:trHeight w:val="204"/>
        </w:trPr>
        <w:tc>
          <w:tcPr>
            <w:tcW w:w="5016" w:type="dxa"/>
            <w:tcBorders>
              <w:top w:val="nil"/>
              <w:left w:val="nil"/>
              <w:bottom w:val="nil"/>
              <w:right w:val="nil"/>
            </w:tcBorders>
            <w:shd w:val="clear" w:color="000000" w:fill="FFFFFF"/>
            <w:noWrap/>
            <w:vAlign w:val="bottom"/>
            <w:hideMark/>
          </w:tcPr>
          <w:p w14:paraId="26E81E9E"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31EB5ABB" w14:textId="77777777" w:rsidR="00752811" w:rsidRPr="00701045"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8</w:t>
            </w:r>
          </w:p>
        </w:tc>
        <w:tc>
          <w:tcPr>
            <w:tcW w:w="1111" w:type="dxa"/>
            <w:tcBorders>
              <w:top w:val="single" w:sz="4" w:space="0" w:color="auto"/>
              <w:left w:val="nil"/>
              <w:bottom w:val="single" w:sz="4" w:space="0" w:color="auto"/>
              <w:right w:val="nil"/>
            </w:tcBorders>
            <w:shd w:val="clear" w:color="000000" w:fill="E6E6E6"/>
            <w:noWrap/>
            <w:vAlign w:val="bottom"/>
            <w:hideMark/>
          </w:tcPr>
          <w:p w14:paraId="2D048EC7" w14:textId="77777777" w:rsidR="00752811" w:rsidRPr="00701045"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r>
      <w:tr w:rsidR="00752811" w:rsidRPr="00701045" w14:paraId="703DDD0D" w14:textId="77777777" w:rsidTr="00333C84">
        <w:trPr>
          <w:trHeight w:val="204"/>
        </w:trPr>
        <w:tc>
          <w:tcPr>
            <w:tcW w:w="5016" w:type="dxa"/>
            <w:tcBorders>
              <w:top w:val="nil"/>
              <w:left w:val="nil"/>
              <w:bottom w:val="single" w:sz="4" w:space="0" w:color="auto"/>
              <w:right w:val="nil"/>
            </w:tcBorders>
            <w:shd w:val="clear" w:color="000000" w:fill="FFFFFF"/>
            <w:noWrap/>
            <w:vAlign w:val="bottom"/>
            <w:hideMark/>
          </w:tcPr>
          <w:p w14:paraId="73C3A3B5"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Total net resourcing for Infrastructure Australia</w:t>
            </w:r>
          </w:p>
        </w:tc>
        <w:tc>
          <w:tcPr>
            <w:tcW w:w="1113" w:type="dxa"/>
            <w:tcBorders>
              <w:top w:val="single" w:sz="4" w:space="0" w:color="auto"/>
              <w:left w:val="nil"/>
              <w:bottom w:val="single" w:sz="4" w:space="0" w:color="auto"/>
              <w:right w:val="nil"/>
            </w:tcBorders>
            <w:shd w:val="clear" w:color="000000" w:fill="FFFFFF"/>
            <w:noWrap/>
            <w:vAlign w:val="bottom"/>
            <w:hideMark/>
          </w:tcPr>
          <w:p w14:paraId="336C3C5C" w14:textId="77777777" w:rsidR="00752811" w:rsidRPr="00701045"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19,339</w:t>
            </w:r>
          </w:p>
        </w:tc>
        <w:tc>
          <w:tcPr>
            <w:tcW w:w="1111" w:type="dxa"/>
            <w:tcBorders>
              <w:top w:val="single" w:sz="4" w:space="0" w:color="auto"/>
              <w:left w:val="nil"/>
              <w:bottom w:val="single" w:sz="4" w:space="0" w:color="auto"/>
              <w:right w:val="nil"/>
            </w:tcBorders>
            <w:shd w:val="clear" w:color="000000" w:fill="E6E6E6"/>
            <w:noWrap/>
            <w:vAlign w:val="bottom"/>
            <w:hideMark/>
          </w:tcPr>
          <w:p w14:paraId="5A545496" w14:textId="77777777" w:rsidR="00752811" w:rsidRPr="00701045"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17,193</w:t>
            </w:r>
          </w:p>
        </w:tc>
      </w:tr>
    </w:tbl>
    <w:p w14:paraId="10561E68" w14:textId="77777777" w:rsidR="00752811" w:rsidRDefault="00752811" w:rsidP="00752811">
      <w:pPr>
        <w:pStyle w:val="TableHeading"/>
      </w:pPr>
    </w:p>
    <w:tbl>
      <w:tblPr>
        <w:tblW w:w="7240" w:type="dxa"/>
        <w:tblLook w:val="04A0" w:firstRow="1" w:lastRow="0" w:firstColumn="1" w:lastColumn="0" w:noHBand="0" w:noVBand="1"/>
      </w:tblPr>
      <w:tblGrid>
        <w:gridCol w:w="5016"/>
        <w:gridCol w:w="1112"/>
        <w:gridCol w:w="1112"/>
      </w:tblGrid>
      <w:tr w:rsidR="00752811" w:rsidRPr="00701045" w14:paraId="24B86F15" w14:textId="77777777" w:rsidTr="00333C84">
        <w:trPr>
          <w:trHeight w:val="204"/>
        </w:trPr>
        <w:tc>
          <w:tcPr>
            <w:tcW w:w="5016" w:type="dxa"/>
            <w:tcBorders>
              <w:top w:val="single" w:sz="4" w:space="0" w:color="auto"/>
              <w:left w:val="nil"/>
              <w:bottom w:val="nil"/>
              <w:right w:val="nil"/>
            </w:tcBorders>
            <w:shd w:val="clear" w:color="000000" w:fill="FFFFFF"/>
            <w:noWrap/>
            <w:vAlign w:val="bottom"/>
            <w:hideMark/>
          </w:tcPr>
          <w:p w14:paraId="52D937CC" w14:textId="77777777" w:rsidR="00752811" w:rsidRPr="00701045" w:rsidRDefault="00752811" w:rsidP="00333C84">
            <w:pPr>
              <w:spacing w:after="0" w:line="240" w:lineRule="auto"/>
              <w:jc w:val="left"/>
              <w:rPr>
                <w:rFonts w:ascii="Arial" w:hAnsi="Arial" w:cs="Arial"/>
                <w:color w:val="000000"/>
                <w:sz w:val="16"/>
                <w:szCs w:val="16"/>
              </w:rPr>
            </w:pPr>
            <w:r w:rsidRPr="00701045">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723E79E7" w14:textId="77777777" w:rsidR="00752811" w:rsidRPr="00701045" w:rsidRDefault="00752811" w:rsidP="00333C84">
            <w:pPr>
              <w:spacing w:after="0" w:line="240" w:lineRule="auto"/>
              <w:jc w:val="right"/>
              <w:rPr>
                <w:rFonts w:ascii="Arial" w:hAnsi="Arial" w:cs="Arial"/>
                <w:color w:val="000000"/>
                <w:sz w:val="16"/>
                <w:szCs w:val="16"/>
              </w:rPr>
            </w:pPr>
            <w:r w:rsidRPr="00701045">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000000" w:fill="E6E6E6"/>
            <w:vAlign w:val="bottom"/>
            <w:hideMark/>
          </w:tcPr>
          <w:p w14:paraId="61D7893A" w14:textId="77777777" w:rsidR="00752811" w:rsidRPr="00701045" w:rsidRDefault="00752811" w:rsidP="00333C84">
            <w:pPr>
              <w:spacing w:after="0" w:line="240" w:lineRule="auto"/>
              <w:jc w:val="right"/>
              <w:rPr>
                <w:rFonts w:ascii="Arial" w:hAnsi="Arial" w:cs="Arial"/>
                <w:color w:val="000000"/>
                <w:sz w:val="16"/>
                <w:szCs w:val="16"/>
              </w:rPr>
            </w:pPr>
            <w:r w:rsidRPr="00701045">
              <w:rPr>
                <w:rFonts w:ascii="Arial" w:hAnsi="Arial" w:cs="Arial"/>
                <w:color w:val="000000"/>
                <w:sz w:val="16"/>
                <w:szCs w:val="16"/>
              </w:rPr>
              <w:t>2022-23</w:t>
            </w:r>
          </w:p>
        </w:tc>
      </w:tr>
      <w:tr w:rsidR="00752811" w:rsidRPr="00701045" w14:paraId="51F2446C" w14:textId="77777777" w:rsidTr="00333C84">
        <w:trPr>
          <w:trHeight w:val="204"/>
        </w:trPr>
        <w:tc>
          <w:tcPr>
            <w:tcW w:w="5016" w:type="dxa"/>
            <w:tcBorders>
              <w:top w:val="nil"/>
              <w:left w:val="nil"/>
              <w:bottom w:val="single" w:sz="4" w:space="0" w:color="auto"/>
              <w:right w:val="nil"/>
            </w:tcBorders>
            <w:shd w:val="clear" w:color="000000" w:fill="FFFFFF"/>
            <w:noWrap/>
            <w:vAlign w:val="bottom"/>
            <w:hideMark/>
          </w:tcPr>
          <w:p w14:paraId="528A3984"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000000" w:fill="FFFFFF"/>
            <w:noWrap/>
            <w:vAlign w:val="bottom"/>
            <w:hideMark/>
          </w:tcPr>
          <w:p w14:paraId="1BCD6255" w14:textId="77777777" w:rsidR="00752811" w:rsidRPr="00701045" w:rsidRDefault="00752811" w:rsidP="00333C84">
            <w:pPr>
              <w:spacing w:after="0" w:line="240" w:lineRule="auto"/>
              <w:jc w:val="right"/>
              <w:rPr>
                <w:rFonts w:ascii="Arial" w:hAnsi="Arial" w:cs="Arial"/>
                <w:color w:val="000000"/>
                <w:sz w:val="16"/>
                <w:szCs w:val="16"/>
              </w:rPr>
            </w:pPr>
            <w:r w:rsidRPr="00701045">
              <w:rPr>
                <w:rFonts w:ascii="Arial" w:hAnsi="Arial" w:cs="Arial"/>
                <w:color w:val="000000"/>
                <w:sz w:val="16"/>
                <w:szCs w:val="16"/>
              </w:rPr>
              <w:t>30</w:t>
            </w:r>
          </w:p>
        </w:tc>
        <w:tc>
          <w:tcPr>
            <w:tcW w:w="1112" w:type="dxa"/>
            <w:tcBorders>
              <w:top w:val="nil"/>
              <w:left w:val="nil"/>
              <w:bottom w:val="single" w:sz="4" w:space="0" w:color="auto"/>
              <w:right w:val="nil"/>
            </w:tcBorders>
            <w:shd w:val="clear" w:color="000000" w:fill="E6E6E6"/>
            <w:noWrap/>
            <w:vAlign w:val="bottom"/>
            <w:hideMark/>
          </w:tcPr>
          <w:p w14:paraId="31422781" w14:textId="77777777" w:rsidR="00752811" w:rsidRPr="00701045"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29</w:t>
            </w:r>
          </w:p>
        </w:tc>
      </w:tr>
    </w:tbl>
    <w:p w14:paraId="5637C4CA" w14:textId="77777777" w:rsidR="00752811" w:rsidRDefault="00752811" w:rsidP="00752811">
      <w:pPr>
        <w:spacing w:before="60" w:after="0" w:line="240" w:lineRule="auto"/>
        <w:jc w:val="left"/>
        <w:rPr>
          <w:rFonts w:cs="Arial"/>
          <w:sz w:val="16"/>
          <w:szCs w:val="16"/>
        </w:rPr>
      </w:pPr>
      <w:r w:rsidRPr="00701045">
        <w:rPr>
          <w:rFonts w:ascii="Arial" w:hAnsi="Arial" w:cs="Arial"/>
          <w:color w:val="000000"/>
          <w:sz w:val="16"/>
          <w:szCs w:val="16"/>
        </w:rPr>
        <w:t>All figures shown above are GST exclusive - these may not match figures in the cash flow statement</w:t>
      </w:r>
      <w:r>
        <w:rPr>
          <w:rFonts w:ascii="Arial" w:hAnsi="Arial" w:cs="Arial"/>
          <w:color w:val="000000"/>
          <w:sz w:val="16"/>
          <w:szCs w:val="16"/>
        </w:rPr>
        <w:t>.</w:t>
      </w:r>
    </w:p>
    <w:p w14:paraId="34856641" w14:textId="77777777" w:rsidR="00752811" w:rsidRDefault="00752811" w:rsidP="00752811">
      <w:pPr>
        <w:spacing w:after="0" w:line="240" w:lineRule="auto"/>
        <w:jc w:val="left"/>
        <w:rPr>
          <w:rFonts w:cs="Arial"/>
          <w:sz w:val="16"/>
          <w:szCs w:val="16"/>
        </w:rPr>
      </w:pPr>
      <w:r w:rsidRPr="00701045">
        <w:rPr>
          <w:rFonts w:ascii="Arial" w:hAnsi="Arial" w:cs="Arial"/>
          <w:color w:val="000000"/>
          <w:sz w:val="16"/>
          <w:szCs w:val="16"/>
        </w:rPr>
        <w:t>(a) Appropriation Bill (No. 1) 2022-23.</w:t>
      </w:r>
    </w:p>
    <w:p w14:paraId="7CB0A287" w14:textId="77777777" w:rsidR="00752811" w:rsidRDefault="00752811" w:rsidP="00752811">
      <w:pPr>
        <w:spacing w:after="0" w:line="240" w:lineRule="auto"/>
        <w:jc w:val="left"/>
        <w:rPr>
          <w:rFonts w:cs="Arial"/>
          <w:sz w:val="16"/>
          <w:szCs w:val="16"/>
        </w:rPr>
      </w:pPr>
    </w:p>
    <w:p w14:paraId="1F5809DC" w14:textId="003E9816" w:rsidR="00752811" w:rsidRDefault="00752811" w:rsidP="00752811">
      <w:pPr>
        <w:spacing w:after="0" w:line="240" w:lineRule="auto"/>
        <w:jc w:val="left"/>
      </w:pPr>
      <w:r w:rsidRPr="00701045">
        <w:rPr>
          <w:rFonts w:ascii="Arial" w:hAnsi="Arial" w:cs="Arial"/>
          <w:color w:val="000000"/>
          <w:sz w:val="16"/>
          <w:szCs w:val="16"/>
        </w:rPr>
        <w:t xml:space="preserve">IA is not directly appropriated as it is a Corporate Commonwealth Entity. Appropriations are made to the </w:t>
      </w:r>
      <w:r w:rsidR="003C4CC6">
        <w:rPr>
          <w:rFonts w:ascii="Arial" w:hAnsi="Arial" w:cs="Arial"/>
          <w:color w:val="000000"/>
          <w:sz w:val="16"/>
          <w:szCs w:val="16"/>
        </w:rPr>
        <w:t>Department</w:t>
      </w:r>
      <w:r w:rsidRPr="00701045">
        <w:rPr>
          <w:rFonts w:ascii="Arial" w:hAnsi="Arial" w:cs="Arial"/>
          <w:color w:val="000000"/>
          <w:sz w:val="16"/>
          <w:szCs w:val="16"/>
        </w:rPr>
        <w:t xml:space="preserve"> of Infrastructure, Transport, Regional Development and Communications, which are then paid to IA and are considered ‘</w:t>
      </w:r>
      <w:r w:rsidR="001C30CB">
        <w:rPr>
          <w:rFonts w:ascii="Arial" w:hAnsi="Arial" w:cs="Arial"/>
          <w:color w:val="000000"/>
          <w:sz w:val="16"/>
          <w:szCs w:val="16"/>
        </w:rPr>
        <w:t>d</w:t>
      </w:r>
      <w:r w:rsidR="003C4CC6">
        <w:rPr>
          <w:rFonts w:ascii="Arial" w:hAnsi="Arial" w:cs="Arial"/>
          <w:color w:val="000000"/>
          <w:sz w:val="16"/>
          <w:szCs w:val="16"/>
        </w:rPr>
        <w:t>epartment</w:t>
      </w:r>
      <w:r w:rsidRPr="00701045">
        <w:rPr>
          <w:rFonts w:ascii="Arial" w:hAnsi="Arial" w:cs="Arial"/>
          <w:color w:val="000000"/>
          <w:sz w:val="16"/>
          <w:szCs w:val="16"/>
        </w:rPr>
        <w:t>al’ for all purposes</w:t>
      </w:r>
      <w:r w:rsidR="0095744D">
        <w:rPr>
          <w:rFonts w:ascii="Arial" w:hAnsi="Arial" w:cs="Arial"/>
          <w:color w:val="000000"/>
          <w:sz w:val="16"/>
          <w:szCs w:val="16"/>
        </w:rPr>
        <w:t>.</w:t>
      </w:r>
    </w:p>
    <w:p w14:paraId="0F7EF74B" w14:textId="77777777" w:rsidR="00752811" w:rsidRPr="00AA03CC" w:rsidRDefault="00752811" w:rsidP="00752811">
      <w:pPr>
        <w:jc w:val="left"/>
      </w:pPr>
    </w:p>
    <w:p w14:paraId="14E1BED5" w14:textId="77777777" w:rsidR="00752811" w:rsidRPr="00236469" w:rsidRDefault="00752811" w:rsidP="005B1467">
      <w:pPr>
        <w:pStyle w:val="Heading3-IA"/>
      </w:pPr>
      <w:bookmarkStart w:id="24" w:name="_Toc97321023"/>
      <w:bookmarkStart w:id="25" w:name="_Toc98440325"/>
      <w:bookmarkStart w:id="26" w:name="_Toc98440473"/>
      <w:bookmarkStart w:id="27" w:name="_Toc98440621"/>
      <w:bookmarkStart w:id="28" w:name="_Toc98440769"/>
      <w:bookmarkStart w:id="29" w:name="_Toc98440917"/>
      <w:bookmarkStart w:id="30" w:name="_Toc98534097"/>
      <w:r w:rsidRPr="00236469">
        <w:t>1.3</w:t>
      </w:r>
      <w:r w:rsidRPr="00236469">
        <w:tab/>
        <w:t>Budget measures</w:t>
      </w:r>
      <w:bookmarkEnd w:id="24"/>
      <w:bookmarkEnd w:id="25"/>
      <w:bookmarkEnd w:id="26"/>
      <w:bookmarkEnd w:id="27"/>
      <w:bookmarkEnd w:id="28"/>
      <w:bookmarkEnd w:id="29"/>
      <w:bookmarkEnd w:id="30"/>
      <w:r w:rsidRPr="00236469">
        <w:t xml:space="preserve"> </w:t>
      </w:r>
    </w:p>
    <w:p w14:paraId="3362A8E7" w14:textId="77777777" w:rsidR="00752811" w:rsidRDefault="00752811" w:rsidP="00752811">
      <w:pPr>
        <w:jc w:val="left"/>
      </w:pPr>
      <w:r>
        <w:t xml:space="preserve">There are no measures relating to Infrastructure Australia for the 2022-23 Budget. </w:t>
      </w:r>
    </w:p>
    <w:p w14:paraId="6AF6703F" w14:textId="77777777" w:rsidR="00752811" w:rsidRDefault="00752811" w:rsidP="00752811">
      <w:pPr>
        <w:pStyle w:val="TableHeading"/>
        <w:rPr>
          <w:rFonts w:ascii="Arial Bold" w:hAnsi="Arial Bold"/>
          <w:b w:val="0"/>
        </w:rPr>
      </w:pPr>
      <w:r>
        <w:br w:type="page"/>
      </w:r>
    </w:p>
    <w:p w14:paraId="0B3D01EC" w14:textId="77777777" w:rsidR="00752811" w:rsidRPr="00810C6A" w:rsidRDefault="00752811" w:rsidP="005B1467">
      <w:pPr>
        <w:pStyle w:val="Heading2-IA"/>
      </w:pPr>
      <w:bookmarkStart w:id="31" w:name="_Toc97321024"/>
      <w:bookmarkStart w:id="32" w:name="_Toc98440326"/>
      <w:bookmarkStart w:id="33" w:name="_Toc98440474"/>
      <w:bookmarkStart w:id="34" w:name="_Toc98440622"/>
      <w:bookmarkStart w:id="35" w:name="_Toc98440770"/>
      <w:bookmarkStart w:id="36" w:name="_Toc98440918"/>
      <w:bookmarkStart w:id="37" w:name="_Toc98534098"/>
      <w:r w:rsidRPr="00810C6A">
        <w:lastRenderedPageBreak/>
        <w:t>Section 2: Outcomes and planned performance</w:t>
      </w:r>
      <w:bookmarkEnd w:id="31"/>
      <w:bookmarkEnd w:id="32"/>
      <w:bookmarkEnd w:id="33"/>
      <w:bookmarkEnd w:id="34"/>
      <w:bookmarkEnd w:id="35"/>
      <w:bookmarkEnd w:id="36"/>
      <w:bookmarkEnd w:id="37"/>
    </w:p>
    <w:p w14:paraId="3E7F76E7" w14:textId="77777777" w:rsidR="00752811" w:rsidRPr="00F94C68" w:rsidRDefault="00752811" w:rsidP="00752811">
      <w:pPr>
        <w:jc w:val="left"/>
        <w:rPr>
          <w:color w:val="000000" w:themeColor="text1"/>
        </w:rPr>
      </w:pPr>
      <w:r w:rsidRPr="00F94C68">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B01504A" w14:textId="77777777" w:rsidR="00752811" w:rsidRPr="00F94C68" w:rsidRDefault="00752811" w:rsidP="00752811">
      <w:pPr>
        <w:jc w:val="left"/>
        <w:rPr>
          <w:i/>
          <w:color w:val="000000" w:themeColor="text1"/>
        </w:rPr>
      </w:pPr>
      <w:r w:rsidRPr="00F94C68">
        <w:rPr>
          <w:color w:val="000000" w:themeColor="text1"/>
        </w:rPr>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5F489D4E" w14:textId="77777777" w:rsidTr="00333C84">
        <w:tc>
          <w:tcPr>
            <w:tcW w:w="7700" w:type="dxa"/>
          </w:tcPr>
          <w:p w14:paraId="3C71EE97" w14:textId="77777777" w:rsidR="00752811" w:rsidRPr="006906E4" w:rsidRDefault="00752811" w:rsidP="00333C84">
            <w:pPr>
              <w:spacing w:before="120" w:after="120" w:line="240" w:lineRule="auto"/>
              <w:jc w:val="left"/>
              <w:rPr>
                <w:b/>
              </w:rPr>
            </w:pPr>
            <w:r w:rsidRPr="006906E4">
              <w:rPr>
                <w:b/>
              </w:rPr>
              <w:t>Note:</w:t>
            </w:r>
          </w:p>
          <w:p w14:paraId="79DAEA2C" w14:textId="50932241" w:rsidR="00752811" w:rsidRPr="0004473D"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95744D">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5744D">
              <w:t>–</w:t>
            </w:r>
            <w:r>
              <w:t xml:space="preserve"> to provide a complete picture of an entity’s planned and </w:t>
            </w:r>
            <w:r w:rsidRPr="0004473D">
              <w:t>actual performance.</w:t>
            </w:r>
          </w:p>
          <w:p w14:paraId="5E569996" w14:textId="77777777" w:rsidR="00752811" w:rsidRPr="0004473D" w:rsidRDefault="00752811" w:rsidP="00333C84">
            <w:pPr>
              <w:jc w:val="left"/>
            </w:pPr>
            <w:r w:rsidRPr="0004473D">
              <w:t xml:space="preserve">The most recent corporate plan for Infrastructure Australia can be found at: </w:t>
            </w:r>
            <w:r w:rsidRPr="0004473D">
              <w:rPr>
                <w:u w:val="single"/>
              </w:rPr>
              <w:t>https://www.infrastructureaustralia.gov.au/about/accountability-and-reporting</w:t>
            </w:r>
          </w:p>
          <w:p w14:paraId="3B4EF638" w14:textId="77777777" w:rsidR="00752811" w:rsidRDefault="00752811" w:rsidP="00333C84">
            <w:pPr>
              <w:jc w:val="left"/>
            </w:pPr>
            <w:r w:rsidRPr="0004473D">
              <w:t xml:space="preserve">The most recent annual performance statement can be found at: </w:t>
            </w:r>
            <w:r w:rsidRPr="0004473D">
              <w:rPr>
                <w:u w:val="single"/>
              </w:rPr>
              <w:t>https://www.infrastructureaustralia.gov.au/about/accountability-and-reporting</w:t>
            </w:r>
          </w:p>
        </w:tc>
      </w:tr>
    </w:tbl>
    <w:p w14:paraId="7FC7A6CD" w14:textId="77777777" w:rsidR="00752811" w:rsidRDefault="00752811" w:rsidP="00752811">
      <w:pPr>
        <w:rPr>
          <w:highlight w:val="yellow"/>
        </w:rPr>
      </w:pPr>
    </w:p>
    <w:p w14:paraId="29571523" w14:textId="77777777" w:rsidR="00752811" w:rsidRDefault="00752811" w:rsidP="00752811">
      <w:pPr>
        <w:pStyle w:val="Heading3"/>
        <w:sectPr w:rsidR="00752811" w:rsidSect="00924A26">
          <w:headerReference w:type="even" r:id="rId22"/>
          <w:headerReference w:type="default" r:id="rId23"/>
          <w:footerReference w:type="even" r:id="rId24"/>
          <w:headerReference w:type="first" r:id="rId25"/>
          <w:footerReference w:type="first" r:id="rId26"/>
          <w:type w:val="oddPage"/>
          <w:pgSz w:w="11906" w:h="16838" w:code="9"/>
          <w:pgMar w:top="2835" w:right="2098" w:bottom="2466" w:left="2098" w:header="1814" w:footer="1814" w:gutter="0"/>
          <w:pgNumType w:start="273"/>
          <w:cols w:space="708"/>
          <w:titlePg/>
          <w:docGrid w:linePitch="360"/>
        </w:sectPr>
      </w:pPr>
    </w:p>
    <w:p w14:paraId="0CD2B390" w14:textId="77777777" w:rsidR="00752811" w:rsidRPr="00831489" w:rsidRDefault="00752811" w:rsidP="005B1467">
      <w:pPr>
        <w:pStyle w:val="Heading3-IA"/>
      </w:pPr>
      <w:bookmarkStart w:id="39" w:name="_Toc97321025"/>
      <w:bookmarkStart w:id="40" w:name="_Toc98440327"/>
      <w:bookmarkStart w:id="41" w:name="_Toc98440475"/>
      <w:bookmarkStart w:id="42" w:name="_Toc98440623"/>
      <w:bookmarkStart w:id="43" w:name="_Toc98440771"/>
      <w:bookmarkStart w:id="44" w:name="_Toc98440919"/>
      <w:bookmarkStart w:id="45" w:name="_Toc98534099"/>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3B36FC1D" w14:textId="77777777" w:rsidTr="00333C84">
        <w:tc>
          <w:tcPr>
            <w:tcW w:w="7713" w:type="dxa"/>
            <w:shd w:val="clear" w:color="auto" w:fill="E6E6E6"/>
          </w:tcPr>
          <w:p w14:paraId="0A3F589C" w14:textId="77777777" w:rsidR="00752811" w:rsidRPr="005E6F2B" w:rsidRDefault="00752811" w:rsidP="00333C84">
            <w:pPr>
              <w:pStyle w:val="TableColumnHeadingLeft"/>
            </w:pPr>
            <w:r w:rsidRPr="005E6F2B">
              <w:t xml:space="preserve">Outcome </w:t>
            </w:r>
            <w:r>
              <w:t>1</w:t>
            </w:r>
            <w:r w:rsidRPr="00F47B98">
              <w:rPr>
                <w:rFonts w:cs="Arial"/>
              </w:rPr>
              <w:t xml:space="preserve">: </w:t>
            </w:r>
            <w:r w:rsidRPr="00F47B98">
              <w:rPr>
                <w:rFonts w:cs="Arial"/>
                <w:bCs/>
                <w:lang w:val="en-US"/>
              </w:rPr>
              <w:t xml:space="preserve">Improve decision-making on matters relating to infrastructure; advise governments and others on matters relating to infrastructure, including better assessment of infrastructure needs and </w:t>
            </w:r>
            <w:proofErr w:type="spellStart"/>
            <w:r w:rsidRPr="00F47B98">
              <w:rPr>
                <w:rFonts w:cs="Arial"/>
                <w:bCs/>
                <w:lang w:val="en-US"/>
              </w:rPr>
              <w:t>prioritisation</w:t>
            </w:r>
            <w:proofErr w:type="spellEnd"/>
            <w:r w:rsidRPr="00F47B98">
              <w:rPr>
                <w:rFonts w:cs="Arial"/>
                <w:bCs/>
                <w:lang w:val="en-US"/>
              </w:rPr>
              <w:t xml:space="preserve"> of infrastructure projects; and promote best practice infrastructure planning, financing, delivery and operation</w:t>
            </w:r>
          </w:p>
        </w:tc>
      </w:tr>
    </w:tbl>
    <w:p w14:paraId="4772BB27" w14:textId="77777777" w:rsidR="00752811" w:rsidRPr="005E6F2B" w:rsidRDefault="00752811" w:rsidP="00752811">
      <w:pPr>
        <w:pStyle w:val="NoSpacing"/>
      </w:pPr>
    </w:p>
    <w:p w14:paraId="1782A01C" w14:textId="77777777" w:rsidR="00752811" w:rsidRPr="0016574C" w:rsidRDefault="00752811" w:rsidP="00752811">
      <w:pPr>
        <w:pStyle w:val="Heading5"/>
        <w:rPr>
          <w:b/>
        </w:rPr>
      </w:pPr>
      <w:r w:rsidRPr="0016574C">
        <w:rPr>
          <w:b/>
        </w:rPr>
        <w:t>Budgeted expenses for Outcome 1</w:t>
      </w:r>
    </w:p>
    <w:p w14:paraId="09451CF4" w14:textId="77777777" w:rsidR="00752811" w:rsidRDefault="00752811" w:rsidP="00752811">
      <w:pPr>
        <w:jc w:val="left"/>
      </w:pPr>
      <w:r w:rsidRPr="00950281">
        <w:t xml:space="preserve">This table shows how </w:t>
      </w:r>
      <w:r>
        <w:t>IA</w:t>
      </w:r>
      <w:r w:rsidRPr="00950281">
        <w:t xml:space="preserve"> intends to spend (on an accrual basis) on achieving the outcome, broken down by program</w:t>
      </w:r>
      <w:r>
        <w:t>.</w:t>
      </w:r>
    </w:p>
    <w:p w14:paraId="3B747AC2" w14:textId="77777777" w:rsidR="00752811" w:rsidRPr="0016574C" w:rsidRDefault="00752811" w:rsidP="00752811">
      <w:pPr>
        <w:spacing w:after="0"/>
        <w:rPr>
          <w:rFonts w:ascii="Arial" w:hAnsi="Arial" w:cs="Arial"/>
          <w:b/>
        </w:rPr>
      </w:pPr>
      <w:r w:rsidRPr="0016574C">
        <w:rPr>
          <w:rFonts w:ascii="Arial" w:hAnsi="Arial" w:cs="Arial"/>
          <w:b/>
        </w:rPr>
        <w:t>Table 2.1.1: Budgeted expenses for Outcome 1</w:t>
      </w:r>
    </w:p>
    <w:tbl>
      <w:tblPr>
        <w:tblW w:w="7348" w:type="dxa"/>
        <w:tblLook w:val="04A0" w:firstRow="1" w:lastRow="0" w:firstColumn="1" w:lastColumn="0" w:noHBand="0" w:noVBand="1"/>
      </w:tblPr>
      <w:tblGrid>
        <w:gridCol w:w="2900"/>
        <w:gridCol w:w="928"/>
        <w:gridCol w:w="880"/>
        <w:gridCol w:w="880"/>
        <w:gridCol w:w="880"/>
        <w:gridCol w:w="880"/>
      </w:tblGrid>
      <w:tr w:rsidR="00752811" w:rsidRPr="00701045" w14:paraId="2F696451" w14:textId="77777777" w:rsidTr="00333C84">
        <w:trPr>
          <w:trHeight w:val="204"/>
        </w:trPr>
        <w:tc>
          <w:tcPr>
            <w:tcW w:w="2900" w:type="dxa"/>
            <w:tcBorders>
              <w:top w:val="single" w:sz="4" w:space="0" w:color="auto"/>
              <w:left w:val="nil"/>
              <w:bottom w:val="nil"/>
              <w:right w:val="nil"/>
            </w:tcBorders>
            <w:shd w:val="clear" w:color="auto" w:fill="auto"/>
            <w:vAlign w:val="bottom"/>
            <w:hideMark/>
          </w:tcPr>
          <w:p w14:paraId="7E962E34"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27776E7" w14:textId="77777777" w:rsidR="00752811" w:rsidRPr="00701045" w:rsidRDefault="00752811" w:rsidP="00333C84">
            <w:pPr>
              <w:spacing w:after="0" w:line="240" w:lineRule="auto"/>
              <w:jc w:val="right"/>
              <w:rPr>
                <w:rFonts w:ascii="Arial" w:hAnsi="Arial" w:cs="Arial"/>
                <w:sz w:val="16"/>
                <w:szCs w:val="16"/>
              </w:rPr>
            </w:pPr>
            <w:r w:rsidRPr="00701045">
              <w:rPr>
                <w:rFonts w:ascii="Arial" w:hAnsi="Arial" w:cs="Arial"/>
                <w:sz w:val="16"/>
                <w:szCs w:val="16"/>
              </w:rPr>
              <w:t>2021-22 Estimated actual</w:t>
            </w:r>
            <w:r w:rsidRPr="0070104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1C19590E" w14:textId="77777777" w:rsidR="00752811" w:rsidRPr="00701045" w:rsidRDefault="00752811" w:rsidP="00333C84">
            <w:pPr>
              <w:spacing w:after="0" w:line="240" w:lineRule="auto"/>
              <w:jc w:val="right"/>
              <w:rPr>
                <w:rFonts w:ascii="Arial" w:hAnsi="Arial" w:cs="Arial"/>
                <w:sz w:val="16"/>
                <w:szCs w:val="16"/>
              </w:rPr>
            </w:pPr>
            <w:r w:rsidRPr="00701045">
              <w:rPr>
                <w:rFonts w:ascii="Arial" w:hAnsi="Arial" w:cs="Arial"/>
                <w:sz w:val="16"/>
                <w:szCs w:val="16"/>
              </w:rPr>
              <w:t>2022-23</w:t>
            </w:r>
            <w:r w:rsidRPr="00701045">
              <w:rPr>
                <w:rFonts w:ascii="Arial" w:hAnsi="Arial" w:cs="Arial"/>
                <w:sz w:val="16"/>
                <w:szCs w:val="16"/>
              </w:rPr>
              <w:br/>
              <w:t>Budget</w:t>
            </w:r>
            <w:r w:rsidRPr="00701045">
              <w:rPr>
                <w:rFonts w:ascii="Arial" w:hAnsi="Arial" w:cs="Arial"/>
                <w:sz w:val="16"/>
                <w:szCs w:val="16"/>
              </w:rPr>
              <w:br/>
            </w:r>
            <w:r w:rsidRPr="0070104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37A3F76" w14:textId="77777777" w:rsidR="00752811" w:rsidRPr="00701045" w:rsidRDefault="00752811" w:rsidP="00333C84">
            <w:pPr>
              <w:spacing w:after="0" w:line="240" w:lineRule="auto"/>
              <w:jc w:val="right"/>
              <w:rPr>
                <w:rFonts w:ascii="Arial" w:hAnsi="Arial" w:cs="Arial"/>
                <w:sz w:val="16"/>
                <w:szCs w:val="16"/>
              </w:rPr>
            </w:pPr>
            <w:r w:rsidRPr="00701045">
              <w:rPr>
                <w:rFonts w:ascii="Arial" w:hAnsi="Arial" w:cs="Arial"/>
                <w:sz w:val="16"/>
                <w:szCs w:val="16"/>
              </w:rPr>
              <w:t>2023-24 Forward estimate</w:t>
            </w:r>
            <w:r w:rsidRPr="0070104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3E14F62" w14:textId="77777777" w:rsidR="00752811" w:rsidRPr="00701045" w:rsidRDefault="00752811" w:rsidP="00333C84">
            <w:pPr>
              <w:spacing w:after="0" w:line="240" w:lineRule="auto"/>
              <w:jc w:val="right"/>
              <w:rPr>
                <w:rFonts w:ascii="Arial" w:hAnsi="Arial" w:cs="Arial"/>
                <w:sz w:val="16"/>
                <w:szCs w:val="16"/>
              </w:rPr>
            </w:pPr>
            <w:r w:rsidRPr="00701045">
              <w:rPr>
                <w:rFonts w:ascii="Arial" w:hAnsi="Arial" w:cs="Arial"/>
                <w:sz w:val="16"/>
                <w:szCs w:val="16"/>
              </w:rPr>
              <w:t>2024-25 Forward estimate</w:t>
            </w:r>
            <w:r w:rsidRPr="0070104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05AF4151" w14:textId="77777777" w:rsidR="00752811" w:rsidRPr="00701045" w:rsidRDefault="00752811" w:rsidP="00333C84">
            <w:pPr>
              <w:spacing w:after="0" w:line="240" w:lineRule="auto"/>
              <w:jc w:val="right"/>
              <w:rPr>
                <w:rFonts w:ascii="Arial" w:hAnsi="Arial" w:cs="Arial"/>
                <w:sz w:val="16"/>
                <w:szCs w:val="16"/>
              </w:rPr>
            </w:pPr>
            <w:r w:rsidRPr="00701045">
              <w:rPr>
                <w:rFonts w:ascii="Arial" w:hAnsi="Arial" w:cs="Arial"/>
                <w:sz w:val="16"/>
                <w:szCs w:val="16"/>
              </w:rPr>
              <w:t>2025-26</w:t>
            </w:r>
            <w:r w:rsidRPr="00701045">
              <w:rPr>
                <w:rFonts w:ascii="Arial" w:hAnsi="Arial" w:cs="Arial"/>
                <w:sz w:val="16"/>
                <w:szCs w:val="16"/>
              </w:rPr>
              <w:br/>
              <w:t>Forward estimate</w:t>
            </w:r>
            <w:r w:rsidRPr="00701045">
              <w:rPr>
                <w:rFonts w:ascii="Arial" w:hAnsi="Arial" w:cs="Arial"/>
                <w:sz w:val="16"/>
                <w:szCs w:val="16"/>
              </w:rPr>
              <w:br/>
              <w:t>$'000</w:t>
            </w:r>
          </w:p>
        </w:tc>
      </w:tr>
      <w:tr w:rsidR="00752811" w:rsidRPr="00701045" w14:paraId="4D550EFD" w14:textId="77777777" w:rsidTr="00333C84">
        <w:trPr>
          <w:trHeight w:val="204"/>
        </w:trPr>
        <w:tc>
          <w:tcPr>
            <w:tcW w:w="7348" w:type="dxa"/>
            <w:gridSpan w:val="6"/>
            <w:tcBorders>
              <w:top w:val="single" w:sz="4" w:space="0" w:color="auto"/>
              <w:left w:val="nil"/>
              <w:bottom w:val="single" w:sz="4" w:space="0" w:color="auto"/>
              <w:right w:val="nil"/>
            </w:tcBorders>
            <w:shd w:val="clear" w:color="000000" w:fill="E6E6E6"/>
            <w:vAlign w:val="bottom"/>
            <w:hideMark/>
          </w:tcPr>
          <w:p w14:paraId="793A517D" w14:textId="77777777" w:rsidR="00752811" w:rsidRPr="00701045" w:rsidRDefault="00752811" w:rsidP="00333C84">
            <w:pPr>
              <w:spacing w:after="0" w:line="240" w:lineRule="auto"/>
              <w:jc w:val="left"/>
              <w:rPr>
                <w:rFonts w:ascii="Arial" w:hAnsi="Arial" w:cs="Arial"/>
                <w:b/>
                <w:bCs/>
                <w:sz w:val="16"/>
                <w:szCs w:val="16"/>
              </w:rPr>
            </w:pPr>
            <w:r w:rsidRPr="00701045">
              <w:rPr>
                <w:rFonts w:ascii="Arial" w:hAnsi="Arial" w:cs="Arial"/>
                <w:b/>
                <w:bCs/>
                <w:sz w:val="16"/>
                <w:szCs w:val="16"/>
              </w:rPr>
              <w:t>Program 1.1: Infrastructure Australia</w:t>
            </w:r>
          </w:p>
        </w:tc>
      </w:tr>
      <w:tr w:rsidR="00752811" w:rsidRPr="00701045" w14:paraId="246501F1" w14:textId="77777777" w:rsidTr="00333C84">
        <w:trPr>
          <w:trHeight w:val="204"/>
        </w:trPr>
        <w:tc>
          <w:tcPr>
            <w:tcW w:w="2900" w:type="dxa"/>
            <w:tcBorders>
              <w:top w:val="nil"/>
              <w:left w:val="nil"/>
              <w:bottom w:val="nil"/>
              <w:right w:val="nil"/>
            </w:tcBorders>
            <w:shd w:val="clear" w:color="auto" w:fill="auto"/>
            <w:noWrap/>
            <w:vAlign w:val="bottom"/>
            <w:hideMark/>
          </w:tcPr>
          <w:p w14:paraId="532CCD03" w14:textId="77777777" w:rsidR="00752811" w:rsidRPr="00701045" w:rsidRDefault="00752811" w:rsidP="00333C84">
            <w:pPr>
              <w:spacing w:after="0" w:line="240" w:lineRule="auto"/>
              <w:jc w:val="left"/>
              <w:rPr>
                <w:rFonts w:ascii="Arial" w:hAnsi="Arial" w:cs="Arial"/>
                <w:sz w:val="16"/>
                <w:szCs w:val="16"/>
              </w:rPr>
            </w:pPr>
            <w:r w:rsidRPr="00701045">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78C1C267" w14:textId="77777777" w:rsidR="00752811" w:rsidRPr="00F379CF"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C4BF336" w14:textId="77777777" w:rsidR="00752811" w:rsidRPr="00F379CF"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8BE39F4" w14:textId="77777777" w:rsidR="00752811" w:rsidRPr="00F379CF"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4C22F97" w14:textId="77777777" w:rsidR="00752811" w:rsidRPr="0016574C" w:rsidRDefault="00752811" w:rsidP="00333C84">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68A8878C" w14:textId="77777777" w:rsidR="00752811" w:rsidRPr="0016574C" w:rsidRDefault="00752811" w:rsidP="00333C84">
            <w:pPr>
              <w:spacing w:after="0" w:line="240" w:lineRule="auto"/>
              <w:jc w:val="right"/>
              <w:rPr>
                <w:rFonts w:ascii="Times New Roman" w:hAnsi="Times New Roman"/>
                <w:sz w:val="16"/>
                <w:szCs w:val="16"/>
              </w:rPr>
            </w:pPr>
          </w:p>
        </w:tc>
      </w:tr>
      <w:tr w:rsidR="00752811" w:rsidRPr="00701045" w14:paraId="7E2CEE3E" w14:textId="77777777" w:rsidTr="00333C84">
        <w:trPr>
          <w:trHeight w:val="204"/>
        </w:trPr>
        <w:tc>
          <w:tcPr>
            <w:tcW w:w="2900" w:type="dxa"/>
            <w:tcBorders>
              <w:top w:val="nil"/>
              <w:left w:val="nil"/>
              <w:bottom w:val="nil"/>
              <w:right w:val="nil"/>
            </w:tcBorders>
            <w:shd w:val="clear" w:color="auto" w:fill="auto"/>
            <w:vAlign w:val="bottom"/>
            <w:hideMark/>
          </w:tcPr>
          <w:p w14:paraId="52084C99" w14:textId="77777777" w:rsidR="00752811" w:rsidRPr="00701045" w:rsidRDefault="00752811" w:rsidP="00333C84">
            <w:pPr>
              <w:spacing w:after="0" w:line="240" w:lineRule="auto"/>
              <w:ind w:left="113"/>
              <w:jc w:val="left"/>
              <w:rPr>
                <w:rFonts w:ascii="Arial" w:hAnsi="Arial" w:cs="Arial"/>
                <w:sz w:val="16"/>
                <w:szCs w:val="16"/>
              </w:rPr>
            </w:pPr>
            <w:r w:rsidRPr="00701045">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236F5F74"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12,853</w:t>
            </w:r>
          </w:p>
        </w:tc>
        <w:tc>
          <w:tcPr>
            <w:tcW w:w="880" w:type="dxa"/>
            <w:tcBorders>
              <w:top w:val="nil"/>
              <w:left w:val="nil"/>
              <w:bottom w:val="nil"/>
              <w:right w:val="nil"/>
            </w:tcBorders>
            <w:shd w:val="clear" w:color="000000" w:fill="E6E6E6"/>
            <w:noWrap/>
            <w:vAlign w:val="bottom"/>
            <w:hideMark/>
          </w:tcPr>
          <w:p w14:paraId="02AD9EC4"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12,733</w:t>
            </w:r>
          </w:p>
        </w:tc>
        <w:tc>
          <w:tcPr>
            <w:tcW w:w="880" w:type="dxa"/>
            <w:tcBorders>
              <w:top w:val="nil"/>
              <w:left w:val="nil"/>
              <w:bottom w:val="nil"/>
              <w:right w:val="nil"/>
            </w:tcBorders>
            <w:shd w:val="clear" w:color="auto" w:fill="auto"/>
            <w:noWrap/>
            <w:vAlign w:val="bottom"/>
            <w:hideMark/>
          </w:tcPr>
          <w:p w14:paraId="59B06C77"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12,804</w:t>
            </w:r>
          </w:p>
        </w:tc>
        <w:tc>
          <w:tcPr>
            <w:tcW w:w="880" w:type="dxa"/>
            <w:tcBorders>
              <w:top w:val="nil"/>
              <w:left w:val="nil"/>
              <w:bottom w:val="nil"/>
              <w:right w:val="nil"/>
            </w:tcBorders>
            <w:shd w:val="clear" w:color="auto" w:fill="auto"/>
            <w:noWrap/>
            <w:vAlign w:val="bottom"/>
            <w:hideMark/>
          </w:tcPr>
          <w:p w14:paraId="603DF1F7"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12,900</w:t>
            </w:r>
          </w:p>
        </w:tc>
        <w:tc>
          <w:tcPr>
            <w:tcW w:w="880" w:type="dxa"/>
            <w:tcBorders>
              <w:top w:val="nil"/>
              <w:left w:val="nil"/>
              <w:bottom w:val="nil"/>
              <w:right w:val="nil"/>
            </w:tcBorders>
            <w:shd w:val="clear" w:color="auto" w:fill="auto"/>
            <w:noWrap/>
            <w:vAlign w:val="bottom"/>
            <w:hideMark/>
          </w:tcPr>
          <w:p w14:paraId="43786E51"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12,981</w:t>
            </w:r>
          </w:p>
        </w:tc>
      </w:tr>
      <w:tr w:rsidR="00752811" w:rsidRPr="00701045" w14:paraId="3BFE1F0B" w14:textId="77777777" w:rsidTr="00333C84">
        <w:trPr>
          <w:trHeight w:val="204"/>
        </w:trPr>
        <w:tc>
          <w:tcPr>
            <w:tcW w:w="2900" w:type="dxa"/>
            <w:tcBorders>
              <w:top w:val="nil"/>
              <w:left w:val="nil"/>
              <w:bottom w:val="nil"/>
              <w:right w:val="nil"/>
            </w:tcBorders>
            <w:shd w:val="clear" w:color="auto" w:fill="auto"/>
            <w:vAlign w:val="bottom"/>
            <w:hideMark/>
          </w:tcPr>
          <w:p w14:paraId="1CBCB20B" w14:textId="77777777" w:rsidR="00752811" w:rsidRPr="00701045" w:rsidRDefault="00752811" w:rsidP="00333C84">
            <w:pPr>
              <w:spacing w:after="0" w:line="240" w:lineRule="auto"/>
              <w:jc w:val="left"/>
              <w:rPr>
                <w:rFonts w:ascii="Arial" w:hAnsi="Arial" w:cs="Arial"/>
                <w:sz w:val="16"/>
                <w:szCs w:val="16"/>
              </w:rPr>
            </w:pPr>
            <w:r w:rsidRPr="00701045">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0E070AAB"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8</w:t>
            </w:r>
          </w:p>
        </w:tc>
        <w:tc>
          <w:tcPr>
            <w:tcW w:w="880" w:type="dxa"/>
            <w:tcBorders>
              <w:top w:val="nil"/>
              <w:left w:val="nil"/>
              <w:bottom w:val="nil"/>
              <w:right w:val="nil"/>
            </w:tcBorders>
            <w:shd w:val="clear" w:color="000000" w:fill="E6E6E6"/>
            <w:noWrap/>
            <w:vAlign w:val="bottom"/>
            <w:hideMark/>
          </w:tcPr>
          <w:p w14:paraId="3F30FE37"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15</w:t>
            </w:r>
          </w:p>
        </w:tc>
        <w:tc>
          <w:tcPr>
            <w:tcW w:w="880" w:type="dxa"/>
            <w:tcBorders>
              <w:top w:val="nil"/>
              <w:left w:val="nil"/>
              <w:bottom w:val="nil"/>
              <w:right w:val="nil"/>
            </w:tcBorders>
            <w:shd w:val="clear" w:color="auto" w:fill="auto"/>
            <w:noWrap/>
            <w:vAlign w:val="bottom"/>
            <w:hideMark/>
          </w:tcPr>
          <w:p w14:paraId="55955161"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15</w:t>
            </w:r>
          </w:p>
        </w:tc>
        <w:tc>
          <w:tcPr>
            <w:tcW w:w="880" w:type="dxa"/>
            <w:tcBorders>
              <w:top w:val="nil"/>
              <w:left w:val="nil"/>
              <w:bottom w:val="nil"/>
              <w:right w:val="nil"/>
            </w:tcBorders>
            <w:shd w:val="clear" w:color="auto" w:fill="auto"/>
            <w:noWrap/>
            <w:vAlign w:val="bottom"/>
            <w:hideMark/>
          </w:tcPr>
          <w:p w14:paraId="5C5FE86D"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15</w:t>
            </w:r>
          </w:p>
        </w:tc>
        <w:tc>
          <w:tcPr>
            <w:tcW w:w="880" w:type="dxa"/>
            <w:tcBorders>
              <w:top w:val="nil"/>
              <w:left w:val="nil"/>
              <w:bottom w:val="nil"/>
              <w:right w:val="nil"/>
            </w:tcBorders>
            <w:shd w:val="clear" w:color="auto" w:fill="auto"/>
            <w:noWrap/>
            <w:vAlign w:val="bottom"/>
            <w:hideMark/>
          </w:tcPr>
          <w:p w14:paraId="666496E8"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15</w:t>
            </w:r>
          </w:p>
        </w:tc>
      </w:tr>
      <w:tr w:rsidR="00752811" w:rsidRPr="00701045" w14:paraId="29A5B527" w14:textId="77777777" w:rsidTr="00333C84">
        <w:trPr>
          <w:trHeight w:val="204"/>
        </w:trPr>
        <w:tc>
          <w:tcPr>
            <w:tcW w:w="2900" w:type="dxa"/>
            <w:tcBorders>
              <w:top w:val="nil"/>
              <w:left w:val="nil"/>
              <w:bottom w:val="nil"/>
              <w:right w:val="nil"/>
            </w:tcBorders>
            <w:shd w:val="clear" w:color="auto" w:fill="auto"/>
            <w:noWrap/>
            <w:vAlign w:val="bottom"/>
            <w:hideMark/>
          </w:tcPr>
          <w:p w14:paraId="1EF9BDE4" w14:textId="77777777" w:rsidR="00752811" w:rsidRPr="00701045" w:rsidRDefault="00752811" w:rsidP="00333C84">
            <w:pPr>
              <w:spacing w:after="0" w:line="240" w:lineRule="auto"/>
              <w:jc w:val="left"/>
              <w:rPr>
                <w:rFonts w:ascii="Arial" w:hAnsi="Arial" w:cs="Arial"/>
                <w:b/>
                <w:bCs/>
                <w:sz w:val="16"/>
                <w:szCs w:val="16"/>
              </w:rPr>
            </w:pPr>
            <w:r w:rsidRPr="00701045">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6DF6A5F2"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12,861</w:t>
            </w:r>
          </w:p>
        </w:tc>
        <w:tc>
          <w:tcPr>
            <w:tcW w:w="880" w:type="dxa"/>
            <w:tcBorders>
              <w:top w:val="single" w:sz="4" w:space="0" w:color="auto"/>
              <w:left w:val="nil"/>
              <w:bottom w:val="single" w:sz="4" w:space="0" w:color="auto"/>
              <w:right w:val="nil"/>
            </w:tcBorders>
            <w:shd w:val="clear" w:color="000000" w:fill="E6E6E6"/>
            <w:noWrap/>
            <w:vAlign w:val="bottom"/>
            <w:hideMark/>
          </w:tcPr>
          <w:p w14:paraId="2A49381D"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12,748</w:t>
            </w:r>
          </w:p>
        </w:tc>
        <w:tc>
          <w:tcPr>
            <w:tcW w:w="880" w:type="dxa"/>
            <w:tcBorders>
              <w:top w:val="single" w:sz="4" w:space="0" w:color="auto"/>
              <w:left w:val="nil"/>
              <w:bottom w:val="single" w:sz="4" w:space="0" w:color="auto"/>
              <w:right w:val="nil"/>
            </w:tcBorders>
            <w:shd w:val="clear" w:color="auto" w:fill="auto"/>
            <w:noWrap/>
            <w:vAlign w:val="bottom"/>
            <w:hideMark/>
          </w:tcPr>
          <w:p w14:paraId="55FA8C79" w14:textId="77777777" w:rsidR="00752811" w:rsidRPr="00F379CF" w:rsidRDefault="00752811" w:rsidP="00333C84">
            <w:pPr>
              <w:spacing w:after="0" w:line="240" w:lineRule="auto"/>
              <w:jc w:val="right"/>
              <w:rPr>
                <w:rFonts w:ascii="Arial" w:hAnsi="Arial" w:cs="Arial"/>
                <w:b/>
                <w:bCs/>
                <w:sz w:val="16"/>
                <w:szCs w:val="16"/>
              </w:rPr>
            </w:pPr>
            <w:r w:rsidRPr="00F379CF">
              <w:rPr>
                <w:rFonts w:ascii="Arial" w:hAnsi="Arial" w:cs="Arial"/>
                <w:b/>
                <w:bCs/>
                <w:sz w:val="16"/>
                <w:szCs w:val="16"/>
              </w:rPr>
              <w:t>12,819</w:t>
            </w:r>
          </w:p>
        </w:tc>
        <w:tc>
          <w:tcPr>
            <w:tcW w:w="880" w:type="dxa"/>
            <w:tcBorders>
              <w:top w:val="single" w:sz="4" w:space="0" w:color="auto"/>
              <w:left w:val="nil"/>
              <w:bottom w:val="single" w:sz="4" w:space="0" w:color="auto"/>
              <w:right w:val="nil"/>
            </w:tcBorders>
            <w:shd w:val="clear" w:color="auto" w:fill="auto"/>
            <w:noWrap/>
            <w:vAlign w:val="bottom"/>
            <w:hideMark/>
          </w:tcPr>
          <w:p w14:paraId="07EBD2EE" w14:textId="77777777" w:rsidR="00752811" w:rsidRPr="00F379CF" w:rsidRDefault="00752811" w:rsidP="00333C84">
            <w:pPr>
              <w:spacing w:after="0" w:line="240" w:lineRule="auto"/>
              <w:jc w:val="right"/>
              <w:rPr>
                <w:rFonts w:ascii="Arial" w:hAnsi="Arial" w:cs="Arial"/>
                <w:b/>
                <w:bCs/>
                <w:sz w:val="16"/>
                <w:szCs w:val="16"/>
              </w:rPr>
            </w:pPr>
            <w:r w:rsidRPr="00F379CF">
              <w:rPr>
                <w:rFonts w:ascii="Arial" w:hAnsi="Arial" w:cs="Arial"/>
                <w:b/>
                <w:bCs/>
                <w:sz w:val="16"/>
                <w:szCs w:val="16"/>
              </w:rPr>
              <w:t>12,915</w:t>
            </w:r>
          </w:p>
        </w:tc>
        <w:tc>
          <w:tcPr>
            <w:tcW w:w="880" w:type="dxa"/>
            <w:tcBorders>
              <w:top w:val="single" w:sz="4" w:space="0" w:color="auto"/>
              <w:left w:val="nil"/>
              <w:bottom w:val="single" w:sz="4" w:space="0" w:color="auto"/>
              <w:right w:val="nil"/>
            </w:tcBorders>
            <w:shd w:val="clear" w:color="auto" w:fill="auto"/>
            <w:noWrap/>
            <w:vAlign w:val="bottom"/>
            <w:hideMark/>
          </w:tcPr>
          <w:p w14:paraId="7D07A72F" w14:textId="77777777" w:rsidR="00752811" w:rsidRPr="00F379CF" w:rsidRDefault="00752811" w:rsidP="00333C84">
            <w:pPr>
              <w:spacing w:after="0" w:line="240" w:lineRule="auto"/>
              <w:jc w:val="right"/>
              <w:rPr>
                <w:rFonts w:ascii="Arial" w:hAnsi="Arial" w:cs="Arial"/>
                <w:b/>
                <w:bCs/>
                <w:sz w:val="16"/>
                <w:szCs w:val="16"/>
              </w:rPr>
            </w:pPr>
            <w:r w:rsidRPr="00F379CF">
              <w:rPr>
                <w:rFonts w:ascii="Arial" w:hAnsi="Arial" w:cs="Arial"/>
                <w:b/>
                <w:bCs/>
                <w:sz w:val="16"/>
                <w:szCs w:val="16"/>
              </w:rPr>
              <w:t>12,996</w:t>
            </w:r>
          </w:p>
        </w:tc>
      </w:tr>
      <w:tr w:rsidR="00752811" w:rsidRPr="00701045" w14:paraId="4C5BE142" w14:textId="77777777" w:rsidTr="00333C84">
        <w:trPr>
          <w:trHeight w:val="204"/>
        </w:trPr>
        <w:tc>
          <w:tcPr>
            <w:tcW w:w="7348" w:type="dxa"/>
            <w:gridSpan w:val="6"/>
            <w:tcBorders>
              <w:top w:val="single" w:sz="4" w:space="0" w:color="auto"/>
              <w:left w:val="nil"/>
              <w:bottom w:val="single" w:sz="4" w:space="0" w:color="auto"/>
              <w:right w:val="nil"/>
            </w:tcBorders>
            <w:shd w:val="clear" w:color="000000" w:fill="E6E6E6"/>
            <w:vAlign w:val="bottom"/>
            <w:hideMark/>
          </w:tcPr>
          <w:p w14:paraId="55237567" w14:textId="77777777" w:rsidR="00752811" w:rsidRPr="00701045" w:rsidRDefault="00752811" w:rsidP="00333C84">
            <w:pPr>
              <w:spacing w:after="0" w:line="240" w:lineRule="auto"/>
              <w:jc w:val="left"/>
              <w:rPr>
                <w:rFonts w:ascii="Arial" w:hAnsi="Arial" w:cs="Arial"/>
                <w:b/>
                <w:bCs/>
                <w:sz w:val="16"/>
                <w:szCs w:val="16"/>
              </w:rPr>
            </w:pPr>
            <w:r w:rsidRPr="00701045">
              <w:rPr>
                <w:rFonts w:ascii="Arial" w:hAnsi="Arial" w:cs="Arial"/>
                <w:b/>
                <w:bCs/>
                <w:sz w:val="16"/>
                <w:szCs w:val="16"/>
              </w:rPr>
              <w:t>Outcome 1 totals by resource type</w:t>
            </w:r>
          </w:p>
        </w:tc>
      </w:tr>
      <w:tr w:rsidR="00752811" w:rsidRPr="00701045" w14:paraId="2B009229" w14:textId="77777777" w:rsidTr="00333C84">
        <w:trPr>
          <w:trHeight w:val="204"/>
        </w:trPr>
        <w:tc>
          <w:tcPr>
            <w:tcW w:w="2900" w:type="dxa"/>
            <w:tcBorders>
              <w:top w:val="nil"/>
              <w:left w:val="nil"/>
              <w:bottom w:val="nil"/>
              <w:right w:val="nil"/>
            </w:tcBorders>
            <w:shd w:val="clear" w:color="auto" w:fill="auto"/>
            <w:noWrap/>
            <w:vAlign w:val="bottom"/>
            <w:hideMark/>
          </w:tcPr>
          <w:p w14:paraId="7BDD8FF1" w14:textId="77777777" w:rsidR="00752811" w:rsidRPr="00701045" w:rsidRDefault="00752811" w:rsidP="00333C84">
            <w:pPr>
              <w:spacing w:after="0" w:line="240" w:lineRule="auto"/>
              <w:jc w:val="left"/>
              <w:rPr>
                <w:rFonts w:ascii="Arial" w:hAnsi="Arial" w:cs="Arial"/>
                <w:sz w:val="16"/>
                <w:szCs w:val="16"/>
              </w:rPr>
            </w:pPr>
            <w:r w:rsidRPr="00701045">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7DE81120" w14:textId="77777777" w:rsidR="00752811" w:rsidRPr="00F379CF"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AE5ED23" w14:textId="77777777" w:rsidR="00752811" w:rsidRPr="00F379CF"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1C742EF" w14:textId="77777777" w:rsidR="00752811" w:rsidRPr="00F379CF"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45FC842" w14:textId="77777777" w:rsidR="00752811" w:rsidRPr="0016574C" w:rsidRDefault="00752811" w:rsidP="00333C84">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69924226" w14:textId="77777777" w:rsidR="00752811" w:rsidRPr="0016574C" w:rsidRDefault="00752811" w:rsidP="00333C84">
            <w:pPr>
              <w:spacing w:after="0" w:line="240" w:lineRule="auto"/>
              <w:jc w:val="right"/>
              <w:rPr>
                <w:rFonts w:ascii="Times New Roman" w:hAnsi="Times New Roman"/>
                <w:sz w:val="16"/>
                <w:szCs w:val="16"/>
              </w:rPr>
            </w:pPr>
          </w:p>
        </w:tc>
      </w:tr>
      <w:tr w:rsidR="00752811" w:rsidRPr="00701045" w14:paraId="40F2DD19" w14:textId="77777777" w:rsidTr="00333C84">
        <w:trPr>
          <w:trHeight w:val="204"/>
        </w:trPr>
        <w:tc>
          <w:tcPr>
            <w:tcW w:w="2900" w:type="dxa"/>
            <w:tcBorders>
              <w:top w:val="nil"/>
              <w:left w:val="nil"/>
              <w:bottom w:val="nil"/>
              <w:right w:val="nil"/>
            </w:tcBorders>
            <w:shd w:val="clear" w:color="auto" w:fill="auto"/>
            <w:vAlign w:val="bottom"/>
            <w:hideMark/>
          </w:tcPr>
          <w:p w14:paraId="4FF3E704" w14:textId="77777777" w:rsidR="00752811" w:rsidRPr="00701045" w:rsidRDefault="00752811" w:rsidP="00333C84">
            <w:pPr>
              <w:spacing w:after="0" w:line="240" w:lineRule="auto"/>
              <w:ind w:left="113"/>
              <w:jc w:val="left"/>
              <w:rPr>
                <w:rFonts w:ascii="Arial" w:hAnsi="Arial" w:cs="Arial"/>
                <w:sz w:val="16"/>
                <w:szCs w:val="16"/>
              </w:rPr>
            </w:pPr>
            <w:r w:rsidRPr="00701045">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5AF2602A"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12,853</w:t>
            </w:r>
          </w:p>
        </w:tc>
        <w:tc>
          <w:tcPr>
            <w:tcW w:w="880" w:type="dxa"/>
            <w:tcBorders>
              <w:top w:val="nil"/>
              <w:left w:val="nil"/>
              <w:bottom w:val="nil"/>
              <w:right w:val="nil"/>
            </w:tcBorders>
            <w:shd w:val="clear" w:color="000000" w:fill="E6E6E6"/>
            <w:noWrap/>
            <w:vAlign w:val="bottom"/>
            <w:hideMark/>
          </w:tcPr>
          <w:p w14:paraId="1F6011B0"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12,733</w:t>
            </w:r>
          </w:p>
        </w:tc>
        <w:tc>
          <w:tcPr>
            <w:tcW w:w="880" w:type="dxa"/>
            <w:tcBorders>
              <w:top w:val="nil"/>
              <w:left w:val="nil"/>
              <w:bottom w:val="nil"/>
              <w:right w:val="nil"/>
            </w:tcBorders>
            <w:shd w:val="clear" w:color="auto" w:fill="auto"/>
            <w:noWrap/>
            <w:vAlign w:val="bottom"/>
            <w:hideMark/>
          </w:tcPr>
          <w:p w14:paraId="43934C07"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12,804</w:t>
            </w:r>
          </w:p>
        </w:tc>
        <w:tc>
          <w:tcPr>
            <w:tcW w:w="880" w:type="dxa"/>
            <w:tcBorders>
              <w:top w:val="nil"/>
              <w:left w:val="nil"/>
              <w:bottom w:val="nil"/>
              <w:right w:val="nil"/>
            </w:tcBorders>
            <w:shd w:val="clear" w:color="auto" w:fill="auto"/>
            <w:noWrap/>
            <w:vAlign w:val="bottom"/>
            <w:hideMark/>
          </w:tcPr>
          <w:p w14:paraId="04D88023"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12,900</w:t>
            </w:r>
          </w:p>
        </w:tc>
        <w:tc>
          <w:tcPr>
            <w:tcW w:w="880" w:type="dxa"/>
            <w:tcBorders>
              <w:top w:val="nil"/>
              <w:left w:val="nil"/>
              <w:bottom w:val="nil"/>
              <w:right w:val="nil"/>
            </w:tcBorders>
            <w:shd w:val="clear" w:color="auto" w:fill="auto"/>
            <w:noWrap/>
            <w:vAlign w:val="bottom"/>
            <w:hideMark/>
          </w:tcPr>
          <w:p w14:paraId="00B87F28"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12,981</w:t>
            </w:r>
          </w:p>
        </w:tc>
      </w:tr>
      <w:tr w:rsidR="00752811" w:rsidRPr="00701045" w14:paraId="605234F3" w14:textId="77777777" w:rsidTr="00333C84">
        <w:trPr>
          <w:trHeight w:val="204"/>
        </w:trPr>
        <w:tc>
          <w:tcPr>
            <w:tcW w:w="2900" w:type="dxa"/>
            <w:tcBorders>
              <w:top w:val="nil"/>
              <w:left w:val="nil"/>
              <w:right w:val="nil"/>
            </w:tcBorders>
            <w:shd w:val="clear" w:color="auto" w:fill="auto"/>
            <w:vAlign w:val="bottom"/>
            <w:hideMark/>
          </w:tcPr>
          <w:p w14:paraId="4018F16F" w14:textId="77777777" w:rsidR="00752811" w:rsidRPr="00701045" w:rsidRDefault="00752811" w:rsidP="00333C84">
            <w:pPr>
              <w:spacing w:after="0" w:line="240" w:lineRule="auto"/>
              <w:jc w:val="left"/>
              <w:rPr>
                <w:rFonts w:ascii="Arial" w:hAnsi="Arial" w:cs="Arial"/>
                <w:sz w:val="16"/>
                <w:szCs w:val="16"/>
              </w:rPr>
            </w:pPr>
            <w:r w:rsidRPr="00701045">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17F2FD1A"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8</w:t>
            </w:r>
          </w:p>
        </w:tc>
        <w:tc>
          <w:tcPr>
            <w:tcW w:w="880" w:type="dxa"/>
            <w:tcBorders>
              <w:top w:val="nil"/>
              <w:left w:val="nil"/>
              <w:bottom w:val="nil"/>
              <w:right w:val="nil"/>
            </w:tcBorders>
            <w:shd w:val="clear" w:color="000000" w:fill="E6E6E6"/>
            <w:noWrap/>
            <w:vAlign w:val="bottom"/>
            <w:hideMark/>
          </w:tcPr>
          <w:p w14:paraId="5FE496C0"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15</w:t>
            </w:r>
          </w:p>
        </w:tc>
        <w:tc>
          <w:tcPr>
            <w:tcW w:w="880" w:type="dxa"/>
            <w:tcBorders>
              <w:top w:val="nil"/>
              <w:left w:val="nil"/>
              <w:bottom w:val="nil"/>
              <w:right w:val="nil"/>
            </w:tcBorders>
            <w:shd w:val="clear" w:color="auto" w:fill="auto"/>
            <w:noWrap/>
            <w:vAlign w:val="bottom"/>
            <w:hideMark/>
          </w:tcPr>
          <w:p w14:paraId="5F782874"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15</w:t>
            </w:r>
          </w:p>
        </w:tc>
        <w:tc>
          <w:tcPr>
            <w:tcW w:w="880" w:type="dxa"/>
            <w:tcBorders>
              <w:top w:val="nil"/>
              <w:left w:val="nil"/>
              <w:bottom w:val="nil"/>
              <w:right w:val="nil"/>
            </w:tcBorders>
            <w:shd w:val="clear" w:color="auto" w:fill="auto"/>
            <w:noWrap/>
            <w:vAlign w:val="bottom"/>
            <w:hideMark/>
          </w:tcPr>
          <w:p w14:paraId="1FB4C8C7"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15</w:t>
            </w:r>
          </w:p>
        </w:tc>
        <w:tc>
          <w:tcPr>
            <w:tcW w:w="880" w:type="dxa"/>
            <w:tcBorders>
              <w:top w:val="nil"/>
              <w:left w:val="nil"/>
              <w:bottom w:val="nil"/>
              <w:right w:val="nil"/>
            </w:tcBorders>
            <w:shd w:val="clear" w:color="auto" w:fill="auto"/>
            <w:noWrap/>
            <w:vAlign w:val="bottom"/>
            <w:hideMark/>
          </w:tcPr>
          <w:p w14:paraId="75873D93"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15</w:t>
            </w:r>
          </w:p>
        </w:tc>
      </w:tr>
      <w:tr w:rsidR="00752811" w:rsidRPr="00701045" w14:paraId="2C62A6E9" w14:textId="77777777" w:rsidTr="00333C84">
        <w:trPr>
          <w:trHeight w:val="204"/>
        </w:trPr>
        <w:tc>
          <w:tcPr>
            <w:tcW w:w="2900" w:type="dxa"/>
            <w:tcBorders>
              <w:top w:val="nil"/>
              <w:left w:val="nil"/>
              <w:bottom w:val="single" w:sz="4" w:space="0" w:color="auto"/>
              <w:right w:val="nil"/>
            </w:tcBorders>
            <w:shd w:val="clear" w:color="auto" w:fill="auto"/>
            <w:noWrap/>
            <w:vAlign w:val="bottom"/>
            <w:hideMark/>
          </w:tcPr>
          <w:p w14:paraId="4CC6348E" w14:textId="77777777" w:rsidR="00752811" w:rsidRPr="00701045" w:rsidRDefault="00752811" w:rsidP="00333C84">
            <w:pPr>
              <w:spacing w:after="0" w:line="240" w:lineRule="auto"/>
              <w:jc w:val="left"/>
              <w:rPr>
                <w:rFonts w:ascii="Arial" w:hAnsi="Arial" w:cs="Arial"/>
                <w:b/>
                <w:bCs/>
                <w:sz w:val="16"/>
                <w:szCs w:val="16"/>
              </w:rPr>
            </w:pPr>
            <w:r w:rsidRPr="00701045">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6ADB031A"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12,861</w:t>
            </w:r>
          </w:p>
        </w:tc>
        <w:tc>
          <w:tcPr>
            <w:tcW w:w="880" w:type="dxa"/>
            <w:tcBorders>
              <w:top w:val="single" w:sz="4" w:space="0" w:color="auto"/>
              <w:left w:val="nil"/>
              <w:bottom w:val="single" w:sz="4" w:space="0" w:color="auto"/>
              <w:right w:val="nil"/>
            </w:tcBorders>
            <w:shd w:val="clear" w:color="000000" w:fill="E6E6E6"/>
            <w:noWrap/>
            <w:vAlign w:val="bottom"/>
            <w:hideMark/>
          </w:tcPr>
          <w:p w14:paraId="6F12DC47"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12,748</w:t>
            </w:r>
          </w:p>
        </w:tc>
        <w:tc>
          <w:tcPr>
            <w:tcW w:w="880" w:type="dxa"/>
            <w:tcBorders>
              <w:top w:val="single" w:sz="4" w:space="0" w:color="auto"/>
              <w:left w:val="nil"/>
              <w:bottom w:val="single" w:sz="4" w:space="0" w:color="auto"/>
              <w:right w:val="nil"/>
            </w:tcBorders>
            <w:shd w:val="clear" w:color="auto" w:fill="auto"/>
            <w:noWrap/>
            <w:vAlign w:val="bottom"/>
            <w:hideMark/>
          </w:tcPr>
          <w:p w14:paraId="419975EC" w14:textId="77777777" w:rsidR="00752811" w:rsidRPr="00F379CF" w:rsidRDefault="00752811" w:rsidP="00333C84">
            <w:pPr>
              <w:spacing w:after="0" w:line="240" w:lineRule="auto"/>
              <w:jc w:val="right"/>
              <w:rPr>
                <w:rFonts w:ascii="Arial" w:hAnsi="Arial" w:cs="Arial"/>
                <w:b/>
                <w:bCs/>
                <w:sz w:val="16"/>
                <w:szCs w:val="16"/>
              </w:rPr>
            </w:pPr>
            <w:r w:rsidRPr="00F379CF">
              <w:rPr>
                <w:rFonts w:ascii="Arial" w:hAnsi="Arial" w:cs="Arial"/>
                <w:b/>
                <w:bCs/>
                <w:sz w:val="16"/>
                <w:szCs w:val="16"/>
              </w:rPr>
              <w:t>12,819</w:t>
            </w:r>
          </w:p>
        </w:tc>
        <w:tc>
          <w:tcPr>
            <w:tcW w:w="880" w:type="dxa"/>
            <w:tcBorders>
              <w:top w:val="single" w:sz="4" w:space="0" w:color="auto"/>
              <w:left w:val="nil"/>
              <w:bottom w:val="single" w:sz="4" w:space="0" w:color="auto"/>
              <w:right w:val="nil"/>
            </w:tcBorders>
            <w:shd w:val="clear" w:color="auto" w:fill="auto"/>
            <w:noWrap/>
            <w:vAlign w:val="bottom"/>
            <w:hideMark/>
          </w:tcPr>
          <w:p w14:paraId="374DA864" w14:textId="77777777" w:rsidR="00752811" w:rsidRPr="00F379CF" w:rsidRDefault="00752811" w:rsidP="00333C84">
            <w:pPr>
              <w:spacing w:after="0" w:line="240" w:lineRule="auto"/>
              <w:jc w:val="right"/>
              <w:rPr>
                <w:rFonts w:ascii="Arial" w:hAnsi="Arial" w:cs="Arial"/>
                <w:b/>
                <w:bCs/>
                <w:sz w:val="16"/>
                <w:szCs w:val="16"/>
              </w:rPr>
            </w:pPr>
            <w:r w:rsidRPr="00F379CF">
              <w:rPr>
                <w:rFonts w:ascii="Arial" w:hAnsi="Arial" w:cs="Arial"/>
                <w:b/>
                <w:bCs/>
                <w:sz w:val="16"/>
                <w:szCs w:val="16"/>
              </w:rPr>
              <w:t>12,915</w:t>
            </w:r>
          </w:p>
        </w:tc>
        <w:tc>
          <w:tcPr>
            <w:tcW w:w="880" w:type="dxa"/>
            <w:tcBorders>
              <w:top w:val="single" w:sz="4" w:space="0" w:color="auto"/>
              <w:left w:val="nil"/>
              <w:bottom w:val="single" w:sz="4" w:space="0" w:color="auto"/>
              <w:right w:val="nil"/>
            </w:tcBorders>
            <w:shd w:val="clear" w:color="auto" w:fill="auto"/>
            <w:noWrap/>
            <w:vAlign w:val="bottom"/>
            <w:hideMark/>
          </w:tcPr>
          <w:p w14:paraId="3941CD02" w14:textId="77777777" w:rsidR="00752811" w:rsidRPr="00F379CF" w:rsidRDefault="00752811" w:rsidP="00333C84">
            <w:pPr>
              <w:spacing w:after="0" w:line="240" w:lineRule="auto"/>
              <w:jc w:val="right"/>
              <w:rPr>
                <w:rFonts w:ascii="Arial" w:hAnsi="Arial" w:cs="Arial"/>
                <w:b/>
                <w:bCs/>
                <w:sz w:val="16"/>
                <w:szCs w:val="16"/>
              </w:rPr>
            </w:pPr>
            <w:r w:rsidRPr="00F379CF">
              <w:rPr>
                <w:rFonts w:ascii="Arial" w:hAnsi="Arial" w:cs="Arial"/>
                <w:b/>
                <w:bCs/>
                <w:sz w:val="16"/>
                <w:szCs w:val="16"/>
              </w:rPr>
              <w:t>12,996</w:t>
            </w:r>
          </w:p>
        </w:tc>
      </w:tr>
    </w:tbl>
    <w:p w14:paraId="5FAA02AC" w14:textId="77777777" w:rsidR="00752811" w:rsidRDefault="00752811" w:rsidP="00752811">
      <w:pPr>
        <w:spacing w:after="0"/>
        <w:rPr>
          <w:b/>
        </w:rPr>
      </w:pPr>
    </w:p>
    <w:tbl>
      <w:tblPr>
        <w:tblW w:w="4708" w:type="dxa"/>
        <w:tblLook w:val="04A0" w:firstRow="1" w:lastRow="0" w:firstColumn="1" w:lastColumn="0" w:noHBand="0" w:noVBand="1"/>
      </w:tblPr>
      <w:tblGrid>
        <w:gridCol w:w="2916"/>
        <w:gridCol w:w="896"/>
        <w:gridCol w:w="896"/>
      </w:tblGrid>
      <w:tr w:rsidR="00752811" w:rsidRPr="00701045" w14:paraId="5E8BC713" w14:textId="77777777" w:rsidTr="0095744D">
        <w:trPr>
          <w:trHeight w:val="204"/>
        </w:trPr>
        <w:tc>
          <w:tcPr>
            <w:tcW w:w="2916" w:type="dxa"/>
            <w:tcBorders>
              <w:top w:val="single" w:sz="4" w:space="0" w:color="auto"/>
              <w:left w:val="nil"/>
              <w:bottom w:val="nil"/>
              <w:right w:val="nil"/>
            </w:tcBorders>
            <w:shd w:val="clear" w:color="auto" w:fill="auto"/>
            <w:noWrap/>
            <w:vAlign w:val="bottom"/>
            <w:hideMark/>
          </w:tcPr>
          <w:p w14:paraId="18356C02" w14:textId="77777777" w:rsidR="00752811" w:rsidRPr="00701045" w:rsidRDefault="00752811" w:rsidP="00333C84">
            <w:pPr>
              <w:spacing w:after="0" w:line="240" w:lineRule="auto"/>
              <w:jc w:val="left"/>
              <w:rPr>
                <w:rFonts w:ascii="Arial" w:hAnsi="Arial" w:cs="Arial"/>
                <w:sz w:val="16"/>
                <w:szCs w:val="16"/>
              </w:rPr>
            </w:pPr>
            <w:r w:rsidRPr="00701045">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547D554D" w14:textId="77777777" w:rsidR="00752811" w:rsidRPr="00701045" w:rsidRDefault="00752811" w:rsidP="00333C84">
            <w:pPr>
              <w:spacing w:after="0" w:line="240" w:lineRule="auto"/>
              <w:jc w:val="right"/>
              <w:rPr>
                <w:rFonts w:ascii="Arial" w:hAnsi="Arial" w:cs="Arial"/>
                <w:sz w:val="16"/>
                <w:szCs w:val="16"/>
              </w:rPr>
            </w:pPr>
            <w:r w:rsidRPr="00701045">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000000" w:fill="E6E6E6"/>
            <w:noWrap/>
            <w:vAlign w:val="bottom"/>
            <w:hideMark/>
          </w:tcPr>
          <w:p w14:paraId="673E5D3C" w14:textId="77777777" w:rsidR="00752811" w:rsidRPr="00701045" w:rsidRDefault="00752811" w:rsidP="00333C84">
            <w:pPr>
              <w:spacing w:after="0" w:line="240" w:lineRule="auto"/>
              <w:jc w:val="right"/>
              <w:rPr>
                <w:rFonts w:ascii="Arial" w:hAnsi="Arial" w:cs="Arial"/>
                <w:sz w:val="16"/>
                <w:szCs w:val="16"/>
              </w:rPr>
            </w:pPr>
            <w:r w:rsidRPr="00701045">
              <w:rPr>
                <w:rFonts w:ascii="Arial" w:hAnsi="Arial" w:cs="Arial"/>
                <w:sz w:val="16"/>
                <w:szCs w:val="16"/>
              </w:rPr>
              <w:t>2022-23</w:t>
            </w:r>
          </w:p>
        </w:tc>
      </w:tr>
      <w:tr w:rsidR="00752811" w:rsidRPr="00701045" w14:paraId="74239D10" w14:textId="77777777" w:rsidTr="0095744D">
        <w:trPr>
          <w:trHeight w:val="204"/>
        </w:trPr>
        <w:tc>
          <w:tcPr>
            <w:tcW w:w="2916" w:type="dxa"/>
            <w:tcBorders>
              <w:top w:val="nil"/>
              <w:left w:val="nil"/>
              <w:bottom w:val="single" w:sz="4" w:space="0" w:color="auto"/>
              <w:right w:val="nil"/>
            </w:tcBorders>
            <w:shd w:val="clear" w:color="auto" w:fill="auto"/>
            <w:noWrap/>
            <w:vAlign w:val="bottom"/>
            <w:hideMark/>
          </w:tcPr>
          <w:p w14:paraId="3360FC8B" w14:textId="77777777" w:rsidR="00752811" w:rsidRPr="00701045" w:rsidRDefault="00752811" w:rsidP="00333C84">
            <w:pPr>
              <w:spacing w:after="0" w:line="240" w:lineRule="auto"/>
              <w:jc w:val="left"/>
              <w:rPr>
                <w:rFonts w:ascii="Arial" w:hAnsi="Arial" w:cs="Arial"/>
                <w:b/>
                <w:bCs/>
                <w:color w:val="000000"/>
                <w:sz w:val="16"/>
                <w:szCs w:val="16"/>
              </w:rPr>
            </w:pPr>
            <w:r w:rsidRPr="00701045">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2AC535C4" w14:textId="77777777" w:rsidR="00752811" w:rsidRPr="00701045" w:rsidRDefault="00752811" w:rsidP="00333C84">
            <w:pPr>
              <w:spacing w:after="0" w:line="240" w:lineRule="auto"/>
              <w:jc w:val="right"/>
              <w:rPr>
                <w:rFonts w:ascii="Arial" w:hAnsi="Arial" w:cs="Arial"/>
                <w:color w:val="000000"/>
                <w:sz w:val="16"/>
                <w:szCs w:val="16"/>
              </w:rPr>
            </w:pPr>
            <w:r w:rsidRPr="00701045">
              <w:rPr>
                <w:rFonts w:ascii="Arial" w:hAnsi="Arial" w:cs="Arial"/>
                <w:color w:val="000000"/>
                <w:sz w:val="16"/>
                <w:szCs w:val="16"/>
              </w:rPr>
              <w:t>30</w:t>
            </w:r>
          </w:p>
        </w:tc>
        <w:tc>
          <w:tcPr>
            <w:tcW w:w="896" w:type="dxa"/>
            <w:tcBorders>
              <w:top w:val="nil"/>
              <w:left w:val="nil"/>
              <w:bottom w:val="single" w:sz="4" w:space="0" w:color="000000"/>
              <w:right w:val="nil"/>
            </w:tcBorders>
            <w:shd w:val="clear" w:color="000000" w:fill="E6E6E6"/>
            <w:noWrap/>
            <w:vAlign w:val="bottom"/>
            <w:hideMark/>
          </w:tcPr>
          <w:p w14:paraId="6AAC6ECD" w14:textId="77777777" w:rsidR="00752811" w:rsidRPr="00701045"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29</w:t>
            </w:r>
          </w:p>
        </w:tc>
      </w:tr>
    </w:tbl>
    <w:p w14:paraId="154D72EA" w14:textId="77777777" w:rsidR="00752811" w:rsidRDefault="00752811" w:rsidP="00752811">
      <w:pPr>
        <w:spacing w:after="0"/>
        <w:rPr>
          <w:b/>
        </w:rPr>
      </w:pPr>
    </w:p>
    <w:p w14:paraId="573E3779" w14:textId="225EFAF1" w:rsidR="00752811" w:rsidRPr="00F71634" w:rsidRDefault="00752811" w:rsidP="00752811">
      <w:pPr>
        <w:spacing w:after="0"/>
      </w:pPr>
      <w:r>
        <w:rPr>
          <w:highlight w:val="yellow"/>
        </w:rPr>
        <w:br w:type="page"/>
      </w:r>
    </w:p>
    <w:p w14:paraId="08E30D34" w14:textId="77777777" w:rsidR="00752811" w:rsidRPr="0018435F" w:rsidRDefault="00752811" w:rsidP="00752811">
      <w:pPr>
        <w:pStyle w:val="TableHeading"/>
        <w:rPr>
          <w:lang w:val="en-AU"/>
        </w:rPr>
      </w:pPr>
      <w:r w:rsidRPr="0018435F">
        <w:lastRenderedPageBreak/>
        <w:t>Table 2.</w:t>
      </w:r>
      <w:r w:rsidRPr="0018435F">
        <w:rPr>
          <w:lang w:val="en-AU"/>
        </w:rPr>
        <w:t>1</w:t>
      </w:r>
      <w:r w:rsidRPr="0018435F">
        <w:t>.</w:t>
      </w:r>
      <w:r w:rsidRPr="0018435F">
        <w:rPr>
          <w:lang w:val="en-AU"/>
        </w:rPr>
        <w:t>2</w:t>
      </w:r>
      <w:r w:rsidRPr="0018435F">
        <w:t xml:space="preserve">: Performance </w:t>
      </w:r>
      <w:r w:rsidRPr="0018435F">
        <w:rPr>
          <w:lang w:val="en-AU"/>
        </w:rPr>
        <w:t>measure</w:t>
      </w:r>
      <w:r w:rsidRPr="0018435F">
        <w:t xml:space="preserve"> for Outcome </w:t>
      </w:r>
      <w:r w:rsidRPr="0018435F">
        <w:rPr>
          <w:lang w:val="en-AU"/>
        </w:rPr>
        <w:t>1</w:t>
      </w:r>
    </w:p>
    <w:p w14:paraId="097E3B1E" w14:textId="77777777" w:rsidR="00752811" w:rsidRPr="00F71634" w:rsidRDefault="00752811" w:rsidP="00752811">
      <w:pPr>
        <w:jc w:val="left"/>
      </w:pPr>
      <w:r w:rsidRPr="0018435F">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543"/>
      </w:tblGrid>
      <w:tr w:rsidR="00752811" w:rsidRPr="001B2F81" w14:paraId="27B11A37" w14:textId="77777777" w:rsidTr="00333C84">
        <w:trPr>
          <w:trHeight w:val="569"/>
          <w:tblHeader/>
        </w:trPr>
        <w:tc>
          <w:tcPr>
            <w:tcW w:w="7796" w:type="dxa"/>
            <w:gridSpan w:val="3"/>
            <w:shd w:val="clear" w:color="auto" w:fill="F2F2F2"/>
          </w:tcPr>
          <w:p w14:paraId="4AAE9C5B" w14:textId="77777777" w:rsidR="00752811" w:rsidRPr="00605958" w:rsidRDefault="00752811" w:rsidP="00333C84">
            <w:pPr>
              <w:pStyle w:val="TableColumnHeadingLeft"/>
            </w:pPr>
            <w:r w:rsidRPr="00605958">
              <w:rPr>
                <w:rStyle w:val="TableHeadingChar"/>
                <w:b/>
              </w:rPr>
              <w:t xml:space="preserve">Outcome </w:t>
            </w:r>
            <w:r w:rsidRPr="0095744D">
              <w:rPr>
                <w:rStyle w:val="TableHeadingChar"/>
                <w:b/>
              </w:rPr>
              <w:t>1</w:t>
            </w:r>
            <w:r w:rsidRPr="0095744D">
              <w:rPr>
                <w:b w:val="0"/>
              </w:rPr>
              <w:t xml:space="preserve"> – 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r w:rsidR="00752811" w:rsidRPr="001B2F81" w14:paraId="5ED064E3" w14:textId="77777777" w:rsidTr="00333C84">
        <w:trPr>
          <w:trHeight w:val="522"/>
          <w:tblHeader/>
        </w:trPr>
        <w:tc>
          <w:tcPr>
            <w:tcW w:w="7796" w:type="dxa"/>
            <w:gridSpan w:val="3"/>
            <w:shd w:val="clear" w:color="auto" w:fill="F2F2F2"/>
          </w:tcPr>
          <w:p w14:paraId="50476A93" w14:textId="02D946B7" w:rsidR="00752811" w:rsidRPr="0018435F" w:rsidRDefault="00752811" w:rsidP="00333C84">
            <w:pPr>
              <w:pStyle w:val="TableTextLeft"/>
            </w:pPr>
            <w:r w:rsidRPr="0018435F">
              <w:rPr>
                <w:b/>
              </w:rPr>
              <w:t>Program 1.1</w:t>
            </w:r>
            <w:r w:rsidR="0095744D">
              <w:rPr>
                <w:b/>
              </w:rPr>
              <w:t xml:space="preserve"> </w:t>
            </w:r>
            <w:r w:rsidR="0095744D" w:rsidRPr="0095744D">
              <w:t>–</w:t>
            </w:r>
            <w:r w:rsidRPr="0095744D">
              <w:t xml:space="preserve"> </w:t>
            </w:r>
            <w:r w:rsidRPr="005A2B6B">
              <w:rPr>
                <w:rFonts w:cs="Arial"/>
                <w:szCs w:val="18"/>
              </w:rPr>
              <w:t>IA will contribute to the Government's objective of supporting competitiveness, driving productivity and enhancing quality of life, through the provision of high quality advice.</w:t>
            </w:r>
          </w:p>
        </w:tc>
      </w:tr>
      <w:tr w:rsidR="00752811" w:rsidRPr="001B2F81" w14:paraId="7A708058" w14:textId="77777777" w:rsidTr="003A37DA">
        <w:trPr>
          <w:trHeight w:val="131"/>
        </w:trPr>
        <w:tc>
          <w:tcPr>
            <w:tcW w:w="1560" w:type="dxa"/>
            <w:tcBorders>
              <w:bottom w:val="double" w:sz="4" w:space="0" w:color="auto"/>
            </w:tcBorders>
          </w:tcPr>
          <w:p w14:paraId="7BBB5059" w14:textId="77777777" w:rsidR="00752811" w:rsidRPr="000A1C93" w:rsidRDefault="00752811" w:rsidP="00333C84">
            <w:pPr>
              <w:tabs>
                <w:tab w:val="left" w:pos="709"/>
              </w:tabs>
              <w:spacing w:before="60" w:after="60"/>
              <w:rPr>
                <w:rFonts w:ascii="Arial" w:hAnsi="Arial" w:cs="Arial"/>
                <w:b/>
                <w:sz w:val="16"/>
                <w:szCs w:val="16"/>
              </w:rPr>
            </w:pPr>
            <w:r w:rsidRPr="000A1C93">
              <w:rPr>
                <w:rFonts w:ascii="Arial" w:hAnsi="Arial" w:cs="Arial"/>
                <w:b/>
                <w:sz w:val="16"/>
                <w:szCs w:val="16"/>
              </w:rPr>
              <w:t xml:space="preserve">Key Activities </w:t>
            </w:r>
            <w:r w:rsidRPr="003A37DA">
              <w:rPr>
                <w:rFonts w:ascii="Arial" w:hAnsi="Arial" w:cs="Arial"/>
                <w:sz w:val="16"/>
                <w:szCs w:val="16"/>
                <w:vertAlign w:val="superscript"/>
              </w:rPr>
              <w:t>(a)</w:t>
            </w:r>
          </w:p>
        </w:tc>
        <w:tc>
          <w:tcPr>
            <w:tcW w:w="6236" w:type="dxa"/>
            <w:gridSpan w:val="2"/>
            <w:tcBorders>
              <w:bottom w:val="double" w:sz="4" w:space="0" w:color="auto"/>
            </w:tcBorders>
          </w:tcPr>
          <w:p w14:paraId="5C065826" w14:textId="310298F8" w:rsidR="00752811" w:rsidRPr="003A37DA" w:rsidRDefault="003A37DA" w:rsidP="003A37DA">
            <w:pPr>
              <w:tabs>
                <w:tab w:val="left" w:pos="709"/>
              </w:tabs>
              <w:spacing w:before="60" w:after="60" w:line="240" w:lineRule="auto"/>
              <w:jc w:val="left"/>
              <w:rPr>
                <w:rFonts w:ascii="Arial" w:hAnsi="Arial" w:cs="Arial"/>
                <w:i/>
                <w:sz w:val="16"/>
                <w:szCs w:val="16"/>
              </w:rPr>
            </w:pPr>
            <w:r w:rsidRPr="003A37DA">
              <w:rPr>
                <w:rFonts w:ascii="Arial" w:hAnsi="Arial" w:cs="Arial"/>
                <w:sz w:val="16"/>
                <w:szCs w:val="16"/>
              </w:rPr>
              <w:t>IA will provide high quality independent advice on nationally significant infrastructure matters to the Australian Government and in turn, all levels of government, industry and stakeholders. This advice will be prepared in consultation with all levels of government, industry stakeholders and the community—as the end users of infrastructure. This advice will include published project evaluations, infrastructure priority lists, published research and other initiatives.</w:t>
            </w:r>
          </w:p>
        </w:tc>
      </w:tr>
      <w:tr w:rsidR="00752811" w:rsidRPr="001B2F81" w14:paraId="532EFAF3" w14:textId="77777777" w:rsidTr="003A37DA">
        <w:trPr>
          <w:trHeight w:val="258"/>
        </w:trPr>
        <w:tc>
          <w:tcPr>
            <w:tcW w:w="1560" w:type="dxa"/>
            <w:tcBorders>
              <w:top w:val="double" w:sz="4" w:space="0" w:color="auto"/>
              <w:bottom w:val="single" w:sz="4" w:space="0" w:color="auto"/>
              <w:right w:val="single" w:sz="4" w:space="0" w:color="auto"/>
            </w:tcBorders>
          </w:tcPr>
          <w:p w14:paraId="48F8A84E" w14:textId="77777777" w:rsidR="00752811" w:rsidRPr="000A1C93" w:rsidRDefault="00752811" w:rsidP="00333C84">
            <w:pPr>
              <w:pStyle w:val="TableTextBase"/>
              <w:rPr>
                <w:b/>
                <w:sz w:val="16"/>
                <w:szCs w:val="16"/>
              </w:rPr>
            </w:pPr>
            <w:r w:rsidRPr="000A1C93">
              <w:rPr>
                <w:b/>
                <w:sz w:val="16"/>
                <w:szCs w:val="16"/>
              </w:rPr>
              <w:t>Year</w:t>
            </w:r>
          </w:p>
        </w:tc>
        <w:tc>
          <w:tcPr>
            <w:tcW w:w="2693" w:type="dxa"/>
            <w:tcBorders>
              <w:top w:val="double" w:sz="4" w:space="0" w:color="auto"/>
              <w:left w:val="single" w:sz="4" w:space="0" w:color="auto"/>
              <w:bottom w:val="single" w:sz="4" w:space="0" w:color="auto"/>
              <w:right w:val="single" w:sz="4" w:space="0" w:color="auto"/>
            </w:tcBorders>
          </w:tcPr>
          <w:p w14:paraId="065D8764" w14:textId="77777777" w:rsidR="00752811" w:rsidRPr="000A1C93" w:rsidRDefault="00752811" w:rsidP="00333C84">
            <w:pPr>
              <w:pStyle w:val="TableTextBase"/>
              <w:rPr>
                <w:rFonts w:cs="Arial"/>
                <w:b/>
                <w:sz w:val="16"/>
                <w:szCs w:val="16"/>
              </w:rPr>
            </w:pPr>
            <w:r w:rsidRPr="000A1C93">
              <w:rPr>
                <w:rFonts w:cs="Arial"/>
                <w:b/>
                <w:sz w:val="16"/>
                <w:szCs w:val="16"/>
              </w:rPr>
              <w:t>Performance measures</w:t>
            </w:r>
          </w:p>
        </w:tc>
        <w:tc>
          <w:tcPr>
            <w:tcW w:w="3543" w:type="dxa"/>
            <w:tcBorders>
              <w:top w:val="double" w:sz="4" w:space="0" w:color="auto"/>
              <w:left w:val="single" w:sz="4" w:space="0" w:color="auto"/>
              <w:bottom w:val="single" w:sz="4" w:space="0" w:color="auto"/>
            </w:tcBorders>
          </w:tcPr>
          <w:p w14:paraId="4D1FACA4" w14:textId="77777777" w:rsidR="00752811" w:rsidRPr="000A1C93" w:rsidRDefault="00752811" w:rsidP="00333C84">
            <w:pPr>
              <w:pStyle w:val="TableTextBase"/>
              <w:rPr>
                <w:rFonts w:cs="Arial"/>
                <w:b/>
                <w:sz w:val="16"/>
                <w:szCs w:val="16"/>
              </w:rPr>
            </w:pPr>
            <w:r w:rsidRPr="000A1C93">
              <w:rPr>
                <w:rFonts w:cs="Arial"/>
                <w:b/>
                <w:sz w:val="16"/>
                <w:szCs w:val="16"/>
              </w:rPr>
              <w:t>Expected Performance Results</w:t>
            </w:r>
          </w:p>
        </w:tc>
      </w:tr>
      <w:tr w:rsidR="00752811" w:rsidRPr="001B2F81" w14:paraId="729D67D6" w14:textId="77777777" w:rsidTr="003A37DA">
        <w:trPr>
          <w:trHeight w:val="642"/>
        </w:trPr>
        <w:tc>
          <w:tcPr>
            <w:tcW w:w="1560" w:type="dxa"/>
            <w:tcBorders>
              <w:top w:val="single" w:sz="4" w:space="0" w:color="auto"/>
              <w:bottom w:val="nil"/>
              <w:right w:val="single" w:sz="4" w:space="0" w:color="auto"/>
            </w:tcBorders>
          </w:tcPr>
          <w:p w14:paraId="522F9B4D" w14:textId="44E26FC1" w:rsidR="00752811" w:rsidRPr="000A1C93" w:rsidRDefault="00752811" w:rsidP="00CB4B45">
            <w:pPr>
              <w:pStyle w:val="TableTextBase"/>
              <w:rPr>
                <w:sz w:val="16"/>
                <w:szCs w:val="16"/>
              </w:rPr>
            </w:pPr>
            <w:r w:rsidRPr="000A1C93">
              <w:rPr>
                <w:sz w:val="16"/>
                <w:szCs w:val="16"/>
              </w:rPr>
              <w:t xml:space="preserve">Current year </w:t>
            </w:r>
            <w:r w:rsidR="00CB4B45">
              <w:rPr>
                <w:sz w:val="16"/>
                <w:szCs w:val="16"/>
              </w:rPr>
              <w:br/>
            </w:r>
            <w:r w:rsidRPr="000A1C93">
              <w:rPr>
                <w:sz w:val="16"/>
                <w:szCs w:val="16"/>
              </w:rPr>
              <w:t>2021-22</w:t>
            </w:r>
          </w:p>
        </w:tc>
        <w:tc>
          <w:tcPr>
            <w:tcW w:w="2693" w:type="dxa"/>
            <w:tcBorders>
              <w:top w:val="single" w:sz="4" w:space="0" w:color="auto"/>
              <w:left w:val="single" w:sz="4" w:space="0" w:color="auto"/>
              <w:bottom w:val="single" w:sz="4" w:space="0" w:color="auto"/>
              <w:right w:val="single" w:sz="4" w:space="0" w:color="auto"/>
            </w:tcBorders>
          </w:tcPr>
          <w:p w14:paraId="0765B224" w14:textId="77777777" w:rsidR="00752811" w:rsidRPr="00C119E0" w:rsidRDefault="00752811" w:rsidP="00333C84">
            <w:pPr>
              <w:pStyle w:val="TableTextBase"/>
              <w:rPr>
                <w:i/>
                <w:sz w:val="16"/>
                <w:szCs w:val="16"/>
              </w:rPr>
            </w:pPr>
            <w:r w:rsidRPr="00C119E0">
              <w:rPr>
                <w:iCs/>
                <w:sz w:val="16"/>
                <w:szCs w:val="16"/>
              </w:rPr>
              <w:t xml:space="preserve">Evaluate project proposals on all infrastructure proposals, excluding defence projects, where funding of more than </w:t>
            </w:r>
            <w:r>
              <w:rPr>
                <w:iCs/>
                <w:sz w:val="16"/>
                <w:szCs w:val="16"/>
              </w:rPr>
              <w:t>$</w:t>
            </w:r>
            <w:r w:rsidRPr="00C119E0">
              <w:rPr>
                <w:iCs/>
                <w:sz w:val="16"/>
                <w:szCs w:val="16"/>
              </w:rPr>
              <w:t xml:space="preserve">250 million is sought from the Commonwealth. </w:t>
            </w:r>
          </w:p>
        </w:tc>
        <w:tc>
          <w:tcPr>
            <w:tcW w:w="3543" w:type="dxa"/>
            <w:tcBorders>
              <w:top w:val="single" w:sz="4" w:space="0" w:color="auto"/>
              <w:left w:val="single" w:sz="4" w:space="0" w:color="auto"/>
              <w:bottom w:val="single" w:sz="4" w:space="0" w:color="auto"/>
            </w:tcBorders>
          </w:tcPr>
          <w:p w14:paraId="7EDF5649" w14:textId="77777777" w:rsidR="00752811" w:rsidRDefault="00752811" w:rsidP="0095744D">
            <w:pPr>
              <w:pStyle w:val="TableTextBase"/>
              <w:rPr>
                <w:iCs/>
                <w:sz w:val="16"/>
                <w:szCs w:val="16"/>
              </w:rPr>
            </w:pPr>
            <w:r w:rsidRPr="00B12204">
              <w:rPr>
                <w:iCs/>
                <w:sz w:val="16"/>
                <w:szCs w:val="16"/>
              </w:rPr>
              <w:t xml:space="preserve">13 </w:t>
            </w:r>
            <w:r w:rsidR="0095744D">
              <w:rPr>
                <w:iCs/>
                <w:sz w:val="16"/>
                <w:szCs w:val="16"/>
              </w:rPr>
              <w:t>p</w:t>
            </w:r>
            <w:r w:rsidRPr="00B12204">
              <w:rPr>
                <w:iCs/>
                <w:sz w:val="16"/>
                <w:szCs w:val="16"/>
              </w:rPr>
              <w:t>roject proposals assessed</w:t>
            </w:r>
          </w:p>
          <w:p w14:paraId="5267C92B" w14:textId="768591F1" w:rsidR="005A2B6B" w:rsidRPr="00C119E0" w:rsidRDefault="00747426" w:rsidP="0095744D">
            <w:pPr>
              <w:pStyle w:val="TableTextBase"/>
              <w:rPr>
                <w:i/>
                <w:sz w:val="16"/>
                <w:szCs w:val="16"/>
              </w:rPr>
            </w:pPr>
            <w:r>
              <w:rPr>
                <w:iCs/>
                <w:sz w:val="16"/>
                <w:szCs w:val="16"/>
              </w:rPr>
              <w:t>Target achieved</w:t>
            </w:r>
          </w:p>
        </w:tc>
      </w:tr>
      <w:tr w:rsidR="00752811" w:rsidRPr="001B2F81" w14:paraId="6A473C8A" w14:textId="77777777" w:rsidTr="005A2B6B">
        <w:trPr>
          <w:trHeight w:val="642"/>
        </w:trPr>
        <w:tc>
          <w:tcPr>
            <w:tcW w:w="1560" w:type="dxa"/>
            <w:tcBorders>
              <w:top w:val="nil"/>
              <w:bottom w:val="double" w:sz="4" w:space="0" w:color="auto"/>
              <w:right w:val="single" w:sz="4" w:space="0" w:color="auto"/>
            </w:tcBorders>
          </w:tcPr>
          <w:p w14:paraId="1BA56831" w14:textId="77777777" w:rsidR="00752811" w:rsidRPr="000A1C93" w:rsidRDefault="00752811" w:rsidP="00333C84">
            <w:pPr>
              <w:pStyle w:val="TableTextBase"/>
              <w:rPr>
                <w:sz w:val="16"/>
                <w:szCs w:val="16"/>
              </w:rPr>
            </w:pPr>
          </w:p>
        </w:tc>
        <w:tc>
          <w:tcPr>
            <w:tcW w:w="2693" w:type="dxa"/>
            <w:tcBorders>
              <w:top w:val="single" w:sz="4" w:space="0" w:color="auto"/>
              <w:left w:val="single" w:sz="4" w:space="0" w:color="auto"/>
              <w:bottom w:val="double" w:sz="4" w:space="0" w:color="auto"/>
              <w:right w:val="single" w:sz="4" w:space="0" w:color="auto"/>
            </w:tcBorders>
          </w:tcPr>
          <w:p w14:paraId="339AE58F" w14:textId="7EE4D12A" w:rsidR="00752811" w:rsidRPr="00C119E0" w:rsidRDefault="00752811" w:rsidP="0095744D">
            <w:pPr>
              <w:pStyle w:val="TableTextBase"/>
              <w:rPr>
                <w:iCs/>
                <w:sz w:val="16"/>
                <w:szCs w:val="16"/>
              </w:rPr>
            </w:pPr>
            <w:r w:rsidRPr="00FC27DE">
              <w:rPr>
                <w:sz w:val="16"/>
                <w:szCs w:val="16"/>
              </w:rPr>
              <w:t>Undertake research initiatives that promote best practice in the planning, funding and delivery of infrastructure.</w:t>
            </w:r>
          </w:p>
        </w:tc>
        <w:tc>
          <w:tcPr>
            <w:tcW w:w="3543" w:type="dxa"/>
            <w:tcBorders>
              <w:top w:val="single" w:sz="4" w:space="0" w:color="auto"/>
              <w:left w:val="single" w:sz="4" w:space="0" w:color="auto"/>
              <w:bottom w:val="double" w:sz="4" w:space="0" w:color="auto"/>
            </w:tcBorders>
          </w:tcPr>
          <w:p w14:paraId="4875C7F1" w14:textId="38D0BE5A" w:rsidR="00752811" w:rsidRPr="00B12204" w:rsidRDefault="005A2B6B" w:rsidP="00333C84">
            <w:pPr>
              <w:pStyle w:val="TableTextBase"/>
              <w:rPr>
                <w:iCs/>
                <w:sz w:val="16"/>
                <w:szCs w:val="16"/>
              </w:rPr>
            </w:pPr>
            <w:r>
              <w:rPr>
                <w:iCs/>
                <w:sz w:val="16"/>
                <w:szCs w:val="16"/>
              </w:rPr>
              <w:t xml:space="preserve">The </w:t>
            </w:r>
            <w:r w:rsidR="00752811" w:rsidRPr="00B12204">
              <w:rPr>
                <w:iCs/>
                <w:sz w:val="16"/>
                <w:szCs w:val="16"/>
              </w:rPr>
              <w:t xml:space="preserve">following research initiatives were published in FY 21-22: </w:t>
            </w:r>
          </w:p>
          <w:p w14:paraId="69844576" w14:textId="499B3383" w:rsidR="00752811" w:rsidRPr="00B12204" w:rsidRDefault="0095744D" w:rsidP="00AD2EFF">
            <w:pPr>
              <w:pStyle w:val="TableTextBase"/>
              <w:numPr>
                <w:ilvl w:val="0"/>
                <w:numId w:val="89"/>
              </w:numPr>
              <w:spacing w:before="0" w:after="0"/>
              <w:ind w:left="178" w:hanging="141"/>
              <w:rPr>
                <w:iCs/>
                <w:sz w:val="16"/>
                <w:szCs w:val="16"/>
              </w:rPr>
            </w:pPr>
            <w:r>
              <w:rPr>
                <w:iCs/>
                <w:sz w:val="16"/>
                <w:szCs w:val="16"/>
              </w:rPr>
              <w:t>The Assessment Framework</w:t>
            </w:r>
          </w:p>
          <w:p w14:paraId="1269A2B3" w14:textId="5126D997" w:rsidR="00752811" w:rsidRPr="00B12204" w:rsidRDefault="00752811" w:rsidP="00AD2EFF">
            <w:pPr>
              <w:pStyle w:val="TableTextBase"/>
              <w:numPr>
                <w:ilvl w:val="0"/>
                <w:numId w:val="89"/>
              </w:numPr>
              <w:spacing w:before="0" w:after="0"/>
              <w:ind w:left="178" w:hanging="141"/>
              <w:rPr>
                <w:iCs/>
                <w:sz w:val="16"/>
                <w:szCs w:val="16"/>
              </w:rPr>
            </w:pPr>
            <w:r w:rsidRPr="00B12204">
              <w:rPr>
                <w:iCs/>
                <w:sz w:val="16"/>
                <w:szCs w:val="16"/>
              </w:rPr>
              <w:t>A Pathwa</w:t>
            </w:r>
            <w:r w:rsidR="0095744D">
              <w:rPr>
                <w:iCs/>
                <w:sz w:val="16"/>
                <w:szCs w:val="16"/>
              </w:rPr>
              <w:t>y to Infrastructure Resilience</w:t>
            </w:r>
          </w:p>
          <w:p w14:paraId="1AC2BF55" w14:textId="77777777" w:rsidR="0095744D" w:rsidRDefault="00752811" w:rsidP="00AD2EFF">
            <w:pPr>
              <w:pStyle w:val="TableTextBase"/>
              <w:numPr>
                <w:ilvl w:val="0"/>
                <w:numId w:val="89"/>
              </w:numPr>
              <w:spacing w:before="0" w:after="0"/>
              <w:ind w:left="178" w:hanging="141"/>
              <w:rPr>
                <w:iCs/>
                <w:sz w:val="16"/>
                <w:szCs w:val="16"/>
              </w:rPr>
            </w:pPr>
            <w:r w:rsidRPr="00B12204">
              <w:rPr>
                <w:iCs/>
                <w:sz w:val="16"/>
                <w:szCs w:val="16"/>
              </w:rPr>
              <w:t xml:space="preserve">2021 </w:t>
            </w:r>
            <w:r w:rsidR="0095744D">
              <w:rPr>
                <w:iCs/>
                <w:sz w:val="16"/>
                <w:szCs w:val="16"/>
              </w:rPr>
              <w:t>Australian Infrastructure Plan</w:t>
            </w:r>
          </w:p>
          <w:p w14:paraId="7BB2C887" w14:textId="77777777" w:rsidR="00980FB5" w:rsidRDefault="00752811" w:rsidP="00AD2EFF">
            <w:pPr>
              <w:pStyle w:val="TableTextBase"/>
              <w:numPr>
                <w:ilvl w:val="0"/>
                <w:numId w:val="89"/>
              </w:numPr>
              <w:spacing w:before="0" w:after="0"/>
              <w:ind w:left="178" w:hanging="141"/>
              <w:rPr>
                <w:iCs/>
                <w:sz w:val="16"/>
                <w:szCs w:val="16"/>
              </w:rPr>
            </w:pPr>
            <w:r w:rsidRPr="00B12204">
              <w:rPr>
                <w:iCs/>
                <w:sz w:val="16"/>
                <w:szCs w:val="16"/>
              </w:rPr>
              <w:t>2021 Infrastructure Market Capacity report</w:t>
            </w:r>
            <w:r w:rsidR="0095744D">
              <w:rPr>
                <w:iCs/>
                <w:sz w:val="16"/>
                <w:szCs w:val="16"/>
              </w:rPr>
              <w:t>.</w:t>
            </w:r>
          </w:p>
          <w:p w14:paraId="5382DEE6" w14:textId="77777777" w:rsidR="00980FB5" w:rsidRDefault="00980FB5" w:rsidP="00AD2EFF">
            <w:pPr>
              <w:pStyle w:val="TableTextBase"/>
              <w:numPr>
                <w:ilvl w:val="0"/>
                <w:numId w:val="89"/>
              </w:numPr>
              <w:spacing w:before="0" w:after="0"/>
              <w:ind w:left="178" w:hanging="141"/>
              <w:rPr>
                <w:iCs/>
                <w:sz w:val="16"/>
                <w:szCs w:val="16"/>
              </w:rPr>
            </w:pPr>
            <w:r w:rsidRPr="00980FB5">
              <w:rPr>
                <w:iCs/>
                <w:sz w:val="16"/>
                <w:szCs w:val="16"/>
              </w:rPr>
              <w:t>2022 Regional Strengths and Infrastructure Gaps</w:t>
            </w:r>
          </w:p>
          <w:p w14:paraId="78A503E0" w14:textId="77777777" w:rsidR="00980FB5" w:rsidRDefault="00980FB5" w:rsidP="00E42899">
            <w:pPr>
              <w:pStyle w:val="TableTextBase"/>
              <w:numPr>
                <w:ilvl w:val="0"/>
                <w:numId w:val="89"/>
              </w:numPr>
              <w:spacing w:before="0"/>
              <w:ind w:left="178" w:hanging="141"/>
              <w:rPr>
                <w:iCs/>
                <w:sz w:val="16"/>
                <w:szCs w:val="16"/>
              </w:rPr>
            </w:pPr>
            <w:r w:rsidRPr="00980FB5">
              <w:rPr>
                <w:iCs/>
                <w:sz w:val="16"/>
                <w:szCs w:val="16"/>
              </w:rPr>
              <w:t>Delivering Outcomes - A roadmap to a more productive and resilient future</w:t>
            </w:r>
          </w:p>
          <w:p w14:paraId="29457FDE" w14:textId="7FB6B672" w:rsidR="005A2B6B" w:rsidRPr="00980FB5" w:rsidRDefault="00747426" w:rsidP="00E42899">
            <w:pPr>
              <w:pStyle w:val="TableTextBase"/>
              <w:spacing w:before="0"/>
              <w:ind w:left="37"/>
              <w:rPr>
                <w:iCs/>
                <w:sz w:val="16"/>
                <w:szCs w:val="16"/>
              </w:rPr>
            </w:pPr>
            <w:r>
              <w:rPr>
                <w:iCs/>
                <w:sz w:val="16"/>
                <w:szCs w:val="16"/>
              </w:rPr>
              <w:t>Target achieved</w:t>
            </w:r>
          </w:p>
        </w:tc>
      </w:tr>
      <w:tr w:rsidR="00752811" w:rsidRPr="001B2F81" w14:paraId="00828A66" w14:textId="77777777" w:rsidTr="005A2B6B">
        <w:trPr>
          <w:trHeight w:val="100"/>
        </w:trPr>
        <w:tc>
          <w:tcPr>
            <w:tcW w:w="1560" w:type="dxa"/>
            <w:tcBorders>
              <w:top w:val="double" w:sz="4" w:space="0" w:color="auto"/>
              <w:bottom w:val="single" w:sz="4" w:space="0" w:color="auto"/>
              <w:right w:val="single" w:sz="4" w:space="0" w:color="auto"/>
            </w:tcBorders>
          </w:tcPr>
          <w:p w14:paraId="49EA729E" w14:textId="77777777" w:rsidR="00752811" w:rsidRPr="000A1C93" w:rsidRDefault="00752811" w:rsidP="00333C84">
            <w:pPr>
              <w:pStyle w:val="TableTextBase"/>
              <w:rPr>
                <w:b/>
                <w:sz w:val="16"/>
                <w:szCs w:val="16"/>
              </w:rPr>
            </w:pPr>
            <w:r w:rsidRPr="000A1C93">
              <w:rPr>
                <w:b/>
                <w:sz w:val="16"/>
                <w:szCs w:val="16"/>
              </w:rPr>
              <w:t>Year</w:t>
            </w:r>
          </w:p>
        </w:tc>
        <w:tc>
          <w:tcPr>
            <w:tcW w:w="2693" w:type="dxa"/>
            <w:tcBorders>
              <w:top w:val="double" w:sz="4" w:space="0" w:color="auto"/>
              <w:left w:val="single" w:sz="4" w:space="0" w:color="auto"/>
              <w:bottom w:val="single" w:sz="4" w:space="0" w:color="auto"/>
              <w:right w:val="single" w:sz="4" w:space="0" w:color="auto"/>
            </w:tcBorders>
          </w:tcPr>
          <w:p w14:paraId="423BF43C" w14:textId="77777777" w:rsidR="00752811" w:rsidRPr="007527E9" w:rsidRDefault="00752811" w:rsidP="00333C84">
            <w:pPr>
              <w:pStyle w:val="TableTextBase"/>
              <w:rPr>
                <w:b/>
                <w:sz w:val="16"/>
                <w:szCs w:val="16"/>
                <w:highlight w:val="green"/>
              </w:rPr>
            </w:pPr>
            <w:r w:rsidRPr="000A1C93">
              <w:rPr>
                <w:b/>
                <w:sz w:val="16"/>
                <w:szCs w:val="16"/>
              </w:rPr>
              <w:t>Performance measures</w:t>
            </w:r>
          </w:p>
        </w:tc>
        <w:tc>
          <w:tcPr>
            <w:tcW w:w="3543" w:type="dxa"/>
            <w:tcBorders>
              <w:top w:val="double" w:sz="4" w:space="0" w:color="auto"/>
              <w:left w:val="single" w:sz="4" w:space="0" w:color="auto"/>
              <w:bottom w:val="single" w:sz="4" w:space="0" w:color="auto"/>
              <w:right w:val="single" w:sz="4" w:space="0" w:color="auto"/>
            </w:tcBorders>
          </w:tcPr>
          <w:p w14:paraId="11157DAA" w14:textId="77777777" w:rsidR="00752811" w:rsidRPr="007527E9" w:rsidRDefault="00752811" w:rsidP="00333C84">
            <w:pPr>
              <w:pStyle w:val="TableTextBase"/>
              <w:rPr>
                <w:b/>
                <w:sz w:val="16"/>
                <w:szCs w:val="16"/>
                <w:highlight w:val="green"/>
              </w:rPr>
            </w:pPr>
            <w:r w:rsidRPr="000A1C93">
              <w:rPr>
                <w:b/>
                <w:sz w:val="16"/>
                <w:szCs w:val="16"/>
              </w:rPr>
              <w:t>Planned Performance Results</w:t>
            </w:r>
          </w:p>
        </w:tc>
      </w:tr>
      <w:tr w:rsidR="00752811" w:rsidRPr="001B2F81" w14:paraId="0557697F" w14:textId="77777777" w:rsidTr="001C30CB">
        <w:trPr>
          <w:trHeight w:val="100"/>
        </w:trPr>
        <w:tc>
          <w:tcPr>
            <w:tcW w:w="1560" w:type="dxa"/>
            <w:tcBorders>
              <w:top w:val="single" w:sz="4" w:space="0" w:color="auto"/>
              <w:bottom w:val="nil"/>
              <w:right w:val="single" w:sz="4" w:space="0" w:color="auto"/>
            </w:tcBorders>
          </w:tcPr>
          <w:p w14:paraId="2B0421E7" w14:textId="0A372DA4" w:rsidR="00752811" w:rsidRPr="000A1C93" w:rsidRDefault="00706C8A" w:rsidP="00333C84">
            <w:pPr>
              <w:pStyle w:val="TableTextBase"/>
              <w:rPr>
                <w:sz w:val="16"/>
              </w:rPr>
            </w:pPr>
            <w:r>
              <w:rPr>
                <w:sz w:val="16"/>
              </w:rPr>
              <w:t>Budget y</w:t>
            </w:r>
            <w:r w:rsidR="00752811" w:rsidRPr="000A1C93">
              <w:rPr>
                <w:sz w:val="16"/>
              </w:rPr>
              <w:t>ear     2022-23</w:t>
            </w:r>
          </w:p>
        </w:tc>
        <w:tc>
          <w:tcPr>
            <w:tcW w:w="2693" w:type="dxa"/>
            <w:tcBorders>
              <w:top w:val="single" w:sz="4" w:space="0" w:color="auto"/>
              <w:left w:val="single" w:sz="4" w:space="0" w:color="auto"/>
              <w:bottom w:val="single" w:sz="4" w:space="0" w:color="auto"/>
              <w:right w:val="single" w:sz="4" w:space="0" w:color="auto"/>
            </w:tcBorders>
          </w:tcPr>
          <w:p w14:paraId="58957342" w14:textId="0A161E7F" w:rsidR="00752811" w:rsidRPr="0016574C" w:rsidRDefault="00752811" w:rsidP="00333C84">
            <w:pPr>
              <w:pStyle w:val="TableTextBase"/>
              <w:rPr>
                <w:i/>
                <w:sz w:val="16"/>
                <w:highlight w:val="cyan"/>
              </w:rPr>
            </w:pPr>
            <w:r w:rsidRPr="00F379CF">
              <w:rPr>
                <w:sz w:val="16"/>
                <w:szCs w:val="16"/>
              </w:rPr>
              <w:t xml:space="preserve">Evaluate project proposals on all infrastructure proposals, excluding defence projects, where funding of more than </w:t>
            </w:r>
            <w:r w:rsidR="00A167BA">
              <w:rPr>
                <w:sz w:val="16"/>
                <w:szCs w:val="16"/>
              </w:rPr>
              <w:t>$</w:t>
            </w:r>
            <w:r w:rsidRPr="00F379CF">
              <w:rPr>
                <w:sz w:val="16"/>
                <w:szCs w:val="16"/>
              </w:rPr>
              <w:t xml:space="preserve">250 million is sought from the Commonwealth. </w:t>
            </w:r>
          </w:p>
        </w:tc>
        <w:tc>
          <w:tcPr>
            <w:tcW w:w="3543" w:type="dxa"/>
            <w:tcBorders>
              <w:top w:val="single" w:sz="4" w:space="0" w:color="auto"/>
              <w:left w:val="single" w:sz="4" w:space="0" w:color="auto"/>
              <w:bottom w:val="single" w:sz="4" w:space="0" w:color="auto"/>
            </w:tcBorders>
          </w:tcPr>
          <w:p w14:paraId="7873963C" w14:textId="77777777" w:rsidR="00752811" w:rsidRPr="0016574C" w:rsidRDefault="00752811" w:rsidP="00333C84">
            <w:pPr>
              <w:pStyle w:val="TableTextBase"/>
              <w:rPr>
                <w:i/>
                <w:sz w:val="16"/>
                <w:highlight w:val="cyan"/>
              </w:rPr>
            </w:pPr>
            <w:r w:rsidRPr="00F379CF">
              <w:rPr>
                <w:sz w:val="16"/>
                <w:szCs w:val="16"/>
              </w:rPr>
              <w:t>Evaluations of project proposals completed and a summary of these evaluations published on IA's website</w:t>
            </w:r>
          </w:p>
        </w:tc>
      </w:tr>
      <w:tr w:rsidR="00752811" w:rsidRPr="001B2F81" w14:paraId="4A74BE8E" w14:textId="77777777" w:rsidTr="003A37DA">
        <w:trPr>
          <w:trHeight w:val="100"/>
        </w:trPr>
        <w:tc>
          <w:tcPr>
            <w:tcW w:w="1560" w:type="dxa"/>
            <w:tcBorders>
              <w:top w:val="nil"/>
              <w:bottom w:val="single" w:sz="4" w:space="0" w:color="auto"/>
              <w:right w:val="single" w:sz="4" w:space="0" w:color="auto"/>
            </w:tcBorders>
          </w:tcPr>
          <w:p w14:paraId="0576DD9F" w14:textId="77777777" w:rsidR="00752811" w:rsidRPr="000A1C93" w:rsidRDefault="00752811" w:rsidP="00333C84">
            <w:pPr>
              <w:pStyle w:val="TableTextBase"/>
              <w:rPr>
                <w:sz w:val="16"/>
              </w:rPr>
            </w:pPr>
          </w:p>
        </w:tc>
        <w:tc>
          <w:tcPr>
            <w:tcW w:w="2693" w:type="dxa"/>
            <w:tcBorders>
              <w:top w:val="single" w:sz="4" w:space="0" w:color="auto"/>
              <w:left w:val="single" w:sz="4" w:space="0" w:color="auto"/>
              <w:bottom w:val="single" w:sz="4" w:space="0" w:color="auto"/>
              <w:right w:val="single" w:sz="4" w:space="0" w:color="auto"/>
            </w:tcBorders>
          </w:tcPr>
          <w:p w14:paraId="3C20BDE1" w14:textId="77777777" w:rsidR="00752811" w:rsidRPr="00F379CF" w:rsidRDefault="00752811" w:rsidP="00333C84">
            <w:pPr>
              <w:pStyle w:val="TableTextBase"/>
              <w:rPr>
                <w:sz w:val="16"/>
                <w:szCs w:val="16"/>
              </w:rPr>
            </w:pPr>
            <w:r w:rsidRPr="00F379CF">
              <w:rPr>
                <w:sz w:val="16"/>
                <w:szCs w:val="16"/>
              </w:rPr>
              <w:t>Undertake research initiatives that promote best practice in the planning, funding and delivery of infrastructure.</w:t>
            </w:r>
          </w:p>
        </w:tc>
        <w:tc>
          <w:tcPr>
            <w:tcW w:w="3543" w:type="dxa"/>
            <w:tcBorders>
              <w:top w:val="single" w:sz="4" w:space="0" w:color="auto"/>
              <w:left w:val="single" w:sz="4" w:space="0" w:color="auto"/>
              <w:bottom w:val="single" w:sz="4" w:space="0" w:color="auto"/>
            </w:tcBorders>
          </w:tcPr>
          <w:p w14:paraId="4F214584" w14:textId="77777777" w:rsidR="00752811" w:rsidRPr="00F379CF" w:rsidRDefault="00752811" w:rsidP="00333C84">
            <w:pPr>
              <w:pStyle w:val="TableTextBase"/>
              <w:rPr>
                <w:sz w:val="16"/>
                <w:szCs w:val="16"/>
              </w:rPr>
            </w:pPr>
            <w:r w:rsidRPr="00F379CF">
              <w:rPr>
                <w:sz w:val="16"/>
                <w:szCs w:val="16"/>
              </w:rPr>
              <w:t>Deliver research and other initiatives that provide leadership on regulatory reform objectives and promote best practice in the planning, funding, delivery and operation of infrastructure</w:t>
            </w:r>
          </w:p>
        </w:tc>
      </w:tr>
      <w:tr w:rsidR="00752811" w:rsidRPr="001B2F81" w14:paraId="52F34AE7" w14:textId="77777777" w:rsidTr="003A37DA">
        <w:trPr>
          <w:trHeight w:val="491"/>
        </w:trPr>
        <w:tc>
          <w:tcPr>
            <w:tcW w:w="1560" w:type="dxa"/>
            <w:tcBorders>
              <w:top w:val="single" w:sz="4" w:space="0" w:color="auto"/>
              <w:bottom w:val="single" w:sz="4" w:space="0" w:color="auto"/>
              <w:right w:val="single" w:sz="4" w:space="0" w:color="auto"/>
            </w:tcBorders>
          </w:tcPr>
          <w:p w14:paraId="7118BE18" w14:textId="509272D5" w:rsidR="00752811" w:rsidRPr="00EF1AE8" w:rsidRDefault="00752811" w:rsidP="00CB4B45">
            <w:pPr>
              <w:pStyle w:val="TableTextBase"/>
              <w:rPr>
                <w:b/>
                <w:sz w:val="16"/>
              </w:rPr>
            </w:pPr>
            <w:r w:rsidRPr="00EF1AE8">
              <w:rPr>
                <w:sz w:val="16"/>
              </w:rPr>
              <w:lastRenderedPageBreak/>
              <w:t xml:space="preserve">Forward Estimates </w:t>
            </w:r>
            <w:r w:rsidR="00CB4B45">
              <w:rPr>
                <w:sz w:val="16"/>
              </w:rPr>
              <w:br/>
            </w:r>
            <w:r w:rsidRPr="00EF1AE8">
              <w:rPr>
                <w:sz w:val="16"/>
              </w:rPr>
              <w:t>2023-26</w:t>
            </w:r>
          </w:p>
        </w:tc>
        <w:tc>
          <w:tcPr>
            <w:tcW w:w="2693" w:type="dxa"/>
            <w:tcBorders>
              <w:top w:val="single" w:sz="4" w:space="0" w:color="auto"/>
              <w:left w:val="single" w:sz="4" w:space="0" w:color="auto"/>
              <w:bottom w:val="single" w:sz="4" w:space="0" w:color="auto"/>
              <w:right w:val="single" w:sz="4" w:space="0" w:color="auto"/>
            </w:tcBorders>
          </w:tcPr>
          <w:p w14:paraId="5D41818C" w14:textId="77777777" w:rsidR="00752811" w:rsidRPr="0040099C" w:rsidRDefault="00752811" w:rsidP="00333C84">
            <w:pPr>
              <w:pStyle w:val="TableTextBase"/>
              <w:rPr>
                <w:b/>
                <w:iCs/>
                <w:color w:val="0070C0"/>
                <w:sz w:val="16"/>
              </w:rPr>
            </w:pPr>
            <w:r w:rsidRPr="0072187F">
              <w:rPr>
                <w:iCs/>
                <w:sz w:val="16"/>
              </w:rPr>
              <w:t>As per 2022-23</w:t>
            </w:r>
          </w:p>
        </w:tc>
        <w:tc>
          <w:tcPr>
            <w:tcW w:w="3543" w:type="dxa"/>
            <w:tcBorders>
              <w:top w:val="single" w:sz="4" w:space="0" w:color="auto"/>
              <w:left w:val="single" w:sz="4" w:space="0" w:color="auto"/>
              <w:bottom w:val="single" w:sz="4" w:space="0" w:color="auto"/>
            </w:tcBorders>
          </w:tcPr>
          <w:p w14:paraId="3513C82E" w14:textId="77777777" w:rsidR="00752811" w:rsidRPr="0040099C" w:rsidRDefault="00752811" w:rsidP="00333C84">
            <w:pPr>
              <w:pStyle w:val="TableTextBase"/>
              <w:rPr>
                <w:b/>
                <w:iCs/>
                <w:sz w:val="16"/>
              </w:rPr>
            </w:pPr>
            <w:r w:rsidRPr="0072187F">
              <w:rPr>
                <w:iCs/>
                <w:sz w:val="16"/>
              </w:rPr>
              <w:t>As per 2022-23</w:t>
            </w:r>
          </w:p>
        </w:tc>
      </w:tr>
    </w:tbl>
    <w:p w14:paraId="5A8D509D" w14:textId="77777777" w:rsidR="00752811" w:rsidRPr="0047184A" w:rsidRDefault="00752811" w:rsidP="005B1467">
      <w:pPr>
        <w:pStyle w:val="Heading2-IA"/>
      </w:pPr>
      <w:r w:rsidRPr="005B6A94">
        <w:br w:type="page"/>
      </w:r>
      <w:bookmarkStart w:id="46" w:name="_Toc97321026"/>
      <w:bookmarkStart w:id="47" w:name="_Toc98440328"/>
      <w:bookmarkStart w:id="48" w:name="_Toc98440476"/>
      <w:bookmarkStart w:id="49" w:name="_Toc98440624"/>
      <w:bookmarkStart w:id="50" w:name="_Toc98440772"/>
      <w:bookmarkStart w:id="51" w:name="_Toc98440920"/>
      <w:bookmarkStart w:id="52" w:name="_Toc98534100"/>
      <w:r w:rsidRPr="0047184A">
        <w:lastRenderedPageBreak/>
        <w:t>Section 3: Budgeted financial statements</w:t>
      </w:r>
      <w:bookmarkEnd w:id="46"/>
      <w:bookmarkEnd w:id="47"/>
      <w:bookmarkEnd w:id="48"/>
      <w:bookmarkEnd w:id="49"/>
      <w:bookmarkEnd w:id="50"/>
      <w:bookmarkEnd w:id="51"/>
      <w:bookmarkEnd w:id="52"/>
    </w:p>
    <w:p w14:paraId="7A5A88EC" w14:textId="337F1287" w:rsidR="00752811" w:rsidRPr="0047184A" w:rsidRDefault="00752811" w:rsidP="00752811">
      <w:pPr>
        <w:jc w:val="left"/>
      </w:pPr>
      <w:r w:rsidRPr="0047184A">
        <w:t xml:space="preserve">Section 3 presents budgeted financial statements which provide a comprehensive snapshot of </w:t>
      </w:r>
      <w:r w:rsidR="00A167BA">
        <w:t>IA</w:t>
      </w:r>
      <w:r w:rsidRPr="0047184A">
        <w:t xml:space="preserve"> finances for the 2022-23</w:t>
      </w:r>
      <w:r w:rsidR="00A167BA">
        <w:t xml:space="preserve"> B</w:t>
      </w:r>
      <w:r w:rsidRPr="0047184A">
        <w:t>udget year, including the impact of budget measures and resourcing on financial statements.</w:t>
      </w:r>
    </w:p>
    <w:p w14:paraId="7E43C988" w14:textId="77777777" w:rsidR="00752811" w:rsidRPr="0047184A" w:rsidRDefault="00752811" w:rsidP="005B1467">
      <w:pPr>
        <w:pStyle w:val="Heading3-IA"/>
      </w:pPr>
      <w:bookmarkStart w:id="53" w:name="_Toc97321027"/>
      <w:bookmarkStart w:id="54" w:name="_Toc98440329"/>
      <w:bookmarkStart w:id="55" w:name="_Toc98440477"/>
      <w:bookmarkStart w:id="56" w:name="_Toc98440625"/>
      <w:bookmarkStart w:id="57" w:name="_Toc98440773"/>
      <w:bookmarkStart w:id="58" w:name="_Toc98440921"/>
      <w:bookmarkStart w:id="59" w:name="_Toc98534101"/>
      <w:r w:rsidRPr="0047184A">
        <w:t>3.1</w:t>
      </w:r>
      <w:r w:rsidRPr="0047184A">
        <w:tab/>
        <w:t>Budgeted financial statements</w:t>
      </w:r>
      <w:bookmarkEnd w:id="53"/>
      <w:bookmarkEnd w:id="54"/>
      <w:bookmarkEnd w:id="55"/>
      <w:bookmarkEnd w:id="56"/>
      <w:bookmarkEnd w:id="57"/>
      <w:bookmarkEnd w:id="58"/>
      <w:bookmarkEnd w:id="59"/>
    </w:p>
    <w:p w14:paraId="099753BB" w14:textId="77777777" w:rsidR="00752811" w:rsidRPr="0047184A" w:rsidRDefault="00752811" w:rsidP="00752811">
      <w:pPr>
        <w:pStyle w:val="Heading4"/>
      </w:pPr>
      <w:r w:rsidRPr="0047184A">
        <w:t>3.1.1</w:t>
      </w:r>
      <w:r w:rsidRPr="0047184A">
        <w:tab/>
        <w:t>Explanatory notes and analysis of budgeted financial statements</w:t>
      </w:r>
    </w:p>
    <w:p w14:paraId="0D73E103" w14:textId="77777777" w:rsidR="00752811" w:rsidRPr="00D81704" w:rsidRDefault="00752811" w:rsidP="00A167BA">
      <w:pPr>
        <w:pStyle w:val="ExampleText0"/>
        <w:spacing w:after="120"/>
        <w:rPr>
          <w:b/>
          <w:bCs/>
          <w:i w:val="0"/>
          <w:iCs/>
          <w:color w:val="auto"/>
        </w:rPr>
      </w:pPr>
      <w:r w:rsidRPr="00D81704">
        <w:rPr>
          <w:b/>
          <w:bCs/>
          <w:i w:val="0"/>
          <w:iCs/>
          <w:color w:val="auto"/>
        </w:rPr>
        <w:t>Revenue</w:t>
      </w:r>
    </w:p>
    <w:p w14:paraId="318BECC8" w14:textId="77777777" w:rsidR="00752811" w:rsidRDefault="00752811" w:rsidP="00752811">
      <w:pPr>
        <w:pStyle w:val="ExampleText0"/>
        <w:spacing w:after="160"/>
        <w:rPr>
          <w:i w:val="0"/>
          <w:iCs/>
          <w:color w:val="auto"/>
        </w:rPr>
      </w:pPr>
      <w:r w:rsidRPr="00110F59">
        <w:rPr>
          <w:i w:val="0"/>
          <w:iCs/>
          <w:color w:val="auto"/>
        </w:rPr>
        <w:t xml:space="preserve">The vast majority of IA’s revenue </w:t>
      </w:r>
      <w:r>
        <w:rPr>
          <w:i w:val="0"/>
          <w:iCs/>
          <w:color w:val="auto"/>
        </w:rPr>
        <w:t>are appropriations, totalling $12.7 million in 2022-23. In 2021-22, IA received additional funding to review its Assessment Framework, which represents the small drop in appropriation revenue in 2022-23 compared to the prior year.</w:t>
      </w:r>
    </w:p>
    <w:p w14:paraId="60079370" w14:textId="77777777" w:rsidR="00752811" w:rsidRDefault="00752811" w:rsidP="00752811">
      <w:pPr>
        <w:pStyle w:val="ExampleText0"/>
        <w:spacing w:after="160"/>
        <w:rPr>
          <w:i w:val="0"/>
          <w:iCs/>
          <w:color w:val="auto"/>
        </w:rPr>
      </w:pPr>
      <w:r>
        <w:rPr>
          <w:i w:val="0"/>
          <w:iCs/>
          <w:color w:val="auto"/>
        </w:rPr>
        <w:t>In addition to appropriations IA earns a small amount of interest revenue from its cash deposits.</w:t>
      </w:r>
    </w:p>
    <w:p w14:paraId="1DB02747" w14:textId="77777777" w:rsidR="00752811" w:rsidRPr="00D81704" w:rsidRDefault="00752811" w:rsidP="00A167BA">
      <w:pPr>
        <w:pStyle w:val="ExampleText0"/>
        <w:spacing w:after="120"/>
        <w:rPr>
          <w:b/>
          <w:bCs/>
          <w:i w:val="0"/>
          <w:iCs/>
          <w:color w:val="auto"/>
        </w:rPr>
      </w:pPr>
      <w:r>
        <w:rPr>
          <w:b/>
          <w:bCs/>
          <w:i w:val="0"/>
          <w:iCs/>
          <w:color w:val="auto"/>
        </w:rPr>
        <w:t>Expenses</w:t>
      </w:r>
    </w:p>
    <w:p w14:paraId="09DF7E60" w14:textId="77777777" w:rsidR="00752811" w:rsidRDefault="00752811" w:rsidP="00752811">
      <w:pPr>
        <w:pStyle w:val="ExampleText0"/>
        <w:rPr>
          <w:i w:val="0"/>
          <w:color w:val="auto"/>
        </w:rPr>
      </w:pPr>
      <w:r w:rsidRPr="00E93418">
        <w:rPr>
          <w:i w:val="0"/>
          <w:color w:val="auto"/>
        </w:rPr>
        <w:t xml:space="preserve">IA is budgeting </w:t>
      </w:r>
      <w:r>
        <w:rPr>
          <w:i w:val="0"/>
          <w:color w:val="auto"/>
        </w:rPr>
        <w:t xml:space="preserve">for </w:t>
      </w:r>
      <w:r w:rsidRPr="00E93418">
        <w:rPr>
          <w:i w:val="0"/>
          <w:color w:val="auto"/>
        </w:rPr>
        <w:t>operating expenses of $12.</w:t>
      </w:r>
      <w:r>
        <w:rPr>
          <w:i w:val="0"/>
          <w:color w:val="auto"/>
        </w:rPr>
        <w:t>7</w:t>
      </w:r>
      <w:r w:rsidRPr="00E93418">
        <w:rPr>
          <w:i w:val="0"/>
          <w:color w:val="auto"/>
        </w:rPr>
        <w:t xml:space="preserve"> million in 202</w:t>
      </w:r>
      <w:r>
        <w:rPr>
          <w:i w:val="0"/>
          <w:color w:val="auto"/>
        </w:rPr>
        <w:t>2</w:t>
      </w:r>
      <w:r w:rsidRPr="00E93418">
        <w:rPr>
          <w:i w:val="0"/>
          <w:color w:val="auto"/>
        </w:rPr>
        <w:t>-2</w:t>
      </w:r>
      <w:r>
        <w:rPr>
          <w:i w:val="0"/>
          <w:color w:val="auto"/>
        </w:rPr>
        <w:t>3</w:t>
      </w:r>
      <w:r w:rsidRPr="00E93418">
        <w:rPr>
          <w:i w:val="0"/>
          <w:color w:val="auto"/>
        </w:rPr>
        <w:t>. This consists of $</w:t>
      </w:r>
      <w:r>
        <w:rPr>
          <w:i w:val="0"/>
          <w:color w:val="auto"/>
        </w:rPr>
        <w:t>6.9</w:t>
      </w:r>
      <w:r w:rsidRPr="00E93418">
        <w:rPr>
          <w:color w:val="auto"/>
        </w:rPr>
        <w:t> </w:t>
      </w:r>
      <w:r w:rsidRPr="00E93418">
        <w:rPr>
          <w:i w:val="0"/>
          <w:color w:val="auto"/>
        </w:rPr>
        <w:t>million employee expenses, $4.5</w:t>
      </w:r>
      <w:r w:rsidRPr="00E93418">
        <w:t xml:space="preserve"> </w:t>
      </w:r>
      <w:r w:rsidRPr="00E93418">
        <w:rPr>
          <w:i w:val="0"/>
          <w:color w:val="auto"/>
        </w:rPr>
        <w:t>million supplier expenses and $1.3 million in depreciation, amortisation and finance costs.</w:t>
      </w:r>
    </w:p>
    <w:p w14:paraId="5DFFE976" w14:textId="77777777" w:rsidR="00752811" w:rsidRDefault="00752811" w:rsidP="00752811">
      <w:pPr>
        <w:pStyle w:val="ExampleText0"/>
        <w:rPr>
          <w:i w:val="0"/>
          <w:color w:val="auto"/>
        </w:rPr>
      </w:pPr>
      <w:r w:rsidRPr="00E93418">
        <w:rPr>
          <w:i w:val="0"/>
          <w:color w:val="auto"/>
        </w:rPr>
        <w:t>IA’s expense budget reflects the work program for IA in 202</w:t>
      </w:r>
      <w:r>
        <w:rPr>
          <w:i w:val="0"/>
          <w:color w:val="auto"/>
        </w:rPr>
        <w:t>2</w:t>
      </w:r>
      <w:r w:rsidRPr="00E93418">
        <w:rPr>
          <w:i w:val="0"/>
          <w:color w:val="auto"/>
        </w:rPr>
        <w:t>–2</w:t>
      </w:r>
      <w:r>
        <w:rPr>
          <w:i w:val="0"/>
          <w:color w:val="auto"/>
        </w:rPr>
        <w:t>3</w:t>
      </w:r>
      <w:r w:rsidRPr="00E93418">
        <w:rPr>
          <w:i w:val="0"/>
          <w:color w:val="auto"/>
        </w:rPr>
        <w:t>. This includes the continued provision of advice on nationally significant infrastructure matters, evaluation of project proposals</w:t>
      </w:r>
      <w:r>
        <w:rPr>
          <w:i w:val="0"/>
          <w:color w:val="auto"/>
        </w:rPr>
        <w:t>,</w:t>
      </w:r>
      <w:r w:rsidRPr="00C6165D">
        <w:rPr>
          <w:i w:val="0"/>
          <w:color w:val="auto"/>
        </w:rPr>
        <w:t xml:space="preserve"> </w:t>
      </w:r>
      <w:r>
        <w:rPr>
          <w:i w:val="0"/>
          <w:color w:val="auto"/>
        </w:rPr>
        <w:t xml:space="preserve">the </w:t>
      </w:r>
      <w:r w:rsidRPr="00FB30C9">
        <w:rPr>
          <w:i w:val="0"/>
          <w:color w:val="auto"/>
        </w:rPr>
        <w:t>deliver</w:t>
      </w:r>
      <w:r>
        <w:rPr>
          <w:i w:val="0"/>
          <w:color w:val="auto"/>
        </w:rPr>
        <w:t>y of</w:t>
      </w:r>
      <w:r w:rsidRPr="00FB30C9">
        <w:rPr>
          <w:i w:val="0"/>
          <w:color w:val="auto"/>
        </w:rPr>
        <w:t xml:space="preserve"> annual analytical assessments of infrastructure market capacity</w:t>
      </w:r>
      <w:r w:rsidRPr="00E93418">
        <w:rPr>
          <w:i w:val="0"/>
          <w:color w:val="auto"/>
        </w:rPr>
        <w:t xml:space="preserve"> and development of further research regarding the identification and application of best practice planning delivery and operation of Australia's infrastructure networks. IA will further continue to establish and develop the corporate capabilities to support IA's role as an independent entity that provides high quality advice.</w:t>
      </w:r>
    </w:p>
    <w:p w14:paraId="3DAC43BC" w14:textId="77777777" w:rsidR="00752811" w:rsidRDefault="00752811" w:rsidP="00A167BA">
      <w:pPr>
        <w:pStyle w:val="ExampleText0"/>
        <w:spacing w:after="120"/>
        <w:rPr>
          <w:b/>
          <w:bCs/>
          <w:i w:val="0"/>
          <w:color w:val="auto"/>
        </w:rPr>
      </w:pPr>
      <w:r w:rsidRPr="00171458">
        <w:rPr>
          <w:b/>
          <w:bCs/>
          <w:i w:val="0"/>
          <w:color w:val="auto"/>
        </w:rPr>
        <w:t>Balance Sheet</w:t>
      </w:r>
    </w:p>
    <w:p w14:paraId="14AF6468" w14:textId="00F7C412" w:rsidR="00752811" w:rsidRPr="003C0894" w:rsidRDefault="00752811" w:rsidP="00752811">
      <w:pPr>
        <w:pStyle w:val="BodyText"/>
        <w:rPr>
          <w:rFonts w:ascii="Book Antiqua" w:eastAsia="Times New Roman" w:hAnsi="Book Antiqua"/>
          <w:sz w:val="20"/>
          <w:szCs w:val="20"/>
          <w:lang w:val="en-AU" w:eastAsia="en-AU"/>
        </w:rPr>
      </w:pPr>
      <w:r w:rsidRPr="003C0894">
        <w:rPr>
          <w:rFonts w:ascii="Book Antiqua" w:eastAsia="Times New Roman" w:hAnsi="Book Antiqua"/>
          <w:sz w:val="20"/>
          <w:szCs w:val="20"/>
          <w:lang w:val="en-AU" w:eastAsia="en-AU"/>
        </w:rPr>
        <w:t>At 30 June 202</w:t>
      </w:r>
      <w:r>
        <w:rPr>
          <w:rFonts w:ascii="Book Antiqua" w:eastAsia="Times New Roman" w:hAnsi="Book Antiqua"/>
          <w:sz w:val="20"/>
          <w:szCs w:val="20"/>
          <w:lang w:val="en-AU" w:eastAsia="en-AU"/>
        </w:rPr>
        <w:t>3</w:t>
      </w:r>
      <w:r w:rsidRPr="003C0894">
        <w:rPr>
          <w:rFonts w:ascii="Book Antiqua" w:eastAsia="Times New Roman" w:hAnsi="Book Antiqua"/>
          <w:sz w:val="20"/>
          <w:szCs w:val="20"/>
          <w:lang w:val="en-AU" w:eastAsia="en-AU"/>
        </w:rPr>
        <w:t xml:space="preserve">, </w:t>
      </w:r>
      <w:r>
        <w:rPr>
          <w:rFonts w:ascii="Book Antiqua" w:eastAsia="Times New Roman" w:hAnsi="Book Antiqua"/>
          <w:sz w:val="20"/>
          <w:szCs w:val="20"/>
          <w:lang w:val="en-AU" w:eastAsia="en-AU"/>
        </w:rPr>
        <w:t xml:space="preserve">IA is budgeting for </w:t>
      </w:r>
      <w:r w:rsidRPr="003C0894">
        <w:rPr>
          <w:rFonts w:ascii="Book Antiqua" w:eastAsia="Times New Roman" w:hAnsi="Book Antiqua"/>
          <w:sz w:val="20"/>
          <w:szCs w:val="20"/>
          <w:lang w:val="en-AU" w:eastAsia="en-AU"/>
        </w:rPr>
        <w:t>net equity of $</w:t>
      </w:r>
      <w:r>
        <w:rPr>
          <w:rFonts w:ascii="Book Antiqua" w:eastAsia="Times New Roman" w:hAnsi="Book Antiqua"/>
          <w:sz w:val="20"/>
          <w:szCs w:val="20"/>
          <w:lang w:val="en-AU" w:eastAsia="en-AU"/>
        </w:rPr>
        <w:t>3.0 million</w:t>
      </w:r>
      <w:r w:rsidRPr="003C0894">
        <w:rPr>
          <w:rFonts w:ascii="Book Antiqua" w:eastAsia="Times New Roman" w:hAnsi="Book Antiqua"/>
          <w:sz w:val="20"/>
          <w:szCs w:val="20"/>
          <w:lang w:val="en-AU" w:eastAsia="en-AU"/>
        </w:rPr>
        <w:t xml:space="preserve"> representing assets of $</w:t>
      </w:r>
      <w:r>
        <w:rPr>
          <w:rFonts w:ascii="Book Antiqua" w:eastAsia="Times New Roman" w:hAnsi="Book Antiqua"/>
          <w:sz w:val="20"/>
          <w:szCs w:val="20"/>
          <w:lang w:val="en-AU" w:eastAsia="en-AU"/>
        </w:rPr>
        <w:t>7.5 million</w:t>
      </w:r>
      <w:r w:rsidRPr="003C0894">
        <w:rPr>
          <w:rFonts w:ascii="Book Antiqua" w:eastAsia="Times New Roman" w:hAnsi="Book Antiqua"/>
          <w:sz w:val="20"/>
          <w:szCs w:val="20"/>
          <w:lang w:val="en-AU" w:eastAsia="en-AU"/>
        </w:rPr>
        <w:t xml:space="preserve"> and liabilities of $</w:t>
      </w:r>
      <w:r w:rsidR="00710C40">
        <w:rPr>
          <w:rFonts w:ascii="Book Antiqua" w:eastAsia="Times New Roman" w:hAnsi="Book Antiqua"/>
          <w:sz w:val="20"/>
          <w:szCs w:val="20"/>
          <w:lang w:val="en-AU" w:eastAsia="en-AU"/>
        </w:rPr>
        <w:t>4.6</w:t>
      </w:r>
      <w:r>
        <w:rPr>
          <w:rFonts w:ascii="Book Antiqua" w:eastAsia="Times New Roman" w:hAnsi="Book Antiqua"/>
          <w:sz w:val="20"/>
          <w:szCs w:val="20"/>
          <w:lang w:val="en-AU" w:eastAsia="en-AU"/>
        </w:rPr>
        <w:t xml:space="preserve"> million</w:t>
      </w:r>
      <w:r w:rsidRPr="003C0894">
        <w:rPr>
          <w:rFonts w:ascii="Book Antiqua" w:eastAsia="Times New Roman" w:hAnsi="Book Antiqua"/>
          <w:sz w:val="20"/>
          <w:szCs w:val="20"/>
          <w:lang w:val="en-AU" w:eastAsia="en-AU"/>
        </w:rPr>
        <w:t xml:space="preserve">. </w:t>
      </w:r>
    </w:p>
    <w:p w14:paraId="27ABACD8" w14:textId="77777777" w:rsidR="00752811" w:rsidRPr="003C0894" w:rsidRDefault="00752811" w:rsidP="00752811">
      <w:pPr>
        <w:pStyle w:val="BodyText"/>
        <w:rPr>
          <w:rFonts w:ascii="Book Antiqua" w:eastAsia="Times New Roman" w:hAnsi="Book Antiqua"/>
          <w:sz w:val="20"/>
          <w:szCs w:val="20"/>
          <w:lang w:val="en-AU" w:eastAsia="en-AU"/>
        </w:rPr>
      </w:pPr>
      <w:r w:rsidRPr="003C0894">
        <w:rPr>
          <w:rFonts w:ascii="Book Antiqua" w:eastAsia="Times New Roman" w:hAnsi="Book Antiqua"/>
          <w:sz w:val="20"/>
          <w:szCs w:val="20"/>
          <w:lang w:val="en-AU" w:eastAsia="en-AU"/>
        </w:rPr>
        <w:t xml:space="preserve">Most significant asset balances relate to cash and a right-of-use asset associated with </w:t>
      </w:r>
      <w:r>
        <w:rPr>
          <w:rFonts w:ascii="Book Antiqua" w:eastAsia="Times New Roman" w:hAnsi="Book Antiqua"/>
          <w:sz w:val="20"/>
          <w:szCs w:val="20"/>
          <w:lang w:val="en-AU" w:eastAsia="en-AU"/>
        </w:rPr>
        <w:t>IA</w:t>
      </w:r>
      <w:r w:rsidRPr="003C0894">
        <w:rPr>
          <w:rFonts w:ascii="Book Antiqua" w:eastAsia="Times New Roman" w:hAnsi="Book Antiqua"/>
          <w:sz w:val="20"/>
          <w:szCs w:val="20"/>
          <w:lang w:val="en-AU" w:eastAsia="en-AU"/>
        </w:rPr>
        <w:t>’s office lease.</w:t>
      </w:r>
    </w:p>
    <w:p w14:paraId="0012A3C1" w14:textId="77777777" w:rsidR="00752811" w:rsidRPr="003C0894" w:rsidRDefault="00752811" w:rsidP="00752811">
      <w:pPr>
        <w:pStyle w:val="BodyText"/>
        <w:rPr>
          <w:rFonts w:ascii="Book Antiqua" w:eastAsia="Times New Roman" w:hAnsi="Book Antiqua"/>
          <w:sz w:val="20"/>
          <w:szCs w:val="20"/>
          <w:lang w:val="en-AU" w:eastAsia="en-AU"/>
        </w:rPr>
      </w:pPr>
      <w:r w:rsidRPr="003C0894">
        <w:rPr>
          <w:rFonts w:ascii="Book Antiqua" w:eastAsia="Times New Roman" w:hAnsi="Book Antiqua"/>
          <w:sz w:val="20"/>
          <w:szCs w:val="20"/>
          <w:lang w:val="en-AU" w:eastAsia="en-AU"/>
        </w:rPr>
        <w:t xml:space="preserve">Most significant liabilities relate to the lease liability associated with </w:t>
      </w:r>
      <w:r>
        <w:rPr>
          <w:rFonts w:ascii="Book Antiqua" w:eastAsia="Times New Roman" w:hAnsi="Book Antiqua"/>
          <w:sz w:val="20"/>
          <w:szCs w:val="20"/>
          <w:lang w:val="en-AU" w:eastAsia="en-AU"/>
        </w:rPr>
        <w:t xml:space="preserve">IA’s </w:t>
      </w:r>
      <w:r w:rsidRPr="003C0894">
        <w:rPr>
          <w:rFonts w:ascii="Book Antiqua" w:eastAsia="Times New Roman" w:hAnsi="Book Antiqua"/>
          <w:sz w:val="20"/>
          <w:szCs w:val="20"/>
          <w:lang w:val="en-AU" w:eastAsia="en-AU"/>
        </w:rPr>
        <w:t>office lease, and supplier payables.</w:t>
      </w:r>
    </w:p>
    <w:p w14:paraId="6620C8F3" w14:textId="77777777" w:rsidR="00752811" w:rsidRPr="005C5F42" w:rsidRDefault="00752811" w:rsidP="005B1467">
      <w:pPr>
        <w:pStyle w:val="Heading3-IA"/>
      </w:pPr>
      <w:r w:rsidRPr="0054289D">
        <w:rPr>
          <w:highlight w:val="green"/>
        </w:rPr>
        <w:br w:type="page"/>
      </w:r>
      <w:bookmarkStart w:id="60" w:name="_Toc97321028"/>
      <w:bookmarkStart w:id="61" w:name="_Toc98440330"/>
      <w:bookmarkStart w:id="62" w:name="_Toc98440478"/>
      <w:bookmarkStart w:id="63" w:name="_Toc98440626"/>
      <w:bookmarkStart w:id="64" w:name="_Toc98440774"/>
      <w:bookmarkStart w:id="65" w:name="_Toc98440922"/>
      <w:bookmarkStart w:id="66" w:name="_Toc98534102"/>
      <w:r w:rsidRPr="007411D3">
        <w:lastRenderedPageBreak/>
        <w:t>3.2</w:t>
      </w:r>
      <w:r w:rsidRPr="007411D3">
        <w:tab/>
        <w:t>Budgeted financial statements tables</w:t>
      </w:r>
      <w:bookmarkEnd w:id="60"/>
      <w:bookmarkEnd w:id="61"/>
      <w:bookmarkEnd w:id="62"/>
      <w:bookmarkEnd w:id="63"/>
      <w:bookmarkEnd w:id="64"/>
      <w:bookmarkEnd w:id="65"/>
      <w:bookmarkEnd w:id="66"/>
    </w:p>
    <w:p w14:paraId="12CA0812" w14:textId="77777777" w:rsidR="00752811" w:rsidRDefault="00752811" w:rsidP="00752811">
      <w:pPr>
        <w:pStyle w:val="TableHeading"/>
        <w:rPr>
          <w:snapToGrid w:val="0"/>
        </w:rPr>
      </w:pPr>
      <w:r w:rsidRPr="005C5F42">
        <w:t xml:space="preserve">Table 3.1: Comprehensive income statement (showing net cost of services) </w:t>
      </w:r>
      <w:r w:rsidRPr="005C5F42">
        <w:rPr>
          <w:snapToGrid w:val="0"/>
        </w:rPr>
        <w:t>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752811" w:rsidRPr="00F379CF" w14:paraId="6FF55E4B" w14:textId="77777777" w:rsidTr="009F30BC">
        <w:trPr>
          <w:trHeight w:val="204"/>
        </w:trPr>
        <w:tc>
          <w:tcPr>
            <w:tcW w:w="3236" w:type="dxa"/>
            <w:tcBorders>
              <w:top w:val="single" w:sz="4" w:space="0" w:color="auto"/>
              <w:left w:val="nil"/>
              <w:bottom w:val="nil"/>
              <w:right w:val="nil"/>
            </w:tcBorders>
            <w:shd w:val="clear" w:color="auto" w:fill="auto"/>
            <w:noWrap/>
            <w:vAlign w:val="bottom"/>
            <w:hideMark/>
          </w:tcPr>
          <w:p w14:paraId="6BA449F7"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18B6881C"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2021-22 Estimated actual</w:t>
            </w:r>
            <w:r w:rsidRPr="00F379CF">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2D906BEC"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2022-23</w:t>
            </w:r>
            <w:r w:rsidRPr="00F379CF">
              <w:rPr>
                <w:rFonts w:ascii="Arial" w:hAnsi="Arial" w:cs="Arial"/>
                <w:sz w:val="16"/>
                <w:szCs w:val="16"/>
              </w:rPr>
              <w:br/>
              <w:t>Budget</w:t>
            </w:r>
            <w:r w:rsidRPr="00F379CF">
              <w:rPr>
                <w:rFonts w:ascii="Arial" w:hAnsi="Arial" w:cs="Arial"/>
                <w:sz w:val="16"/>
                <w:szCs w:val="16"/>
              </w:rPr>
              <w:br/>
            </w:r>
            <w:r w:rsidRPr="00F379C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1888F6BB"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2023-24 Forward estimate</w:t>
            </w:r>
            <w:r w:rsidRPr="00F379C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596E2E09"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2024-25 Forward estimate</w:t>
            </w:r>
            <w:r w:rsidRPr="00F379C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72E901C2"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2025-26</w:t>
            </w:r>
            <w:r w:rsidRPr="00F379CF">
              <w:rPr>
                <w:rFonts w:ascii="Arial" w:hAnsi="Arial" w:cs="Arial"/>
                <w:sz w:val="16"/>
                <w:szCs w:val="16"/>
              </w:rPr>
              <w:br/>
              <w:t>Forward estimate</w:t>
            </w:r>
            <w:r w:rsidRPr="00F379CF">
              <w:rPr>
                <w:rFonts w:ascii="Arial" w:hAnsi="Arial" w:cs="Arial"/>
                <w:sz w:val="16"/>
                <w:szCs w:val="16"/>
              </w:rPr>
              <w:br/>
              <w:t>$'000</w:t>
            </w:r>
          </w:p>
        </w:tc>
      </w:tr>
      <w:tr w:rsidR="00752811" w:rsidRPr="00F379CF" w14:paraId="38CF5595" w14:textId="77777777" w:rsidTr="009F30BC">
        <w:trPr>
          <w:trHeight w:val="204"/>
        </w:trPr>
        <w:tc>
          <w:tcPr>
            <w:tcW w:w="3236" w:type="dxa"/>
            <w:tcBorders>
              <w:top w:val="nil"/>
              <w:left w:val="nil"/>
              <w:bottom w:val="nil"/>
              <w:right w:val="nil"/>
            </w:tcBorders>
            <w:shd w:val="clear" w:color="auto" w:fill="auto"/>
            <w:noWrap/>
            <w:vAlign w:val="bottom"/>
            <w:hideMark/>
          </w:tcPr>
          <w:p w14:paraId="332F55F6"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3A019BCE" w14:textId="77777777" w:rsidR="00752811" w:rsidRPr="00F379CF" w:rsidRDefault="00752811" w:rsidP="009F30BC">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AC2F4B7" w14:textId="77777777" w:rsidR="00752811" w:rsidRPr="00F379CF" w:rsidRDefault="00752811" w:rsidP="009F30BC">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4330A3D" w14:textId="77777777" w:rsidR="00752811" w:rsidRPr="00F379CF" w:rsidRDefault="00752811" w:rsidP="009F30BC">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51CA65E" w14:textId="77777777" w:rsidR="00752811" w:rsidRPr="0016574C" w:rsidRDefault="00752811" w:rsidP="009F30BC">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72746AD" w14:textId="77777777" w:rsidR="00752811" w:rsidRPr="0016574C" w:rsidRDefault="00752811" w:rsidP="009F30BC">
            <w:pPr>
              <w:spacing w:after="0" w:line="240" w:lineRule="auto"/>
              <w:jc w:val="right"/>
              <w:rPr>
                <w:rFonts w:ascii="Arial" w:hAnsi="Arial" w:cs="Arial"/>
                <w:sz w:val="16"/>
                <w:szCs w:val="16"/>
              </w:rPr>
            </w:pPr>
          </w:p>
        </w:tc>
      </w:tr>
      <w:tr w:rsidR="00752811" w:rsidRPr="00F379CF" w14:paraId="2A3CD965" w14:textId="77777777" w:rsidTr="009F30BC">
        <w:trPr>
          <w:trHeight w:val="204"/>
        </w:trPr>
        <w:tc>
          <w:tcPr>
            <w:tcW w:w="3236" w:type="dxa"/>
            <w:tcBorders>
              <w:top w:val="nil"/>
              <w:left w:val="nil"/>
              <w:bottom w:val="nil"/>
              <w:right w:val="nil"/>
            </w:tcBorders>
            <w:shd w:val="clear" w:color="auto" w:fill="auto"/>
            <w:noWrap/>
            <w:vAlign w:val="bottom"/>
            <w:hideMark/>
          </w:tcPr>
          <w:p w14:paraId="0512FCFD" w14:textId="77777777" w:rsidR="00752811" w:rsidRPr="00F379CF" w:rsidRDefault="00752811" w:rsidP="00333C84">
            <w:pPr>
              <w:spacing w:after="0" w:line="240" w:lineRule="auto"/>
              <w:ind w:left="113"/>
              <w:jc w:val="left"/>
              <w:rPr>
                <w:rFonts w:ascii="Arial" w:hAnsi="Arial" w:cs="Arial"/>
                <w:sz w:val="16"/>
                <w:szCs w:val="16"/>
              </w:rPr>
            </w:pPr>
            <w:r w:rsidRPr="00F379CF">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448030CE" w14:textId="77777777" w:rsidR="00752811" w:rsidRPr="00F379CF" w:rsidRDefault="00752811" w:rsidP="009F30BC">
            <w:pPr>
              <w:spacing w:after="0" w:line="240" w:lineRule="auto"/>
              <w:jc w:val="right"/>
              <w:rPr>
                <w:rFonts w:ascii="Arial" w:hAnsi="Arial" w:cs="Arial"/>
                <w:sz w:val="16"/>
                <w:szCs w:val="16"/>
              </w:rPr>
            </w:pPr>
            <w:r w:rsidRPr="00F379CF">
              <w:rPr>
                <w:rFonts w:ascii="Arial" w:hAnsi="Arial" w:cs="Arial"/>
                <w:sz w:val="16"/>
                <w:szCs w:val="16"/>
              </w:rPr>
              <w:t>7,214</w:t>
            </w:r>
          </w:p>
        </w:tc>
        <w:tc>
          <w:tcPr>
            <w:tcW w:w="876" w:type="dxa"/>
            <w:tcBorders>
              <w:top w:val="nil"/>
              <w:left w:val="nil"/>
              <w:bottom w:val="nil"/>
              <w:right w:val="nil"/>
            </w:tcBorders>
            <w:shd w:val="clear" w:color="000000" w:fill="E6E6E6"/>
            <w:noWrap/>
            <w:vAlign w:val="bottom"/>
            <w:hideMark/>
          </w:tcPr>
          <w:p w14:paraId="04DD1FD6"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6,908</w:t>
            </w:r>
          </w:p>
        </w:tc>
        <w:tc>
          <w:tcPr>
            <w:tcW w:w="877" w:type="dxa"/>
            <w:tcBorders>
              <w:top w:val="nil"/>
              <w:left w:val="nil"/>
              <w:bottom w:val="nil"/>
              <w:right w:val="nil"/>
            </w:tcBorders>
            <w:shd w:val="clear" w:color="auto" w:fill="auto"/>
            <w:noWrap/>
            <w:vAlign w:val="bottom"/>
            <w:hideMark/>
          </w:tcPr>
          <w:p w14:paraId="321B15C8"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7,045</w:t>
            </w:r>
          </w:p>
        </w:tc>
        <w:tc>
          <w:tcPr>
            <w:tcW w:w="877" w:type="dxa"/>
            <w:tcBorders>
              <w:top w:val="nil"/>
              <w:left w:val="nil"/>
              <w:bottom w:val="nil"/>
              <w:right w:val="nil"/>
            </w:tcBorders>
            <w:shd w:val="clear" w:color="auto" w:fill="auto"/>
            <w:noWrap/>
            <w:vAlign w:val="bottom"/>
            <w:hideMark/>
          </w:tcPr>
          <w:p w14:paraId="541F669B"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7,215</w:t>
            </w:r>
          </w:p>
        </w:tc>
        <w:tc>
          <w:tcPr>
            <w:tcW w:w="877" w:type="dxa"/>
            <w:tcBorders>
              <w:top w:val="nil"/>
              <w:left w:val="nil"/>
              <w:bottom w:val="nil"/>
              <w:right w:val="nil"/>
            </w:tcBorders>
            <w:shd w:val="clear" w:color="auto" w:fill="auto"/>
            <w:noWrap/>
            <w:vAlign w:val="bottom"/>
            <w:hideMark/>
          </w:tcPr>
          <w:p w14:paraId="53B0370D"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7,386</w:t>
            </w:r>
          </w:p>
        </w:tc>
      </w:tr>
      <w:tr w:rsidR="00752811" w:rsidRPr="00F379CF" w14:paraId="16454AF1" w14:textId="77777777" w:rsidTr="009F30BC">
        <w:trPr>
          <w:trHeight w:val="204"/>
        </w:trPr>
        <w:tc>
          <w:tcPr>
            <w:tcW w:w="3236" w:type="dxa"/>
            <w:tcBorders>
              <w:top w:val="nil"/>
              <w:left w:val="nil"/>
              <w:bottom w:val="nil"/>
              <w:right w:val="nil"/>
            </w:tcBorders>
            <w:shd w:val="clear" w:color="auto" w:fill="auto"/>
            <w:noWrap/>
            <w:vAlign w:val="bottom"/>
            <w:hideMark/>
          </w:tcPr>
          <w:p w14:paraId="7B6CD234" w14:textId="77777777" w:rsidR="00752811" w:rsidRPr="00F379CF" w:rsidRDefault="00752811" w:rsidP="00333C84">
            <w:pPr>
              <w:spacing w:after="0" w:line="240" w:lineRule="auto"/>
              <w:ind w:left="113"/>
              <w:jc w:val="left"/>
              <w:rPr>
                <w:rFonts w:ascii="Arial" w:hAnsi="Arial" w:cs="Arial"/>
                <w:sz w:val="16"/>
                <w:szCs w:val="16"/>
              </w:rPr>
            </w:pPr>
            <w:r w:rsidRPr="00F379CF">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18C8FEEB" w14:textId="77777777" w:rsidR="00752811" w:rsidRPr="00F379CF" w:rsidRDefault="00752811" w:rsidP="009F30BC">
            <w:pPr>
              <w:spacing w:after="0" w:line="240" w:lineRule="auto"/>
              <w:jc w:val="right"/>
              <w:rPr>
                <w:rFonts w:ascii="Arial" w:hAnsi="Arial" w:cs="Arial"/>
                <w:sz w:val="16"/>
                <w:szCs w:val="16"/>
              </w:rPr>
            </w:pPr>
            <w:r w:rsidRPr="00F379CF">
              <w:rPr>
                <w:rFonts w:ascii="Arial" w:hAnsi="Arial" w:cs="Arial"/>
                <w:sz w:val="16"/>
                <w:szCs w:val="16"/>
              </w:rPr>
              <w:t>4,335</w:t>
            </w:r>
          </w:p>
        </w:tc>
        <w:tc>
          <w:tcPr>
            <w:tcW w:w="876" w:type="dxa"/>
            <w:tcBorders>
              <w:top w:val="nil"/>
              <w:left w:val="nil"/>
              <w:bottom w:val="nil"/>
              <w:right w:val="nil"/>
            </w:tcBorders>
            <w:shd w:val="clear" w:color="000000" w:fill="E6E6E6"/>
            <w:noWrap/>
            <w:vAlign w:val="bottom"/>
            <w:hideMark/>
          </w:tcPr>
          <w:p w14:paraId="71E831BE"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4,541</w:t>
            </w:r>
          </w:p>
        </w:tc>
        <w:tc>
          <w:tcPr>
            <w:tcW w:w="877" w:type="dxa"/>
            <w:tcBorders>
              <w:top w:val="nil"/>
              <w:left w:val="nil"/>
              <w:bottom w:val="nil"/>
              <w:right w:val="nil"/>
            </w:tcBorders>
            <w:shd w:val="clear" w:color="auto" w:fill="auto"/>
            <w:noWrap/>
            <w:vAlign w:val="bottom"/>
            <w:hideMark/>
          </w:tcPr>
          <w:p w14:paraId="73C944F3"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4,481</w:t>
            </w:r>
          </w:p>
        </w:tc>
        <w:tc>
          <w:tcPr>
            <w:tcW w:w="877" w:type="dxa"/>
            <w:tcBorders>
              <w:top w:val="nil"/>
              <w:left w:val="nil"/>
              <w:bottom w:val="nil"/>
              <w:right w:val="nil"/>
            </w:tcBorders>
            <w:shd w:val="clear" w:color="auto" w:fill="auto"/>
            <w:noWrap/>
            <w:vAlign w:val="bottom"/>
            <w:hideMark/>
          </w:tcPr>
          <w:p w14:paraId="0B671318"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4,417</w:t>
            </w:r>
          </w:p>
        </w:tc>
        <w:tc>
          <w:tcPr>
            <w:tcW w:w="877" w:type="dxa"/>
            <w:tcBorders>
              <w:top w:val="nil"/>
              <w:left w:val="nil"/>
              <w:bottom w:val="nil"/>
              <w:right w:val="nil"/>
            </w:tcBorders>
            <w:shd w:val="clear" w:color="auto" w:fill="auto"/>
            <w:noWrap/>
            <w:vAlign w:val="bottom"/>
            <w:hideMark/>
          </w:tcPr>
          <w:p w14:paraId="0C543A17"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4,572</w:t>
            </w:r>
          </w:p>
        </w:tc>
      </w:tr>
      <w:tr w:rsidR="00752811" w:rsidRPr="00F379CF" w14:paraId="55F5BC45" w14:textId="77777777" w:rsidTr="009F30BC">
        <w:trPr>
          <w:trHeight w:val="204"/>
        </w:trPr>
        <w:tc>
          <w:tcPr>
            <w:tcW w:w="3236" w:type="dxa"/>
            <w:tcBorders>
              <w:top w:val="nil"/>
              <w:left w:val="nil"/>
              <w:bottom w:val="nil"/>
              <w:right w:val="nil"/>
            </w:tcBorders>
            <w:shd w:val="clear" w:color="auto" w:fill="auto"/>
            <w:noWrap/>
            <w:vAlign w:val="bottom"/>
            <w:hideMark/>
          </w:tcPr>
          <w:p w14:paraId="7B58B712" w14:textId="77777777" w:rsidR="00752811" w:rsidRPr="00F379CF" w:rsidRDefault="00752811" w:rsidP="00333C84">
            <w:pPr>
              <w:spacing w:after="0" w:line="240" w:lineRule="auto"/>
              <w:ind w:left="113"/>
              <w:jc w:val="left"/>
              <w:rPr>
                <w:rFonts w:ascii="Arial" w:hAnsi="Arial" w:cs="Arial"/>
                <w:sz w:val="16"/>
                <w:szCs w:val="16"/>
              </w:rPr>
            </w:pPr>
            <w:r w:rsidRPr="00F379CF">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15741E3C" w14:textId="77777777" w:rsidR="00752811" w:rsidRPr="00F379CF" w:rsidRDefault="00752811" w:rsidP="009F30BC">
            <w:pPr>
              <w:spacing w:after="0" w:line="240" w:lineRule="auto"/>
              <w:jc w:val="right"/>
              <w:rPr>
                <w:rFonts w:ascii="Arial" w:hAnsi="Arial" w:cs="Arial"/>
                <w:sz w:val="16"/>
                <w:szCs w:val="16"/>
              </w:rPr>
            </w:pPr>
            <w:r w:rsidRPr="00F379CF">
              <w:rPr>
                <w:rFonts w:ascii="Arial" w:hAnsi="Arial" w:cs="Arial"/>
                <w:sz w:val="16"/>
                <w:szCs w:val="16"/>
              </w:rPr>
              <w:t>1,268</w:t>
            </w:r>
          </w:p>
        </w:tc>
        <w:tc>
          <w:tcPr>
            <w:tcW w:w="876" w:type="dxa"/>
            <w:tcBorders>
              <w:top w:val="nil"/>
              <w:left w:val="nil"/>
              <w:bottom w:val="nil"/>
              <w:right w:val="nil"/>
            </w:tcBorders>
            <w:shd w:val="clear" w:color="000000" w:fill="E6E6E6"/>
            <w:noWrap/>
            <w:vAlign w:val="bottom"/>
            <w:hideMark/>
          </w:tcPr>
          <w:p w14:paraId="22B89E78"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1,266</w:t>
            </w:r>
          </w:p>
        </w:tc>
        <w:tc>
          <w:tcPr>
            <w:tcW w:w="877" w:type="dxa"/>
            <w:tcBorders>
              <w:top w:val="nil"/>
              <w:left w:val="nil"/>
              <w:bottom w:val="nil"/>
              <w:right w:val="nil"/>
            </w:tcBorders>
            <w:shd w:val="clear" w:color="auto" w:fill="auto"/>
            <w:noWrap/>
            <w:vAlign w:val="bottom"/>
            <w:hideMark/>
          </w:tcPr>
          <w:p w14:paraId="1FA41DB0"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1,271</w:t>
            </w:r>
          </w:p>
        </w:tc>
        <w:tc>
          <w:tcPr>
            <w:tcW w:w="877" w:type="dxa"/>
            <w:tcBorders>
              <w:top w:val="nil"/>
              <w:left w:val="nil"/>
              <w:bottom w:val="nil"/>
              <w:right w:val="nil"/>
            </w:tcBorders>
            <w:shd w:val="clear" w:color="auto" w:fill="auto"/>
            <w:noWrap/>
            <w:vAlign w:val="bottom"/>
            <w:hideMark/>
          </w:tcPr>
          <w:p w14:paraId="7613B656"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1,274</w:t>
            </w:r>
          </w:p>
        </w:tc>
        <w:tc>
          <w:tcPr>
            <w:tcW w:w="877" w:type="dxa"/>
            <w:tcBorders>
              <w:top w:val="nil"/>
              <w:left w:val="nil"/>
              <w:bottom w:val="nil"/>
              <w:right w:val="nil"/>
            </w:tcBorders>
            <w:shd w:val="clear" w:color="auto" w:fill="auto"/>
            <w:noWrap/>
            <w:vAlign w:val="bottom"/>
            <w:hideMark/>
          </w:tcPr>
          <w:p w14:paraId="6D46F36E"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1,029</w:t>
            </w:r>
          </w:p>
        </w:tc>
      </w:tr>
      <w:tr w:rsidR="00752811" w:rsidRPr="00F379CF" w14:paraId="0EC5C115" w14:textId="77777777" w:rsidTr="009F30BC">
        <w:trPr>
          <w:trHeight w:val="204"/>
        </w:trPr>
        <w:tc>
          <w:tcPr>
            <w:tcW w:w="3236" w:type="dxa"/>
            <w:tcBorders>
              <w:top w:val="nil"/>
              <w:left w:val="nil"/>
              <w:bottom w:val="nil"/>
              <w:right w:val="nil"/>
            </w:tcBorders>
            <w:shd w:val="clear" w:color="auto" w:fill="auto"/>
            <w:noWrap/>
            <w:vAlign w:val="bottom"/>
            <w:hideMark/>
          </w:tcPr>
          <w:p w14:paraId="4F447FE7" w14:textId="77777777" w:rsidR="00752811" w:rsidRPr="00F379CF" w:rsidRDefault="00752811" w:rsidP="00333C84">
            <w:pPr>
              <w:spacing w:after="0" w:line="240" w:lineRule="auto"/>
              <w:ind w:left="113"/>
              <w:jc w:val="left"/>
              <w:rPr>
                <w:rFonts w:ascii="Arial" w:hAnsi="Arial" w:cs="Arial"/>
                <w:sz w:val="16"/>
                <w:szCs w:val="16"/>
              </w:rPr>
            </w:pPr>
            <w:r w:rsidRPr="00F379CF">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11EB9CC8" w14:textId="77777777" w:rsidR="00752811" w:rsidRPr="00F379CF" w:rsidRDefault="00752811" w:rsidP="009F30BC">
            <w:pPr>
              <w:spacing w:after="0" w:line="240" w:lineRule="auto"/>
              <w:jc w:val="right"/>
              <w:rPr>
                <w:rFonts w:ascii="Arial" w:hAnsi="Arial" w:cs="Arial"/>
                <w:sz w:val="16"/>
                <w:szCs w:val="16"/>
              </w:rPr>
            </w:pPr>
            <w:r w:rsidRPr="00F379CF">
              <w:rPr>
                <w:rFonts w:ascii="Arial" w:hAnsi="Arial" w:cs="Arial"/>
                <w:sz w:val="16"/>
                <w:szCs w:val="16"/>
              </w:rPr>
              <w:t>44</w:t>
            </w:r>
          </w:p>
        </w:tc>
        <w:tc>
          <w:tcPr>
            <w:tcW w:w="876" w:type="dxa"/>
            <w:tcBorders>
              <w:top w:val="nil"/>
              <w:left w:val="nil"/>
              <w:bottom w:val="nil"/>
              <w:right w:val="nil"/>
            </w:tcBorders>
            <w:shd w:val="clear" w:color="000000" w:fill="E6E6E6"/>
            <w:noWrap/>
            <w:vAlign w:val="bottom"/>
            <w:hideMark/>
          </w:tcPr>
          <w:p w14:paraId="16EA72A9"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33</w:t>
            </w:r>
          </w:p>
        </w:tc>
        <w:tc>
          <w:tcPr>
            <w:tcW w:w="877" w:type="dxa"/>
            <w:tcBorders>
              <w:top w:val="nil"/>
              <w:left w:val="nil"/>
              <w:bottom w:val="nil"/>
              <w:right w:val="nil"/>
            </w:tcBorders>
            <w:shd w:val="clear" w:color="auto" w:fill="auto"/>
            <w:noWrap/>
            <w:vAlign w:val="bottom"/>
            <w:hideMark/>
          </w:tcPr>
          <w:p w14:paraId="3B3D743E"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22</w:t>
            </w:r>
          </w:p>
        </w:tc>
        <w:tc>
          <w:tcPr>
            <w:tcW w:w="877" w:type="dxa"/>
            <w:tcBorders>
              <w:top w:val="nil"/>
              <w:left w:val="nil"/>
              <w:bottom w:val="nil"/>
              <w:right w:val="nil"/>
            </w:tcBorders>
            <w:shd w:val="clear" w:color="auto" w:fill="auto"/>
            <w:noWrap/>
            <w:vAlign w:val="bottom"/>
            <w:hideMark/>
          </w:tcPr>
          <w:p w14:paraId="3FA146DD"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9</w:t>
            </w:r>
          </w:p>
        </w:tc>
        <w:tc>
          <w:tcPr>
            <w:tcW w:w="877" w:type="dxa"/>
            <w:tcBorders>
              <w:top w:val="nil"/>
              <w:left w:val="nil"/>
              <w:bottom w:val="nil"/>
              <w:right w:val="nil"/>
            </w:tcBorders>
            <w:shd w:val="clear" w:color="auto" w:fill="auto"/>
            <w:noWrap/>
            <w:vAlign w:val="bottom"/>
            <w:hideMark/>
          </w:tcPr>
          <w:p w14:paraId="29286C0C"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9</w:t>
            </w:r>
          </w:p>
        </w:tc>
      </w:tr>
      <w:tr w:rsidR="00752811" w:rsidRPr="00F379CF" w14:paraId="4C68E894" w14:textId="77777777" w:rsidTr="009F30BC">
        <w:trPr>
          <w:trHeight w:val="204"/>
        </w:trPr>
        <w:tc>
          <w:tcPr>
            <w:tcW w:w="3236" w:type="dxa"/>
            <w:tcBorders>
              <w:top w:val="nil"/>
              <w:left w:val="nil"/>
              <w:bottom w:val="nil"/>
              <w:right w:val="nil"/>
            </w:tcBorders>
            <w:shd w:val="clear" w:color="auto" w:fill="auto"/>
            <w:noWrap/>
            <w:vAlign w:val="bottom"/>
            <w:hideMark/>
          </w:tcPr>
          <w:p w14:paraId="538D095C"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64ACFA3E"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12,861</w:t>
            </w:r>
          </w:p>
        </w:tc>
        <w:tc>
          <w:tcPr>
            <w:tcW w:w="876" w:type="dxa"/>
            <w:tcBorders>
              <w:top w:val="single" w:sz="4" w:space="0" w:color="auto"/>
              <w:left w:val="nil"/>
              <w:bottom w:val="single" w:sz="4" w:space="0" w:color="auto"/>
              <w:right w:val="nil"/>
            </w:tcBorders>
            <w:shd w:val="clear" w:color="000000" w:fill="E6E6E6"/>
            <w:noWrap/>
            <w:vAlign w:val="bottom"/>
            <w:hideMark/>
          </w:tcPr>
          <w:p w14:paraId="5B0904F9"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12,748</w:t>
            </w:r>
          </w:p>
        </w:tc>
        <w:tc>
          <w:tcPr>
            <w:tcW w:w="877" w:type="dxa"/>
            <w:tcBorders>
              <w:top w:val="single" w:sz="4" w:space="0" w:color="auto"/>
              <w:left w:val="nil"/>
              <w:bottom w:val="single" w:sz="4" w:space="0" w:color="auto"/>
              <w:right w:val="nil"/>
            </w:tcBorders>
            <w:shd w:val="clear" w:color="auto" w:fill="auto"/>
            <w:noWrap/>
            <w:vAlign w:val="bottom"/>
            <w:hideMark/>
          </w:tcPr>
          <w:p w14:paraId="0410A63E"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12,819</w:t>
            </w:r>
          </w:p>
        </w:tc>
        <w:tc>
          <w:tcPr>
            <w:tcW w:w="877" w:type="dxa"/>
            <w:tcBorders>
              <w:top w:val="single" w:sz="4" w:space="0" w:color="auto"/>
              <w:left w:val="nil"/>
              <w:bottom w:val="single" w:sz="4" w:space="0" w:color="auto"/>
              <w:right w:val="nil"/>
            </w:tcBorders>
            <w:shd w:val="clear" w:color="auto" w:fill="auto"/>
            <w:noWrap/>
            <w:vAlign w:val="bottom"/>
            <w:hideMark/>
          </w:tcPr>
          <w:p w14:paraId="0DC64D93"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12,915</w:t>
            </w:r>
          </w:p>
        </w:tc>
        <w:tc>
          <w:tcPr>
            <w:tcW w:w="877" w:type="dxa"/>
            <w:tcBorders>
              <w:top w:val="single" w:sz="4" w:space="0" w:color="auto"/>
              <w:left w:val="nil"/>
              <w:bottom w:val="single" w:sz="4" w:space="0" w:color="auto"/>
              <w:right w:val="nil"/>
            </w:tcBorders>
            <w:shd w:val="clear" w:color="auto" w:fill="auto"/>
            <w:noWrap/>
            <w:vAlign w:val="bottom"/>
            <w:hideMark/>
          </w:tcPr>
          <w:p w14:paraId="0B9ACAF6"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12,996</w:t>
            </w:r>
          </w:p>
        </w:tc>
      </w:tr>
      <w:tr w:rsidR="00752811" w:rsidRPr="00F379CF" w14:paraId="5A1936A8" w14:textId="77777777" w:rsidTr="009F30BC">
        <w:trPr>
          <w:trHeight w:val="204"/>
        </w:trPr>
        <w:tc>
          <w:tcPr>
            <w:tcW w:w="3236" w:type="dxa"/>
            <w:tcBorders>
              <w:top w:val="nil"/>
              <w:left w:val="nil"/>
              <w:bottom w:val="nil"/>
              <w:right w:val="nil"/>
            </w:tcBorders>
            <w:shd w:val="clear" w:color="auto" w:fill="auto"/>
            <w:noWrap/>
            <w:vAlign w:val="bottom"/>
            <w:hideMark/>
          </w:tcPr>
          <w:p w14:paraId="6FAF4BDB"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32FE0573" w14:textId="77777777" w:rsidR="00752811" w:rsidRPr="00F379CF" w:rsidRDefault="00752811" w:rsidP="009F30BC">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5623CE0A" w14:textId="77777777" w:rsidR="00752811" w:rsidRPr="00F379CF" w:rsidRDefault="00752811" w:rsidP="009F30BC">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36A4377D" w14:textId="77777777" w:rsidR="00752811" w:rsidRPr="00F379CF" w:rsidRDefault="00752811" w:rsidP="009F30BC">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4F198CA" w14:textId="77777777" w:rsidR="00752811" w:rsidRPr="0016574C" w:rsidRDefault="00752811" w:rsidP="009F30BC">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37F6A2E" w14:textId="77777777" w:rsidR="00752811" w:rsidRPr="0016574C" w:rsidRDefault="00752811" w:rsidP="009F30BC">
            <w:pPr>
              <w:spacing w:after="0" w:line="240" w:lineRule="auto"/>
              <w:jc w:val="right"/>
              <w:rPr>
                <w:rFonts w:ascii="Arial" w:hAnsi="Arial" w:cs="Arial"/>
                <w:sz w:val="16"/>
                <w:szCs w:val="16"/>
              </w:rPr>
            </w:pPr>
          </w:p>
        </w:tc>
      </w:tr>
      <w:tr w:rsidR="00752811" w:rsidRPr="00F379CF" w14:paraId="1EA21BE3" w14:textId="77777777" w:rsidTr="009F30BC">
        <w:trPr>
          <w:trHeight w:val="204"/>
        </w:trPr>
        <w:tc>
          <w:tcPr>
            <w:tcW w:w="3236" w:type="dxa"/>
            <w:tcBorders>
              <w:top w:val="nil"/>
              <w:left w:val="nil"/>
              <w:bottom w:val="nil"/>
              <w:right w:val="nil"/>
            </w:tcBorders>
            <w:shd w:val="clear" w:color="auto" w:fill="auto"/>
            <w:noWrap/>
            <w:vAlign w:val="bottom"/>
            <w:hideMark/>
          </w:tcPr>
          <w:p w14:paraId="1452C3F8"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4634BB03" w14:textId="77777777" w:rsidR="00752811" w:rsidRPr="00F379CF" w:rsidRDefault="00752811" w:rsidP="009F30BC">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FF74B96" w14:textId="77777777" w:rsidR="00752811" w:rsidRPr="00F379CF" w:rsidRDefault="00752811" w:rsidP="009F30BC">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7D1BB01A" w14:textId="77777777" w:rsidR="00752811" w:rsidRPr="00F379CF" w:rsidRDefault="00752811" w:rsidP="009F30BC">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2A3FC3F7" w14:textId="77777777" w:rsidR="00752811" w:rsidRPr="0016574C" w:rsidRDefault="00752811" w:rsidP="009F30BC">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B4DB192" w14:textId="77777777" w:rsidR="00752811" w:rsidRPr="0016574C" w:rsidRDefault="00752811" w:rsidP="009F30BC">
            <w:pPr>
              <w:spacing w:after="0" w:line="240" w:lineRule="auto"/>
              <w:jc w:val="right"/>
              <w:rPr>
                <w:rFonts w:ascii="Arial" w:hAnsi="Arial" w:cs="Arial"/>
                <w:sz w:val="16"/>
                <w:szCs w:val="16"/>
              </w:rPr>
            </w:pPr>
          </w:p>
        </w:tc>
      </w:tr>
      <w:tr w:rsidR="00752811" w:rsidRPr="00F379CF" w14:paraId="16AC1CA5" w14:textId="77777777" w:rsidTr="009F30BC">
        <w:trPr>
          <w:trHeight w:val="204"/>
        </w:trPr>
        <w:tc>
          <w:tcPr>
            <w:tcW w:w="3236" w:type="dxa"/>
            <w:tcBorders>
              <w:top w:val="nil"/>
              <w:left w:val="nil"/>
              <w:bottom w:val="nil"/>
              <w:right w:val="nil"/>
            </w:tcBorders>
            <w:shd w:val="clear" w:color="auto" w:fill="auto"/>
            <w:noWrap/>
            <w:vAlign w:val="bottom"/>
            <w:hideMark/>
          </w:tcPr>
          <w:p w14:paraId="4C149208"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4C330A15" w14:textId="77777777" w:rsidR="00752811" w:rsidRPr="00F379CF" w:rsidRDefault="00752811" w:rsidP="009F30BC">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5D16A4EA" w14:textId="77777777" w:rsidR="00752811" w:rsidRPr="00F379CF" w:rsidRDefault="00752811" w:rsidP="009F30BC">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8C18451" w14:textId="77777777" w:rsidR="00752811" w:rsidRPr="00F379CF" w:rsidRDefault="00752811" w:rsidP="009F30BC">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2FDF310" w14:textId="77777777" w:rsidR="00752811" w:rsidRPr="0016574C" w:rsidRDefault="00752811" w:rsidP="009F30BC">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3628C46" w14:textId="77777777" w:rsidR="00752811" w:rsidRPr="0016574C" w:rsidRDefault="00752811" w:rsidP="009F30BC">
            <w:pPr>
              <w:spacing w:after="0" w:line="240" w:lineRule="auto"/>
              <w:jc w:val="right"/>
              <w:rPr>
                <w:rFonts w:ascii="Arial" w:hAnsi="Arial" w:cs="Arial"/>
                <w:sz w:val="16"/>
                <w:szCs w:val="16"/>
              </w:rPr>
            </w:pPr>
          </w:p>
        </w:tc>
      </w:tr>
      <w:tr w:rsidR="00752811" w:rsidRPr="00F379CF" w14:paraId="7CE4AE49" w14:textId="77777777" w:rsidTr="009F30BC">
        <w:trPr>
          <w:trHeight w:val="204"/>
        </w:trPr>
        <w:tc>
          <w:tcPr>
            <w:tcW w:w="3236" w:type="dxa"/>
            <w:tcBorders>
              <w:top w:val="nil"/>
              <w:left w:val="nil"/>
              <w:bottom w:val="nil"/>
              <w:right w:val="nil"/>
            </w:tcBorders>
            <w:shd w:val="clear" w:color="auto" w:fill="auto"/>
            <w:noWrap/>
            <w:vAlign w:val="bottom"/>
            <w:hideMark/>
          </w:tcPr>
          <w:p w14:paraId="63D396CB" w14:textId="77777777" w:rsidR="00752811" w:rsidRPr="00F379CF" w:rsidRDefault="00752811" w:rsidP="00333C84">
            <w:pPr>
              <w:spacing w:after="0" w:line="240" w:lineRule="auto"/>
              <w:ind w:left="113"/>
              <w:jc w:val="left"/>
              <w:rPr>
                <w:rFonts w:ascii="Arial" w:hAnsi="Arial" w:cs="Arial"/>
                <w:sz w:val="16"/>
                <w:szCs w:val="16"/>
              </w:rPr>
            </w:pPr>
            <w:r w:rsidRPr="00F379CF">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474CD412" w14:textId="77777777" w:rsidR="00752811" w:rsidRPr="00F379CF" w:rsidRDefault="00752811" w:rsidP="009F30BC">
            <w:pPr>
              <w:spacing w:after="0" w:line="240" w:lineRule="auto"/>
              <w:jc w:val="right"/>
              <w:rPr>
                <w:rFonts w:ascii="Arial" w:hAnsi="Arial" w:cs="Arial"/>
                <w:sz w:val="16"/>
                <w:szCs w:val="16"/>
              </w:rPr>
            </w:pPr>
            <w:r w:rsidRPr="00F379CF">
              <w:rPr>
                <w:rFonts w:ascii="Arial" w:hAnsi="Arial" w:cs="Arial"/>
                <w:sz w:val="16"/>
                <w:szCs w:val="16"/>
              </w:rPr>
              <w:t>8</w:t>
            </w:r>
          </w:p>
        </w:tc>
        <w:tc>
          <w:tcPr>
            <w:tcW w:w="876" w:type="dxa"/>
            <w:tcBorders>
              <w:top w:val="nil"/>
              <w:left w:val="nil"/>
              <w:bottom w:val="nil"/>
              <w:right w:val="nil"/>
            </w:tcBorders>
            <w:shd w:val="clear" w:color="000000" w:fill="E6E6E6"/>
            <w:noWrap/>
            <w:vAlign w:val="bottom"/>
            <w:hideMark/>
          </w:tcPr>
          <w:p w14:paraId="697086B6"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15</w:t>
            </w:r>
          </w:p>
        </w:tc>
        <w:tc>
          <w:tcPr>
            <w:tcW w:w="877" w:type="dxa"/>
            <w:tcBorders>
              <w:top w:val="nil"/>
              <w:left w:val="nil"/>
              <w:bottom w:val="nil"/>
              <w:right w:val="nil"/>
            </w:tcBorders>
            <w:shd w:val="clear" w:color="auto" w:fill="auto"/>
            <w:noWrap/>
            <w:vAlign w:val="bottom"/>
            <w:hideMark/>
          </w:tcPr>
          <w:p w14:paraId="1CECDB98"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15</w:t>
            </w:r>
          </w:p>
        </w:tc>
        <w:tc>
          <w:tcPr>
            <w:tcW w:w="877" w:type="dxa"/>
            <w:tcBorders>
              <w:top w:val="nil"/>
              <w:left w:val="nil"/>
              <w:bottom w:val="nil"/>
              <w:right w:val="nil"/>
            </w:tcBorders>
            <w:shd w:val="clear" w:color="auto" w:fill="auto"/>
            <w:noWrap/>
            <w:vAlign w:val="bottom"/>
            <w:hideMark/>
          </w:tcPr>
          <w:p w14:paraId="45B12A23"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15</w:t>
            </w:r>
          </w:p>
        </w:tc>
        <w:tc>
          <w:tcPr>
            <w:tcW w:w="877" w:type="dxa"/>
            <w:tcBorders>
              <w:top w:val="nil"/>
              <w:left w:val="nil"/>
              <w:bottom w:val="nil"/>
              <w:right w:val="nil"/>
            </w:tcBorders>
            <w:shd w:val="clear" w:color="auto" w:fill="auto"/>
            <w:noWrap/>
            <w:vAlign w:val="bottom"/>
            <w:hideMark/>
          </w:tcPr>
          <w:p w14:paraId="38AA6B57"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15</w:t>
            </w:r>
          </w:p>
        </w:tc>
      </w:tr>
      <w:tr w:rsidR="00752811" w:rsidRPr="00F379CF" w14:paraId="1B43B4DF" w14:textId="77777777" w:rsidTr="009F30BC">
        <w:trPr>
          <w:trHeight w:val="204"/>
        </w:trPr>
        <w:tc>
          <w:tcPr>
            <w:tcW w:w="3236" w:type="dxa"/>
            <w:tcBorders>
              <w:top w:val="nil"/>
              <w:left w:val="nil"/>
              <w:bottom w:val="nil"/>
              <w:right w:val="nil"/>
            </w:tcBorders>
            <w:shd w:val="clear" w:color="auto" w:fill="auto"/>
            <w:noWrap/>
            <w:vAlign w:val="bottom"/>
            <w:hideMark/>
          </w:tcPr>
          <w:p w14:paraId="6BFF23DF"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36101DDE"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8</w:t>
            </w:r>
          </w:p>
        </w:tc>
        <w:tc>
          <w:tcPr>
            <w:tcW w:w="876" w:type="dxa"/>
            <w:tcBorders>
              <w:top w:val="single" w:sz="4" w:space="0" w:color="auto"/>
              <w:left w:val="nil"/>
              <w:bottom w:val="single" w:sz="4" w:space="0" w:color="auto"/>
              <w:right w:val="nil"/>
            </w:tcBorders>
            <w:shd w:val="clear" w:color="000000" w:fill="E6E6E6"/>
            <w:noWrap/>
            <w:vAlign w:val="bottom"/>
            <w:hideMark/>
          </w:tcPr>
          <w:p w14:paraId="2356B13B"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877" w:type="dxa"/>
            <w:tcBorders>
              <w:top w:val="single" w:sz="4" w:space="0" w:color="auto"/>
              <w:left w:val="nil"/>
              <w:bottom w:val="single" w:sz="4" w:space="0" w:color="auto"/>
              <w:right w:val="nil"/>
            </w:tcBorders>
            <w:shd w:val="clear" w:color="auto" w:fill="auto"/>
            <w:noWrap/>
            <w:vAlign w:val="bottom"/>
            <w:hideMark/>
          </w:tcPr>
          <w:p w14:paraId="4FD9E745"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877" w:type="dxa"/>
            <w:tcBorders>
              <w:top w:val="single" w:sz="4" w:space="0" w:color="auto"/>
              <w:left w:val="nil"/>
              <w:bottom w:val="single" w:sz="4" w:space="0" w:color="auto"/>
              <w:right w:val="nil"/>
            </w:tcBorders>
            <w:shd w:val="clear" w:color="auto" w:fill="auto"/>
            <w:noWrap/>
            <w:vAlign w:val="bottom"/>
            <w:hideMark/>
          </w:tcPr>
          <w:p w14:paraId="758A1CCD"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877" w:type="dxa"/>
            <w:tcBorders>
              <w:top w:val="single" w:sz="4" w:space="0" w:color="auto"/>
              <w:left w:val="nil"/>
              <w:bottom w:val="single" w:sz="4" w:space="0" w:color="auto"/>
              <w:right w:val="nil"/>
            </w:tcBorders>
            <w:shd w:val="clear" w:color="auto" w:fill="auto"/>
            <w:noWrap/>
            <w:vAlign w:val="bottom"/>
            <w:hideMark/>
          </w:tcPr>
          <w:p w14:paraId="4E7FE367"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15</w:t>
            </w:r>
          </w:p>
        </w:tc>
      </w:tr>
      <w:tr w:rsidR="00752811" w:rsidRPr="00F379CF" w14:paraId="2084A483" w14:textId="77777777" w:rsidTr="009F30BC">
        <w:trPr>
          <w:trHeight w:val="204"/>
        </w:trPr>
        <w:tc>
          <w:tcPr>
            <w:tcW w:w="3236" w:type="dxa"/>
            <w:tcBorders>
              <w:top w:val="nil"/>
              <w:left w:val="nil"/>
              <w:bottom w:val="nil"/>
              <w:right w:val="nil"/>
            </w:tcBorders>
            <w:shd w:val="clear" w:color="auto" w:fill="auto"/>
            <w:noWrap/>
            <w:vAlign w:val="bottom"/>
            <w:hideMark/>
          </w:tcPr>
          <w:p w14:paraId="0F7E894F"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04665B51"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8</w:t>
            </w:r>
          </w:p>
        </w:tc>
        <w:tc>
          <w:tcPr>
            <w:tcW w:w="876" w:type="dxa"/>
            <w:tcBorders>
              <w:top w:val="single" w:sz="4" w:space="0" w:color="auto"/>
              <w:left w:val="nil"/>
              <w:bottom w:val="single" w:sz="4" w:space="0" w:color="auto"/>
              <w:right w:val="nil"/>
            </w:tcBorders>
            <w:shd w:val="clear" w:color="000000" w:fill="E6E6E6"/>
            <w:noWrap/>
            <w:vAlign w:val="bottom"/>
            <w:hideMark/>
          </w:tcPr>
          <w:p w14:paraId="65C9EE11"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877" w:type="dxa"/>
            <w:tcBorders>
              <w:top w:val="single" w:sz="4" w:space="0" w:color="auto"/>
              <w:left w:val="nil"/>
              <w:bottom w:val="single" w:sz="4" w:space="0" w:color="auto"/>
              <w:right w:val="nil"/>
            </w:tcBorders>
            <w:shd w:val="clear" w:color="auto" w:fill="auto"/>
            <w:noWrap/>
            <w:vAlign w:val="bottom"/>
            <w:hideMark/>
          </w:tcPr>
          <w:p w14:paraId="0EBEF27F"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877" w:type="dxa"/>
            <w:tcBorders>
              <w:top w:val="single" w:sz="4" w:space="0" w:color="auto"/>
              <w:left w:val="nil"/>
              <w:bottom w:val="single" w:sz="4" w:space="0" w:color="auto"/>
              <w:right w:val="nil"/>
            </w:tcBorders>
            <w:shd w:val="clear" w:color="auto" w:fill="auto"/>
            <w:noWrap/>
            <w:vAlign w:val="bottom"/>
            <w:hideMark/>
          </w:tcPr>
          <w:p w14:paraId="4E69B054"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877" w:type="dxa"/>
            <w:tcBorders>
              <w:top w:val="single" w:sz="4" w:space="0" w:color="auto"/>
              <w:left w:val="nil"/>
              <w:bottom w:val="single" w:sz="4" w:space="0" w:color="auto"/>
              <w:right w:val="nil"/>
            </w:tcBorders>
            <w:shd w:val="clear" w:color="auto" w:fill="auto"/>
            <w:noWrap/>
            <w:vAlign w:val="bottom"/>
            <w:hideMark/>
          </w:tcPr>
          <w:p w14:paraId="479E5737"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15</w:t>
            </w:r>
          </w:p>
        </w:tc>
      </w:tr>
      <w:tr w:rsidR="00752811" w:rsidRPr="00F379CF" w14:paraId="024FA253" w14:textId="77777777" w:rsidTr="009F30BC">
        <w:trPr>
          <w:trHeight w:val="204"/>
        </w:trPr>
        <w:tc>
          <w:tcPr>
            <w:tcW w:w="3236" w:type="dxa"/>
            <w:tcBorders>
              <w:top w:val="nil"/>
              <w:left w:val="nil"/>
              <w:bottom w:val="nil"/>
              <w:right w:val="nil"/>
            </w:tcBorders>
            <w:shd w:val="clear" w:color="auto" w:fill="auto"/>
            <w:vAlign w:val="bottom"/>
            <w:hideMark/>
          </w:tcPr>
          <w:p w14:paraId="1BA7ECAA"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142EFCA5"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(12,853)</w:t>
            </w:r>
          </w:p>
        </w:tc>
        <w:tc>
          <w:tcPr>
            <w:tcW w:w="876" w:type="dxa"/>
            <w:tcBorders>
              <w:top w:val="nil"/>
              <w:left w:val="nil"/>
              <w:bottom w:val="single" w:sz="4" w:space="0" w:color="auto"/>
              <w:right w:val="nil"/>
            </w:tcBorders>
            <w:shd w:val="clear" w:color="000000" w:fill="E6E6E6"/>
            <w:noWrap/>
            <w:vAlign w:val="bottom"/>
            <w:hideMark/>
          </w:tcPr>
          <w:p w14:paraId="699EF2F9"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(12,733)</w:t>
            </w:r>
          </w:p>
        </w:tc>
        <w:tc>
          <w:tcPr>
            <w:tcW w:w="877" w:type="dxa"/>
            <w:tcBorders>
              <w:top w:val="nil"/>
              <w:left w:val="nil"/>
              <w:bottom w:val="single" w:sz="4" w:space="0" w:color="auto"/>
              <w:right w:val="nil"/>
            </w:tcBorders>
            <w:shd w:val="clear" w:color="auto" w:fill="auto"/>
            <w:noWrap/>
            <w:vAlign w:val="bottom"/>
            <w:hideMark/>
          </w:tcPr>
          <w:p w14:paraId="11DC1AAB"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(12,804)</w:t>
            </w:r>
          </w:p>
        </w:tc>
        <w:tc>
          <w:tcPr>
            <w:tcW w:w="877" w:type="dxa"/>
            <w:tcBorders>
              <w:top w:val="nil"/>
              <w:left w:val="nil"/>
              <w:bottom w:val="single" w:sz="4" w:space="0" w:color="auto"/>
              <w:right w:val="nil"/>
            </w:tcBorders>
            <w:shd w:val="clear" w:color="auto" w:fill="auto"/>
            <w:noWrap/>
            <w:vAlign w:val="bottom"/>
            <w:hideMark/>
          </w:tcPr>
          <w:p w14:paraId="43F7CE4A"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(12,900)</w:t>
            </w:r>
          </w:p>
        </w:tc>
        <w:tc>
          <w:tcPr>
            <w:tcW w:w="877" w:type="dxa"/>
            <w:tcBorders>
              <w:top w:val="nil"/>
              <w:left w:val="nil"/>
              <w:bottom w:val="single" w:sz="4" w:space="0" w:color="auto"/>
              <w:right w:val="nil"/>
            </w:tcBorders>
            <w:shd w:val="clear" w:color="auto" w:fill="auto"/>
            <w:noWrap/>
            <w:vAlign w:val="bottom"/>
            <w:hideMark/>
          </w:tcPr>
          <w:p w14:paraId="14B1C141"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(12,981)</w:t>
            </w:r>
          </w:p>
        </w:tc>
      </w:tr>
      <w:tr w:rsidR="00752811" w:rsidRPr="00F379CF" w14:paraId="6F3D75C1" w14:textId="77777777" w:rsidTr="009F30BC">
        <w:trPr>
          <w:trHeight w:val="204"/>
        </w:trPr>
        <w:tc>
          <w:tcPr>
            <w:tcW w:w="3236" w:type="dxa"/>
            <w:tcBorders>
              <w:top w:val="nil"/>
              <w:left w:val="nil"/>
              <w:bottom w:val="nil"/>
              <w:right w:val="nil"/>
            </w:tcBorders>
            <w:shd w:val="clear" w:color="auto" w:fill="auto"/>
            <w:noWrap/>
            <w:vAlign w:val="bottom"/>
            <w:hideMark/>
          </w:tcPr>
          <w:p w14:paraId="4412F71C" w14:textId="77777777" w:rsidR="00752811" w:rsidRPr="00F379CF" w:rsidRDefault="00752811" w:rsidP="00333C84">
            <w:pPr>
              <w:spacing w:after="0" w:line="240" w:lineRule="auto"/>
              <w:ind w:left="113"/>
              <w:jc w:val="left"/>
              <w:rPr>
                <w:rFonts w:ascii="Arial" w:hAnsi="Arial" w:cs="Arial"/>
                <w:sz w:val="16"/>
                <w:szCs w:val="16"/>
              </w:rPr>
            </w:pPr>
            <w:r w:rsidRPr="00F379CF">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269EC66A" w14:textId="77777777" w:rsidR="00752811" w:rsidRPr="00F379CF" w:rsidRDefault="00752811" w:rsidP="009F30BC">
            <w:pPr>
              <w:spacing w:after="0" w:line="240" w:lineRule="auto"/>
              <w:jc w:val="right"/>
              <w:rPr>
                <w:rFonts w:ascii="Arial" w:hAnsi="Arial" w:cs="Arial"/>
                <w:sz w:val="16"/>
                <w:szCs w:val="16"/>
              </w:rPr>
            </w:pPr>
            <w:r w:rsidRPr="00F379CF">
              <w:rPr>
                <w:rFonts w:ascii="Arial" w:hAnsi="Arial" w:cs="Arial"/>
                <w:sz w:val="16"/>
                <w:szCs w:val="16"/>
              </w:rPr>
              <w:t>12,853</w:t>
            </w:r>
          </w:p>
        </w:tc>
        <w:tc>
          <w:tcPr>
            <w:tcW w:w="876" w:type="dxa"/>
            <w:tcBorders>
              <w:top w:val="nil"/>
              <w:left w:val="nil"/>
              <w:bottom w:val="single" w:sz="4" w:space="0" w:color="auto"/>
              <w:right w:val="nil"/>
            </w:tcBorders>
            <w:shd w:val="clear" w:color="000000" w:fill="E6E6E6"/>
            <w:noWrap/>
            <w:vAlign w:val="bottom"/>
            <w:hideMark/>
          </w:tcPr>
          <w:p w14:paraId="342EA7CD"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12,733</w:t>
            </w:r>
          </w:p>
        </w:tc>
        <w:tc>
          <w:tcPr>
            <w:tcW w:w="877" w:type="dxa"/>
            <w:tcBorders>
              <w:top w:val="nil"/>
              <w:left w:val="nil"/>
              <w:bottom w:val="single" w:sz="4" w:space="0" w:color="auto"/>
              <w:right w:val="nil"/>
            </w:tcBorders>
            <w:shd w:val="clear" w:color="auto" w:fill="auto"/>
            <w:noWrap/>
            <w:vAlign w:val="bottom"/>
            <w:hideMark/>
          </w:tcPr>
          <w:p w14:paraId="7CE82E66"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12,804</w:t>
            </w:r>
          </w:p>
        </w:tc>
        <w:tc>
          <w:tcPr>
            <w:tcW w:w="877" w:type="dxa"/>
            <w:tcBorders>
              <w:top w:val="nil"/>
              <w:left w:val="nil"/>
              <w:bottom w:val="single" w:sz="4" w:space="0" w:color="auto"/>
              <w:right w:val="nil"/>
            </w:tcBorders>
            <w:shd w:val="clear" w:color="auto" w:fill="auto"/>
            <w:noWrap/>
            <w:vAlign w:val="bottom"/>
            <w:hideMark/>
          </w:tcPr>
          <w:p w14:paraId="7248F178"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12,900</w:t>
            </w:r>
          </w:p>
        </w:tc>
        <w:tc>
          <w:tcPr>
            <w:tcW w:w="877" w:type="dxa"/>
            <w:tcBorders>
              <w:top w:val="nil"/>
              <w:left w:val="nil"/>
              <w:bottom w:val="single" w:sz="4" w:space="0" w:color="auto"/>
              <w:right w:val="nil"/>
            </w:tcBorders>
            <w:shd w:val="clear" w:color="auto" w:fill="auto"/>
            <w:noWrap/>
            <w:vAlign w:val="bottom"/>
            <w:hideMark/>
          </w:tcPr>
          <w:p w14:paraId="73647084"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12,981</w:t>
            </w:r>
          </w:p>
        </w:tc>
      </w:tr>
      <w:tr w:rsidR="00752811" w:rsidRPr="00F379CF" w14:paraId="3DDB301A" w14:textId="77777777" w:rsidTr="009F30BC">
        <w:trPr>
          <w:trHeight w:val="204"/>
        </w:trPr>
        <w:tc>
          <w:tcPr>
            <w:tcW w:w="3236" w:type="dxa"/>
            <w:tcBorders>
              <w:top w:val="nil"/>
              <w:left w:val="nil"/>
              <w:bottom w:val="nil"/>
              <w:right w:val="nil"/>
            </w:tcBorders>
            <w:shd w:val="clear" w:color="auto" w:fill="auto"/>
            <w:vAlign w:val="bottom"/>
            <w:hideMark/>
          </w:tcPr>
          <w:p w14:paraId="23DB6C6B"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33DB0FBA"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876" w:type="dxa"/>
            <w:tcBorders>
              <w:top w:val="nil"/>
              <w:left w:val="nil"/>
              <w:bottom w:val="single" w:sz="4" w:space="0" w:color="auto"/>
              <w:right w:val="nil"/>
            </w:tcBorders>
            <w:shd w:val="clear" w:color="000000" w:fill="E6E6E6"/>
            <w:noWrap/>
            <w:vAlign w:val="bottom"/>
            <w:hideMark/>
          </w:tcPr>
          <w:p w14:paraId="75F717A7"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23534DA4"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4DD65CAD"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33AE395B"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r>
      <w:tr w:rsidR="00752811" w:rsidRPr="00F379CF" w14:paraId="50DEC8DC" w14:textId="77777777" w:rsidTr="009F30BC">
        <w:trPr>
          <w:trHeight w:val="204"/>
        </w:trPr>
        <w:tc>
          <w:tcPr>
            <w:tcW w:w="3236" w:type="dxa"/>
            <w:tcBorders>
              <w:top w:val="nil"/>
              <w:left w:val="nil"/>
              <w:bottom w:val="single" w:sz="4" w:space="0" w:color="auto"/>
              <w:right w:val="nil"/>
            </w:tcBorders>
            <w:shd w:val="clear" w:color="auto" w:fill="auto"/>
            <w:vAlign w:val="bottom"/>
            <w:hideMark/>
          </w:tcPr>
          <w:p w14:paraId="1CD11955"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1CC59B16"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876" w:type="dxa"/>
            <w:tcBorders>
              <w:top w:val="nil"/>
              <w:left w:val="nil"/>
              <w:bottom w:val="single" w:sz="4" w:space="0" w:color="auto"/>
              <w:right w:val="nil"/>
            </w:tcBorders>
            <w:shd w:val="clear" w:color="000000" w:fill="E6E6E6"/>
            <w:noWrap/>
            <w:vAlign w:val="bottom"/>
            <w:hideMark/>
          </w:tcPr>
          <w:p w14:paraId="63DB6039"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7207649D"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20ABC92F"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vAlign w:val="bottom"/>
            <w:hideMark/>
          </w:tcPr>
          <w:p w14:paraId="7951C425"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w:t>
            </w:r>
          </w:p>
        </w:tc>
      </w:tr>
      <w:tr w:rsidR="00752811" w:rsidRPr="00F379CF" w14:paraId="4DDD40DC" w14:textId="77777777" w:rsidTr="009F30BC">
        <w:trPr>
          <w:trHeight w:val="204"/>
        </w:trPr>
        <w:tc>
          <w:tcPr>
            <w:tcW w:w="5040" w:type="dxa"/>
            <w:gridSpan w:val="3"/>
            <w:tcBorders>
              <w:top w:val="nil"/>
              <w:left w:val="nil"/>
              <w:bottom w:val="single" w:sz="4" w:space="0" w:color="auto"/>
              <w:right w:val="nil"/>
            </w:tcBorders>
            <w:shd w:val="clear" w:color="auto" w:fill="auto"/>
            <w:noWrap/>
            <w:vAlign w:val="bottom"/>
            <w:hideMark/>
          </w:tcPr>
          <w:p w14:paraId="0DCC7EDC"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Note: Impact of net cash appropriation arrangements</w:t>
            </w:r>
          </w:p>
        </w:tc>
        <w:tc>
          <w:tcPr>
            <w:tcW w:w="877" w:type="dxa"/>
            <w:tcBorders>
              <w:top w:val="nil"/>
              <w:left w:val="nil"/>
              <w:bottom w:val="single" w:sz="4" w:space="0" w:color="auto"/>
              <w:right w:val="nil"/>
            </w:tcBorders>
            <w:shd w:val="clear" w:color="auto" w:fill="auto"/>
            <w:noWrap/>
            <w:vAlign w:val="bottom"/>
            <w:hideMark/>
          </w:tcPr>
          <w:p w14:paraId="792B76B7"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 </w:t>
            </w:r>
          </w:p>
        </w:tc>
        <w:tc>
          <w:tcPr>
            <w:tcW w:w="877" w:type="dxa"/>
            <w:tcBorders>
              <w:top w:val="nil"/>
              <w:left w:val="nil"/>
              <w:bottom w:val="single" w:sz="4" w:space="0" w:color="auto"/>
              <w:right w:val="nil"/>
            </w:tcBorders>
            <w:shd w:val="clear" w:color="auto" w:fill="auto"/>
            <w:noWrap/>
            <w:vAlign w:val="bottom"/>
            <w:hideMark/>
          </w:tcPr>
          <w:p w14:paraId="13763E8C"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 </w:t>
            </w:r>
          </w:p>
        </w:tc>
        <w:tc>
          <w:tcPr>
            <w:tcW w:w="877" w:type="dxa"/>
            <w:tcBorders>
              <w:top w:val="nil"/>
              <w:left w:val="nil"/>
              <w:bottom w:val="single" w:sz="4" w:space="0" w:color="auto"/>
              <w:right w:val="nil"/>
            </w:tcBorders>
            <w:shd w:val="clear" w:color="auto" w:fill="auto"/>
            <w:noWrap/>
            <w:vAlign w:val="bottom"/>
            <w:hideMark/>
          </w:tcPr>
          <w:p w14:paraId="3A4A4246"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 </w:t>
            </w:r>
          </w:p>
        </w:tc>
      </w:tr>
      <w:tr w:rsidR="00752811" w:rsidRPr="00F379CF" w14:paraId="40B43157" w14:textId="77777777" w:rsidTr="009F30BC">
        <w:trPr>
          <w:trHeight w:val="204"/>
        </w:trPr>
        <w:tc>
          <w:tcPr>
            <w:tcW w:w="3236" w:type="dxa"/>
            <w:tcBorders>
              <w:top w:val="nil"/>
              <w:left w:val="nil"/>
              <w:bottom w:val="nil"/>
              <w:right w:val="nil"/>
            </w:tcBorders>
            <w:shd w:val="clear" w:color="auto" w:fill="auto"/>
            <w:vAlign w:val="bottom"/>
            <w:hideMark/>
          </w:tcPr>
          <w:p w14:paraId="3C0E1210"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auto" w:fill="auto"/>
            <w:noWrap/>
            <w:vAlign w:val="bottom"/>
            <w:hideMark/>
          </w:tcPr>
          <w:p w14:paraId="02D7B700" w14:textId="77777777" w:rsidR="00752811" w:rsidRPr="00F379CF" w:rsidRDefault="00752811" w:rsidP="009F30BC">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c>
          <w:tcPr>
            <w:tcW w:w="876" w:type="dxa"/>
            <w:tcBorders>
              <w:top w:val="nil"/>
              <w:left w:val="nil"/>
              <w:bottom w:val="nil"/>
              <w:right w:val="nil"/>
            </w:tcBorders>
            <w:shd w:val="clear" w:color="000000" w:fill="E6E6E6"/>
            <w:noWrap/>
            <w:vAlign w:val="bottom"/>
            <w:hideMark/>
          </w:tcPr>
          <w:p w14:paraId="28941D8B" w14:textId="77777777" w:rsidR="00752811" w:rsidRPr="00F379CF" w:rsidRDefault="00752811" w:rsidP="009F30BC">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c>
          <w:tcPr>
            <w:tcW w:w="877" w:type="dxa"/>
            <w:tcBorders>
              <w:top w:val="nil"/>
              <w:left w:val="nil"/>
              <w:bottom w:val="nil"/>
              <w:right w:val="nil"/>
            </w:tcBorders>
            <w:shd w:val="clear" w:color="auto" w:fill="auto"/>
            <w:noWrap/>
            <w:vAlign w:val="bottom"/>
            <w:hideMark/>
          </w:tcPr>
          <w:p w14:paraId="553E2D39" w14:textId="77777777" w:rsidR="00752811" w:rsidRPr="00F379CF" w:rsidRDefault="00752811" w:rsidP="009F30BC">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c>
          <w:tcPr>
            <w:tcW w:w="877" w:type="dxa"/>
            <w:tcBorders>
              <w:top w:val="nil"/>
              <w:left w:val="nil"/>
              <w:bottom w:val="nil"/>
              <w:right w:val="nil"/>
            </w:tcBorders>
            <w:shd w:val="clear" w:color="auto" w:fill="auto"/>
            <w:noWrap/>
            <w:vAlign w:val="bottom"/>
            <w:hideMark/>
          </w:tcPr>
          <w:p w14:paraId="4D59B860" w14:textId="77777777" w:rsidR="00752811" w:rsidRPr="00F379CF" w:rsidRDefault="00752811" w:rsidP="009F30BC">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c>
          <w:tcPr>
            <w:tcW w:w="877" w:type="dxa"/>
            <w:tcBorders>
              <w:top w:val="nil"/>
              <w:left w:val="nil"/>
              <w:bottom w:val="nil"/>
              <w:right w:val="nil"/>
            </w:tcBorders>
            <w:shd w:val="clear" w:color="auto" w:fill="auto"/>
            <w:noWrap/>
            <w:vAlign w:val="bottom"/>
            <w:hideMark/>
          </w:tcPr>
          <w:p w14:paraId="06031E75" w14:textId="77777777" w:rsidR="00752811" w:rsidRPr="00F379CF" w:rsidRDefault="00752811" w:rsidP="009F30BC">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r>
      <w:tr w:rsidR="00752811" w:rsidRPr="00F379CF" w14:paraId="0B40F0B3" w14:textId="77777777" w:rsidTr="009F30BC">
        <w:trPr>
          <w:trHeight w:val="204"/>
        </w:trPr>
        <w:tc>
          <w:tcPr>
            <w:tcW w:w="3236" w:type="dxa"/>
            <w:tcBorders>
              <w:top w:val="nil"/>
              <w:left w:val="nil"/>
              <w:bottom w:val="nil"/>
              <w:right w:val="nil"/>
            </w:tcBorders>
            <w:shd w:val="clear" w:color="auto" w:fill="auto"/>
            <w:vAlign w:val="bottom"/>
            <w:hideMark/>
          </w:tcPr>
          <w:p w14:paraId="5BD5B158" w14:textId="65CDE137" w:rsidR="00752811" w:rsidRPr="00F379CF" w:rsidRDefault="00752811" w:rsidP="00A167BA">
            <w:pPr>
              <w:spacing w:after="0" w:line="240" w:lineRule="auto"/>
              <w:ind w:left="113"/>
              <w:jc w:val="left"/>
              <w:rPr>
                <w:rFonts w:ascii="Arial" w:hAnsi="Arial" w:cs="Arial"/>
                <w:color w:val="000000"/>
                <w:sz w:val="16"/>
                <w:szCs w:val="16"/>
              </w:rPr>
            </w:pPr>
            <w:r w:rsidRPr="0016574C">
              <w:rPr>
                <w:rFonts w:ascii="Arial" w:hAnsi="Arial" w:cs="Arial"/>
                <w:sz w:val="16"/>
                <w:szCs w:val="16"/>
              </w:rPr>
              <w:t>plus</w:t>
            </w:r>
            <w:r w:rsidRPr="00F379CF">
              <w:rPr>
                <w:rFonts w:ascii="Arial" w:hAnsi="Arial" w:cs="Arial"/>
                <w:color w:val="000000"/>
                <w:sz w:val="16"/>
                <w:szCs w:val="16"/>
              </w:rPr>
              <w:t xml:space="preserve">: depreciation/amortisation expenses for ROU assets </w:t>
            </w:r>
            <w:r w:rsidRPr="00F379CF">
              <w:rPr>
                <w:rFonts w:ascii="Arial" w:hAnsi="Arial" w:cs="Arial"/>
                <w:color w:val="000000"/>
                <w:sz w:val="16"/>
                <w:szCs w:val="16"/>
                <w:vertAlign w:val="superscript"/>
              </w:rPr>
              <w:t>(</w:t>
            </w:r>
            <w:r w:rsidR="00A167BA">
              <w:rPr>
                <w:rFonts w:ascii="Arial" w:hAnsi="Arial" w:cs="Arial"/>
                <w:color w:val="000000"/>
                <w:sz w:val="16"/>
                <w:szCs w:val="16"/>
                <w:vertAlign w:val="superscript"/>
              </w:rPr>
              <w:t>a</w:t>
            </w:r>
            <w:r w:rsidRPr="00F379CF">
              <w:rPr>
                <w:rFonts w:ascii="Arial" w:hAnsi="Arial" w:cs="Arial"/>
                <w:color w:val="000000"/>
                <w:sz w:val="16"/>
                <w:szCs w:val="16"/>
                <w:vertAlign w:val="superscript"/>
              </w:rPr>
              <w:t>)</w:t>
            </w:r>
          </w:p>
        </w:tc>
        <w:tc>
          <w:tcPr>
            <w:tcW w:w="928" w:type="dxa"/>
            <w:tcBorders>
              <w:top w:val="nil"/>
              <w:left w:val="nil"/>
              <w:bottom w:val="nil"/>
              <w:right w:val="nil"/>
            </w:tcBorders>
            <w:shd w:val="clear" w:color="auto" w:fill="auto"/>
            <w:noWrap/>
            <w:vAlign w:val="bottom"/>
            <w:hideMark/>
          </w:tcPr>
          <w:p w14:paraId="30015589" w14:textId="77777777" w:rsidR="00752811" w:rsidRPr="00F379CF" w:rsidRDefault="00752811" w:rsidP="009F30BC">
            <w:pPr>
              <w:spacing w:after="0" w:line="240" w:lineRule="auto"/>
              <w:jc w:val="right"/>
              <w:rPr>
                <w:rFonts w:ascii="Arial" w:hAnsi="Arial" w:cs="Arial"/>
                <w:sz w:val="16"/>
                <w:szCs w:val="16"/>
              </w:rPr>
            </w:pPr>
            <w:r w:rsidRPr="00F379CF">
              <w:rPr>
                <w:rFonts w:ascii="Arial" w:hAnsi="Arial" w:cs="Arial"/>
                <w:sz w:val="16"/>
                <w:szCs w:val="16"/>
              </w:rPr>
              <w:t>904</w:t>
            </w:r>
          </w:p>
        </w:tc>
        <w:tc>
          <w:tcPr>
            <w:tcW w:w="876" w:type="dxa"/>
            <w:tcBorders>
              <w:top w:val="nil"/>
              <w:left w:val="nil"/>
              <w:bottom w:val="nil"/>
              <w:right w:val="nil"/>
            </w:tcBorders>
            <w:shd w:val="clear" w:color="000000" w:fill="E6E6E6"/>
            <w:noWrap/>
            <w:vAlign w:val="bottom"/>
            <w:hideMark/>
          </w:tcPr>
          <w:p w14:paraId="3E3B3712"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904</w:t>
            </w:r>
          </w:p>
        </w:tc>
        <w:tc>
          <w:tcPr>
            <w:tcW w:w="877" w:type="dxa"/>
            <w:tcBorders>
              <w:top w:val="nil"/>
              <w:left w:val="nil"/>
              <w:bottom w:val="nil"/>
              <w:right w:val="nil"/>
            </w:tcBorders>
            <w:shd w:val="clear" w:color="auto" w:fill="auto"/>
            <w:noWrap/>
            <w:vAlign w:val="bottom"/>
            <w:hideMark/>
          </w:tcPr>
          <w:p w14:paraId="00BC8044"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904</w:t>
            </w:r>
          </w:p>
        </w:tc>
        <w:tc>
          <w:tcPr>
            <w:tcW w:w="877" w:type="dxa"/>
            <w:tcBorders>
              <w:top w:val="nil"/>
              <w:left w:val="nil"/>
              <w:bottom w:val="nil"/>
              <w:right w:val="nil"/>
            </w:tcBorders>
            <w:shd w:val="clear" w:color="auto" w:fill="auto"/>
            <w:noWrap/>
            <w:vAlign w:val="bottom"/>
            <w:hideMark/>
          </w:tcPr>
          <w:p w14:paraId="5A915232"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904</w:t>
            </w:r>
          </w:p>
        </w:tc>
        <w:tc>
          <w:tcPr>
            <w:tcW w:w="877" w:type="dxa"/>
            <w:tcBorders>
              <w:top w:val="nil"/>
              <w:left w:val="nil"/>
              <w:bottom w:val="nil"/>
              <w:right w:val="nil"/>
            </w:tcBorders>
            <w:shd w:val="clear" w:color="auto" w:fill="auto"/>
            <w:noWrap/>
            <w:vAlign w:val="bottom"/>
            <w:hideMark/>
          </w:tcPr>
          <w:p w14:paraId="140B296D"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904</w:t>
            </w:r>
          </w:p>
        </w:tc>
      </w:tr>
      <w:tr w:rsidR="00752811" w:rsidRPr="00F379CF" w14:paraId="27631626" w14:textId="77777777" w:rsidTr="009F30BC">
        <w:trPr>
          <w:trHeight w:val="204"/>
        </w:trPr>
        <w:tc>
          <w:tcPr>
            <w:tcW w:w="3236" w:type="dxa"/>
            <w:tcBorders>
              <w:top w:val="nil"/>
              <w:left w:val="nil"/>
              <w:bottom w:val="nil"/>
              <w:right w:val="nil"/>
            </w:tcBorders>
            <w:shd w:val="clear" w:color="auto" w:fill="auto"/>
            <w:vAlign w:val="bottom"/>
            <w:hideMark/>
          </w:tcPr>
          <w:p w14:paraId="555EBC0C" w14:textId="1DC795B7" w:rsidR="00752811" w:rsidRPr="00F379CF" w:rsidRDefault="00752811" w:rsidP="00A167BA">
            <w:pPr>
              <w:spacing w:after="0" w:line="240" w:lineRule="auto"/>
              <w:ind w:left="113"/>
              <w:jc w:val="left"/>
              <w:rPr>
                <w:rFonts w:ascii="Arial" w:hAnsi="Arial" w:cs="Arial"/>
                <w:color w:val="000000"/>
                <w:sz w:val="16"/>
                <w:szCs w:val="16"/>
              </w:rPr>
            </w:pPr>
            <w:r w:rsidRPr="0016574C">
              <w:rPr>
                <w:rFonts w:ascii="Arial" w:hAnsi="Arial" w:cs="Arial"/>
                <w:sz w:val="16"/>
                <w:szCs w:val="16"/>
              </w:rPr>
              <w:t>less</w:t>
            </w:r>
            <w:r w:rsidRPr="00F379CF">
              <w:rPr>
                <w:rFonts w:ascii="Arial" w:hAnsi="Arial" w:cs="Arial"/>
                <w:color w:val="000000"/>
                <w:sz w:val="16"/>
                <w:szCs w:val="16"/>
              </w:rPr>
              <w:t>: lease principal repayments</w:t>
            </w:r>
            <w:r w:rsidRPr="00F379CF">
              <w:rPr>
                <w:rFonts w:ascii="Arial" w:hAnsi="Arial" w:cs="Arial"/>
                <w:sz w:val="16"/>
                <w:szCs w:val="16"/>
                <w:vertAlign w:val="superscript"/>
              </w:rPr>
              <w:t xml:space="preserve"> (</w:t>
            </w:r>
            <w:r w:rsidR="00A167BA">
              <w:rPr>
                <w:rFonts w:ascii="Arial" w:hAnsi="Arial" w:cs="Arial"/>
                <w:sz w:val="16"/>
                <w:szCs w:val="16"/>
                <w:vertAlign w:val="superscript"/>
              </w:rPr>
              <w:t>a</w:t>
            </w:r>
            <w:r w:rsidRPr="00F379CF">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2E60FAF7" w14:textId="77777777" w:rsidR="00752811" w:rsidRPr="00F379CF" w:rsidRDefault="00752811" w:rsidP="009F30BC">
            <w:pPr>
              <w:spacing w:after="0" w:line="240" w:lineRule="auto"/>
              <w:jc w:val="right"/>
              <w:rPr>
                <w:rFonts w:ascii="Arial" w:hAnsi="Arial" w:cs="Arial"/>
                <w:sz w:val="16"/>
                <w:szCs w:val="16"/>
              </w:rPr>
            </w:pPr>
            <w:r w:rsidRPr="00F379CF">
              <w:rPr>
                <w:rFonts w:ascii="Arial" w:hAnsi="Arial" w:cs="Arial"/>
                <w:sz w:val="16"/>
                <w:szCs w:val="16"/>
              </w:rPr>
              <w:t>1,081</w:t>
            </w:r>
          </w:p>
        </w:tc>
        <w:tc>
          <w:tcPr>
            <w:tcW w:w="876" w:type="dxa"/>
            <w:tcBorders>
              <w:top w:val="nil"/>
              <w:left w:val="nil"/>
              <w:bottom w:val="nil"/>
              <w:right w:val="nil"/>
            </w:tcBorders>
            <w:shd w:val="clear" w:color="000000" w:fill="E6E6E6"/>
            <w:noWrap/>
            <w:vAlign w:val="bottom"/>
            <w:hideMark/>
          </w:tcPr>
          <w:p w14:paraId="5988B111" w14:textId="77777777" w:rsidR="00752811" w:rsidRPr="00A167BA" w:rsidRDefault="00752811" w:rsidP="009F30BC">
            <w:pPr>
              <w:spacing w:after="0" w:line="240" w:lineRule="auto"/>
              <w:jc w:val="right"/>
              <w:rPr>
                <w:rFonts w:ascii="Arial" w:hAnsi="Arial" w:cs="Arial"/>
                <w:bCs/>
                <w:sz w:val="16"/>
                <w:szCs w:val="16"/>
              </w:rPr>
            </w:pPr>
            <w:r w:rsidRPr="00A167BA">
              <w:rPr>
                <w:rFonts w:ascii="Arial" w:hAnsi="Arial" w:cs="Arial"/>
                <w:bCs/>
                <w:sz w:val="16"/>
                <w:szCs w:val="16"/>
              </w:rPr>
              <w:t>1,135</w:t>
            </w:r>
          </w:p>
        </w:tc>
        <w:tc>
          <w:tcPr>
            <w:tcW w:w="877" w:type="dxa"/>
            <w:tcBorders>
              <w:top w:val="nil"/>
              <w:left w:val="nil"/>
              <w:bottom w:val="nil"/>
              <w:right w:val="nil"/>
            </w:tcBorders>
            <w:shd w:val="clear" w:color="auto" w:fill="auto"/>
            <w:noWrap/>
            <w:vAlign w:val="bottom"/>
            <w:hideMark/>
          </w:tcPr>
          <w:p w14:paraId="6BFDC31F"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1,191</w:t>
            </w:r>
          </w:p>
        </w:tc>
        <w:tc>
          <w:tcPr>
            <w:tcW w:w="877" w:type="dxa"/>
            <w:tcBorders>
              <w:top w:val="nil"/>
              <w:left w:val="nil"/>
              <w:bottom w:val="nil"/>
              <w:right w:val="nil"/>
            </w:tcBorders>
            <w:shd w:val="clear" w:color="auto" w:fill="auto"/>
            <w:noWrap/>
            <w:vAlign w:val="bottom"/>
            <w:hideMark/>
          </w:tcPr>
          <w:p w14:paraId="01337653"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1,142</w:t>
            </w:r>
          </w:p>
        </w:tc>
        <w:tc>
          <w:tcPr>
            <w:tcW w:w="877" w:type="dxa"/>
            <w:tcBorders>
              <w:top w:val="nil"/>
              <w:left w:val="nil"/>
              <w:bottom w:val="nil"/>
              <w:right w:val="nil"/>
            </w:tcBorders>
            <w:shd w:val="clear" w:color="auto" w:fill="auto"/>
            <w:noWrap/>
            <w:vAlign w:val="bottom"/>
            <w:hideMark/>
          </w:tcPr>
          <w:p w14:paraId="2E4EFD95" w14:textId="77777777" w:rsidR="00752811" w:rsidRPr="00A167BA" w:rsidRDefault="00752811" w:rsidP="009F30BC">
            <w:pPr>
              <w:spacing w:after="0" w:line="240" w:lineRule="auto"/>
              <w:jc w:val="right"/>
              <w:rPr>
                <w:rFonts w:ascii="Arial" w:hAnsi="Arial" w:cs="Arial"/>
                <w:sz w:val="16"/>
                <w:szCs w:val="16"/>
              </w:rPr>
            </w:pPr>
            <w:r w:rsidRPr="00A167BA">
              <w:rPr>
                <w:rFonts w:ascii="Arial" w:hAnsi="Arial" w:cs="Arial"/>
                <w:sz w:val="16"/>
                <w:szCs w:val="16"/>
              </w:rPr>
              <w:t>1,000</w:t>
            </w:r>
          </w:p>
        </w:tc>
      </w:tr>
      <w:tr w:rsidR="00752811" w:rsidRPr="00F379CF" w14:paraId="706C614D" w14:textId="77777777" w:rsidTr="009F30BC">
        <w:trPr>
          <w:trHeight w:val="204"/>
        </w:trPr>
        <w:tc>
          <w:tcPr>
            <w:tcW w:w="3236" w:type="dxa"/>
            <w:tcBorders>
              <w:top w:val="nil"/>
              <w:left w:val="nil"/>
              <w:bottom w:val="single" w:sz="4" w:space="0" w:color="auto"/>
              <w:right w:val="nil"/>
            </w:tcBorders>
            <w:shd w:val="clear" w:color="auto" w:fill="auto"/>
            <w:vAlign w:val="bottom"/>
            <w:hideMark/>
          </w:tcPr>
          <w:p w14:paraId="1F5566B1"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2A515CF2"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(177)</w:t>
            </w:r>
          </w:p>
        </w:tc>
        <w:tc>
          <w:tcPr>
            <w:tcW w:w="876" w:type="dxa"/>
            <w:tcBorders>
              <w:top w:val="single" w:sz="4" w:space="0" w:color="auto"/>
              <w:left w:val="nil"/>
              <w:bottom w:val="single" w:sz="4" w:space="0" w:color="auto"/>
              <w:right w:val="nil"/>
            </w:tcBorders>
            <w:shd w:val="clear" w:color="000000" w:fill="E6E6E6"/>
            <w:vAlign w:val="bottom"/>
            <w:hideMark/>
          </w:tcPr>
          <w:p w14:paraId="0E677A6F"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(231)</w:t>
            </w:r>
          </w:p>
        </w:tc>
        <w:tc>
          <w:tcPr>
            <w:tcW w:w="877" w:type="dxa"/>
            <w:tcBorders>
              <w:top w:val="single" w:sz="4" w:space="0" w:color="auto"/>
              <w:left w:val="nil"/>
              <w:bottom w:val="single" w:sz="4" w:space="0" w:color="auto"/>
              <w:right w:val="nil"/>
            </w:tcBorders>
            <w:shd w:val="clear" w:color="auto" w:fill="auto"/>
            <w:vAlign w:val="bottom"/>
            <w:hideMark/>
          </w:tcPr>
          <w:p w14:paraId="32D0AD3C"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(287)</w:t>
            </w:r>
          </w:p>
        </w:tc>
        <w:tc>
          <w:tcPr>
            <w:tcW w:w="877" w:type="dxa"/>
            <w:tcBorders>
              <w:top w:val="single" w:sz="4" w:space="0" w:color="auto"/>
              <w:left w:val="nil"/>
              <w:bottom w:val="single" w:sz="4" w:space="0" w:color="auto"/>
              <w:right w:val="nil"/>
            </w:tcBorders>
            <w:shd w:val="clear" w:color="auto" w:fill="auto"/>
            <w:vAlign w:val="bottom"/>
            <w:hideMark/>
          </w:tcPr>
          <w:p w14:paraId="0A929BC6"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(238)</w:t>
            </w:r>
          </w:p>
        </w:tc>
        <w:tc>
          <w:tcPr>
            <w:tcW w:w="877" w:type="dxa"/>
            <w:tcBorders>
              <w:top w:val="single" w:sz="4" w:space="0" w:color="auto"/>
              <w:left w:val="nil"/>
              <w:bottom w:val="single" w:sz="4" w:space="0" w:color="auto"/>
              <w:right w:val="nil"/>
            </w:tcBorders>
            <w:shd w:val="clear" w:color="auto" w:fill="auto"/>
            <w:vAlign w:val="bottom"/>
            <w:hideMark/>
          </w:tcPr>
          <w:p w14:paraId="356EA2E8" w14:textId="77777777" w:rsidR="00752811" w:rsidRPr="00F379CF" w:rsidRDefault="00752811" w:rsidP="009F30BC">
            <w:pPr>
              <w:spacing w:after="0" w:line="240" w:lineRule="auto"/>
              <w:jc w:val="right"/>
              <w:rPr>
                <w:rFonts w:ascii="Arial" w:hAnsi="Arial" w:cs="Arial"/>
                <w:b/>
                <w:bCs/>
                <w:sz w:val="16"/>
                <w:szCs w:val="16"/>
              </w:rPr>
            </w:pPr>
            <w:r w:rsidRPr="00F379CF">
              <w:rPr>
                <w:rFonts w:ascii="Arial" w:hAnsi="Arial" w:cs="Arial"/>
                <w:b/>
                <w:bCs/>
                <w:sz w:val="16"/>
                <w:szCs w:val="16"/>
              </w:rPr>
              <w:t>(96)</w:t>
            </w:r>
          </w:p>
        </w:tc>
      </w:tr>
    </w:tbl>
    <w:p w14:paraId="08DDC65B" w14:textId="77777777" w:rsidR="00752811" w:rsidRPr="0016574C" w:rsidRDefault="00752811" w:rsidP="00752811">
      <w:pPr>
        <w:spacing w:before="60" w:after="0"/>
        <w:jc w:val="left"/>
      </w:pPr>
      <w:r w:rsidRPr="00F379CF">
        <w:rPr>
          <w:rFonts w:ascii="Arial" w:hAnsi="Arial" w:cs="Arial"/>
          <w:color w:val="000000"/>
          <w:sz w:val="16"/>
          <w:szCs w:val="16"/>
        </w:rPr>
        <w:t>Prepared on Australian Accounting Standards basis.</w:t>
      </w:r>
    </w:p>
    <w:p w14:paraId="468E9B69" w14:textId="6C797653" w:rsidR="00752811" w:rsidRPr="0016574C" w:rsidRDefault="00752811" w:rsidP="00787991">
      <w:pPr>
        <w:pStyle w:val="TableHeadingcontinued"/>
        <w:numPr>
          <w:ilvl w:val="0"/>
          <w:numId w:val="209"/>
        </w:numPr>
        <w:ind w:left="284" w:hanging="284"/>
        <w:rPr>
          <w:b w:val="0"/>
        </w:rPr>
      </w:pPr>
      <w:r w:rsidRPr="0016574C">
        <w:rPr>
          <w:rFonts w:ascii="Arial" w:hAnsi="Arial" w:cs="Arial"/>
          <w:b w:val="0"/>
          <w:color w:val="000000"/>
          <w:sz w:val="16"/>
          <w:szCs w:val="16"/>
        </w:rPr>
        <w:t>Applies leases under AASB 16 Leases.</w:t>
      </w:r>
      <w:r w:rsidRPr="0016574C">
        <w:rPr>
          <w:b w:val="0"/>
        </w:rPr>
        <w:br w:type="page"/>
      </w:r>
    </w:p>
    <w:p w14:paraId="67ECD53F" w14:textId="29C6B4A2" w:rsidR="00752811" w:rsidRDefault="00752811" w:rsidP="00752811">
      <w:pPr>
        <w:pStyle w:val="TableHeading"/>
      </w:pPr>
      <w:r w:rsidRPr="00101B4A">
        <w:lastRenderedPageBreak/>
        <w:t xml:space="preserve">Table 3.2: Budgeted </w:t>
      </w:r>
      <w:r w:rsidR="003C4CC6">
        <w:t>Department</w:t>
      </w:r>
      <w:r w:rsidRPr="00101B4A">
        <w:t>al balance sheet (as at 30 June)</w:t>
      </w:r>
    </w:p>
    <w:tbl>
      <w:tblPr>
        <w:tblW w:w="7332" w:type="dxa"/>
        <w:tblLook w:val="04A0" w:firstRow="1" w:lastRow="0" w:firstColumn="1" w:lastColumn="0" w:noHBand="0" w:noVBand="1"/>
      </w:tblPr>
      <w:tblGrid>
        <w:gridCol w:w="2976"/>
        <w:gridCol w:w="928"/>
        <w:gridCol w:w="857"/>
        <w:gridCol w:w="857"/>
        <w:gridCol w:w="857"/>
        <w:gridCol w:w="857"/>
      </w:tblGrid>
      <w:tr w:rsidR="00752811" w:rsidRPr="00F379CF" w14:paraId="422CE03A" w14:textId="77777777" w:rsidTr="00333C84">
        <w:trPr>
          <w:trHeight w:val="204"/>
        </w:trPr>
        <w:tc>
          <w:tcPr>
            <w:tcW w:w="2976" w:type="dxa"/>
            <w:tcBorders>
              <w:top w:val="single" w:sz="4" w:space="0" w:color="auto"/>
              <w:left w:val="nil"/>
              <w:bottom w:val="nil"/>
              <w:right w:val="nil"/>
            </w:tcBorders>
            <w:shd w:val="clear" w:color="auto" w:fill="auto"/>
            <w:noWrap/>
            <w:vAlign w:val="bottom"/>
            <w:hideMark/>
          </w:tcPr>
          <w:p w14:paraId="03BDC462"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22385B2"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2021-22 Estimated actual</w:t>
            </w:r>
            <w:r w:rsidRPr="00F379C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vAlign w:val="bottom"/>
            <w:hideMark/>
          </w:tcPr>
          <w:p w14:paraId="47CCC9F1"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2022-23</w:t>
            </w:r>
            <w:r w:rsidRPr="00F379CF">
              <w:rPr>
                <w:rFonts w:ascii="Arial" w:hAnsi="Arial" w:cs="Arial"/>
                <w:sz w:val="16"/>
                <w:szCs w:val="16"/>
              </w:rPr>
              <w:br/>
              <w:t>Budget</w:t>
            </w:r>
            <w:r w:rsidRPr="00F379CF">
              <w:rPr>
                <w:rFonts w:ascii="Arial" w:hAnsi="Arial" w:cs="Arial"/>
                <w:sz w:val="16"/>
                <w:szCs w:val="16"/>
              </w:rPr>
              <w:br/>
            </w:r>
            <w:r w:rsidRPr="00F379C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166BF8F2"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2023-24 Forward estimate</w:t>
            </w:r>
            <w:r w:rsidRPr="00F379C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473A1FF3"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2024-25 Forward estimate</w:t>
            </w:r>
            <w:r w:rsidRPr="00F379C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1BE8846C" w14:textId="77777777" w:rsidR="00752811" w:rsidRPr="00F379CF" w:rsidRDefault="00752811" w:rsidP="00333C84">
            <w:pPr>
              <w:spacing w:after="0" w:line="240" w:lineRule="auto"/>
              <w:jc w:val="right"/>
              <w:rPr>
                <w:rFonts w:ascii="Arial" w:hAnsi="Arial" w:cs="Arial"/>
                <w:sz w:val="16"/>
                <w:szCs w:val="16"/>
              </w:rPr>
            </w:pPr>
            <w:r w:rsidRPr="00F379CF">
              <w:rPr>
                <w:rFonts w:ascii="Arial" w:hAnsi="Arial" w:cs="Arial"/>
                <w:sz w:val="16"/>
                <w:szCs w:val="16"/>
              </w:rPr>
              <w:t>2025-26</w:t>
            </w:r>
            <w:r w:rsidRPr="00F379CF">
              <w:rPr>
                <w:rFonts w:ascii="Arial" w:hAnsi="Arial" w:cs="Arial"/>
                <w:sz w:val="16"/>
                <w:szCs w:val="16"/>
              </w:rPr>
              <w:br/>
              <w:t>Forward estimate</w:t>
            </w:r>
            <w:r w:rsidRPr="00F379CF">
              <w:rPr>
                <w:rFonts w:ascii="Arial" w:hAnsi="Arial" w:cs="Arial"/>
                <w:sz w:val="16"/>
                <w:szCs w:val="16"/>
              </w:rPr>
              <w:br/>
              <w:t>$'000</w:t>
            </w:r>
          </w:p>
        </w:tc>
      </w:tr>
      <w:tr w:rsidR="00752811" w:rsidRPr="00F379CF" w14:paraId="5BA6BD91" w14:textId="77777777" w:rsidTr="00333C84">
        <w:trPr>
          <w:trHeight w:val="204"/>
        </w:trPr>
        <w:tc>
          <w:tcPr>
            <w:tcW w:w="2976" w:type="dxa"/>
            <w:tcBorders>
              <w:top w:val="nil"/>
              <w:left w:val="nil"/>
              <w:bottom w:val="nil"/>
              <w:right w:val="nil"/>
            </w:tcBorders>
            <w:shd w:val="clear" w:color="auto" w:fill="auto"/>
            <w:noWrap/>
            <w:vAlign w:val="bottom"/>
            <w:hideMark/>
          </w:tcPr>
          <w:p w14:paraId="4EA2E55D"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5A4607E3" w14:textId="77777777" w:rsidR="00752811" w:rsidRPr="00F379CF"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4BA966E8"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CDDAB26"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EFB949E"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48133A3" w14:textId="77777777" w:rsidR="00752811" w:rsidRPr="0016574C" w:rsidRDefault="00752811" w:rsidP="00333C84">
            <w:pPr>
              <w:spacing w:after="0" w:line="240" w:lineRule="auto"/>
              <w:jc w:val="right"/>
              <w:rPr>
                <w:rFonts w:ascii="Times New Roman" w:hAnsi="Times New Roman"/>
                <w:sz w:val="16"/>
                <w:szCs w:val="16"/>
              </w:rPr>
            </w:pPr>
          </w:p>
        </w:tc>
      </w:tr>
      <w:tr w:rsidR="00752811" w:rsidRPr="00F379CF" w14:paraId="1BC28B37" w14:textId="77777777" w:rsidTr="00333C84">
        <w:trPr>
          <w:trHeight w:val="204"/>
        </w:trPr>
        <w:tc>
          <w:tcPr>
            <w:tcW w:w="2976" w:type="dxa"/>
            <w:tcBorders>
              <w:top w:val="nil"/>
              <w:left w:val="nil"/>
              <w:bottom w:val="nil"/>
              <w:right w:val="nil"/>
            </w:tcBorders>
            <w:shd w:val="clear" w:color="auto" w:fill="auto"/>
            <w:noWrap/>
            <w:vAlign w:val="bottom"/>
            <w:hideMark/>
          </w:tcPr>
          <w:p w14:paraId="26C35D36"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2FDBABEC" w14:textId="77777777" w:rsidR="00752811" w:rsidRPr="00F379CF"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95F4545"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6F114F2"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9BD808D"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15F965C9" w14:textId="77777777" w:rsidR="00752811" w:rsidRPr="0016574C" w:rsidRDefault="00752811" w:rsidP="00333C84">
            <w:pPr>
              <w:spacing w:after="0" w:line="240" w:lineRule="auto"/>
              <w:jc w:val="right"/>
              <w:rPr>
                <w:rFonts w:ascii="Times New Roman" w:hAnsi="Times New Roman"/>
                <w:sz w:val="16"/>
                <w:szCs w:val="16"/>
              </w:rPr>
            </w:pPr>
          </w:p>
        </w:tc>
      </w:tr>
      <w:tr w:rsidR="00752811" w:rsidRPr="00F379CF" w14:paraId="72FF871D" w14:textId="77777777" w:rsidTr="00333C84">
        <w:trPr>
          <w:trHeight w:val="204"/>
        </w:trPr>
        <w:tc>
          <w:tcPr>
            <w:tcW w:w="2976" w:type="dxa"/>
            <w:tcBorders>
              <w:top w:val="nil"/>
              <w:left w:val="nil"/>
              <w:bottom w:val="nil"/>
              <w:right w:val="nil"/>
            </w:tcBorders>
            <w:shd w:val="clear" w:color="auto" w:fill="auto"/>
            <w:noWrap/>
            <w:vAlign w:val="bottom"/>
            <w:hideMark/>
          </w:tcPr>
          <w:p w14:paraId="1163837E"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 xml:space="preserve">Cash </w:t>
            </w:r>
            <w:r w:rsidRPr="00F379CF">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31B82954"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4,445</w:t>
            </w:r>
          </w:p>
        </w:tc>
        <w:tc>
          <w:tcPr>
            <w:tcW w:w="857" w:type="dxa"/>
            <w:tcBorders>
              <w:top w:val="nil"/>
              <w:left w:val="nil"/>
              <w:bottom w:val="nil"/>
              <w:right w:val="nil"/>
            </w:tcBorders>
            <w:shd w:val="clear" w:color="000000" w:fill="E6E6E6"/>
            <w:noWrap/>
            <w:vAlign w:val="bottom"/>
            <w:hideMark/>
          </w:tcPr>
          <w:p w14:paraId="011649F8"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4,742</w:t>
            </w:r>
          </w:p>
        </w:tc>
        <w:tc>
          <w:tcPr>
            <w:tcW w:w="857" w:type="dxa"/>
            <w:tcBorders>
              <w:top w:val="nil"/>
              <w:left w:val="nil"/>
              <w:bottom w:val="nil"/>
              <w:right w:val="nil"/>
            </w:tcBorders>
            <w:shd w:val="clear" w:color="auto" w:fill="auto"/>
            <w:noWrap/>
            <w:vAlign w:val="bottom"/>
            <w:hideMark/>
          </w:tcPr>
          <w:p w14:paraId="4F206963"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4,735</w:t>
            </w:r>
          </w:p>
        </w:tc>
        <w:tc>
          <w:tcPr>
            <w:tcW w:w="857" w:type="dxa"/>
            <w:tcBorders>
              <w:top w:val="nil"/>
              <w:left w:val="nil"/>
              <w:bottom w:val="nil"/>
              <w:right w:val="nil"/>
            </w:tcBorders>
            <w:shd w:val="clear" w:color="auto" w:fill="auto"/>
            <w:noWrap/>
            <w:vAlign w:val="bottom"/>
            <w:hideMark/>
          </w:tcPr>
          <w:p w14:paraId="2977E0F2"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4,810</w:t>
            </w:r>
          </w:p>
        </w:tc>
        <w:tc>
          <w:tcPr>
            <w:tcW w:w="857" w:type="dxa"/>
            <w:tcBorders>
              <w:top w:val="nil"/>
              <w:left w:val="nil"/>
              <w:bottom w:val="nil"/>
              <w:right w:val="nil"/>
            </w:tcBorders>
            <w:shd w:val="clear" w:color="auto" w:fill="auto"/>
            <w:noWrap/>
            <w:vAlign w:val="bottom"/>
            <w:hideMark/>
          </w:tcPr>
          <w:p w14:paraId="76FD6B05"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4,709</w:t>
            </w:r>
          </w:p>
        </w:tc>
      </w:tr>
      <w:tr w:rsidR="00752811" w:rsidRPr="00F379CF" w14:paraId="289EF625" w14:textId="77777777" w:rsidTr="00333C84">
        <w:trPr>
          <w:trHeight w:val="204"/>
        </w:trPr>
        <w:tc>
          <w:tcPr>
            <w:tcW w:w="2976" w:type="dxa"/>
            <w:tcBorders>
              <w:top w:val="nil"/>
              <w:left w:val="nil"/>
              <w:bottom w:val="nil"/>
              <w:right w:val="nil"/>
            </w:tcBorders>
            <w:shd w:val="clear" w:color="auto" w:fill="auto"/>
            <w:noWrap/>
            <w:vAlign w:val="bottom"/>
            <w:hideMark/>
          </w:tcPr>
          <w:p w14:paraId="4FEF5DBE" w14:textId="77777777" w:rsidR="00752811" w:rsidRPr="00F379CF" w:rsidRDefault="00752811" w:rsidP="00333C84">
            <w:pPr>
              <w:spacing w:after="0" w:line="240" w:lineRule="auto"/>
              <w:ind w:left="113"/>
              <w:jc w:val="left"/>
              <w:rPr>
                <w:rFonts w:ascii="Arial" w:hAnsi="Arial" w:cs="Arial"/>
                <w:sz w:val="16"/>
                <w:szCs w:val="16"/>
              </w:rPr>
            </w:pPr>
            <w:r w:rsidRPr="00F379CF">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2CEC25C1"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31</w:t>
            </w:r>
          </w:p>
        </w:tc>
        <w:tc>
          <w:tcPr>
            <w:tcW w:w="857" w:type="dxa"/>
            <w:tcBorders>
              <w:top w:val="nil"/>
              <w:left w:val="nil"/>
              <w:bottom w:val="nil"/>
              <w:right w:val="nil"/>
            </w:tcBorders>
            <w:shd w:val="clear" w:color="000000" w:fill="E6E6E6"/>
            <w:noWrap/>
            <w:vAlign w:val="bottom"/>
            <w:hideMark/>
          </w:tcPr>
          <w:p w14:paraId="7A712DE2"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23</w:t>
            </w:r>
          </w:p>
        </w:tc>
        <w:tc>
          <w:tcPr>
            <w:tcW w:w="857" w:type="dxa"/>
            <w:tcBorders>
              <w:top w:val="nil"/>
              <w:left w:val="nil"/>
              <w:bottom w:val="nil"/>
              <w:right w:val="nil"/>
            </w:tcBorders>
            <w:shd w:val="clear" w:color="auto" w:fill="auto"/>
            <w:noWrap/>
            <w:vAlign w:val="bottom"/>
            <w:hideMark/>
          </w:tcPr>
          <w:p w14:paraId="62FA2FF6"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22</w:t>
            </w:r>
          </w:p>
        </w:tc>
        <w:tc>
          <w:tcPr>
            <w:tcW w:w="857" w:type="dxa"/>
            <w:tcBorders>
              <w:top w:val="nil"/>
              <w:left w:val="nil"/>
              <w:bottom w:val="nil"/>
              <w:right w:val="nil"/>
            </w:tcBorders>
            <w:shd w:val="clear" w:color="auto" w:fill="auto"/>
            <w:noWrap/>
            <w:vAlign w:val="bottom"/>
            <w:hideMark/>
          </w:tcPr>
          <w:p w14:paraId="330EC9C2"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22</w:t>
            </w:r>
          </w:p>
        </w:tc>
        <w:tc>
          <w:tcPr>
            <w:tcW w:w="857" w:type="dxa"/>
            <w:tcBorders>
              <w:top w:val="nil"/>
              <w:left w:val="nil"/>
              <w:bottom w:val="nil"/>
              <w:right w:val="nil"/>
            </w:tcBorders>
            <w:shd w:val="clear" w:color="auto" w:fill="auto"/>
            <w:noWrap/>
            <w:vAlign w:val="bottom"/>
            <w:hideMark/>
          </w:tcPr>
          <w:p w14:paraId="595EE5B3"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22</w:t>
            </w:r>
          </w:p>
        </w:tc>
      </w:tr>
      <w:tr w:rsidR="00752811" w:rsidRPr="00F379CF" w14:paraId="3C33E546" w14:textId="77777777" w:rsidTr="00333C84">
        <w:trPr>
          <w:trHeight w:val="204"/>
        </w:trPr>
        <w:tc>
          <w:tcPr>
            <w:tcW w:w="2976" w:type="dxa"/>
            <w:tcBorders>
              <w:top w:val="nil"/>
              <w:left w:val="nil"/>
              <w:bottom w:val="nil"/>
              <w:right w:val="nil"/>
            </w:tcBorders>
            <w:shd w:val="clear" w:color="auto" w:fill="auto"/>
            <w:noWrap/>
            <w:vAlign w:val="bottom"/>
            <w:hideMark/>
          </w:tcPr>
          <w:p w14:paraId="7555B56A" w14:textId="77777777" w:rsidR="00752811" w:rsidRPr="00F379CF" w:rsidRDefault="00752811" w:rsidP="00333C84">
            <w:pPr>
              <w:spacing w:after="0" w:line="240" w:lineRule="auto"/>
              <w:jc w:val="left"/>
              <w:rPr>
                <w:rFonts w:ascii="Arial" w:hAnsi="Arial" w:cs="Arial"/>
                <w:b/>
                <w:bCs/>
                <w:i/>
                <w:iCs/>
                <w:color w:val="000000"/>
                <w:sz w:val="16"/>
                <w:szCs w:val="16"/>
              </w:rPr>
            </w:pPr>
            <w:r w:rsidRPr="00F379CF">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741DAAC0"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4,476</w:t>
            </w:r>
          </w:p>
        </w:tc>
        <w:tc>
          <w:tcPr>
            <w:tcW w:w="857" w:type="dxa"/>
            <w:tcBorders>
              <w:top w:val="single" w:sz="4" w:space="0" w:color="000000"/>
              <w:left w:val="nil"/>
              <w:bottom w:val="single" w:sz="4" w:space="0" w:color="000000"/>
              <w:right w:val="nil"/>
            </w:tcBorders>
            <w:shd w:val="clear" w:color="000000" w:fill="E6E6E6"/>
            <w:noWrap/>
            <w:vAlign w:val="bottom"/>
            <w:hideMark/>
          </w:tcPr>
          <w:p w14:paraId="312C82B5"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4,765</w:t>
            </w:r>
          </w:p>
        </w:tc>
        <w:tc>
          <w:tcPr>
            <w:tcW w:w="857" w:type="dxa"/>
            <w:tcBorders>
              <w:top w:val="single" w:sz="4" w:space="0" w:color="000000"/>
              <w:left w:val="nil"/>
              <w:bottom w:val="single" w:sz="4" w:space="0" w:color="000000"/>
              <w:right w:val="nil"/>
            </w:tcBorders>
            <w:shd w:val="clear" w:color="auto" w:fill="auto"/>
            <w:noWrap/>
            <w:vAlign w:val="bottom"/>
            <w:hideMark/>
          </w:tcPr>
          <w:p w14:paraId="139F3671"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4,757</w:t>
            </w:r>
          </w:p>
        </w:tc>
        <w:tc>
          <w:tcPr>
            <w:tcW w:w="857" w:type="dxa"/>
            <w:tcBorders>
              <w:top w:val="single" w:sz="4" w:space="0" w:color="000000"/>
              <w:left w:val="nil"/>
              <w:bottom w:val="single" w:sz="4" w:space="0" w:color="000000"/>
              <w:right w:val="nil"/>
            </w:tcBorders>
            <w:shd w:val="clear" w:color="auto" w:fill="auto"/>
            <w:noWrap/>
            <w:vAlign w:val="bottom"/>
            <w:hideMark/>
          </w:tcPr>
          <w:p w14:paraId="5DF85AFA"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4,832</w:t>
            </w:r>
          </w:p>
        </w:tc>
        <w:tc>
          <w:tcPr>
            <w:tcW w:w="857" w:type="dxa"/>
            <w:tcBorders>
              <w:top w:val="single" w:sz="4" w:space="0" w:color="000000"/>
              <w:left w:val="nil"/>
              <w:bottom w:val="single" w:sz="4" w:space="0" w:color="000000"/>
              <w:right w:val="nil"/>
            </w:tcBorders>
            <w:shd w:val="clear" w:color="auto" w:fill="auto"/>
            <w:noWrap/>
            <w:vAlign w:val="bottom"/>
            <w:hideMark/>
          </w:tcPr>
          <w:p w14:paraId="1BC6FF11"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4,731</w:t>
            </w:r>
          </w:p>
        </w:tc>
      </w:tr>
      <w:tr w:rsidR="00752811" w:rsidRPr="00F379CF" w14:paraId="22C7F26A" w14:textId="77777777" w:rsidTr="00333C84">
        <w:trPr>
          <w:trHeight w:val="204"/>
        </w:trPr>
        <w:tc>
          <w:tcPr>
            <w:tcW w:w="2976" w:type="dxa"/>
            <w:tcBorders>
              <w:top w:val="nil"/>
              <w:left w:val="nil"/>
              <w:bottom w:val="nil"/>
              <w:right w:val="nil"/>
            </w:tcBorders>
            <w:shd w:val="clear" w:color="auto" w:fill="auto"/>
            <w:noWrap/>
            <w:vAlign w:val="bottom"/>
            <w:hideMark/>
          </w:tcPr>
          <w:p w14:paraId="2DEF8DD1"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5A20472B" w14:textId="77777777" w:rsidR="00752811" w:rsidRPr="00F379CF"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35717F6"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F3EFBF3"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E549357"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DA51FF5" w14:textId="77777777" w:rsidR="00752811" w:rsidRPr="0016574C" w:rsidRDefault="00752811" w:rsidP="00333C84">
            <w:pPr>
              <w:spacing w:after="0" w:line="240" w:lineRule="auto"/>
              <w:jc w:val="right"/>
              <w:rPr>
                <w:rFonts w:ascii="Times New Roman" w:hAnsi="Times New Roman"/>
                <w:sz w:val="16"/>
                <w:szCs w:val="16"/>
              </w:rPr>
            </w:pPr>
          </w:p>
        </w:tc>
      </w:tr>
      <w:tr w:rsidR="00752811" w:rsidRPr="00F379CF" w14:paraId="0A50A646" w14:textId="77777777" w:rsidTr="00333C84">
        <w:trPr>
          <w:trHeight w:val="204"/>
        </w:trPr>
        <w:tc>
          <w:tcPr>
            <w:tcW w:w="2976" w:type="dxa"/>
            <w:tcBorders>
              <w:top w:val="nil"/>
              <w:left w:val="nil"/>
              <w:bottom w:val="nil"/>
              <w:right w:val="nil"/>
            </w:tcBorders>
            <w:shd w:val="clear" w:color="auto" w:fill="auto"/>
            <w:noWrap/>
            <w:vAlign w:val="bottom"/>
            <w:hideMark/>
          </w:tcPr>
          <w:p w14:paraId="6BABA260"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Land and buildings</w:t>
            </w:r>
          </w:p>
        </w:tc>
        <w:tc>
          <w:tcPr>
            <w:tcW w:w="928" w:type="dxa"/>
            <w:tcBorders>
              <w:top w:val="nil"/>
              <w:left w:val="nil"/>
              <w:bottom w:val="nil"/>
              <w:right w:val="nil"/>
            </w:tcBorders>
            <w:shd w:val="clear" w:color="auto" w:fill="auto"/>
            <w:noWrap/>
            <w:vAlign w:val="bottom"/>
            <w:hideMark/>
          </w:tcPr>
          <w:p w14:paraId="32811CDC"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3,437</w:t>
            </w:r>
          </w:p>
        </w:tc>
        <w:tc>
          <w:tcPr>
            <w:tcW w:w="857" w:type="dxa"/>
            <w:tcBorders>
              <w:top w:val="nil"/>
              <w:left w:val="nil"/>
              <w:bottom w:val="nil"/>
              <w:right w:val="nil"/>
            </w:tcBorders>
            <w:shd w:val="clear" w:color="000000" w:fill="E6E6E6"/>
            <w:noWrap/>
            <w:vAlign w:val="bottom"/>
            <w:hideMark/>
          </w:tcPr>
          <w:p w14:paraId="1E3CF1A0"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2,291</w:t>
            </w:r>
          </w:p>
        </w:tc>
        <w:tc>
          <w:tcPr>
            <w:tcW w:w="857" w:type="dxa"/>
            <w:tcBorders>
              <w:top w:val="nil"/>
              <w:left w:val="nil"/>
              <w:bottom w:val="nil"/>
              <w:right w:val="nil"/>
            </w:tcBorders>
            <w:shd w:val="clear" w:color="auto" w:fill="auto"/>
            <w:noWrap/>
            <w:vAlign w:val="bottom"/>
            <w:hideMark/>
          </w:tcPr>
          <w:p w14:paraId="230E4877"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1,150</w:t>
            </w:r>
          </w:p>
        </w:tc>
        <w:tc>
          <w:tcPr>
            <w:tcW w:w="857" w:type="dxa"/>
            <w:tcBorders>
              <w:top w:val="nil"/>
              <w:left w:val="nil"/>
              <w:bottom w:val="nil"/>
              <w:right w:val="nil"/>
            </w:tcBorders>
            <w:shd w:val="clear" w:color="auto" w:fill="auto"/>
            <w:noWrap/>
            <w:vAlign w:val="bottom"/>
            <w:hideMark/>
          </w:tcPr>
          <w:p w14:paraId="75FEBFB0"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6</w:t>
            </w:r>
          </w:p>
        </w:tc>
        <w:tc>
          <w:tcPr>
            <w:tcW w:w="857" w:type="dxa"/>
            <w:tcBorders>
              <w:top w:val="nil"/>
              <w:left w:val="nil"/>
              <w:bottom w:val="nil"/>
              <w:right w:val="nil"/>
            </w:tcBorders>
            <w:shd w:val="clear" w:color="auto" w:fill="auto"/>
            <w:noWrap/>
            <w:vAlign w:val="bottom"/>
            <w:hideMark/>
          </w:tcPr>
          <w:p w14:paraId="490CC78F"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2,147</w:t>
            </w:r>
          </w:p>
        </w:tc>
      </w:tr>
      <w:tr w:rsidR="00752811" w:rsidRPr="00F379CF" w14:paraId="0AC42DFD" w14:textId="77777777" w:rsidTr="00333C84">
        <w:trPr>
          <w:trHeight w:val="204"/>
        </w:trPr>
        <w:tc>
          <w:tcPr>
            <w:tcW w:w="2976" w:type="dxa"/>
            <w:tcBorders>
              <w:top w:val="nil"/>
              <w:left w:val="nil"/>
              <w:bottom w:val="nil"/>
              <w:right w:val="nil"/>
            </w:tcBorders>
            <w:shd w:val="clear" w:color="auto" w:fill="auto"/>
            <w:noWrap/>
            <w:vAlign w:val="bottom"/>
            <w:hideMark/>
          </w:tcPr>
          <w:p w14:paraId="53077F6E"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bottom"/>
            <w:hideMark/>
          </w:tcPr>
          <w:p w14:paraId="61B07B0C"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480</w:t>
            </w:r>
          </w:p>
        </w:tc>
        <w:tc>
          <w:tcPr>
            <w:tcW w:w="857" w:type="dxa"/>
            <w:tcBorders>
              <w:top w:val="nil"/>
              <w:left w:val="nil"/>
              <w:bottom w:val="nil"/>
              <w:right w:val="nil"/>
            </w:tcBorders>
            <w:shd w:val="clear" w:color="000000" w:fill="E6E6E6"/>
            <w:noWrap/>
            <w:vAlign w:val="bottom"/>
            <w:hideMark/>
          </w:tcPr>
          <w:p w14:paraId="4A6D5E44"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378</w:t>
            </w:r>
          </w:p>
        </w:tc>
        <w:tc>
          <w:tcPr>
            <w:tcW w:w="857" w:type="dxa"/>
            <w:tcBorders>
              <w:top w:val="nil"/>
              <w:left w:val="nil"/>
              <w:bottom w:val="nil"/>
              <w:right w:val="nil"/>
            </w:tcBorders>
            <w:shd w:val="clear" w:color="auto" w:fill="auto"/>
            <w:noWrap/>
            <w:vAlign w:val="bottom"/>
            <w:hideMark/>
          </w:tcPr>
          <w:p w14:paraId="60C6278D"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338</w:t>
            </w:r>
          </w:p>
        </w:tc>
        <w:tc>
          <w:tcPr>
            <w:tcW w:w="857" w:type="dxa"/>
            <w:tcBorders>
              <w:top w:val="nil"/>
              <w:left w:val="nil"/>
              <w:bottom w:val="nil"/>
              <w:right w:val="nil"/>
            </w:tcBorders>
            <w:shd w:val="clear" w:color="auto" w:fill="auto"/>
            <w:noWrap/>
            <w:vAlign w:val="bottom"/>
            <w:hideMark/>
          </w:tcPr>
          <w:p w14:paraId="2CE825B0"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268</w:t>
            </w:r>
          </w:p>
        </w:tc>
        <w:tc>
          <w:tcPr>
            <w:tcW w:w="857" w:type="dxa"/>
            <w:tcBorders>
              <w:top w:val="nil"/>
              <w:left w:val="nil"/>
              <w:bottom w:val="nil"/>
              <w:right w:val="nil"/>
            </w:tcBorders>
            <w:shd w:val="clear" w:color="auto" w:fill="auto"/>
            <w:noWrap/>
            <w:vAlign w:val="bottom"/>
            <w:hideMark/>
          </w:tcPr>
          <w:p w14:paraId="60FAA621"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228</w:t>
            </w:r>
          </w:p>
        </w:tc>
      </w:tr>
      <w:tr w:rsidR="00752811" w:rsidRPr="00F379CF" w14:paraId="7D776C1C" w14:textId="77777777" w:rsidTr="00333C84">
        <w:trPr>
          <w:trHeight w:val="204"/>
        </w:trPr>
        <w:tc>
          <w:tcPr>
            <w:tcW w:w="2976" w:type="dxa"/>
            <w:tcBorders>
              <w:top w:val="nil"/>
              <w:left w:val="nil"/>
              <w:bottom w:val="nil"/>
              <w:right w:val="nil"/>
            </w:tcBorders>
            <w:shd w:val="clear" w:color="auto" w:fill="auto"/>
            <w:noWrap/>
            <w:vAlign w:val="bottom"/>
            <w:hideMark/>
          </w:tcPr>
          <w:p w14:paraId="2324E8E7"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bottom"/>
            <w:hideMark/>
          </w:tcPr>
          <w:p w14:paraId="5A079CEA"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96</w:t>
            </w:r>
          </w:p>
        </w:tc>
        <w:tc>
          <w:tcPr>
            <w:tcW w:w="857" w:type="dxa"/>
            <w:tcBorders>
              <w:top w:val="nil"/>
              <w:left w:val="nil"/>
              <w:bottom w:val="nil"/>
              <w:right w:val="nil"/>
            </w:tcBorders>
            <w:shd w:val="clear" w:color="000000" w:fill="E6E6E6"/>
            <w:noWrap/>
            <w:vAlign w:val="bottom"/>
            <w:hideMark/>
          </w:tcPr>
          <w:p w14:paraId="711BA348"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96</w:t>
            </w:r>
          </w:p>
        </w:tc>
        <w:tc>
          <w:tcPr>
            <w:tcW w:w="857" w:type="dxa"/>
            <w:tcBorders>
              <w:top w:val="nil"/>
              <w:left w:val="nil"/>
              <w:bottom w:val="nil"/>
              <w:right w:val="nil"/>
            </w:tcBorders>
            <w:shd w:val="clear" w:color="auto" w:fill="auto"/>
            <w:noWrap/>
            <w:vAlign w:val="bottom"/>
            <w:hideMark/>
          </w:tcPr>
          <w:p w14:paraId="4C53FF09"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96</w:t>
            </w:r>
          </w:p>
        </w:tc>
        <w:tc>
          <w:tcPr>
            <w:tcW w:w="857" w:type="dxa"/>
            <w:tcBorders>
              <w:top w:val="nil"/>
              <w:left w:val="nil"/>
              <w:bottom w:val="nil"/>
              <w:right w:val="nil"/>
            </w:tcBorders>
            <w:shd w:val="clear" w:color="auto" w:fill="auto"/>
            <w:noWrap/>
            <w:vAlign w:val="bottom"/>
            <w:hideMark/>
          </w:tcPr>
          <w:p w14:paraId="4D6BDC1A"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96</w:t>
            </w:r>
          </w:p>
        </w:tc>
        <w:tc>
          <w:tcPr>
            <w:tcW w:w="857" w:type="dxa"/>
            <w:tcBorders>
              <w:top w:val="nil"/>
              <w:left w:val="nil"/>
              <w:bottom w:val="nil"/>
              <w:right w:val="nil"/>
            </w:tcBorders>
            <w:shd w:val="clear" w:color="auto" w:fill="auto"/>
            <w:noWrap/>
            <w:vAlign w:val="bottom"/>
            <w:hideMark/>
          </w:tcPr>
          <w:p w14:paraId="3DE7B780"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96</w:t>
            </w:r>
          </w:p>
        </w:tc>
      </w:tr>
      <w:tr w:rsidR="00752811" w:rsidRPr="00F379CF" w14:paraId="2A10D046" w14:textId="77777777" w:rsidTr="00333C84">
        <w:trPr>
          <w:trHeight w:val="204"/>
        </w:trPr>
        <w:tc>
          <w:tcPr>
            <w:tcW w:w="2976" w:type="dxa"/>
            <w:tcBorders>
              <w:top w:val="nil"/>
              <w:left w:val="nil"/>
              <w:bottom w:val="nil"/>
              <w:right w:val="nil"/>
            </w:tcBorders>
            <w:shd w:val="clear" w:color="auto" w:fill="auto"/>
            <w:noWrap/>
            <w:vAlign w:val="bottom"/>
            <w:hideMark/>
          </w:tcPr>
          <w:p w14:paraId="697B5A5E" w14:textId="77777777" w:rsidR="00752811" w:rsidRPr="00F379CF" w:rsidRDefault="00752811" w:rsidP="00333C84">
            <w:pPr>
              <w:spacing w:after="0" w:line="240" w:lineRule="auto"/>
              <w:jc w:val="left"/>
              <w:rPr>
                <w:rFonts w:ascii="Arial" w:hAnsi="Arial" w:cs="Arial"/>
                <w:b/>
                <w:bCs/>
                <w:i/>
                <w:iCs/>
                <w:color w:val="000000"/>
                <w:sz w:val="16"/>
                <w:szCs w:val="16"/>
              </w:rPr>
            </w:pPr>
            <w:r w:rsidRPr="00F379CF">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3C46AD14"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4,013</w:t>
            </w:r>
          </w:p>
        </w:tc>
        <w:tc>
          <w:tcPr>
            <w:tcW w:w="857" w:type="dxa"/>
            <w:tcBorders>
              <w:top w:val="single" w:sz="4" w:space="0" w:color="000000"/>
              <w:left w:val="nil"/>
              <w:bottom w:val="single" w:sz="4" w:space="0" w:color="000000"/>
              <w:right w:val="nil"/>
            </w:tcBorders>
            <w:shd w:val="clear" w:color="000000" w:fill="E6E6E6"/>
            <w:noWrap/>
            <w:vAlign w:val="bottom"/>
            <w:hideMark/>
          </w:tcPr>
          <w:p w14:paraId="7E6AA570"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2,765</w:t>
            </w:r>
          </w:p>
        </w:tc>
        <w:tc>
          <w:tcPr>
            <w:tcW w:w="857" w:type="dxa"/>
            <w:tcBorders>
              <w:top w:val="single" w:sz="4" w:space="0" w:color="000000"/>
              <w:left w:val="nil"/>
              <w:bottom w:val="single" w:sz="4" w:space="0" w:color="000000"/>
              <w:right w:val="nil"/>
            </w:tcBorders>
            <w:shd w:val="clear" w:color="auto" w:fill="auto"/>
            <w:noWrap/>
            <w:vAlign w:val="bottom"/>
            <w:hideMark/>
          </w:tcPr>
          <w:p w14:paraId="5C59BD56"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1,584</w:t>
            </w:r>
          </w:p>
        </w:tc>
        <w:tc>
          <w:tcPr>
            <w:tcW w:w="857" w:type="dxa"/>
            <w:tcBorders>
              <w:top w:val="single" w:sz="4" w:space="0" w:color="000000"/>
              <w:left w:val="nil"/>
              <w:bottom w:val="single" w:sz="4" w:space="0" w:color="000000"/>
              <w:right w:val="nil"/>
            </w:tcBorders>
            <w:shd w:val="clear" w:color="auto" w:fill="auto"/>
            <w:noWrap/>
            <w:vAlign w:val="bottom"/>
            <w:hideMark/>
          </w:tcPr>
          <w:p w14:paraId="79C16B9F"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370</w:t>
            </w:r>
          </w:p>
        </w:tc>
        <w:tc>
          <w:tcPr>
            <w:tcW w:w="857" w:type="dxa"/>
            <w:tcBorders>
              <w:top w:val="single" w:sz="4" w:space="0" w:color="000000"/>
              <w:left w:val="nil"/>
              <w:bottom w:val="single" w:sz="4" w:space="0" w:color="000000"/>
              <w:right w:val="nil"/>
            </w:tcBorders>
            <w:shd w:val="clear" w:color="auto" w:fill="auto"/>
            <w:noWrap/>
            <w:vAlign w:val="bottom"/>
            <w:hideMark/>
          </w:tcPr>
          <w:p w14:paraId="0C4ABBBC"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2,471</w:t>
            </w:r>
          </w:p>
        </w:tc>
      </w:tr>
      <w:tr w:rsidR="00752811" w:rsidRPr="00F379CF" w14:paraId="7359C01B" w14:textId="77777777" w:rsidTr="00333C84">
        <w:trPr>
          <w:trHeight w:val="204"/>
        </w:trPr>
        <w:tc>
          <w:tcPr>
            <w:tcW w:w="2976" w:type="dxa"/>
            <w:tcBorders>
              <w:top w:val="nil"/>
              <w:left w:val="nil"/>
              <w:bottom w:val="nil"/>
              <w:right w:val="nil"/>
            </w:tcBorders>
            <w:shd w:val="clear" w:color="auto" w:fill="auto"/>
            <w:noWrap/>
            <w:vAlign w:val="bottom"/>
            <w:hideMark/>
          </w:tcPr>
          <w:p w14:paraId="6212D103"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06E95A27"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8,489</w:t>
            </w:r>
          </w:p>
        </w:tc>
        <w:tc>
          <w:tcPr>
            <w:tcW w:w="857" w:type="dxa"/>
            <w:tcBorders>
              <w:top w:val="nil"/>
              <w:left w:val="nil"/>
              <w:bottom w:val="single" w:sz="4" w:space="0" w:color="000000"/>
              <w:right w:val="nil"/>
            </w:tcBorders>
            <w:shd w:val="clear" w:color="000000" w:fill="E6E6E6"/>
            <w:noWrap/>
            <w:vAlign w:val="bottom"/>
            <w:hideMark/>
          </w:tcPr>
          <w:p w14:paraId="41343986"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7,530</w:t>
            </w:r>
          </w:p>
        </w:tc>
        <w:tc>
          <w:tcPr>
            <w:tcW w:w="857" w:type="dxa"/>
            <w:tcBorders>
              <w:top w:val="nil"/>
              <w:left w:val="nil"/>
              <w:bottom w:val="single" w:sz="4" w:space="0" w:color="000000"/>
              <w:right w:val="nil"/>
            </w:tcBorders>
            <w:shd w:val="clear" w:color="auto" w:fill="auto"/>
            <w:noWrap/>
            <w:vAlign w:val="bottom"/>
            <w:hideMark/>
          </w:tcPr>
          <w:p w14:paraId="0B8F9BBB"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6,341</w:t>
            </w:r>
          </w:p>
        </w:tc>
        <w:tc>
          <w:tcPr>
            <w:tcW w:w="857" w:type="dxa"/>
            <w:tcBorders>
              <w:top w:val="nil"/>
              <w:left w:val="nil"/>
              <w:bottom w:val="single" w:sz="4" w:space="0" w:color="000000"/>
              <w:right w:val="nil"/>
            </w:tcBorders>
            <w:shd w:val="clear" w:color="auto" w:fill="auto"/>
            <w:noWrap/>
            <w:vAlign w:val="bottom"/>
            <w:hideMark/>
          </w:tcPr>
          <w:p w14:paraId="1F560471"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5,202</w:t>
            </w:r>
          </w:p>
        </w:tc>
        <w:tc>
          <w:tcPr>
            <w:tcW w:w="857" w:type="dxa"/>
            <w:tcBorders>
              <w:top w:val="nil"/>
              <w:left w:val="nil"/>
              <w:bottom w:val="single" w:sz="4" w:space="0" w:color="000000"/>
              <w:right w:val="nil"/>
            </w:tcBorders>
            <w:shd w:val="clear" w:color="auto" w:fill="auto"/>
            <w:noWrap/>
            <w:vAlign w:val="bottom"/>
            <w:hideMark/>
          </w:tcPr>
          <w:p w14:paraId="41F51CAC"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7,202</w:t>
            </w:r>
          </w:p>
        </w:tc>
      </w:tr>
      <w:tr w:rsidR="00752811" w:rsidRPr="00F379CF" w14:paraId="668D1F8B" w14:textId="77777777" w:rsidTr="00333C84">
        <w:trPr>
          <w:trHeight w:val="204"/>
        </w:trPr>
        <w:tc>
          <w:tcPr>
            <w:tcW w:w="2976" w:type="dxa"/>
            <w:tcBorders>
              <w:top w:val="nil"/>
              <w:left w:val="nil"/>
              <w:bottom w:val="nil"/>
              <w:right w:val="nil"/>
            </w:tcBorders>
            <w:shd w:val="clear" w:color="auto" w:fill="auto"/>
            <w:noWrap/>
            <w:vAlign w:val="bottom"/>
            <w:hideMark/>
          </w:tcPr>
          <w:p w14:paraId="552BD2E7"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0D46D4F1" w14:textId="77777777" w:rsidR="00752811" w:rsidRPr="00F379CF"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163E00A"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F96CC35"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724C85F"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927CA6A" w14:textId="77777777" w:rsidR="00752811" w:rsidRPr="0016574C" w:rsidRDefault="00752811" w:rsidP="00333C84">
            <w:pPr>
              <w:spacing w:after="0" w:line="240" w:lineRule="auto"/>
              <w:jc w:val="right"/>
              <w:rPr>
                <w:rFonts w:ascii="Times New Roman" w:hAnsi="Times New Roman"/>
                <w:sz w:val="16"/>
                <w:szCs w:val="16"/>
              </w:rPr>
            </w:pPr>
          </w:p>
        </w:tc>
      </w:tr>
      <w:tr w:rsidR="00752811" w:rsidRPr="00F379CF" w14:paraId="5CA25A5E" w14:textId="77777777" w:rsidTr="00333C84">
        <w:trPr>
          <w:trHeight w:val="204"/>
        </w:trPr>
        <w:tc>
          <w:tcPr>
            <w:tcW w:w="2976" w:type="dxa"/>
            <w:tcBorders>
              <w:top w:val="nil"/>
              <w:left w:val="nil"/>
              <w:bottom w:val="nil"/>
              <w:right w:val="nil"/>
            </w:tcBorders>
            <w:shd w:val="clear" w:color="auto" w:fill="auto"/>
            <w:noWrap/>
            <w:vAlign w:val="bottom"/>
            <w:hideMark/>
          </w:tcPr>
          <w:p w14:paraId="4F000BEF"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4FD6B401" w14:textId="77777777" w:rsidR="00752811" w:rsidRPr="00F379CF"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AC45E94"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A6D5A43"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02C97FA"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9CF3148" w14:textId="77777777" w:rsidR="00752811" w:rsidRPr="0016574C" w:rsidRDefault="00752811" w:rsidP="00333C84">
            <w:pPr>
              <w:spacing w:after="0" w:line="240" w:lineRule="auto"/>
              <w:jc w:val="right"/>
              <w:rPr>
                <w:rFonts w:ascii="Times New Roman" w:hAnsi="Times New Roman"/>
                <w:sz w:val="16"/>
                <w:szCs w:val="16"/>
              </w:rPr>
            </w:pPr>
          </w:p>
        </w:tc>
      </w:tr>
      <w:tr w:rsidR="00752811" w:rsidRPr="00F379CF" w14:paraId="5E24248C" w14:textId="77777777" w:rsidTr="00333C84">
        <w:trPr>
          <w:trHeight w:val="204"/>
        </w:trPr>
        <w:tc>
          <w:tcPr>
            <w:tcW w:w="2976" w:type="dxa"/>
            <w:tcBorders>
              <w:top w:val="nil"/>
              <w:left w:val="nil"/>
              <w:bottom w:val="nil"/>
              <w:right w:val="nil"/>
            </w:tcBorders>
            <w:shd w:val="clear" w:color="auto" w:fill="auto"/>
            <w:noWrap/>
            <w:vAlign w:val="bottom"/>
            <w:hideMark/>
          </w:tcPr>
          <w:p w14:paraId="5B719F5D"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30FB9D1C"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837</w:t>
            </w:r>
          </w:p>
        </w:tc>
        <w:tc>
          <w:tcPr>
            <w:tcW w:w="857" w:type="dxa"/>
            <w:tcBorders>
              <w:top w:val="nil"/>
              <w:left w:val="nil"/>
              <w:bottom w:val="nil"/>
              <w:right w:val="nil"/>
            </w:tcBorders>
            <w:shd w:val="clear" w:color="000000" w:fill="E6E6E6"/>
            <w:noWrap/>
            <w:vAlign w:val="bottom"/>
            <w:hideMark/>
          </w:tcPr>
          <w:p w14:paraId="3FC70B58"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832</w:t>
            </w:r>
          </w:p>
        </w:tc>
        <w:tc>
          <w:tcPr>
            <w:tcW w:w="857" w:type="dxa"/>
            <w:tcBorders>
              <w:top w:val="nil"/>
              <w:left w:val="nil"/>
              <w:bottom w:val="nil"/>
              <w:right w:val="nil"/>
            </w:tcBorders>
            <w:shd w:val="clear" w:color="auto" w:fill="auto"/>
            <w:noWrap/>
            <w:vAlign w:val="bottom"/>
            <w:hideMark/>
          </w:tcPr>
          <w:p w14:paraId="520B1672"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832</w:t>
            </w:r>
          </w:p>
        </w:tc>
        <w:tc>
          <w:tcPr>
            <w:tcW w:w="857" w:type="dxa"/>
            <w:tcBorders>
              <w:top w:val="nil"/>
              <w:left w:val="nil"/>
              <w:bottom w:val="nil"/>
              <w:right w:val="nil"/>
            </w:tcBorders>
            <w:shd w:val="clear" w:color="auto" w:fill="auto"/>
            <w:noWrap/>
            <w:vAlign w:val="bottom"/>
            <w:hideMark/>
          </w:tcPr>
          <w:p w14:paraId="0E68E756"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832</w:t>
            </w:r>
          </w:p>
        </w:tc>
        <w:tc>
          <w:tcPr>
            <w:tcW w:w="857" w:type="dxa"/>
            <w:tcBorders>
              <w:top w:val="nil"/>
              <w:left w:val="nil"/>
              <w:bottom w:val="nil"/>
              <w:right w:val="nil"/>
            </w:tcBorders>
            <w:shd w:val="clear" w:color="auto" w:fill="auto"/>
            <w:noWrap/>
            <w:vAlign w:val="bottom"/>
            <w:hideMark/>
          </w:tcPr>
          <w:p w14:paraId="697F9280"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832</w:t>
            </w:r>
          </w:p>
        </w:tc>
      </w:tr>
      <w:tr w:rsidR="00752811" w:rsidRPr="00F379CF" w14:paraId="123BFC10" w14:textId="77777777" w:rsidTr="00333C84">
        <w:trPr>
          <w:trHeight w:val="204"/>
        </w:trPr>
        <w:tc>
          <w:tcPr>
            <w:tcW w:w="2976" w:type="dxa"/>
            <w:tcBorders>
              <w:top w:val="nil"/>
              <w:left w:val="nil"/>
              <w:bottom w:val="nil"/>
              <w:right w:val="nil"/>
            </w:tcBorders>
            <w:shd w:val="clear" w:color="auto" w:fill="auto"/>
            <w:noWrap/>
            <w:vAlign w:val="bottom"/>
            <w:hideMark/>
          </w:tcPr>
          <w:p w14:paraId="2B9AE5DA"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Other payables</w:t>
            </w:r>
          </w:p>
        </w:tc>
        <w:tc>
          <w:tcPr>
            <w:tcW w:w="928" w:type="dxa"/>
            <w:tcBorders>
              <w:top w:val="nil"/>
              <w:left w:val="nil"/>
              <w:bottom w:val="nil"/>
              <w:right w:val="nil"/>
            </w:tcBorders>
            <w:shd w:val="clear" w:color="auto" w:fill="auto"/>
            <w:noWrap/>
            <w:vAlign w:val="bottom"/>
            <w:hideMark/>
          </w:tcPr>
          <w:p w14:paraId="7070B19C"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134</w:t>
            </w:r>
          </w:p>
        </w:tc>
        <w:tc>
          <w:tcPr>
            <w:tcW w:w="857" w:type="dxa"/>
            <w:tcBorders>
              <w:top w:val="nil"/>
              <w:left w:val="nil"/>
              <w:bottom w:val="nil"/>
              <w:right w:val="nil"/>
            </w:tcBorders>
            <w:shd w:val="clear" w:color="000000" w:fill="E6E6E6"/>
            <w:noWrap/>
            <w:vAlign w:val="bottom"/>
            <w:hideMark/>
          </w:tcPr>
          <w:p w14:paraId="2E5AB093"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132</w:t>
            </w:r>
          </w:p>
        </w:tc>
        <w:tc>
          <w:tcPr>
            <w:tcW w:w="857" w:type="dxa"/>
            <w:tcBorders>
              <w:top w:val="nil"/>
              <w:left w:val="nil"/>
              <w:bottom w:val="nil"/>
              <w:right w:val="nil"/>
            </w:tcBorders>
            <w:shd w:val="clear" w:color="auto" w:fill="auto"/>
            <w:noWrap/>
            <w:vAlign w:val="bottom"/>
            <w:hideMark/>
          </w:tcPr>
          <w:p w14:paraId="6834B777"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132</w:t>
            </w:r>
          </w:p>
        </w:tc>
        <w:tc>
          <w:tcPr>
            <w:tcW w:w="857" w:type="dxa"/>
            <w:tcBorders>
              <w:top w:val="nil"/>
              <w:left w:val="nil"/>
              <w:bottom w:val="nil"/>
              <w:right w:val="nil"/>
            </w:tcBorders>
            <w:shd w:val="clear" w:color="auto" w:fill="auto"/>
            <w:noWrap/>
            <w:vAlign w:val="bottom"/>
            <w:hideMark/>
          </w:tcPr>
          <w:p w14:paraId="496F35AF"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132</w:t>
            </w:r>
          </w:p>
        </w:tc>
        <w:tc>
          <w:tcPr>
            <w:tcW w:w="857" w:type="dxa"/>
            <w:tcBorders>
              <w:top w:val="nil"/>
              <w:left w:val="nil"/>
              <w:bottom w:val="nil"/>
              <w:right w:val="nil"/>
            </w:tcBorders>
            <w:shd w:val="clear" w:color="auto" w:fill="auto"/>
            <w:noWrap/>
            <w:vAlign w:val="bottom"/>
            <w:hideMark/>
          </w:tcPr>
          <w:p w14:paraId="4A6B522A"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132</w:t>
            </w:r>
          </w:p>
        </w:tc>
      </w:tr>
      <w:tr w:rsidR="00752811" w:rsidRPr="00F379CF" w14:paraId="1EBB5D28" w14:textId="77777777" w:rsidTr="00333C84">
        <w:trPr>
          <w:trHeight w:val="204"/>
        </w:trPr>
        <w:tc>
          <w:tcPr>
            <w:tcW w:w="2976" w:type="dxa"/>
            <w:tcBorders>
              <w:top w:val="nil"/>
              <w:left w:val="nil"/>
              <w:bottom w:val="nil"/>
              <w:right w:val="nil"/>
            </w:tcBorders>
            <w:shd w:val="clear" w:color="auto" w:fill="auto"/>
            <w:noWrap/>
            <w:vAlign w:val="bottom"/>
            <w:hideMark/>
          </w:tcPr>
          <w:p w14:paraId="2241AD62" w14:textId="77777777" w:rsidR="00752811" w:rsidRPr="00F379CF" w:rsidRDefault="00752811" w:rsidP="00333C84">
            <w:pPr>
              <w:spacing w:after="0" w:line="240" w:lineRule="auto"/>
              <w:jc w:val="left"/>
              <w:rPr>
                <w:rFonts w:ascii="Arial" w:hAnsi="Arial" w:cs="Arial"/>
                <w:b/>
                <w:bCs/>
                <w:i/>
                <w:iCs/>
                <w:color w:val="000000"/>
                <w:sz w:val="16"/>
                <w:szCs w:val="16"/>
              </w:rPr>
            </w:pPr>
            <w:r w:rsidRPr="00F379CF">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4CA54B96"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971</w:t>
            </w:r>
          </w:p>
        </w:tc>
        <w:tc>
          <w:tcPr>
            <w:tcW w:w="857" w:type="dxa"/>
            <w:tcBorders>
              <w:top w:val="single" w:sz="4" w:space="0" w:color="000000"/>
              <w:left w:val="nil"/>
              <w:bottom w:val="single" w:sz="4" w:space="0" w:color="000000"/>
              <w:right w:val="nil"/>
            </w:tcBorders>
            <w:shd w:val="clear" w:color="000000" w:fill="E6E6E6"/>
            <w:noWrap/>
            <w:vAlign w:val="bottom"/>
            <w:hideMark/>
          </w:tcPr>
          <w:p w14:paraId="7C51A22A"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964</w:t>
            </w:r>
          </w:p>
        </w:tc>
        <w:tc>
          <w:tcPr>
            <w:tcW w:w="857" w:type="dxa"/>
            <w:tcBorders>
              <w:top w:val="single" w:sz="4" w:space="0" w:color="000000"/>
              <w:left w:val="nil"/>
              <w:bottom w:val="single" w:sz="4" w:space="0" w:color="000000"/>
              <w:right w:val="nil"/>
            </w:tcBorders>
            <w:shd w:val="clear" w:color="auto" w:fill="auto"/>
            <w:noWrap/>
            <w:vAlign w:val="bottom"/>
            <w:hideMark/>
          </w:tcPr>
          <w:p w14:paraId="62C71BF1"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964</w:t>
            </w:r>
          </w:p>
        </w:tc>
        <w:tc>
          <w:tcPr>
            <w:tcW w:w="857" w:type="dxa"/>
            <w:tcBorders>
              <w:top w:val="single" w:sz="4" w:space="0" w:color="000000"/>
              <w:left w:val="nil"/>
              <w:bottom w:val="single" w:sz="4" w:space="0" w:color="000000"/>
              <w:right w:val="nil"/>
            </w:tcBorders>
            <w:shd w:val="clear" w:color="auto" w:fill="auto"/>
            <w:noWrap/>
            <w:vAlign w:val="bottom"/>
            <w:hideMark/>
          </w:tcPr>
          <w:p w14:paraId="0B87E1F8"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964</w:t>
            </w:r>
          </w:p>
        </w:tc>
        <w:tc>
          <w:tcPr>
            <w:tcW w:w="857" w:type="dxa"/>
            <w:tcBorders>
              <w:top w:val="single" w:sz="4" w:space="0" w:color="000000"/>
              <w:left w:val="nil"/>
              <w:bottom w:val="single" w:sz="4" w:space="0" w:color="000000"/>
              <w:right w:val="nil"/>
            </w:tcBorders>
            <w:shd w:val="clear" w:color="auto" w:fill="auto"/>
            <w:noWrap/>
            <w:vAlign w:val="bottom"/>
            <w:hideMark/>
          </w:tcPr>
          <w:p w14:paraId="76F48C68"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964</w:t>
            </w:r>
          </w:p>
        </w:tc>
      </w:tr>
      <w:tr w:rsidR="00752811" w:rsidRPr="00F379CF" w14:paraId="66191664" w14:textId="77777777" w:rsidTr="00333C84">
        <w:trPr>
          <w:trHeight w:val="204"/>
        </w:trPr>
        <w:tc>
          <w:tcPr>
            <w:tcW w:w="2976" w:type="dxa"/>
            <w:tcBorders>
              <w:top w:val="nil"/>
              <w:left w:val="nil"/>
              <w:bottom w:val="nil"/>
              <w:right w:val="nil"/>
            </w:tcBorders>
            <w:shd w:val="clear" w:color="auto" w:fill="auto"/>
            <w:noWrap/>
            <w:vAlign w:val="bottom"/>
            <w:hideMark/>
          </w:tcPr>
          <w:p w14:paraId="14F18640"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10B7FA01" w14:textId="77777777" w:rsidR="00752811" w:rsidRPr="00F379CF"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CFEA70A"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05B310E"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575BAD4"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08D4191" w14:textId="77777777" w:rsidR="00752811" w:rsidRPr="0016574C" w:rsidRDefault="00752811" w:rsidP="00333C84">
            <w:pPr>
              <w:spacing w:after="0" w:line="240" w:lineRule="auto"/>
              <w:jc w:val="right"/>
              <w:rPr>
                <w:rFonts w:ascii="Times New Roman" w:hAnsi="Times New Roman"/>
                <w:sz w:val="16"/>
                <w:szCs w:val="16"/>
              </w:rPr>
            </w:pPr>
          </w:p>
        </w:tc>
      </w:tr>
      <w:tr w:rsidR="00752811" w:rsidRPr="00F379CF" w14:paraId="48BF4A70" w14:textId="77777777" w:rsidTr="00333C84">
        <w:trPr>
          <w:trHeight w:val="204"/>
        </w:trPr>
        <w:tc>
          <w:tcPr>
            <w:tcW w:w="2976" w:type="dxa"/>
            <w:tcBorders>
              <w:top w:val="nil"/>
              <w:left w:val="nil"/>
              <w:bottom w:val="nil"/>
              <w:right w:val="nil"/>
            </w:tcBorders>
            <w:shd w:val="clear" w:color="auto" w:fill="auto"/>
            <w:noWrap/>
            <w:vAlign w:val="bottom"/>
            <w:hideMark/>
          </w:tcPr>
          <w:p w14:paraId="6B7CD570" w14:textId="77777777" w:rsidR="00752811" w:rsidRPr="00F379CF" w:rsidRDefault="00752811" w:rsidP="00333C84">
            <w:pPr>
              <w:spacing w:after="0" w:line="240" w:lineRule="auto"/>
              <w:ind w:left="113"/>
              <w:jc w:val="left"/>
              <w:rPr>
                <w:rFonts w:ascii="Arial" w:hAnsi="Arial" w:cs="Arial"/>
                <w:color w:val="000000"/>
                <w:sz w:val="16"/>
                <w:szCs w:val="16"/>
              </w:rPr>
            </w:pPr>
            <w:r w:rsidRPr="0016574C">
              <w:rPr>
                <w:rFonts w:ascii="Arial" w:hAnsi="Arial" w:cs="Arial"/>
                <w:sz w:val="16"/>
                <w:szCs w:val="16"/>
              </w:rPr>
              <w:t>Leases</w:t>
            </w:r>
          </w:p>
        </w:tc>
        <w:tc>
          <w:tcPr>
            <w:tcW w:w="928" w:type="dxa"/>
            <w:tcBorders>
              <w:top w:val="nil"/>
              <w:left w:val="nil"/>
              <w:bottom w:val="nil"/>
              <w:right w:val="nil"/>
            </w:tcBorders>
            <w:shd w:val="clear" w:color="auto" w:fill="auto"/>
            <w:noWrap/>
            <w:vAlign w:val="bottom"/>
            <w:hideMark/>
          </w:tcPr>
          <w:p w14:paraId="2F152519"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3,468</w:t>
            </w:r>
          </w:p>
        </w:tc>
        <w:tc>
          <w:tcPr>
            <w:tcW w:w="857" w:type="dxa"/>
            <w:tcBorders>
              <w:top w:val="nil"/>
              <w:left w:val="nil"/>
              <w:bottom w:val="nil"/>
              <w:right w:val="nil"/>
            </w:tcBorders>
            <w:shd w:val="clear" w:color="000000" w:fill="E6E6E6"/>
            <w:noWrap/>
            <w:vAlign w:val="bottom"/>
            <w:hideMark/>
          </w:tcPr>
          <w:p w14:paraId="593CE9DA"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2,333</w:t>
            </w:r>
          </w:p>
        </w:tc>
        <w:tc>
          <w:tcPr>
            <w:tcW w:w="857" w:type="dxa"/>
            <w:tcBorders>
              <w:top w:val="nil"/>
              <w:left w:val="nil"/>
              <w:bottom w:val="nil"/>
              <w:right w:val="nil"/>
            </w:tcBorders>
            <w:shd w:val="clear" w:color="auto" w:fill="auto"/>
            <w:noWrap/>
            <w:vAlign w:val="bottom"/>
            <w:hideMark/>
          </w:tcPr>
          <w:p w14:paraId="10E42BC3"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1,142</w:t>
            </w:r>
          </w:p>
        </w:tc>
        <w:tc>
          <w:tcPr>
            <w:tcW w:w="857" w:type="dxa"/>
            <w:tcBorders>
              <w:top w:val="nil"/>
              <w:left w:val="nil"/>
              <w:bottom w:val="nil"/>
              <w:right w:val="nil"/>
            </w:tcBorders>
            <w:shd w:val="clear" w:color="auto" w:fill="auto"/>
            <w:noWrap/>
            <w:vAlign w:val="bottom"/>
            <w:hideMark/>
          </w:tcPr>
          <w:p w14:paraId="1C6F89F8" w14:textId="77777777" w:rsidR="00752811" w:rsidRPr="00F379CF"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7" w:type="dxa"/>
            <w:tcBorders>
              <w:top w:val="nil"/>
              <w:left w:val="nil"/>
              <w:bottom w:val="nil"/>
              <w:right w:val="nil"/>
            </w:tcBorders>
            <w:shd w:val="clear" w:color="auto" w:fill="auto"/>
            <w:noWrap/>
            <w:vAlign w:val="bottom"/>
            <w:hideMark/>
          </w:tcPr>
          <w:p w14:paraId="7E0CB66C"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2,000</w:t>
            </w:r>
          </w:p>
        </w:tc>
      </w:tr>
      <w:tr w:rsidR="00752811" w:rsidRPr="00F379CF" w14:paraId="53B6D1C3" w14:textId="77777777" w:rsidTr="00333C84">
        <w:trPr>
          <w:trHeight w:val="204"/>
        </w:trPr>
        <w:tc>
          <w:tcPr>
            <w:tcW w:w="2976" w:type="dxa"/>
            <w:tcBorders>
              <w:top w:val="nil"/>
              <w:left w:val="nil"/>
              <w:bottom w:val="nil"/>
              <w:right w:val="nil"/>
            </w:tcBorders>
            <w:shd w:val="clear" w:color="auto" w:fill="auto"/>
            <w:noWrap/>
            <w:vAlign w:val="bottom"/>
            <w:hideMark/>
          </w:tcPr>
          <w:p w14:paraId="6D97989B" w14:textId="77777777" w:rsidR="00752811" w:rsidRPr="00F379CF" w:rsidRDefault="00752811" w:rsidP="00333C84">
            <w:pPr>
              <w:spacing w:after="0" w:line="240" w:lineRule="auto"/>
              <w:jc w:val="left"/>
              <w:rPr>
                <w:rFonts w:ascii="Arial" w:hAnsi="Arial" w:cs="Arial"/>
                <w:b/>
                <w:bCs/>
                <w:i/>
                <w:iCs/>
                <w:color w:val="000000"/>
                <w:sz w:val="16"/>
                <w:szCs w:val="16"/>
              </w:rPr>
            </w:pPr>
            <w:r w:rsidRPr="00F379CF">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6BC65E0E"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3,468</w:t>
            </w:r>
          </w:p>
        </w:tc>
        <w:tc>
          <w:tcPr>
            <w:tcW w:w="857" w:type="dxa"/>
            <w:tcBorders>
              <w:top w:val="single" w:sz="4" w:space="0" w:color="000000"/>
              <w:left w:val="nil"/>
              <w:bottom w:val="single" w:sz="4" w:space="0" w:color="000000"/>
              <w:right w:val="nil"/>
            </w:tcBorders>
            <w:shd w:val="clear" w:color="000000" w:fill="E6E6E6"/>
            <w:noWrap/>
            <w:vAlign w:val="bottom"/>
            <w:hideMark/>
          </w:tcPr>
          <w:p w14:paraId="341320B8"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2,333</w:t>
            </w:r>
          </w:p>
        </w:tc>
        <w:tc>
          <w:tcPr>
            <w:tcW w:w="857" w:type="dxa"/>
            <w:tcBorders>
              <w:top w:val="single" w:sz="4" w:space="0" w:color="000000"/>
              <w:left w:val="nil"/>
              <w:bottom w:val="single" w:sz="4" w:space="0" w:color="000000"/>
              <w:right w:val="nil"/>
            </w:tcBorders>
            <w:shd w:val="clear" w:color="auto" w:fill="auto"/>
            <w:noWrap/>
            <w:vAlign w:val="bottom"/>
            <w:hideMark/>
          </w:tcPr>
          <w:p w14:paraId="5CDB0065"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1,142</w:t>
            </w:r>
          </w:p>
        </w:tc>
        <w:tc>
          <w:tcPr>
            <w:tcW w:w="857" w:type="dxa"/>
            <w:tcBorders>
              <w:top w:val="single" w:sz="4" w:space="0" w:color="000000"/>
              <w:left w:val="nil"/>
              <w:bottom w:val="single" w:sz="4" w:space="0" w:color="000000"/>
              <w:right w:val="nil"/>
            </w:tcBorders>
            <w:shd w:val="clear" w:color="auto" w:fill="auto"/>
            <w:noWrap/>
            <w:vAlign w:val="bottom"/>
            <w:hideMark/>
          </w:tcPr>
          <w:p w14:paraId="58AAFC74"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w:t>
            </w:r>
          </w:p>
        </w:tc>
        <w:tc>
          <w:tcPr>
            <w:tcW w:w="857" w:type="dxa"/>
            <w:tcBorders>
              <w:top w:val="single" w:sz="4" w:space="0" w:color="000000"/>
              <w:left w:val="nil"/>
              <w:bottom w:val="single" w:sz="4" w:space="0" w:color="000000"/>
              <w:right w:val="nil"/>
            </w:tcBorders>
            <w:shd w:val="clear" w:color="auto" w:fill="auto"/>
            <w:noWrap/>
            <w:vAlign w:val="bottom"/>
            <w:hideMark/>
          </w:tcPr>
          <w:p w14:paraId="32A3DF35"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2,000</w:t>
            </w:r>
          </w:p>
        </w:tc>
      </w:tr>
      <w:tr w:rsidR="00752811" w:rsidRPr="00F379CF" w14:paraId="6388969B" w14:textId="77777777" w:rsidTr="00333C84">
        <w:trPr>
          <w:trHeight w:val="204"/>
        </w:trPr>
        <w:tc>
          <w:tcPr>
            <w:tcW w:w="2976" w:type="dxa"/>
            <w:tcBorders>
              <w:top w:val="nil"/>
              <w:left w:val="nil"/>
              <w:bottom w:val="nil"/>
              <w:right w:val="nil"/>
            </w:tcBorders>
            <w:shd w:val="clear" w:color="auto" w:fill="auto"/>
            <w:noWrap/>
            <w:vAlign w:val="bottom"/>
            <w:hideMark/>
          </w:tcPr>
          <w:p w14:paraId="279A1A0E"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5DE65A5C" w14:textId="77777777" w:rsidR="00752811" w:rsidRPr="00F379CF"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9255C01"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947715F"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4D52FA4"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1917029" w14:textId="77777777" w:rsidR="00752811" w:rsidRPr="0016574C" w:rsidRDefault="00752811" w:rsidP="00333C84">
            <w:pPr>
              <w:spacing w:after="0" w:line="240" w:lineRule="auto"/>
              <w:jc w:val="right"/>
              <w:rPr>
                <w:rFonts w:ascii="Times New Roman" w:hAnsi="Times New Roman"/>
                <w:sz w:val="16"/>
                <w:szCs w:val="16"/>
              </w:rPr>
            </w:pPr>
          </w:p>
        </w:tc>
      </w:tr>
      <w:tr w:rsidR="00752811" w:rsidRPr="00F379CF" w14:paraId="425B0597" w14:textId="77777777" w:rsidTr="00333C84">
        <w:trPr>
          <w:trHeight w:val="204"/>
        </w:trPr>
        <w:tc>
          <w:tcPr>
            <w:tcW w:w="2976" w:type="dxa"/>
            <w:tcBorders>
              <w:top w:val="nil"/>
              <w:left w:val="nil"/>
              <w:bottom w:val="nil"/>
              <w:right w:val="nil"/>
            </w:tcBorders>
            <w:shd w:val="clear" w:color="auto" w:fill="auto"/>
            <w:noWrap/>
            <w:vAlign w:val="bottom"/>
            <w:hideMark/>
          </w:tcPr>
          <w:p w14:paraId="0A069D9E"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Employee provisions</w:t>
            </w:r>
          </w:p>
        </w:tc>
        <w:tc>
          <w:tcPr>
            <w:tcW w:w="928" w:type="dxa"/>
            <w:tcBorders>
              <w:top w:val="nil"/>
              <w:left w:val="nil"/>
              <w:bottom w:val="nil"/>
              <w:right w:val="nil"/>
            </w:tcBorders>
            <w:shd w:val="clear" w:color="auto" w:fill="auto"/>
            <w:noWrap/>
            <w:vAlign w:val="bottom"/>
            <w:hideMark/>
          </w:tcPr>
          <w:p w14:paraId="3AD959B1"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847</w:t>
            </w:r>
          </w:p>
        </w:tc>
        <w:tc>
          <w:tcPr>
            <w:tcW w:w="857" w:type="dxa"/>
            <w:tcBorders>
              <w:top w:val="nil"/>
              <w:left w:val="nil"/>
              <w:bottom w:val="nil"/>
              <w:right w:val="nil"/>
            </w:tcBorders>
            <w:shd w:val="clear" w:color="000000" w:fill="E6E6E6"/>
            <w:noWrap/>
            <w:vAlign w:val="bottom"/>
            <w:hideMark/>
          </w:tcPr>
          <w:p w14:paraId="3F52A3FB"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1,023</w:t>
            </w:r>
          </w:p>
        </w:tc>
        <w:tc>
          <w:tcPr>
            <w:tcW w:w="857" w:type="dxa"/>
            <w:tcBorders>
              <w:top w:val="nil"/>
              <w:left w:val="nil"/>
              <w:bottom w:val="nil"/>
              <w:right w:val="nil"/>
            </w:tcBorders>
            <w:shd w:val="clear" w:color="auto" w:fill="auto"/>
            <w:noWrap/>
            <w:vAlign w:val="bottom"/>
            <w:hideMark/>
          </w:tcPr>
          <w:p w14:paraId="6069B55D"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1,023</w:t>
            </w:r>
          </w:p>
        </w:tc>
        <w:tc>
          <w:tcPr>
            <w:tcW w:w="857" w:type="dxa"/>
            <w:tcBorders>
              <w:top w:val="nil"/>
              <w:left w:val="nil"/>
              <w:bottom w:val="nil"/>
              <w:right w:val="nil"/>
            </w:tcBorders>
            <w:shd w:val="clear" w:color="auto" w:fill="auto"/>
            <w:noWrap/>
            <w:vAlign w:val="bottom"/>
            <w:hideMark/>
          </w:tcPr>
          <w:p w14:paraId="525FA12D"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1,023</w:t>
            </w:r>
          </w:p>
        </w:tc>
        <w:tc>
          <w:tcPr>
            <w:tcW w:w="857" w:type="dxa"/>
            <w:tcBorders>
              <w:top w:val="nil"/>
              <w:left w:val="nil"/>
              <w:bottom w:val="nil"/>
              <w:right w:val="nil"/>
            </w:tcBorders>
            <w:shd w:val="clear" w:color="auto" w:fill="auto"/>
            <w:noWrap/>
            <w:vAlign w:val="bottom"/>
            <w:hideMark/>
          </w:tcPr>
          <w:p w14:paraId="39B726DF"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1,023</w:t>
            </w:r>
          </w:p>
        </w:tc>
      </w:tr>
      <w:tr w:rsidR="00752811" w:rsidRPr="00F379CF" w14:paraId="57636FE6" w14:textId="77777777" w:rsidTr="00333C84">
        <w:trPr>
          <w:trHeight w:val="204"/>
        </w:trPr>
        <w:tc>
          <w:tcPr>
            <w:tcW w:w="2976" w:type="dxa"/>
            <w:tcBorders>
              <w:top w:val="nil"/>
              <w:left w:val="nil"/>
              <w:bottom w:val="nil"/>
              <w:right w:val="nil"/>
            </w:tcBorders>
            <w:shd w:val="clear" w:color="auto" w:fill="auto"/>
            <w:noWrap/>
            <w:vAlign w:val="bottom"/>
            <w:hideMark/>
          </w:tcPr>
          <w:p w14:paraId="38F23DC2"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Other provisions</w:t>
            </w:r>
          </w:p>
        </w:tc>
        <w:tc>
          <w:tcPr>
            <w:tcW w:w="928" w:type="dxa"/>
            <w:tcBorders>
              <w:top w:val="nil"/>
              <w:left w:val="nil"/>
              <w:bottom w:val="nil"/>
              <w:right w:val="nil"/>
            </w:tcBorders>
            <w:shd w:val="clear" w:color="auto" w:fill="auto"/>
            <w:noWrap/>
            <w:vAlign w:val="bottom"/>
            <w:hideMark/>
          </w:tcPr>
          <w:p w14:paraId="40381564"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226</w:t>
            </w:r>
          </w:p>
        </w:tc>
        <w:tc>
          <w:tcPr>
            <w:tcW w:w="857" w:type="dxa"/>
            <w:tcBorders>
              <w:top w:val="nil"/>
              <w:left w:val="nil"/>
              <w:bottom w:val="nil"/>
              <w:right w:val="nil"/>
            </w:tcBorders>
            <w:shd w:val="clear" w:color="000000" w:fill="E6E6E6"/>
            <w:noWrap/>
            <w:vAlign w:val="bottom"/>
            <w:hideMark/>
          </w:tcPr>
          <w:p w14:paraId="429975F8"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233</w:t>
            </w:r>
          </w:p>
        </w:tc>
        <w:tc>
          <w:tcPr>
            <w:tcW w:w="857" w:type="dxa"/>
            <w:tcBorders>
              <w:top w:val="nil"/>
              <w:left w:val="nil"/>
              <w:bottom w:val="nil"/>
              <w:right w:val="nil"/>
            </w:tcBorders>
            <w:shd w:val="clear" w:color="auto" w:fill="auto"/>
            <w:noWrap/>
            <w:vAlign w:val="bottom"/>
            <w:hideMark/>
          </w:tcPr>
          <w:p w14:paraId="144F805D"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235</w:t>
            </w:r>
          </w:p>
        </w:tc>
        <w:tc>
          <w:tcPr>
            <w:tcW w:w="857" w:type="dxa"/>
            <w:tcBorders>
              <w:top w:val="nil"/>
              <w:left w:val="nil"/>
              <w:bottom w:val="nil"/>
              <w:right w:val="nil"/>
            </w:tcBorders>
            <w:shd w:val="clear" w:color="auto" w:fill="auto"/>
            <w:noWrap/>
            <w:vAlign w:val="bottom"/>
            <w:hideMark/>
          </w:tcPr>
          <w:p w14:paraId="48FC3E62"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238</w:t>
            </w:r>
          </w:p>
        </w:tc>
        <w:tc>
          <w:tcPr>
            <w:tcW w:w="857" w:type="dxa"/>
            <w:tcBorders>
              <w:top w:val="nil"/>
              <w:left w:val="nil"/>
              <w:bottom w:val="nil"/>
              <w:right w:val="nil"/>
            </w:tcBorders>
            <w:shd w:val="clear" w:color="auto" w:fill="auto"/>
            <w:noWrap/>
            <w:vAlign w:val="bottom"/>
            <w:hideMark/>
          </w:tcPr>
          <w:p w14:paraId="0FF22433"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238</w:t>
            </w:r>
          </w:p>
        </w:tc>
      </w:tr>
      <w:tr w:rsidR="00752811" w:rsidRPr="00F379CF" w14:paraId="0A61E262" w14:textId="77777777" w:rsidTr="00333C84">
        <w:trPr>
          <w:trHeight w:val="204"/>
        </w:trPr>
        <w:tc>
          <w:tcPr>
            <w:tcW w:w="2976" w:type="dxa"/>
            <w:tcBorders>
              <w:top w:val="nil"/>
              <w:left w:val="nil"/>
              <w:bottom w:val="nil"/>
              <w:right w:val="nil"/>
            </w:tcBorders>
            <w:shd w:val="clear" w:color="auto" w:fill="auto"/>
            <w:noWrap/>
            <w:vAlign w:val="bottom"/>
            <w:hideMark/>
          </w:tcPr>
          <w:p w14:paraId="1CC8AD50" w14:textId="77777777" w:rsidR="00752811" w:rsidRPr="00F379CF" w:rsidRDefault="00752811" w:rsidP="00333C84">
            <w:pPr>
              <w:spacing w:after="0" w:line="240" w:lineRule="auto"/>
              <w:jc w:val="left"/>
              <w:rPr>
                <w:rFonts w:ascii="Arial" w:hAnsi="Arial" w:cs="Arial"/>
                <w:b/>
                <w:bCs/>
                <w:i/>
                <w:iCs/>
                <w:color w:val="000000"/>
                <w:sz w:val="16"/>
                <w:szCs w:val="16"/>
              </w:rPr>
            </w:pPr>
            <w:r w:rsidRPr="00F379CF">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59AD98F9"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1,073</w:t>
            </w:r>
          </w:p>
        </w:tc>
        <w:tc>
          <w:tcPr>
            <w:tcW w:w="857" w:type="dxa"/>
            <w:tcBorders>
              <w:top w:val="single" w:sz="4" w:space="0" w:color="000000"/>
              <w:left w:val="nil"/>
              <w:bottom w:val="single" w:sz="4" w:space="0" w:color="000000"/>
              <w:right w:val="nil"/>
            </w:tcBorders>
            <w:shd w:val="clear" w:color="000000" w:fill="E6E6E6"/>
            <w:noWrap/>
            <w:vAlign w:val="bottom"/>
            <w:hideMark/>
          </w:tcPr>
          <w:p w14:paraId="73D26A29"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1,256</w:t>
            </w:r>
          </w:p>
        </w:tc>
        <w:tc>
          <w:tcPr>
            <w:tcW w:w="857" w:type="dxa"/>
            <w:tcBorders>
              <w:top w:val="single" w:sz="4" w:space="0" w:color="000000"/>
              <w:left w:val="nil"/>
              <w:bottom w:val="single" w:sz="4" w:space="0" w:color="000000"/>
              <w:right w:val="nil"/>
            </w:tcBorders>
            <w:shd w:val="clear" w:color="auto" w:fill="auto"/>
            <w:noWrap/>
            <w:vAlign w:val="bottom"/>
            <w:hideMark/>
          </w:tcPr>
          <w:p w14:paraId="6A3FA1B3"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1,258</w:t>
            </w:r>
          </w:p>
        </w:tc>
        <w:tc>
          <w:tcPr>
            <w:tcW w:w="857" w:type="dxa"/>
            <w:tcBorders>
              <w:top w:val="single" w:sz="4" w:space="0" w:color="000000"/>
              <w:left w:val="nil"/>
              <w:bottom w:val="single" w:sz="4" w:space="0" w:color="000000"/>
              <w:right w:val="nil"/>
            </w:tcBorders>
            <w:shd w:val="clear" w:color="auto" w:fill="auto"/>
            <w:noWrap/>
            <w:vAlign w:val="bottom"/>
            <w:hideMark/>
          </w:tcPr>
          <w:p w14:paraId="262B4524"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1,261</w:t>
            </w:r>
          </w:p>
        </w:tc>
        <w:tc>
          <w:tcPr>
            <w:tcW w:w="857" w:type="dxa"/>
            <w:tcBorders>
              <w:top w:val="single" w:sz="4" w:space="0" w:color="000000"/>
              <w:left w:val="nil"/>
              <w:bottom w:val="single" w:sz="4" w:space="0" w:color="000000"/>
              <w:right w:val="nil"/>
            </w:tcBorders>
            <w:shd w:val="clear" w:color="auto" w:fill="auto"/>
            <w:noWrap/>
            <w:vAlign w:val="bottom"/>
            <w:hideMark/>
          </w:tcPr>
          <w:p w14:paraId="65084C3E" w14:textId="77777777" w:rsidR="00752811" w:rsidRPr="00F379CF" w:rsidRDefault="00752811" w:rsidP="00333C84">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1,261</w:t>
            </w:r>
          </w:p>
        </w:tc>
      </w:tr>
      <w:tr w:rsidR="00752811" w:rsidRPr="00F379CF" w14:paraId="0F9E5320" w14:textId="77777777" w:rsidTr="00333C84">
        <w:trPr>
          <w:trHeight w:val="204"/>
        </w:trPr>
        <w:tc>
          <w:tcPr>
            <w:tcW w:w="2976" w:type="dxa"/>
            <w:tcBorders>
              <w:top w:val="nil"/>
              <w:left w:val="nil"/>
              <w:right w:val="nil"/>
            </w:tcBorders>
            <w:shd w:val="clear" w:color="auto" w:fill="auto"/>
            <w:noWrap/>
            <w:vAlign w:val="bottom"/>
            <w:hideMark/>
          </w:tcPr>
          <w:p w14:paraId="683686BE"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bottom"/>
            <w:hideMark/>
          </w:tcPr>
          <w:p w14:paraId="0EDC0942"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5,512</w:t>
            </w:r>
          </w:p>
        </w:tc>
        <w:tc>
          <w:tcPr>
            <w:tcW w:w="857" w:type="dxa"/>
            <w:tcBorders>
              <w:top w:val="nil"/>
              <w:left w:val="nil"/>
              <w:bottom w:val="single" w:sz="4" w:space="0" w:color="auto"/>
              <w:right w:val="nil"/>
            </w:tcBorders>
            <w:shd w:val="clear" w:color="000000" w:fill="E6E6E6"/>
            <w:noWrap/>
            <w:vAlign w:val="bottom"/>
            <w:hideMark/>
          </w:tcPr>
          <w:p w14:paraId="2A5BE179"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4,553</w:t>
            </w:r>
          </w:p>
        </w:tc>
        <w:tc>
          <w:tcPr>
            <w:tcW w:w="857" w:type="dxa"/>
            <w:tcBorders>
              <w:top w:val="nil"/>
              <w:left w:val="nil"/>
              <w:bottom w:val="single" w:sz="4" w:space="0" w:color="auto"/>
              <w:right w:val="nil"/>
            </w:tcBorders>
            <w:shd w:val="clear" w:color="auto" w:fill="auto"/>
            <w:noWrap/>
            <w:vAlign w:val="bottom"/>
            <w:hideMark/>
          </w:tcPr>
          <w:p w14:paraId="21E5B726"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3,364</w:t>
            </w:r>
          </w:p>
        </w:tc>
        <w:tc>
          <w:tcPr>
            <w:tcW w:w="857" w:type="dxa"/>
            <w:tcBorders>
              <w:top w:val="nil"/>
              <w:left w:val="nil"/>
              <w:bottom w:val="single" w:sz="4" w:space="0" w:color="auto"/>
              <w:right w:val="nil"/>
            </w:tcBorders>
            <w:shd w:val="clear" w:color="auto" w:fill="auto"/>
            <w:noWrap/>
            <w:vAlign w:val="bottom"/>
            <w:hideMark/>
          </w:tcPr>
          <w:p w14:paraId="04AFFEA1"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2,225</w:t>
            </w:r>
          </w:p>
        </w:tc>
        <w:tc>
          <w:tcPr>
            <w:tcW w:w="857" w:type="dxa"/>
            <w:tcBorders>
              <w:top w:val="nil"/>
              <w:left w:val="nil"/>
              <w:bottom w:val="single" w:sz="4" w:space="0" w:color="auto"/>
              <w:right w:val="nil"/>
            </w:tcBorders>
            <w:shd w:val="clear" w:color="auto" w:fill="auto"/>
            <w:noWrap/>
            <w:vAlign w:val="bottom"/>
            <w:hideMark/>
          </w:tcPr>
          <w:p w14:paraId="6EC82773"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4,225</w:t>
            </w:r>
          </w:p>
        </w:tc>
      </w:tr>
      <w:tr w:rsidR="00752811" w:rsidRPr="00F379CF" w14:paraId="772594D4" w14:textId="77777777" w:rsidTr="00333C84">
        <w:trPr>
          <w:trHeight w:val="204"/>
        </w:trPr>
        <w:tc>
          <w:tcPr>
            <w:tcW w:w="2976" w:type="dxa"/>
            <w:tcBorders>
              <w:top w:val="nil"/>
              <w:left w:val="nil"/>
              <w:right w:val="nil"/>
            </w:tcBorders>
            <w:shd w:val="clear" w:color="auto" w:fill="auto"/>
            <w:noWrap/>
            <w:vAlign w:val="bottom"/>
            <w:hideMark/>
          </w:tcPr>
          <w:p w14:paraId="47E7BF47" w14:textId="77777777" w:rsidR="00752811" w:rsidRPr="00F379CF" w:rsidRDefault="00752811" w:rsidP="00333C84">
            <w:pPr>
              <w:spacing w:after="0" w:line="240" w:lineRule="auto"/>
              <w:jc w:val="left"/>
              <w:rPr>
                <w:rFonts w:ascii="Arial" w:hAnsi="Arial" w:cs="Arial"/>
                <w:b/>
                <w:bCs/>
                <w:sz w:val="16"/>
                <w:szCs w:val="16"/>
              </w:rPr>
            </w:pPr>
            <w:r w:rsidRPr="00F379CF">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20A1D9AA"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2,977</w:t>
            </w:r>
          </w:p>
        </w:tc>
        <w:tc>
          <w:tcPr>
            <w:tcW w:w="857" w:type="dxa"/>
            <w:tcBorders>
              <w:top w:val="nil"/>
              <w:left w:val="nil"/>
              <w:bottom w:val="single" w:sz="4" w:space="0" w:color="auto"/>
              <w:right w:val="nil"/>
            </w:tcBorders>
            <w:shd w:val="clear" w:color="000000" w:fill="E6E6E6"/>
            <w:noWrap/>
            <w:vAlign w:val="bottom"/>
            <w:hideMark/>
          </w:tcPr>
          <w:p w14:paraId="7C28248C"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2,977</w:t>
            </w:r>
          </w:p>
        </w:tc>
        <w:tc>
          <w:tcPr>
            <w:tcW w:w="857" w:type="dxa"/>
            <w:tcBorders>
              <w:top w:val="nil"/>
              <w:left w:val="nil"/>
              <w:bottom w:val="single" w:sz="4" w:space="0" w:color="auto"/>
              <w:right w:val="nil"/>
            </w:tcBorders>
            <w:shd w:val="clear" w:color="auto" w:fill="auto"/>
            <w:noWrap/>
            <w:vAlign w:val="bottom"/>
            <w:hideMark/>
          </w:tcPr>
          <w:p w14:paraId="2B0F0E3D"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2,977</w:t>
            </w:r>
          </w:p>
        </w:tc>
        <w:tc>
          <w:tcPr>
            <w:tcW w:w="857" w:type="dxa"/>
            <w:tcBorders>
              <w:top w:val="nil"/>
              <w:left w:val="nil"/>
              <w:bottom w:val="single" w:sz="4" w:space="0" w:color="auto"/>
              <w:right w:val="nil"/>
            </w:tcBorders>
            <w:shd w:val="clear" w:color="auto" w:fill="auto"/>
            <w:noWrap/>
            <w:vAlign w:val="bottom"/>
            <w:hideMark/>
          </w:tcPr>
          <w:p w14:paraId="7BA20BE7"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2,977</w:t>
            </w:r>
          </w:p>
        </w:tc>
        <w:tc>
          <w:tcPr>
            <w:tcW w:w="857" w:type="dxa"/>
            <w:tcBorders>
              <w:top w:val="nil"/>
              <w:left w:val="nil"/>
              <w:bottom w:val="single" w:sz="4" w:space="0" w:color="auto"/>
              <w:right w:val="nil"/>
            </w:tcBorders>
            <w:shd w:val="clear" w:color="auto" w:fill="auto"/>
            <w:noWrap/>
            <w:vAlign w:val="bottom"/>
            <w:hideMark/>
          </w:tcPr>
          <w:p w14:paraId="12AFA3A4" w14:textId="77777777" w:rsidR="00752811" w:rsidRPr="00F379CF" w:rsidRDefault="00752811" w:rsidP="00333C84">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2,977</w:t>
            </w:r>
          </w:p>
        </w:tc>
      </w:tr>
      <w:tr w:rsidR="00752811" w:rsidRPr="00F379CF" w14:paraId="0D816025" w14:textId="77777777" w:rsidTr="00333C84">
        <w:trPr>
          <w:trHeight w:val="204"/>
        </w:trPr>
        <w:tc>
          <w:tcPr>
            <w:tcW w:w="2976" w:type="dxa"/>
            <w:tcBorders>
              <w:top w:val="nil"/>
              <w:left w:val="nil"/>
              <w:bottom w:val="nil"/>
              <w:right w:val="nil"/>
            </w:tcBorders>
            <w:shd w:val="clear" w:color="auto" w:fill="auto"/>
            <w:noWrap/>
            <w:vAlign w:val="bottom"/>
            <w:hideMark/>
          </w:tcPr>
          <w:p w14:paraId="77CB8971" w14:textId="77777777" w:rsidR="00752811" w:rsidRPr="00F379CF" w:rsidRDefault="00752811" w:rsidP="00333C84">
            <w:pPr>
              <w:spacing w:after="0" w:line="240" w:lineRule="auto"/>
              <w:jc w:val="left"/>
              <w:rPr>
                <w:rFonts w:ascii="Arial" w:hAnsi="Arial" w:cs="Arial"/>
                <w:b/>
                <w:bCs/>
                <w:color w:val="000000"/>
                <w:sz w:val="16"/>
                <w:szCs w:val="16"/>
              </w:rPr>
            </w:pPr>
            <w:r w:rsidRPr="00F379CF">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56649AC7" w14:textId="77777777" w:rsidR="00752811" w:rsidRPr="00F379CF"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C929F54"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FF74DF4" w14:textId="77777777" w:rsidR="00752811" w:rsidRPr="00F379CF"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D766DF8"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365A540" w14:textId="77777777" w:rsidR="00752811" w:rsidRPr="0016574C" w:rsidRDefault="00752811" w:rsidP="00333C84">
            <w:pPr>
              <w:spacing w:after="0" w:line="240" w:lineRule="auto"/>
              <w:jc w:val="right"/>
              <w:rPr>
                <w:rFonts w:ascii="Times New Roman" w:hAnsi="Times New Roman"/>
                <w:sz w:val="16"/>
                <w:szCs w:val="16"/>
              </w:rPr>
            </w:pPr>
          </w:p>
        </w:tc>
      </w:tr>
      <w:tr w:rsidR="00752811" w:rsidRPr="00F379CF" w14:paraId="7DBAC24A" w14:textId="77777777" w:rsidTr="00333C84">
        <w:trPr>
          <w:trHeight w:val="204"/>
        </w:trPr>
        <w:tc>
          <w:tcPr>
            <w:tcW w:w="2976" w:type="dxa"/>
            <w:tcBorders>
              <w:top w:val="nil"/>
              <w:left w:val="nil"/>
              <w:bottom w:val="nil"/>
              <w:right w:val="nil"/>
            </w:tcBorders>
            <w:shd w:val="clear" w:color="auto" w:fill="auto"/>
            <w:noWrap/>
            <w:vAlign w:val="bottom"/>
            <w:hideMark/>
          </w:tcPr>
          <w:p w14:paraId="37522164"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Contributed equity</w:t>
            </w:r>
          </w:p>
        </w:tc>
        <w:tc>
          <w:tcPr>
            <w:tcW w:w="928" w:type="dxa"/>
            <w:tcBorders>
              <w:top w:val="nil"/>
              <w:left w:val="nil"/>
              <w:bottom w:val="nil"/>
              <w:right w:val="nil"/>
            </w:tcBorders>
            <w:shd w:val="clear" w:color="auto" w:fill="auto"/>
            <w:noWrap/>
            <w:vAlign w:val="bottom"/>
            <w:hideMark/>
          </w:tcPr>
          <w:p w14:paraId="64D7CAC6"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c>
          <w:tcPr>
            <w:tcW w:w="857" w:type="dxa"/>
            <w:tcBorders>
              <w:top w:val="nil"/>
              <w:left w:val="nil"/>
              <w:bottom w:val="nil"/>
              <w:right w:val="nil"/>
            </w:tcBorders>
            <w:shd w:val="clear" w:color="000000" w:fill="E6E6E6"/>
            <w:noWrap/>
            <w:vAlign w:val="bottom"/>
            <w:hideMark/>
          </w:tcPr>
          <w:p w14:paraId="458AF8C7"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c>
          <w:tcPr>
            <w:tcW w:w="857" w:type="dxa"/>
            <w:tcBorders>
              <w:top w:val="nil"/>
              <w:left w:val="nil"/>
              <w:bottom w:val="nil"/>
              <w:right w:val="nil"/>
            </w:tcBorders>
            <w:shd w:val="clear" w:color="auto" w:fill="auto"/>
            <w:noWrap/>
            <w:vAlign w:val="bottom"/>
            <w:hideMark/>
          </w:tcPr>
          <w:p w14:paraId="7F76C4E1"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c>
          <w:tcPr>
            <w:tcW w:w="857" w:type="dxa"/>
            <w:tcBorders>
              <w:top w:val="nil"/>
              <w:left w:val="nil"/>
              <w:bottom w:val="nil"/>
              <w:right w:val="nil"/>
            </w:tcBorders>
            <w:shd w:val="clear" w:color="auto" w:fill="auto"/>
            <w:noWrap/>
            <w:vAlign w:val="bottom"/>
            <w:hideMark/>
          </w:tcPr>
          <w:p w14:paraId="0A6BDCBC"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c>
          <w:tcPr>
            <w:tcW w:w="857" w:type="dxa"/>
            <w:tcBorders>
              <w:top w:val="nil"/>
              <w:left w:val="nil"/>
              <w:bottom w:val="nil"/>
              <w:right w:val="nil"/>
            </w:tcBorders>
            <w:shd w:val="clear" w:color="auto" w:fill="auto"/>
            <w:noWrap/>
            <w:vAlign w:val="bottom"/>
            <w:hideMark/>
          </w:tcPr>
          <w:p w14:paraId="66FFC879"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r>
      <w:tr w:rsidR="00752811" w:rsidRPr="00F379CF" w14:paraId="6BB9AEC5" w14:textId="77777777" w:rsidTr="00333C84">
        <w:trPr>
          <w:trHeight w:val="204"/>
        </w:trPr>
        <w:tc>
          <w:tcPr>
            <w:tcW w:w="2976" w:type="dxa"/>
            <w:tcBorders>
              <w:top w:val="nil"/>
              <w:left w:val="nil"/>
              <w:bottom w:val="nil"/>
              <w:right w:val="nil"/>
            </w:tcBorders>
            <w:shd w:val="clear" w:color="auto" w:fill="auto"/>
            <w:noWrap/>
            <w:vAlign w:val="bottom"/>
            <w:hideMark/>
          </w:tcPr>
          <w:p w14:paraId="00BC8626"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Reserves</w:t>
            </w:r>
          </w:p>
        </w:tc>
        <w:tc>
          <w:tcPr>
            <w:tcW w:w="928" w:type="dxa"/>
            <w:tcBorders>
              <w:top w:val="nil"/>
              <w:left w:val="nil"/>
              <w:bottom w:val="nil"/>
              <w:right w:val="nil"/>
            </w:tcBorders>
            <w:shd w:val="clear" w:color="auto" w:fill="auto"/>
            <w:noWrap/>
            <w:vAlign w:val="bottom"/>
            <w:hideMark/>
          </w:tcPr>
          <w:p w14:paraId="5B731D9F"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(5)</w:t>
            </w:r>
          </w:p>
        </w:tc>
        <w:tc>
          <w:tcPr>
            <w:tcW w:w="857" w:type="dxa"/>
            <w:tcBorders>
              <w:top w:val="nil"/>
              <w:left w:val="nil"/>
              <w:bottom w:val="nil"/>
              <w:right w:val="nil"/>
            </w:tcBorders>
            <w:shd w:val="clear" w:color="000000" w:fill="E6E6E6"/>
            <w:noWrap/>
            <w:vAlign w:val="bottom"/>
            <w:hideMark/>
          </w:tcPr>
          <w:p w14:paraId="6A4430FB"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(5)</w:t>
            </w:r>
          </w:p>
        </w:tc>
        <w:tc>
          <w:tcPr>
            <w:tcW w:w="857" w:type="dxa"/>
            <w:tcBorders>
              <w:top w:val="nil"/>
              <w:left w:val="nil"/>
              <w:bottom w:val="nil"/>
              <w:right w:val="nil"/>
            </w:tcBorders>
            <w:shd w:val="clear" w:color="auto" w:fill="auto"/>
            <w:noWrap/>
            <w:vAlign w:val="bottom"/>
            <w:hideMark/>
          </w:tcPr>
          <w:p w14:paraId="5517F8C8"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(5)</w:t>
            </w:r>
          </w:p>
        </w:tc>
        <w:tc>
          <w:tcPr>
            <w:tcW w:w="857" w:type="dxa"/>
            <w:tcBorders>
              <w:top w:val="nil"/>
              <w:left w:val="nil"/>
              <w:bottom w:val="nil"/>
              <w:right w:val="nil"/>
            </w:tcBorders>
            <w:shd w:val="clear" w:color="auto" w:fill="auto"/>
            <w:noWrap/>
            <w:vAlign w:val="bottom"/>
            <w:hideMark/>
          </w:tcPr>
          <w:p w14:paraId="13AFE434"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(5)</w:t>
            </w:r>
          </w:p>
        </w:tc>
        <w:tc>
          <w:tcPr>
            <w:tcW w:w="857" w:type="dxa"/>
            <w:tcBorders>
              <w:top w:val="nil"/>
              <w:left w:val="nil"/>
              <w:bottom w:val="nil"/>
              <w:right w:val="nil"/>
            </w:tcBorders>
            <w:shd w:val="clear" w:color="auto" w:fill="auto"/>
            <w:noWrap/>
            <w:vAlign w:val="bottom"/>
            <w:hideMark/>
          </w:tcPr>
          <w:p w14:paraId="5DD266AC"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(5)</w:t>
            </w:r>
          </w:p>
        </w:tc>
      </w:tr>
      <w:tr w:rsidR="00752811" w:rsidRPr="00F379CF" w14:paraId="33D524C1" w14:textId="77777777" w:rsidTr="00333C84">
        <w:trPr>
          <w:trHeight w:val="204"/>
        </w:trPr>
        <w:tc>
          <w:tcPr>
            <w:tcW w:w="2976" w:type="dxa"/>
            <w:tcBorders>
              <w:top w:val="nil"/>
              <w:left w:val="nil"/>
              <w:bottom w:val="nil"/>
              <w:right w:val="nil"/>
            </w:tcBorders>
            <w:shd w:val="clear" w:color="auto" w:fill="auto"/>
            <w:vAlign w:val="bottom"/>
            <w:hideMark/>
          </w:tcPr>
          <w:p w14:paraId="4D72B70C"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44E52E63"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4,245</w:t>
            </w:r>
          </w:p>
        </w:tc>
        <w:tc>
          <w:tcPr>
            <w:tcW w:w="857" w:type="dxa"/>
            <w:tcBorders>
              <w:top w:val="nil"/>
              <w:left w:val="nil"/>
              <w:bottom w:val="nil"/>
              <w:right w:val="nil"/>
            </w:tcBorders>
            <w:shd w:val="clear" w:color="000000" w:fill="E6E6E6"/>
            <w:noWrap/>
            <w:vAlign w:val="bottom"/>
            <w:hideMark/>
          </w:tcPr>
          <w:p w14:paraId="27315C71"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4,245</w:t>
            </w:r>
          </w:p>
        </w:tc>
        <w:tc>
          <w:tcPr>
            <w:tcW w:w="857" w:type="dxa"/>
            <w:tcBorders>
              <w:top w:val="nil"/>
              <w:left w:val="nil"/>
              <w:bottom w:val="nil"/>
              <w:right w:val="nil"/>
            </w:tcBorders>
            <w:shd w:val="clear" w:color="auto" w:fill="auto"/>
            <w:noWrap/>
            <w:vAlign w:val="bottom"/>
            <w:hideMark/>
          </w:tcPr>
          <w:p w14:paraId="2BB411AD"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4,245</w:t>
            </w:r>
          </w:p>
        </w:tc>
        <w:tc>
          <w:tcPr>
            <w:tcW w:w="857" w:type="dxa"/>
            <w:tcBorders>
              <w:top w:val="nil"/>
              <w:left w:val="nil"/>
              <w:bottom w:val="nil"/>
              <w:right w:val="nil"/>
            </w:tcBorders>
            <w:shd w:val="clear" w:color="auto" w:fill="auto"/>
            <w:noWrap/>
            <w:vAlign w:val="bottom"/>
            <w:hideMark/>
          </w:tcPr>
          <w:p w14:paraId="3616DD49"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4,245</w:t>
            </w:r>
          </w:p>
        </w:tc>
        <w:tc>
          <w:tcPr>
            <w:tcW w:w="857" w:type="dxa"/>
            <w:tcBorders>
              <w:top w:val="nil"/>
              <w:left w:val="nil"/>
              <w:bottom w:val="nil"/>
              <w:right w:val="nil"/>
            </w:tcBorders>
            <w:shd w:val="clear" w:color="auto" w:fill="auto"/>
            <w:noWrap/>
            <w:vAlign w:val="bottom"/>
            <w:hideMark/>
          </w:tcPr>
          <w:p w14:paraId="2633FF48" w14:textId="77777777" w:rsidR="00752811" w:rsidRPr="00F379CF" w:rsidRDefault="00752811" w:rsidP="00333C84">
            <w:pPr>
              <w:spacing w:after="0" w:line="240" w:lineRule="auto"/>
              <w:jc w:val="right"/>
              <w:rPr>
                <w:rFonts w:ascii="Arial" w:hAnsi="Arial" w:cs="Arial"/>
                <w:color w:val="000000"/>
                <w:sz w:val="16"/>
                <w:szCs w:val="16"/>
              </w:rPr>
            </w:pPr>
            <w:r w:rsidRPr="00F379CF">
              <w:rPr>
                <w:rFonts w:ascii="Arial" w:hAnsi="Arial" w:cs="Arial"/>
                <w:color w:val="000000"/>
                <w:sz w:val="16"/>
                <w:szCs w:val="16"/>
              </w:rPr>
              <w:t>4,245</w:t>
            </w:r>
          </w:p>
        </w:tc>
      </w:tr>
      <w:tr w:rsidR="00752811" w:rsidRPr="00F379CF" w14:paraId="42DBFF77" w14:textId="77777777" w:rsidTr="00333C84">
        <w:trPr>
          <w:trHeight w:val="204"/>
        </w:trPr>
        <w:tc>
          <w:tcPr>
            <w:tcW w:w="2976" w:type="dxa"/>
            <w:tcBorders>
              <w:top w:val="nil"/>
              <w:left w:val="nil"/>
              <w:bottom w:val="single" w:sz="4" w:space="0" w:color="auto"/>
              <w:right w:val="nil"/>
            </w:tcBorders>
            <w:shd w:val="clear" w:color="auto" w:fill="auto"/>
            <w:noWrap/>
            <w:vAlign w:val="bottom"/>
            <w:hideMark/>
          </w:tcPr>
          <w:p w14:paraId="12EFD16A" w14:textId="77777777" w:rsidR="00752811" w:rsidRPr="0016574C" w:rsidRDefault="00752811" w:rsidP="00333C84">
            <w:pPr>
              <w:spacing w:after="0" w:line="240" w:lineRule="auto"/>
              <w:jc w:val="left"/>
              <w:rPr>
                <w:rFonts w:ascii="Arial" w:hAnsi="Arial" w:cs="Arial"/>
                <w:b/>
                <w:bCs/>
                <w:iCs/>
                <w:color w:val="000000"/>
                <w:sz w:val="16"/>
                <w:szCs w:val="16"/>
              </w:rPr>
            </w:pPr>
            <w:r w:rsidRPr="0016574C">
              <w:rPr>
                <w:rFonts w:ascii="Arial" w:hAnsi="Arial" w:cs="Arial"/>
                <w:b/>
                <w:bCs/>
                <w:iCs/>
                <w:color w:val="000000"/>
                <w:sz w:val="16"/>
                <w:szCs w:val="16"/>
              </w:rPr>
              <w:t>Total equity</w:t>
            </w:r>
          </w:p>
        </w:tc>
        <w:tc>
          <w:tcPr>
            <w:tcW w:w="928" w:type="dxa"/>
            <w:tcBorders>
              <w:top w:val="single" w:sz="4" w:space="0" w:color="000000"/>
              <w:left w:val="nil"/>
              <w:bottom w:val="single" w:sz="4" w:space="0" w:color="auto"/>
              <w:right w:val="nil"/>
            </w:tcBorders>
            <w:shd w:val="clear" w:color="auto" w:fill="auto"/>
            <w:noWrap/>
            <w:vAlign w:val="bottom"/>
            <w:hideMark/>
          </w:tcPr>
          <w:p w14:paraId="1541860F" w14:textId="77777777" w:rsidR="00752811" w:rsidRPr="0016574C" w:rsidRDefault="00752811" w:rsidP="00333C84">
            <w:pPr>
              <w:spacing w:after="0" w:line="240" w:lineRule="auto"/>
              <w:jc w:val="right"/>
              <w:rPr>
                <w:rFonts w:ascii="Arial" w:hAnsi="Arial" w:cs="Arial"/>
                <w:b/>
                <w:bCs/>
                <w:iCs/>
                <w:color w:val="000000"/>
                <w:sz w:val="16"/>
                <w:szCs w:val="16"/>
              </w:rPr>
            </w:pPr>
            <w:r w:rsidRPr="0016574C">
              <w:rPr>
                <w:rFonts w:ascii="Arial" w:hAnsi="Arial" w:cs="Arial"/>
                <w:b/>
                <w:bCs/>
                <w:iCs/>
                <w:color w:val="000000"/>
                <w:sz w:val="16"/>
                <w:szCs w:val="16"/>
              </w:rPr>
              <w:t>2,977</w:t>
            </w:r>
          </w:p>
        </w:tc>
        <w:tc>
          <w:tcPr>
            <w:tcW w:w="857" w:type="dxa"/>
            <w:tcBorders>
              <w:top w:val="single" w:sz="4" w:space="0" w:color="000000"/>
              <w:left w:val="nil"/>
              <w:bottom w:val="single" w:sz="4" w:space="0" w:color="auto"/>
              <w:right w:val="nil"/>
            </w:tcBorders>
            <w:shd w:val="clear" w:color="000000" w:fill="E6E6E6"/>
            <w:noWrap/>
            <w:vAlign w:val="bottom"/>
            <w:hideMark/>
          </w:tcPr>
          <w:p w14:paraId="0DC0A9EB" w14:textId="77777777" w:rsidR="00752811" w:rsidRPr="0016574C" w:rsidRDefault="00752811" w:rsidP="00333C84">
            <w:pPr>
              <w:spacing w:after="0" w:line="240" w:lineRule="auto"/>
              <w:jc w:val="right"/>
              <w:rPr>
                <w:rFonts w:ascii="Arial" w:hAnsi="Arial" w:cs="Arial"/>
                <w:b/>
                <w:bCs/>
                <w:iCs/>
                <w:color w:val="000000"/>
                <w:sz w:val="16"/>
                <w:szCs w:val="16"/>
              </w:rPr>
            </w:pPr>
            <w:r w:rsidRPr="0016574C">
              <w:rPr>
                <w:rFonts w:ascii="Arial" w:hAnsi="Arial" w:cs="Arial"/>
                <w:b/>
                <w:bCs/>
                <w:iCs/>
                <w:color w:val="000000"/>
                <w:sz w:val="16"/>
                <w:szCs w:val="16"/>
              </w:rPr>
              <w:t>2,977</w:t>
            </w:r>
          </w:p>
        </w:tc>
        <w:tc>
          <w:tcPr>
            <w:tcW w:w="857" w:type="dxa"/>
            <w:tcBorders>
              <w:top w:val="single" w:sz="4" w:space="0" w:color="000000"/>
              <w:left w:val="nil"/>
              <w:bottom w:val="single" w:sz="4" w:space="0" w:color="auto"/>
              <w:right w:val="nil"/>
            </w:tcBorders>
            <w:shd w:val="clear" w:color="auto" w:fill="auto"/>
            <w:noWrap/>
            <w:vAlign w:val="bottom"/>
            <w:hideMark/>
          </w:tcPr>
          <w:p w14:paraId="33436640" w14:textId="77777777" w:rsidR="00752811" w:rsidRPr="0016574C" w:rsidRDefault="00752811" w:rsidP="00333C84">
            <w:pPr>
              <w:spacing w:after="0" w:line="240" w:lineRule="auto"/>
              <w:jc w:val="right"/>
              <w:rPr>
                <w:rFonts w:ascii="Arial" w:hAnsi="Arial" w:cs="Arial"/>
                <w:b/>
                <w:bCs/>
                <w:iCs/>
                <w:color w:val="000000"/>
                <w:sz w:val="16"/>
                <w:szCs w:val="16"/>
              </w:rPr>
            </w:pPr>
            <w:r w:rsidRPr="0016574C">
              <w:rPr>
                <w:rFonts w:ascii="Arial" w:hAnsi="Arial" w:cs="Arial"/>
                <w:b/>
                <w:bCs/>
                <w:iCs/>
                <w:color w:val="000000"/>
                <w:sz w:val="16"/>
                <w:szCs w:val="16"/>
              </w:rPr>
              <w:t>2,977</w:t>
            </w:r>
          </w:p>
        </w:tc>
        <w:tc>
          <w:tcPr>
            <w:tcW w:w="857" w:type="dxa"/>
            <w:tcBorders>
              <w:top w:val="single" w:sz="4" w:space="0" w:color="000000"/>
              <w:left w:val="nil"/>
              <w:bottom w:val="single" w:sz="4" w:space="0" w:color="auto"/>
              <w:right w:val="nil"/>
            </w:tcBorders>
            <w:shd w:val="clear" w:color="auto" w:fill="auto"/>
            <w:noWrap/>
            <w:vAlign w:val="bottom"/>
            <w:hideMark/>
          </w:tcPr>
          <w:p w14:paraId="3BB682D6" w14:textId="77777777" w:rsidR="00752811" w:rsidRPr="0016574C" w:rsidRDefault="00752811" w:rsidP="00333C84">
            <w:pPr>
              <w:spacing w:after="0" w:line="240" w:lineRule="auto"/>
              <w:jc w:val="right"/>
              <w:rPr>
                <w:rFonts w:ascii="Arial" w:hAnsi="Arial" w:cs="Arial"/>
                <w:b/>
                <w:bCs/>
                <w:iCs/>
                <w:color w:val="000000"/>
                <w:sz w:val="16"/>
                <w:szCs w:val="16"/>
              </w:rPr>
            </w:pPr>
            <w:r w:rsidRPr="0016574C">
              <w:rPr>
                <w:rFonts w:ascii="Arial" w:hAnsi="Arial" w:cs="Arial"/>
                <w:b/>
                <w:bCs/>
                <w:iCs/>
                <w:color w:val="000000"/>
                <w:sz w:val="16"/>
                <w:szCs w:val="16"/>
              </w:rPr>
              <w:t>2,977</w:t>
            </w:r>
          </w:p>
        </w:tc>
        <w:tc>
          <w:tcPr>
            <w:tcW w:w="857" w:type="dxa"/>
            <w:tcBorders>
              <w:top w:val="single" w:sz="4" w:space="0" w:color="000000"/>
              <w:left w:val="nil"/>
              <w:bottom w:val="single" w:sz="4" w:space="0" w:color="auto"/>
              <w:right w:val="nil"/>
            </w:tcBorders>
            <w:shd w:val="clear" w:color="auto" w:fill="auto"/>
            <w:noWrap/>
            <w:vAlign w:val="bottom"/>
            <w:hideMark/>
          </w:tcPr>
          <w:p w14:paraId="63C6208F" w14:textId="77777777" w:rsidR="00752811" w:rsidRPr="0016574C" w:rsidRDefault="00752811" w:rsidP="00333C84">
            <w:pPr>
              <w:spacing w:after="0" w:line="240" w:lineRule="auto"/>
              <w:jc w:val="right"/>
              <w:rPr>
                <w:rFonts w:ascii="Arial" w:hAnsi="Arial" w:cs="Arial"/>
                <w:b/>
                <w:bCs/>
                <w:iCs/>
                <w:color w:val="000000"/>
                <w:sz w:val="16"/>
                <w:szCs w:val="16"/>
              </w:rPr>
            </w:pPr>
            <w:r w:rsidRPr="0016574C">
              <w:rPr>
                <w:rFonts w:ascii="Arial" w:hAnsi="Arial" w:cs="Arial"/>
                <w:b/>
                <w:bCs/>
                <w:iCs/>
                <w:color w:val="000000"/>
                <w:sz w:val="16"/>
                <w:szCs w:val="16"/>
              </w:rPr>
              <w:t>2,977</w:t>
            </w:r>
          </w:p>
        </w:tc>
      </w:tr>
    </w:tbl>
    <w:p w14:paraId="0CE45931" w14:textId="77777777" w:rsidR="00752811" w:rsidRPr="003E1C3C" w:rsidRDefault="00752811" w:rsidP="00752811">
      <w:pPr>
        <w:pStyle w:val="TableGraphic"/>
        <w:spacing w:before="60"/>
        <w:rPr>
          <w:lang w:val="x-none" w:eastAsia="x-none"/>
        </w:rPr>
      </w:pPr>
      <w:r w:rsidRPr="00F379CF">
        <w:rPr>
          <w:rFonts w:ascii="Arial" w:hAnsi="Arial" w:cs="Arial"/>
          <w:color w:val="000000"/>
          <w:sz w:val="16"/>
          <w:szCs w:val="16"/>
        </w:rPr>
        <w:t>Prepared on Australian Accounting Standards basis.</w:t>
      </w:r>
    </w:p>
    <w:p w14:paraId="2F3E61ED" w14:textId="439C4AE2" w:rsidR="00752811" w:rsidRDefault="00752811" w:rsidP="00752811">
      <w:pPr>
        <w:pStyle w:val="TableHeadingcontinued"/>
      </w:pPr>
      <w:r>
        <w:br w:type="page"/>
      </w:r>
      <w:r w:rsidRPr="002B00A2">
        <w:lastRenderedPageBreak/>
        <w:t xml:space="preserve">Table 3.3: </w:t>
      </w:r>
      <w:r w:rsidR="003C4CC6">
        <w:t>Department</w:t>
      </w:r>
      <w:r w:rsidRPr="002B00A2">
        <w:t>al statement of changes in equity — summary of movement (Budget year 2022-23)</w:t>
      </w:r>
    </w:p>
    <w:tbl>
      <w:tblPr>
        <w:tblW w:w="7231" w:type="dxa"/>
        <w:tblLook w:val="04A0" w:firstRow="1" w:lastRow="0" w:firstColumn="1" w:lastColumn="0" w:noHBand="0" w:noVBand="1"/>
      </w:tblPr>
      <w:tblGrid>
        <w:gridCol w:w="3686"/>
        <w:gridCol w:w="857"/>
        <w:gridCol w:w="830"/>
        <w:gridCol w:w="1044"/>
        <w:gridCol w:w="814"/>
      </w:tblGrid>
      <w:tr w:rsidR="00752811" w:rsidRPr="00082841" w14:paraId="23D28273" w14:textId="77777777" w:rsidTr="00980FB5">
        <w:trPr>
          <w:trHeight w:val="204"/>
        </w:trPr>
        <w:tc>
          <w:tcPr>
            <w:tcW w:w="3686" w:type="dxa"/>
            <w:tcBorders>
              <w:top w:val="single" w:sz="4" w:space="0" w:color="auto"/>
              <w:left w:val="nil"/>
              <w:bottom w:val="nil"/>
              <w:right w:val="nil"/>
            </w:tcBorders>
            <w:shd w:val="clear" w:color="auto" w:fill="auto"/>
            <w:noWrap/>
            <w:vAlign w:val="bottom"/>
            <w:hideMark/>
          </w:tcPr>
          <w:p w14:paraId="073F92A0" w14:textId="77777777" w:rsidR="00752811" w:rsidRPr="00082841" w:rsidRDefault="00752811" w:rsidP="00333C84">
            <w:pPr>
              <w:spacing w:after="0" w:line="240" w:lineRule="auto"/>
              <w:jc w:val="right"/>
              <w:rPr>
                <w:rFonts w:ascii="Arial" w:hAnsi="Arial" w:cs="Arial"/>
                <w:color w:val="000000"/>
                <w:sz w:val="16"/>
                <w:szCs w:val="16"/>
              </w:rPr>
            </w:pPr>
            <w:r w:rsidRPr="00082841">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2CE8A937" w14:textId="77777777" w:rsidR="00752811" w:rsidRPr="00082841" w:rsidRDefault="00752811" w:rsidP="00333C84">
            <w:pPr>
              <w:spacing w:after="0" w:line="240" w:lineRule="auto"/>
              <w:jc w:val="right"/>
              <w:rPr>
                <w:rFonts w:ascii="Arial" w:hAnsi="Arial" w:cs="Arial"/>
                <w:color w:val="000000"/>
                <w:sz w:val="16"/>
                <w:szCs w:val="16"/>
              </w:rPr>
            </w:pPr>
            <w:r w:rsidRPr="00082841">
              <w:rPr>
                <w:rFonts w:ascii="Arial" w:hAnsi="Arial" w:cs="Arial"/>
                <w:color w:val="000000"/>
                <w:sz w:val="16"/>
                <w:szCs w:val="16"/>
              </w:rPr>
              <w:t>Retained</w:t>
            </w:r>
            <w:r w:rsidRPr="00082841">
              <w:rPr>
                <w:rFonts w:ascii="Arial" w:hAnsi="Arial" w:cs="Arial"/>
                <w:color w:val="000000"/>
                <w:sz w:val="16"/>
                <w:szCs w:val="16"/>
              </w:rPr>
              <w:br/>
              <w:t>earnings</w:t>
            </w:r>
            <w:r w:rsidRPr="00082841">
              <w:rPr>
                <w:rFonts w:ascii="Arial" w:hAnsi="Arial" w:cs="Arial"/>
                <w:color w:val="000000"/>
                <w:sz w:val="16"/>
                <w:szCs w:val="16"/>
              </w:rPr>
              <w:br/>
            </w:r>
            <w:r w:rsidRPr="00082841">
              <w:rPr>
                <w:rFonts w:ascii="Arial" w:hAnsi="Arial" w:cs="Arial"/>
                <w:color w:val="000000"/>
                <w:sz w:val="16"/>
                <w:szCs w:val="16"/>
              </w:rPr>
              <w:br/>
              <w:t>$'000</w:t>
            </w:r>
          </w:p>
        </w:tc>
        <w:tc>
          <w:tcPr>
            <w:tcW w:w="830" w:type="dxa"/>
            <w:tcBorders>
              <w:top w:val="single" w:sz="4" w:space="0" w:color="auto"/>
              <w:left w:val="nil"/>
              <w:bottom w:val="single" w:sz="4" w:space="0" w:color="000000"/>
              <w:right w:val="nil"/>
            </w:tcBorders>
            <w:shd w:val="clear" w:color="auto" w:fill="auto"/>
            <w:vAlign w:val="bottom"/>
            <w:hideMark/>
          </w:tcPr>
          <w:p w14:paraId="74B07972" w14:textId="77777777" w:rsidR="00752811" w:rsidRPr="00082841" w:rsidRDefault="00752811" w:rsidP="00333C84">
            <w:pPr>
              <w:spacing w:after="0" w:line="240" w:lineRule="auto"/>
              <w:jc w:val="right"/>
              <w:rPr>
                <w:rFonts w:ascii="Arial" w:hAnsi="Arial" w:cs="Arial"/>
                <w:color w:val="000000"/>
                <w:sz w:val="16"/>
                <w:szCs w:val="16"/>
              </w:rPr>
            </w:pPr>
            <w:r w:rsidRPr="00082841">
              <w:rPr>
                <w:rFonts w:ascii="Arial" w:hAnsi="Arial" w:cs="Arial"/>
                <w:color w:val="000000"/>
                <w:sz w:val="16"/>
                <w:szCs w:val="16"/>
              </w:rPr>
              <w:t>Other</w:t>
            </w:r>
            <w:r w:rsidRPr="00082841">
              <w:rPr>
                <w:rFonts w:ascii="Arial" w:hAnsi="Arial" w:cs="Arial"/>
                <w:color w:val="000000"/>
                <w:sz w:val="16"/>
                <w:szCs w:val="16"/>
              </w:rPr>
              <w:br/>
              <w:t>reserves</w:t>
            </w:r>
            <w:r w:rsidRPr="00082841">
              <w:rPr>
                <w:rFonts w:ascii="Arial" w:hAnsi="Arial" w:cs="Arial"/>
                <w:color w:val="000000"/>
                <w:sz w:val="16"/>
                <w:szCs w:val="16"/>
              </w:rPr>
              <w:br/>
            </w:r>
            <w:r w:rsidRPr="00082841">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312FFBC8" w14:textId="77777777" w:rsidR="00752811" w:rsidRPr="00082841" w:rsidRDefault="00752811" w:rsidP="00333C84">
            <w:pPr>
              <w:spacing w:after="0" w:line="240" w:lineRule="auto"/>
              <w:jc w:val="right"/>
              <w:rPr>
                <w:rFonts w:ascii="Arial" w:hAnsi="Arial" w:cs="Arial"/>
                <w:color w:val="000000"/>
                <w:sz w:val="16"/>
                <w:szCs w:val="16"/>
              </w:rPr>
            </w:pPr>
            <w:r w:rsidRPr="00082841">
              <w:rPr>
                <w:rFonts w:ascii="Arial" w:hAnsi="Arial" w:cs="Arial"/>
                <w:color w:val="000000"/>
                <w:sz w:val="16"/>
                <w:szCs w:val="16"/>
              </w:rPr>
              <w:t>Contributed</w:t>
            </w:r>
            <w:r w:rsidRPr="00082841">
              <w:rPr>
                <w:rFonts w:ascii="Arial" w:hAnsi="Arial" w:cs="Arial"/>
                <w:color w:val="000000"/>
                <w:sz w:val="16"/>
                <w:szCs w:val="16"/>
              </w:rPr>
              <w:br/>
              <w:t>equity/</w:t>
            </w:r>
            <w:r w:rsidRPr="00082841">
              <w:rPr>
                <w:rFonts w:ascii="Arial" w:hAnsi="Arial" w:cs="Arial"/>
                <w:color w:val="000000"/>
                <w:sz w:val="16"/>
                <w:szCs w:val="16"/>
              </w:rPr>
              <w:br/>
              <w:t>capital</w:t>
            </w:r>
            <w:r w:rsidRPr="00082841">
              <w:rPr>
                <w:rFonts w:ascii="Arial" w:hAnsi="Arial" w:cs="Arial"/>
                <w:color w:val="000000"/>
                <w:sz w:val="16"/>
                <w:szCs w:val="16"/>
              </w:rPr>
              <w:br/>
              <w:t>$'000</w:t>
            </w:r>
          </w:p>
        </w:tc>
        <w:tc>
          <w:tcPr>
            <w:tcW w:w="814" w:type="dxa"/>
            <w:tcBorders>
              <w:top w:val="single" w:sz="4" w:space="0" w:color="auto"/>
              <w:left w:val="nil"/>
              <w:bottom w:val="single" w:sz="4" w:space="0" w:color="000000"/>
              <w:right w:val="nil"/>
            </w:tcBorders>
            <w:shd w:val="clear" w:color="auto" w:fill="auto"/>
            <w:vAlign w:val="bottom"/>
            <w:hideMark/>
          </w:tcPr>
          <w:p w14:paraId="18DAFAC1" w14:textId="77777777" w:rsidR="00752811" w:rsidRPr="00082841" w:rsidRDefault="00752811" w:rsidP="00333C84">
            <w:pPr>
              <w:spacing w:after="0" w:line="240" w:lineRule="auto"/>
              <w:jc w:val="right"/>
              <w:rPr>
                <w:rFonts w:ascii="Arial" w:hAnsi="Arial" w:cs="Arial"/>
                <w:color w:val="000000"/>
                <w:sz w:val="16"/>
                <w:szCs w:val="16"/>
              </w:rPr>
            </w:pPr>
            <w:r w:rsidRPr="00082841">
              <w:rPr>
                <w:rFonts w:ascii="Arial" w:hAnsi="Arial" w:cs="Arial"/>
                <w:color w:val="000000"/>
                <w:sz w:val="16"/>
                <w:szCs w:val="16"/>
              </w:rPr>
              <w:t>Total</w:t>
            </w:r>
            <w:r w:rsidRPr="00082841">
              <w:rPr>
                <w:rFonts w:ascii="Arial" w:hAnsi="Arial" w:cs="Arial"/>
                <w:color w:val="000000"/>
                <w:sz w:val="16"/>
                <w:szCs w:val="16"/>
              </w:rPr>
              <w:br/>
              <w:t xml:space="preserve">equity </w:t>
            </w:r>
            <w:r w:rsidRPr="00082841">
              <w:rPr>
                <w:rFonts w:ascii="Arial" w:hAnsi="Arial" w:cs="Arial"/>
                <w:color w:val="000000"/>
                <w:sz w:val="16"/>
                <w:szCs w:val="16"/>
              </w:rPr>
              <w:br/>
            </w:r>
            <w:r w:rsidRPr="00082841">
              <w:rPr>
                <w:rFonts w:ascii="Arial" w:hAnsi="Arial" w:cs="Arial"/>
                <w:color w:val="000000"/>
                <w:sz w:val="16"/>
                <w:szCs w:val="16"/>
              </w:rPr>
              <w:br/>
              <w:t>$'000</w:t>
            </w:r>
          </w:p>
        </w:tc>
      </w:tr>
      <w:tr w:rsidR="00752811" w:rsidRPr="00082841" w14:paraId="1AA11CA3" w14:textId="77777777" w:rsidTr="00980FB5">
        <w:trPr>
          <w:trHeight w:val="204"/>
        </w:trPr>
        <w:tc>
          <w:tcPr>
            <w:tcW w:w="3686" w:type="dxa"/>
            <w:tcBorders>
              <w:top w:val="nil"/>
              <w:left w:val="nil"/>
              <w:bottom w:val="nil"/>
              <w:right w:val="nil"/>
            </w:tcBorders>
            <w:shd w:val="clear" w:color="auto" w:fill="auto"/>
            <w:vAlign w:val="bottom"/>
            <w:hideMark/>
          </w:tcPr>
          <w:p w14:paraId="5DE3426D" w14:textId="77777777" w:rsidR="00752811" w:rsidRPr="00082841" w:rsidRDefault="00752811" w:rsidP="00333C84">
            <w:pPr>
              <w:spacing w:after="0" w:line="240" w:lineRule="auto"/>
              <w:jc w:val="left"/>
              <w:rPr>
                <w:rFonts w:ascii="Arial" w:hAnsi="Arial" w:cs="Arial"/>
                <w:b/>
                <w:bCs/>
                <w:color w:val="000000"/>
                <w:sz w:val="16"/>
                <w:szCs w:val="16"/>
              </w:rPr>
            </w:pPr>
            <w:r w:rsidRPr="00082841">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727848D4" w14:textId="77777777" w:rsidR="00752811" w:rsidRPr="00FA64FF" w:rsidRDefault="00752811" w:rsidP="00333C84">
            <w:pPr>
              <w:spacing w:after="0" w:line="240" w:lineRule="auto"/>
              <w:jc w:val="right"/>
              <w:rPr>
                <w:rFonts w:ascii="Arial" w:hAnsi="Arial" w:cs="Arial"/>
                <w:b/>
                <w:bCs/>
                <w:color w:val="000000"/>
                <w:sz w:val="16"/>
                <w:szCs w:val="16"/>
              </w:rPr>
            </w:pPr>
          </w:p>
        </w:tc>
        <w:tc>
          <w:tcPr>
            <w:tcW w:w="830" w:type="dxa"/>
            <w:tcBorders>
              <w:top w:val="nil"/>
              <w:left w:val="nil"/>
              <w:bottom w:val="nil"/>
              <w:right w:val="nil"/>
            </w:tcBorders>
            <w:shd w:val="clear" w:color="auto" w:fill="auto"/>
            <w:noWrap/>
            <w:vAlign w:val="bottom"/>
            <w:hideMark/>
          </w:tcPr>
          <w:p w14:paraId="0B8EE92D" w14:textId="77777777" w:rsidR="00752811" w:rsidRPr="0016574C" w:rsidRDefault="00752811" w:rsidP="00333C84">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04941614" w14:textId="77777777" w:rsidR="00752811" w:rsidRPr="0016574C" w:rsidRDefault="00752811" w:rsidP="00333C84">
            <w:pPr>
              <w:spacing w:after="0" w:line="240" w:lineRule="auto"/>
              <w:jc w:val="right"/>
              <w:rPr>
                <w:rFonts w:ascii="Times New Roman" w:hAnsi="Times New Roman"/>
                <w:sz w:val="16"/>
                <w:szCs w:val="16"/>
              </w:rPr>
            </w:pPr>
          </w:p>
        </w:tc>
        <w:tc>
          <w:tcPr>
            <w:tcW w:w="814" w:type="dxa"/>
            <w:tcBorders>
              <w:top w:val="nil"/>
              <w:left w:val="nil"/>
              <w:bottom w:val="nil"/>
              <w:right w:val="nil"/>
            </w:tcBorders>
            <w:shd w:val="clear" w:color="auto" w:fill="auto"/>
            <w:noWrap/>
            <w:vAlign w:val="bottom"/>
            <w:hideMark/>
          </w:tcPr>
          <w:p w14:paraId="401FAF9E" w14:textId="77777777" w:rsidR="00752811" w:rsidRPr="0016574C" w:rsidRDefault="00752811" w:rsidP="00333C84">
            <w:pPr>
              <w:spacing w:after="0" w:line="240" w:lineRule="auto"/>
              <w:jc w:val="right"/>
              <w:rPr>
                <w:rFonts w:ascii="Times New Roman" w:hAnsi="Times New Roman"/>
                <w:sz w:val="16"/>
                <w:szCs w:val="16"/>
              </w:rPr>
            </w:pPr>
          </w:p>
        </w:tc>
      </w:tr>
      <w:tr w:rsidR="00752811" w:rsidRPr="00082841" w14:paraId="4B292D25" w14:textId="77777777" w:rsidTr="00980FB5">
        <w:trPr>
          <w:trHeight w:val="204"/>
        </w:trPr>
        <w:tc>
          <w:tcPr>
            <w:tcW w:w="3686" w:type="dxa"/>
            <w:tcBorders>
              <w:top w:val="nil"/>
              <w:left w:val="nil"/>
              <w:bottom w:val="nil"/>
              <w:right w:val="nil"/>
            </w:tcBorders>
            <w:shd w:val="clear" w:color="auto" w:fill="auto"/>
            <w:vAlign w:val="bottom"/>
            <w:hideMark/>
          </w:tcPr>
          <w:p w14:paraId="31D463B2" w14:textId="77777777" w:rsidR="00752811" w:rsidRPr="00082841" w:rsidRDefault="00752811" w:rsidP="00333C84">
            <w:pPr>
              <w:spacing w:after="0" w:line="240" w:lineRule="auto"/>
              <w:ind w:left="113"/>
              <w:jc w:val="left"/>
              <w:rPr>
                <w:rFonts w:ascii="Arial" w:hAnsi="Arial" w:cs="Arial"/>
                <w:color w:val="000000"/>
                <w:sz w:val="16"/>
                <w:szCs w:val="16"/>
              </w:rPr>
            </w:pPr>
            <w:r w:rsidRPr="0016574C">
              <w:rPr>
                <w:rFonts w:ascii="Arial" w:hAnsi="Arial" w:cs="Arial"/>
                <w:sz w:val="16"/>
                <w:szCs w:val="16"/>
              </w:rPr>
              <w:t>Balance</w:t>
            </w:r>
            <w:r w:rsidRPr="00082841">
              <w:rPr>
                <w:rFonts w:ascii="Arial" w:hAnsi="Arial" w:cs="Arial"/>
                <w:color w:val="000000"/>
                <w:sz w:val="16"/>
                <w:szCs w:val="16"/>
              </w:rPr>
              <w:t xml:space="preserve"> carried forward from previous period</w:t>
            </w:r>
          </w:p>
        </w:tc>
        <w:tc>
          <w:tcPr>
            <w:tcW w:w="857" w:type="dxa"/>
            <w:tcBorders>
              <w:top w:val="nil"/>
              <w:left w:val="nil"/>
              <w:bottom w:val="nil"/>
              <w:right w:val="nil"/>
            </w:tcBorders>
            <w:shd w:val="clear" w:color="auto" w:fill="auto"/>
            <w:noWrap/>
            <w:vAlign w:val="bottom"/>
            <w:hideMark/>
          </w:tcPr>
          <w:p w14:paraId="3C016C45"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4,245</w:t>
            </w:r>
          </w:p>
        </w:tc>
        <w:tc>
          <w:tcPr>
            <w:tcW w:w="830" w:type="dxa"/>
            <w:tcBorders>
              <w:top w:val="nil"/>
              <w:left w:val="nil"/>
              <w:bottom w:val="nil"/>
              <w:right w:val="nil"/>
            </w:tcBorders>
            <w:shd w:val="clear" w:color="auto" w:fill="auto"/>
            <w:noWrap/>
            <w:vAlign w:val="bottom"/>
            <w:hideMark/>
          </w:tcPr>
          <w:p w14:paraId="1DA36D48"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(5)</w:t>
            </w:r>
          </w:p>
        </w:tc>
        <w:tc>
          <w:tcPr>
            <w:tcW w:w="1044" w:type="dxa"/>
            <w:tcBorders>
              <w:top w:val="nil"/>
              <w:left w:val="nil"/>
              <w:bottom w:val="nil"/>
              <w:right w:val="nil"/>
            </w:tcBorders>
            <w:shd w:val="clear" w:color="auto" w:fill="auto"/>
            <w:noWrap/>
            <w:vAlign w:val="bottom"/>
            <w:hideMark/>
          </w:tcPr>
          <w:p w14:paraId="21A4314F"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(1,263)</w:t>
            </w:r>
          </w:p>
        </w:tc>
        <w:tc>
          <w:tcPr>
            <w:tcW w:w="814" w:type="dxa"/>
            <w:tcBorders>
              <w:top w:val="nil"/>
              <w:left w:val="nil"/>
              <w:bottom w:val="nil"/>
              <w:right w:val="nil"/>
            </w:tcBorders>
            <w:shd w:val="clear" w:color="auto" w:fill="auto"/>
            <w:noWrap/>
            <w:vAlign w:val="bottom"/>
            <w:hideMark/>
          </w:tcPr>
          <w:p w14:paraId="3304687C"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2,977</w:t>
            </w:r>
          </w:p>
        </w:tc>
      </w:tr>
      <w:tr w:rsidR="00752811" w:rsidRPr="00082841" w14:paraId="66D74055" w14:textId="77777777" w:rsidTr="00980FB5">
        <w:trPr>
          <w:trHeight w:val="204"/>
        </w:trPr>
        <w:tc>
          <w:tcPr>
            <w:tcW w:w="3686" w:type="dxa"/>
            <w:tcBorders>
              <w:top w:val="nil"/>
              <w:left w:val="nil"/>
              <w:bottom w:val="nil"/>
              <w:right w:val="nil"/>
            </w:tcBorders>
            <w:shd w:val="clear" w:color="auto" w:fill="auto"/>
            <w:vAlign w:val="bottom"/>
            <w:hideMark/>
          </w:tcPr>
          <w:p w14:paraId="05B5C4F4" w14:textId="77777777" w:rsidR="00752811" w:rsidRPr="00082841" w:rsidRDefault="00752811" w:rsidP="00333C84">
            <w:pPr>
              <w:spacing w:after="0" w:line="240" w:lineRule="auto"/>
              <w:jc w:val="left"/>
              <w:rPr>
                <w:rFonts w:ascii="Arial" w:hAnsi="Arial" w:cs="Arial"/>
                <w:b/>
                <w:bCs/>
                <w:i/>
                <w:iCs/>
                <w:color w:val="000000"/>
                <w:sz w:val="16"/>
                <w:szCs w:val="16"/>
              </w:rPr>
            </w:pPr>
            <w:r w:rsidRPr="00082841">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29517652"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4,245</w:t>
            </w:r>
          </w:p>
        </w:tc>
        <w:tc>
          <w:tcPr>
            <w:tcW w:w="830" w:type="dxa"/>
            <w:tcBorders>
              <w:top w:val="single" w:sz="4" w:space="0" w:color="000000"/>
              <w:left w:val="nil"/>
              <w:bottom w:val="single" w:sz="4" w:space="0" w:color="000000"/>
              <w:right w:val="nil"/>
            </w:tcBorders>
            <w:shd w:val="clear" w:color="auto" w:fill="auto"/>
            <w:noWrap/>
            <w:vAlign w:val="bottom"/>
            <w:hideMark/>
          </w:tcPr>
          <w:p w14:paraId="3534EBAD"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(5)</w:t>
            </w:r>
          </w:p>
        </w:tc>
        <w:tc>
          <w:tcPr>
            <w:tcW w:w="1044" w:type="dxa"/>
            <w:tcBorders>
              <w:top w:val="single" w:sz="4" w:space="0" w:color="000000"/>
              <w:left w:val="nil"/>
              <w:bottom w:val="single" w:sz="4" w:space="0" w:color="000000"/>
              <w:right w:val="nil"/>
            </w:tcBorders>
            <w:shd w:val="clear" w:color="auto" w:fill="auto"/>
            <w:noWrap/>
            <w:vAlign w:val="bottom"/>
            <w:hideMark/>
          </w:tcPr>
          <w:p w14:paraId="4A42150D"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(1,263)</w:t>
            </w:r>
          </w:p>
        </w:tc>
        <w:tc>
          <w:tcPr>
            <w:tcW w:w="814" w:type="dxa"/>
            <w:tcBorders>
              <w:top w:val="single" w:sz="4" w:space="0" w:color="000000"/>
              <w:left w:val="nil"/>
              <w:bottom w:val="single" w:sz="4" w:space="0" w:color="000000"/>
              <w:right w:val="nil"/>
            </w:tcBorders>
            <w:shd w:val="clear" w:color="auto" w:fill="auto"/>
            <w:noWrap/>
            <w:vAlign w:val="bottom"/>
            <w:hideMark/>
          </w:tcPr>
          <w:p w14:paraId="642E7F51"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2,977</w:t>
            </w:r>
          </w:p>
        </w:tc>
      </w:tr>
      <w:tr w:rsidR="00752811" w:rsidRPr="00082841" w14:paraId="3E5E0132" w14:textId="77777777" w:rsidTr="00980FB5">
        <w:trPr>
          <w:trHeight w:val="204"/>
        </w:trPr>
        <w:tc>
          <w:tcPr>
            <w:tcW w:w="3686" w:type="dxa"/>
            <w:tcBorders>
              <w:top w:val="nil"/>
              <w:left w:val="nil"/>
              <w:bottom w:val="nil"/>
              <w:right w:val="nil"/>
            </w:tcBorders>
            <w:shd w:val="clear" w:color="auto" w:fill="auto"/>
            <w:noWrap/>
            <w:vAlign w:val="bottom"/>
            <w:hideMark/>
          </w:tcPr>
          <w:p w14:paraId="6ACBEB05" w14:textId="77777777" w:rsidR="00752811" w:rsidRPr="00082841" w:rsidRDefault="00752811" w:rsidP="00333C84">
            <w:pPr>
              <w:spacing w:after="0" w:line="240" w:lineRule="auto"/>
              <w:jc w:val="left"/>
              <w:rPr>
                <w:rFonts w:ascii="Arial" w:hAnsi="Arial" w:cs="Arial"/>
                <w:b/>
                <w:bCs/>
                <w:color w:val="000000"/>
                <w:sz w:val="16"/>
                <w:szCs w:val="16"/>
              </w:rPr>
            </w:pPr>
            <w:r w:rsidRPr="00082841">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2C041F78" w14:textId="77777777" w:rsidR="00752811" w:rsidRPr="00FA64FF" w:rsidRDefault="00752811" w:rsidP="00333C84">
            <w:pPr>
              <w:spacing w:after="0" w:line="240" w:lineRule="auto"/>
              <w:jc w:val="right"/>
              <w:rPr>
                <w:rFonts w:ascii="Arial" w:hAnsi="Arial" w:cs="Arial"/>
                <w:b/>
                <w:bCs/>
                <w:color w:val="000000"/>
                <w:sz w:val="16"/>
                <w:szCs w:val="16"/>
              </w:rPr>
            </w:pPr>
          </w:p>
        </w:tc>
        <w:tc>
          <w:tcPr>
            <w:tcW w:w="830" w:type="dxa"/>
            <w:tcBorders>
              <w:top w:val="nil"/>
              <w:left w:val="nil"/>
              <w:bottom w:val="nil"/>
              <w:right w:val="nil"/>
            </w:tcBorders>
            <w:shd w:val="clear" w:color="auto" w:fill="auto"/>
            <w:noWrap/>
            <w:vAlign w:val="bottom"/>
            <w:hideMark/>
          </w:tcPr>
          <w:p w14:paraId="353813CA" w14:textId="77777777" w:rsidR="00752811" w:rsidRPr="0016574C" w:rsidRDefault="00752811" w:rsidP="00333C84">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435BF404" w14:textId="77777777" w:rsidR="00752811" w:rsidRPr="0016574C" w:rsidRDefault="00752811" w:rsidP="00333C84">
            <w:pPr>
              <w:spacing w:after="0" w:line="240" w:lineRule="auto"/>
              <w:jc w:val="right"/>
              <w:rPr>
                <w:rFonts w:ascii="Times New Roman" w:hAnsi="Times New Roman"/>
                <w:sz w:val="16"/>
                <w:szCs w:val="16"/>
              </w:rPr>
            </w:pPr>
          </w:p>
        </w:tc>
        <w:tc>
          <w:tcPr>
            <w:tcW w:w="814" w:type="dxa"/>
            <w:tcBorders>
              <w:top w:val="nil"/>
              <w:left w:val="nil"/>
              <w:bottom w:val="nil"/>
              <w:right w:val="nil"/>
            </w:tcBorders>
            <w:shd w:val="clear" w:color="auto" w:fill="auto"/>
            <w:noWrap/>
            <w:vAlign w:val="bottom"/>
            <w:hideMark/>
          </w:tcPr>
          <w:p w14:paraId="39AD09CE" w14:textId="77777777" w:rsidR="00752811" w:rsidRPr="0016574C" w:rsidRDefault="00752811" w:rsidP="00333C84">
            <w:pPr>
              <w:spacing w:after="0" w:line="240" w:lineRule="auto"/>
              <w:jc w:val="right"/>
              <w:rPr>
                <w:rFonts w:ascii="Times New Roman" w:hAnsi="Times New Roman"/>
                <w:sz w:val="16"/>
                <w:szCs w:val="16"/>
              </w:rPr>
            </w:pPr>
          </w:p>
        </w:tc>
      </w:tr>
      <w:tr w:rsidR="00752811" w:rsidRPr="00082841" w14:paraId="60CDA566" w14:textId="77777777" w:rsidTr="00980FB5">
        <w:trPr>
          <w:trHeight w:val="204"/>
        </w:trPr>
        <w:tc>
          <w:tcPr>
            <w:tcW w:w="3686" w:type="dxa"/>
            <w:tcBorders>
              <w:top w:val="nil"/>
              <w:left w:val="nil"/>
              <w:bottom w:val="nil"/>
              <w:right w:val="nil"/>
            </w:tcBorders>
            <w:shd w:val="clear" w:color="auto" w:fill="auto"/>
            <w:noWrap/>
            <w:vAlign w:val="bottom"/>
            <w:hideMark/>
          </w:tcPr>
          <w:p w14:paraId="3760C171" w14:textId="77777777" w:rsidR="00752811" w:rsidRPr="00082841" w:rsidRDefault="00752811" w:rsidP="00333C84">
            <w:pPr>
              <w:spacing w:after="0" w:line="240" w:lineRule="auto"/>
              <w:ind w:left="113"/>
              <w:jc w:val="left"/>
              <w:rPr>
                <w:rFonts w:ascii="Arial" w:hAnsi="Arial" w:cs="Arial"/>
                <w:sz w:val="16"/>
                <w:szCs w:val="16"/>
              </w:rPr>
            </w:pPr>
            <w:r w:rsidRPr="00082841">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15E9E392"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c>
          <w:tcPr>
            <w:tcW w:w="830" w:type="dxa"/>
            <w:tcBorders>
              <w:top w:val="nil"/>
              <w:left w:val="nil"/>
              <w:bottom w:val="nil"/>
              <w:right w:val="nil"/>
            </w:tcBorders>
            <w:shd w:val="clear" w:color="auto" w:fill="auto"/>
            <w:noWrap/>
            <w:vAlign w:val="bottom"/>
            <w:hideMark/>
          </w:tcPr>
          <w:p w14:paraId="48CC1182"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57C88E47"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c>
          <w:tcPr>
            <w:tcW w:w="814" w:type="dxa"/>
            <w:tcBorders>
              <w:top w:val="nil"/>
              <w:left w:val="nil"/>
              <w:bottom w:val="nil"/>
              <w:right w:val="nil"/>
            </w:tcBorders>
            <w:shd w:val="clear" w:color="auto" w:fill="auto"/>
            <w:noWrap/>
            <w:vAlign w:val="bottom"/>
            <w:hideMark/>
          </w:tcPr>
          <w:p w14:paraId="440722C5"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r>
      <w:tr w:rsidR="00752811" w:rsidRPr="00082841" w14:paraId="1AF23A2A" w14:textId="77777777" w:rsidTr="00980FB5">
        <w:trPr>
          <w:trHeight w:val="204"/>
        </w:trPr>
        <w:tc>
          <w:tcPr>
            <w:tcW w:w="3686" w:type="dxa"/>
            <w:tcBorders>
              <w:top w:val="nil"/>
              <w:left w:val="nil"/>
              <w:bottom w:val="nil"/>
              <w:right w:val="nil"/>
            </w:tcBorders>
            <w:shd w:val="clear" w:color="auto" w:fill="auto"/>
            <w:vAlign w:val="bottom"/>
            <w:hideMark/>
          </w:tcPr>
          <w:p w14:paraId="4C4F1EFC" w14:textId="76CD183F" w:rsidR="00752811" w:rsidRPr="00082841" w:rsidRDefault="00752811" w:rsidP="00980FB5">
            <w:pPr>
              <w:spacing w:after="0" w:line="240" w:lineRule="auto"/>
              <w:jc w:val="left"/>
              <w:rPr>
                <w:rFonts w:ascii="Arial" w:hAnsi="Arial" w:cs="Arial"/>
                <w:b/>
                <w:bCs/>
                <w:color w:val="000000"/>
                <w:sz w:val="16"/>
                <w:szCs w:val="16"/>
              </w:rPr>
            </w:pPr>
            <w:r w:rsidRPr="00082841">
              <w:rPr>
                <w:rFonts w:ascii="Arial" w:hAnsi="Arial" w:cs="Arial"/>
                <w:b/>
                <w:bCs/>
                <w:color w:val="000000"/>
                <w:sz w:val="16"/>
                <w:szCs w:val="16"/>
              </w:rPr>
              <w:t>Estimated closing balance as at 30 June 2023</w:t>
            </w:r>
          </w:p>
        </w:tc>
        <w:tc>
          <w:tcPr>
            <w:tcW w:w="857" w:type="dxa"/>
            <w:tcBorders>
              <w:top w:val="single" w:sz="4" w:space="0" w:color="auto"/>
              <w:left w:val="nil"/>
              <w:bottom w:val="single" w:sz="4" w:space="0" w:color="auto"/>
              <w:right w:val="nil"/>
            </w:tcBorders>
            <w:shd w:val="clear" w:color="auto" w:fill="auto"/>
            <w:noWrap/>
            <w:vAlign w:val="bottom"/>
            <w:hideMark/>
          </w:tcPr>
          <w:p w14:paraId="126476BA"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4,245</w:t>
            </w:r>
          </w:p>
        </w:tc>
        <w:tc>
          <w:tcPr>
            <w:tcW w:w="830" w:type="dxa"/>
            <w:tcBorders>
              <w:top w:val="single" w:sz="4" w:space="0" w:color="auto"/>
              <w:left w:val="nil"/>
              <w:bottom w:val="single" w:sz="4" w:space="0" w:color="auto"/>
              <w:right w:val="nil"/>
            </w:tcBorders>
            <w:shd w:val="clear" w:color="auto" w:fill="auto"/>
            <w:noWrap/>
            <w:vAlign w:val="bottom"/>
            <w:hideMark/>
          </w:tcPr>
          <w:p w14:paraId="332B747E"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(5)</w:t>
            </w:r>
          </w:p>
        </w:tc>
        <w:tc>
          <w:tcPr>
            <w:tcW w:w="1044" w:type="dxa"/>
            <w:tcBorders>
              <w:top w:val="single" w:sz="4" w:space="0" w:color="auto"/>
              <w:left w:val="nil"/>
              <w:bottom w:val="single" w:sz="4" w:space="0" w:color="auto"/>
              <w:right w:val="nil"/>
            </w:tcBorders>
            <w:shd w:val="clear" w:color="auto" w:fill="auto"/>
            <w:noWrap/>
            <w:vAlign w:val="bottom"/>
            <w:hideMark/>
          </w:tcPr>
          <w:p w14:paraId="2520E516"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(1,263)</w:t>
            </w:r>
          </w:p>
        </w:tc>
        <w:tc>
          <w:tcPr>
            <w:tcW w:w="814" w:type="dxa"/>
            <w:tcBorders>
              <w:top w:val="single" w:sz="4" w:space="0" w:color="auto"/>
              <w:left w:val="nil"/>
              <w:bottom w:val="single" w:sz="4" w:space="0" w:color="auto"/>
              <w:right w:val="nil"/>
            </w:tcBorders>
            <w:shd w:val="clear" w:color="auto" w:fill="auto"/>
            <w:noWrap/>
            <w:vAlign w:val="bottom"/>
            <w:hideMark/>
          </w:tcPr>
          <w:p w14:paraId="7A013243"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2,977</w:t>
            </w:r>
          </w:p>
        </w:tc>
      </w:tr>
      <w:tr w:rsidR="00752811" w:rsidRPr="00082841" w14:paraId="4842EB37" w14:textId="77777777" w:rsidTr="00980FB5">
        <w:trPr>
          <w:trHeight w:val="204"/>
        </w:trPr>
        <w:tc>
          <w:tcPr>
            <w:tcW w:w="3686" w:type="dxa"/>
            <w:tcBorders>
              <w:top w:val="nil"/>
              <w:left w:val="nil"/>
              <w:bottom w:val="single" w:sz="4" w:space="0" w:color="000000"/>
              <w:right w:val="nil"/>
            </w:tcBorders>
            <w:shd w:val="clear" w:color="auto" w:fill="auto"/>
            <w:vAlign w:val="bottom"/>
            <w:hideMark/>
          </w:tcPr>
          <w:p w14:paraId="59AE209E" w14:textId="77777777" w:rsidR="00752811" w:rsidRPr="00082841" w:rsidRDefault="00752811" w:rsidP="00333C84">
            <w:pPr>
              <w:spacing w:after="0" w:line="240" w:lineRule="auto"/>
              <w:jc w:val="left"/>
              <w:rPr>
                <w:rFonts w:ascii="Arial" w:hAnsi="Arial" w:cs="Arial"/>
                <w:b/>
                <w:bCs/>
                <w:color w:val="000000"/>
                <w:sz w:val="16"/>
                <w:szCs w:val="16"/>
              </w:rPr>
            </w:pPr>
            <w:r w:rsidRPr="00082841">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0826328E"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4,245</w:t>
            </w:r>
          </w:p>
        </w:tc>
        <w:tc>
          <w:tcPr>
            <w:tcW w:w="830" w:type="dxa"/>
            <w:tcBorders>
              <w:top w:val="nil"/>
              <w:left w:val="nil"/>
              <w:bottom w:val="single" w:sz="4" w:space="0" w:color="auto"/>
              <w:right w:val="nil"/>
            </w:tcBorders>
            <w:shd w:val="clear" w:color="auto" w:fill="auto"/>
            <w:noWrap/>
            <w:vAlign w:val="bottom"/>
            <w:hideMark/>
          </w:tcPr>
          <w:p w14:paraId="3C6E2D4E"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(5)</w:t>
            </w:r>
          </w:p>
        </w:tc>
        <w:tc>
          <w:tcPr>
            <w:tcW w:w="1044" w:type="dxa"/>
            <w:tcBorders>
              <w:top w:val="nil"/>
              <w:left w:val="nil"/>
              <w:bottom w:val="single" w:sz="4" w:space="0" w:color="auto"/>
              <w:right w:val="nil"/>
            </w:tcBorders>
            <w:shd w:val="clear" w:color="auto" w:fill="auto"/>
            <w:noWrap/>
            <w:vAlign w:val="bottom"/>
            <w:hideMark/>
          </w:tcPr>
          <w:p w14:paraId="69CCDA42"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(1,263)</w:t>
            </w:r>
          </w:p>
        </w:tc>
        <w:tc>
          <w:tcPr>
            <w:tcW w:w="814" w:type="dxa"/>
            <w:tcBorders>
              <w:top w:val="nil"/>
              <w:left w:val="nil"/>
              <w:bottom w:val="single" w:sz="4" w:space="0" w:color="auto"/>
              <w:right w:val="nil"/>
            </w:tcBorders>
            <w:shd w:val="clear" w:color="auto" w:fill="auto"/>
            <w:noWrap/>
            <w:vAlign w:val="bottom"/>
            <w:hideMark/>
          </w:tcPr>
          <w:p w14:paraId="72DDF668"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2,977</w:t>
            </w:r>
          </w:p>
        </w:tc>
      </w:tr>
    </w:tbl>
    <w:p w14:paraId="4A468B80" w14:textId="77777777" w:rsidR="00752811" w:rsidRDefault="00752811" w:rsidP="00752811">
      <w:pPr>
        <w:pStyle w:val="TableHeadingcontinued"/>
        <w:spacing w:before="60"/>
        <w:rPr>
          <w:rFonts w:ascii="Arial" w:hAnsi="Arial"/>
          <w:b w:val="0"/>
          <w:color w:val="000000"/>
          <w:lang w:val="x-none" w:eastAsia="x-none"/>
        </w:rPr>
      </w:pPr>
      <w:r w:rsidRPr="0016574C">
        <w:rPr>
          <w:rFonts w:ascii="Arial" w:hAnsi="Arial" w:cs="Arial"/>
          <w:b w:val="0"/>
          <w:color w:val="000000"/>
          <w:sz w:val="16"/>
          <w:szCs w:val="16"/>
        </w:rPr>
        <w:t>Prepared on Australian Accounting Standards basis.</w:t>
      </w:r>
    </w:p>
    <w:p w14:paraId="0F628445" w14:textId="77777777" w:rsidR="00752811" w:rsidRDefault="00752811" w:rsidP="00752811">
      <w:pPr>
        <w:spacing w:after="0" w:line="240" w:lineRule="auto"/>
        <w:jc w:val="left"/>
        <w:rPr>
          <w:rFonts w:ascii="Arial" w:hAnsi="Arial"/>
          <w:color w:val="000000"/>
          <w:lang w:val="x-none" w:eastAsia="x-none"/>
        </w:rPr>
      </w:pPr>
      <w:r>
        <w:rPr>
          <w:rFonts w:ascii="Arial" w:hAnsi="Arial"/>
          <w:b/>
          <w:color w:val="000000"/>
          <w:lang w:val="x-none" w:eastAsia="x-none"/>
        </w:rPr>
        <w:br w:type="page"/>
      </w:r>
    </w:p>
    <w:p w14:paraId="51790B94" w14:textId="16BA3A99" w:rsidR="00752811" w:rsidRDefault="00752811" w:rsidP="00752811">
      <w:pPr>
        <w:pStyle w:val="TableHeadingcontinued"/>
        <w:spacing w:before="60"/>
      </w:pPr>
      <w:r w:rsidRPr="00A5206A">
        <w:lastRenderedPageBreak/>
        <w:t xml:space="preserve">Table 3.4: Budgeted </w:t>
      </w:r>
      <w:r w:rsidR="003C4CC6">
        <w:t>Department</w:t>
      </w:r>
      <w:r w:rsidRPr="00A5206A">
        <w:t>al statement of cash flows (for the period ended 30 June)</w:t>
      </w:r>
    </w:p>
    <w:tbl>
      <w:tblPr>
        <w:tblW w:w="0" w:type="auto"/>
        <w:tblLayout w:type="fixed"/>
        <w:tblLook w:val="04A0" w:firstRow="1" w:lastRow="0" w:firstColumn="1" w:lastColumn="0" w:noHBand="0" w:noVBand="1"/>
      </w:tblPr>
      <w:tblGrid>
        <w:gridCol w:w="3119"/>
        <w:gridCol w:w="928"/>
        <w:gridCol w:w="876"/>
        <w:gridCol w:w="877"/>
        <w:gridCol w:w="877"/>
        <w:gridCol w:w="877"/>
      </w:tblGrid>
      <w:tr w:rsidR="00752811" w:rsidRPr="00FA64FF" w14:paraId="7006D498" w14:textId="77777777" w:rsidTr="00333C84">
        <w:trPr>
          <w:trHeight w:val="204"/>
        </w:trPr>
        <w:tc>
          <w:tcPr>
            <w:tcW w:w="3119" w:type="dxa"/>
            <w:tcBorders>
              <w:top w:val="single" w:sz="4" w:space="0" w:color="auto"/>
              <w:left w:val="nil"/>
              <w:bottom w:val="nil"/>
              <w:right w:val="nil"/>
            </w:tcBorders>
            <w:shd w:val="clear" w:color="auto" w:fill="auto"/>
            <w:noWrap/>
            <w:vAlign w:val="bottom"/>
            <w:hideMark/>
          </w:tcPr>
          <w:p w14:paraId="2BBE15AB" w14:textId="77777777" w:rsidR="00752811" w:rsidRPr="00FA64FF" w:rsidRDefault="00752811" w:rsidP="00333C84">
            <w:pPr>
              <w:spacing w:after="0" w:line="240" w:lineRule="auto"/>
              <w:jc w:val="left"/>
              <w:rPr>
                <w:rFonts w:ascii="Arial" w:hAnsi="Arial" w:cs="Arial"/>
                <w:b/>
                <w:bCs/>
                <w:sz w:val="16"/>
                <w:szCs w:val="16"/>
              </w:rPr>
            </w:pPr>
            <w:r w:rsidRPr="00FA64F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3651FFFD" w14:textId="77777777" w:rsidR="00752811" w:rsidRPr="00FA64FF" w:rsidRDefault="00752811" w:rsidP="00333C84">
            <w:pPr>
              <w:spacing w:after="0" w:line="240" w:lineRule="auto"/>
              <w:jc w:val="right"/>
              <w:rPr>
                <w:rFonts w:ascii="Arial" w:hAnsi="Arial" w:cs="Arial"/>
                <w:sz w:val="16"/>
                <w:szCs w:val="16"/>
              </w:rPr>
            </w:pPr>
            <w:r w:rsidRPr="00FA64FF">
              <w:rPr>
                <w:rFonts w:ascii="Arial" w:hAnsi="Arial" w:cs="Arial"/>
                <w:sz w:val="16"/>
                <w:szCs w:val="16"/>
              </w:rPr>
              <w:t>2021-22 Estimated actual</w:t>
            </w:r>
            <w:r w:rsidRPr="00FA64FF">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02D64F9A" w14:textId="77777777" w:rsidR="00752811" w:rsidRPr="00FA64FF" w:rsidRDefault="00752811" w:rsidP="00333C84">
            <w:pPr>
              <w:spacing w:after="0" w:line="240" w:lineRule="auto"/>
              <w:jc w:val="right"/>
              <w:rPr>
                <w:rFonts w:ascii="Arial" w:hAnsi="Arial" w:cs="Arial"/>
                <w:sz w:val="16"/>
                <w:szCs w:val="16"/>
              </w:rPr>
            </w:pPr>
            <w:r w:rsidRPr="00FA64FF">
              <w:rPr>
                <w:rFonts w:ascii="Arial" w:hAnsi="Arial" w:cs="Arial"/>
                <w:sz w:val="16"/>
                <w:szCs w:val="16"/>
              </w:rPr>
              <w:t>2022-23</w:t>
            </w:r>
            <w:r w:rsidRPr="00FA64FF">
              <w:rPr>
                <w:rFonts w:ascii="Arial" w:hAnsi="Arial" w:cs="Arial"/>
                <w:sz w:val="16"/>
                <w:szCs w:val="16"/>
              </w:rPr>
              <w:br/>
              <w:t>Budget</w:t>
            </w:r>
            <w:r w:rsidRPr="00FA64FF">
              <w:rPr>
                <w:rFonts w:ascii="Arial" w:hAnsi="Arial" w:cs="Arial"/>
                <w:sz w:val="16"/>
                <w:szCs w:val="16"/>
              </w:rPr>
              <w:br/>
            </w:r>
            <w:r w:rsidRPr="00FA64F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72B86D61" w14:textId="77777777" w:rsidR="00752811" w:rsidRPr="00FA64FF" w:rsidRDefault="00752811" w:rsidP="00333C84">
            <w:pPr>
              <w:spacing w:after="0" w:line="240" w:lineRule="auto"/>
              <w:jc w:val="right"/>
              <w:rPr>
                <w:rFonts w:ascii="Arial" w:hAnsi="Arial" w:cs="Arial"/>
                <w:sz w:val="16"/>
                <w:szCs w:val="16"/>
              </w:rPr>
            </w:pPr>
            <w:r w:rsidRPr="00FA64FF">
              <w:rPr>
                <w:rFonts w:ascii="Arial" w:hAnsi="Arial" w:cs="Arial"/>
                <w:sz w:val="16"/>
                <w:szCs w:val="16"/>
              </w:rPr>
              <w:t>2023-24 Forward estimate</w:t>
            </w:r>
            <w:r w:rsidRPr="00FA64F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849296A" w14:textId="77777777" w:rsidR="00752811" w:rsidRPr="00FA64FF" w:rsidRDefault="00752811" w:rsidP="00333C84">
            <w:pPr>
              <w:spacing w:after="0" w:line="240" w:lineRule="auto"/>
              <w:jc w:val="right"/>
              <w:rPr>
                <w:rFonts w:ascii="Arial" w:hAnsi="Arial" w:cs="Arial"/>
                <w:sz w:val="16"/>
                <w:szCs w:val="16"/>
              </w:rPr>
            </w:pPr>
            <w:r w:rsidRPr="00FA64FF">
              <w:rPr>
                <w:rFonts w:ascii="Arial" w:hAnsi="Arial" w:cs="Arial"/>
                <w:sz w:val="16"/>
                <w:szCs w:val="16"/>
              </w:rPr>
              <w:t>2024-25 Forward estimate</w:t>
            </w:r>
            <w:r w:rsidRPr="00FA64F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19C685C7" w14:textId="77777777" w:rsidR="00752811" w:rsidRPr="00FA64FF" w:rsidRDefault="00752811" w:rsidP="00333C84">
            <w:pPr>
              <w:spacing w:after="0" w:line="240" w:lineRule="auto"/>
              <w:jc w:val="right"/>
              <w:rPr>
                <w:rFonts w:ascii="Arial" w:hAnsi="Arial" w:cs="Arial"/>
                <w:sz w:val="16"/>
                <w:szCs w:val="16"/>
              </w:rPr>
            </w:pPr>
            <w:r w:rsidRPr="00FA64FF">
              <w:rPr>
                <w:rFonts w:ascii="Arial" w:hAnsi="Arial" w:cs="Arial"/>
                <w:sz w:val="16"/>
                <w:szCs w:val="16"/>
              </w:rPr>
              <w:t>2025-26</w:t>
            </w:r>
            <w:r w:rsidRPr="00FA64FF">
              <w:rPr>
                <w:rFonts w:ascii="Arial" w:hAnsi="Arial" w:cs="Arial"/>
                <w:sz w:val="16"/>
                <w:szCs w:val="16"/>
              </w:rPr>
              <w:br/>
              <w:t>Forward estimate</w:t>
            </w:r>
            <w:r w:rsidRPr="00FA64FF">
              <w:rPr>
                <w:rFonts w:ascii="Arial" w:hAnsi="Arial" w:cs="Arial"/>
                <w:sz w:val="16"/>
                <w:szCs w:val="16"/>
              </w:rPr>
              <w:br/>
              <w:t>$'000</w:t>
            </w:r>
          </w:p>
        </w:tc>
      </w:tr>
      <w:tr w:rsidR="00752811" w:rsidRPr="00FA64FF" w14:paraId="5DE642B3" w14:textId="77777777" w:rsidTr="00333C84">
        <w:trPr>
          <w:trHeight w:val="204"/>
        </w:trPr>
        <w:tc>
          <w:tcPr>
            <w:tcW w:w="3119" w:type="dxa"/>
            <w:tcBorders>
              <w:top w:val="nil"/>
              <w:left w:val="nil"/>
              <w:bottom w:val="nil"/>
              <w:right w:val="nil"/>
            </w:tcBorders>
            <w:shd w:val="clear" w:color="auto" w:fill="auto"/>
            <w:noWrap/>
            <w:vAlign w:val="bottom"/>
            <w:hideMark/>
          </w:tcPr>
          <w:p w14:paraId="5116B8FD"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6FC39FCB" w14:textId="77777777" w:rsidR="00752811" w:rsidRPr="00FA64FF"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ED61F70"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780ECB8"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806314C" w14:textId="77777777" w:rsidR="00752811" w:rsidRPr="0016574C"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509E245F" w14:textId="77777777" w:rsidR="00752811" w:rsidRPr="0016574C" w:rsidRDefault="00752811" w:rsidP="00333C84">
            <w:pPr>
              <w:spacing w:after="0" w:line="240" w:lineRule="auto"/>
              <w:jc w:val="right"/>
              <w:rPr>
                <w:rFonts w:ascii="Times New Roman" w:hAnsi="Times New Roman"/>
                <w:sz w:val="16"/>
                <w:szCs w:val="16"/>
              </w:rPr>
            </w:pPr>
          </w:p>
        </w:tc>
      </w:tr>
      <w:tr w:rsidR="00752811" w:rsidRPr="00FA64FF" w14:paraId="76C9F4CB" w14:textId="77777777" w:rsidTr="00333C84">
        <w:trPr>
          <w:trHeight w:val="204"/>
        </w:trPr>
        <w:tc>
          <w:tcPr>
            <w:tcW w:w="3119" w:type="dxa"/>
            <w:tcBorders>
              <w:top w:val="nil"/>
              <w:left w:val="nil"/>
              <w:bottom w:val="nil"/>
              <w:right w:val="nil"/>
            </w:tcBorders>
            <w:shd w:val="clear" w:color="auto" w:fill="auto"/>
            <w:noWrap/>
            <w:vAlign w:val="bottom"/>
            <w:hideMark/>
          </w:tcPr>
          <w:p w14:paraId="6599C656"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575AAE01" w14:textId="77777777" w:rsidR="00752811" w:rsidRPr="00FA64FF"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CD23142"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6B88319"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F8A32EB" w14:textId="77777777" w:rsidR="00752811" w:rsidRPr="0016574C"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53D03D3B" w14:textId="77777777" w:rsidR="00752811" w:rsidRPr="0016574C" w:rsidRDefault="00752811" w:rsidP="00333C84">
            <w:pPr>
              <w:spacing w:after="0" w:line="240" w:lineRule="auto"/>
              <w:jc w:val="right"/>
              <w:rPr>
                <w:rFonts w:ascii="Times New Roman" w:hAnsi="Times New Roman"/>
                <w:sz w:val="16"/>
                <w:szCs w:val="16"/>
              </w:rPr>
            </w:pPr>
          </w:p>
        </w:tc>
      </w:tr>
      <w:tr w:rsidR="00752811" w:rsidRPr="00FA64FF" w14:paraId="0787CDEE" w14:textId="77777777" w:rsidTr="00333C84">
        <w:trPr>
          <w:trHeight w:val="204"/>
        </w:trPr>
        <w:tc>
          <w:tcPr>
            <w:tcW w:w="3119" w:type="dxa"/>
            <w:tcBorders>
              <w:top w:val="nil"/>
              <w:left w:val="nil"/>
              <w:bottom w:val="nil"/>
              <w:right w:val="nil"/>
            </w:tcBorders>
            <w:shd w:val="clear" w:color="auto" w:fill="auto"/>
            <w:noWrap/>
            <w:vAlign w:val="bottom"/>
            <w:hideMark/>
          </w:tcPr>
          <w:p w14:paraId="3CC11352"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Appropriations</w:t>
            </w:r>
          </w:p>
        </w:tc>
        <w:tc>
          <w:tcPr>
            <w:tcW w:w="928" w:type="dxa"/>
            <w:tcBorders>
              <w:top w:val="nil"/>
              <w:left w:val="nil"/>
              <w:bottom w:val="nil"/>
              <w:right w:val="nil"/>
            </w:tcBorders>
            <w:shd w:val="clear" w:color="auto" w:fill="auto"/>
            <w:noWrap/>
            <w:vAlign w:val="bottom"/>
            <w:hideMark/>
          </w:tcPr>
          <w:p w14:paraId="560F0921"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12,853</w:t>
            </w:r>
          </w:p>
        </w:tc>
        <w:tc>
          <w:tcPr>
            <w:tcW w:w="876" w:type="dxa"/>
            <w:tcBorders>
              <w:top w:val="nil"/>
              <w:left w:val="nil"/>
              <w:bottom w:val="nil"/>
              <w:right w:val="nil"/>
            </w:tcBorders>
            <w:shd w:val="clear" w:color="000000" w:fill="E6E6E6"/>
            <w:noWrap/>
            <w:vAlign w:val="bottom"/>
            <w:hideMark/>
          </w:tcPr>
          <w:p w14:paraId="19DE16C0"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12,733</w:t>
            </w:r>
          </w:p>
        </w:tc>
        <w:tc>
          <w:tcPr>
            <w:tcW w:w="877" w:type="dxa"/>
            <w:tcBorders>
              <w:top w:val="nil"/>
              <w:left w:val="nil"/>
              <w:bottom w:val="nil"/>
              <w:right w:val="nil"/>
            </w:tcBorders>
            <w:shd w:val="clear" w:color="auto" w:fill="auto"/>
            <w:noWrap/>
            <w:vAlign w:val="bottom"/>
            <w:hideMark/>
          </w:tcPr>
          <w:p w14:paraId="781B7C78"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12,804</w:t>
            </w:r>
          </w:p>
        </w:tc>
        <w:tc>
          <w:tcPr>
            <w:tcW w:w="877" w:type="dxa"/>
            <w:tcBorders>
              <w:top w:val="nil"/>
              <w:left w:val="nil"/>
              <w:bottom w:val="nil"/>
              <w:right w:val="nil"/>
            </w:tcBorders>
            <w:shd w:val="clear" w:color="auto" w:fill="auto"/>
            <w:noWrap/>
            <w:vAlign w:val="bottom"/>
            <w:hideMark/>
          </w:tcPr>
          <w:p w14:paraId="5182F4B0"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12,900</w:t>
            </w:r>
          </w:p>
        </w:tc>
        <w:tc>
          <w:tcPr>
            <w:tcW w:w="877" w:type="dxa"/>
            <w:tcBorders>
              <w:top w:val="nil"/>
              <w:left w:val="nil"/>
              <w:bottom w:val="nil"/>
              <w:right w:val="nil"/>
            </w:tcBorders>
            <w:shd w:val="clear" w:color="auto" w:fill="auto"/>
            <w:noWrap/>
            <w:vAlign w:val="bottom"/>
            <w:hideMark/>
          </w:tcPr>
          <w:p w14:paraId="27F1EFC3"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12,981</w:t>
            </w:r>
          </w:p>
        </w:tc>
      </w:tr>
      <w:tr w:rsidR="00752811" w:rsidRPr="00FA64FF" w14:paraId="2A8D960F" w14:textId="77777777" w:rsidTr="00333C84">
        <w:trPr>
          <w:trHeight w:val="204"/>
        </w:trPr>
        <w:tc>
          <w:tcPr>
            <w:tcW w:w="3119" w:type="dxa"/>
            <w:tcBorders>
              <w:top w:val="nil"/>
              <w:left w:val="nil"/>
              <w:bottom w:val="nil"/>
              <w:right w:val="nil"/>
            </w:tcBorders>
            <w:shd w:val="clear" w:color="auto" w:fill="auto"/>
            <w:noWrap/>
            <w:vAlign w:val="bottom"/>
            <w:hideMark/>
          </w:tcPr>
          <w:p w14:paraId="7FF3DEE0"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49BA3927"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8</w:t>
            </w:r>
          </w:p>
        </w:tc>
        <w:tc>
          <w:tcPr>
            <w:tcW w:w="876" w:type="dxa"/>
            <w:tcBorders>
              <w:top w:val="nil"/>
              <w:left w:val="nil"/>
              <w:bottom w:val="nil"/>
              <w:right w:val="nil"/>
            </w:tcBorders>
            <w:shd w:val="clear" w:color="000000" w:fill="E6E6E6"/>
            <w:noWrap/>
            <w:vAlign w:val="bottom"/>
            <w:hideMark/>
          </w:tcPr>
          <w:p w14:paraId="082F57BA"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15</w:t>
            </w:r>
          </w:p>
        </w:tc>
        <w:tc>
          <w:tcPr>
            <w:tcW w:w="877" w:type="dxa"/>
            <w:tcBorders>
              <w:top w:val="nil"/>
              <w:left w:val="nil"/>
              <w:bottom w:val="nil"/>
              <w:right w:val="nil"/>
            </w:tcBorders>
            <w:shd w:val="clear" w:color="auto" w:fill="auto"/>
            <w:noWrap/>
            <w:vAlign w:val="bottom"/>
            <w:hideMark/>
          </w:tcPr>
          <w:p w14:paraId="1B4523C9"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15</w:t>
            </w:r>
          </w:p>
        </w:tc>
        <w:tc>
          <w:tcPr>
            <w:tcW w:w="877" w:type="dxa"/>
            <w:tcBorders>
              <w:top w:val="nil"/>
              <w:left w:val="nil"/>
              <w:bottom w:val="nil"/>
              <w:right w:val="nil"/>
            </w:tcBorders>
            <w:shd w:val="clear" w:color="auto" w:fill="auto"/>
            <w:noWrap/>
            <w:vAlign w:val="bottom"/>
            <w:hideMark/>
          </w:tcPr>
          <w:p w14:paraId="467A85C0"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15</w:t>
            </w:r>
          </w:p>
        </w:tc>
        <w:tc>
          <w:tcPr>
            <w:tcW w:w="877" w:type="dxa"/>
            <w:tcBorders>
              <w:top w:val="nil"/>
              <w:left w:val="nil"/>
              <w:bottom w:val="nil"/>
              <w:right w:val="nil"/>
            </w:tcBorders>
            <w:shd w:val="clear" w:color="auto" w:fill="auto"/>
            <w:noWrap/>
            <w:vAlign w:val="bottom"/>
            <w:hideMark/>
          </w:tcPr>
          <w:p w14:paraId="6569E546"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15</w:t>
            </w:r>
          </w:p>
        </w:tc>
      </w:tr>
      <w:tr w:rsidR="00752811" w:rsidRPr="00FA64FF" w14:paraId="275DEFEB" w14:textId="77777777" w:rsidTr="00333C84">
        <w:trPr>
          <w:trHeight w:val="204"/>
        </w:trPr>
        <w:tc>
          <w:tcPr>
            <w:tcW w:w="3119" w:type="dxa"/>
            <w:tcBorders>
              <w:top w:val="nil"/>
              <w:left w:val="nil"/>
              <w:bottom w:val="nil"/>
              <w:right w:val="nil"/>
            </w:tcBorders>
            <w:shd w:val="clear" w:color="auto" w:fill="auto"/>
            <w:noWrap/>
            <w:vAlign w:val="bottom"/>
            <w:hideMark/>
          </w:tcPr>
          <w:p w14:paraId="14C278F2"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 xml:space="preserve">Other </w:t>
            </w:r>
          </w:p>
        </w:tc>
        <w:tc>
          <w:tcPr>
            <w:tcW w:w="928" w:type="dxa"/>
            <w:tcBorders>
              <w:top w:val="nil"/>
              <w:left w:val="nil"/>
              <w:bottom w:val="nil"/>
              <w:right w:val="nil"/>
            </w:tcBorders>
            <w:shd w:val="clear" w:color="auto" w:fill="auto"/>
            <w:noWrap/>
            <w:vAlign w:val="bottom"/>
            <w:hideMark/>
          </w:tcPr>
          <w:p w14:paraId="03A697F0"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63</w:t>
            </w:r>
          </w:p>
        </w:tc>
        <w:tc>
          <w:tcPr>
            <w:tcW w:w="876" w:type="dxa"/>
            <w:tcBorders>
              <w:top w:val="nil"/>
              <w:left w:val="nil"/>
              <w:bottom w:val="nil"/>
              <w:right w:val="nil"/>
            </w:tcBorders>
            <w:shd w:val="clear" w:color="000000" w:fill="E6E6E6"/>
            <w:noWrap/>
            <w:vAlign w:val="bottom"/>
            <w:hideMark/>
          </w:tcPr>
          <w:p w14:paraId="291F7242"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8</w:t>
            </w:r>
          </w:p>
        </w:tc>
        <w:tc>
          <w:tcPr>
            <w:tcW w:w="877" w:type="dxa"/>
            <w:tcBorders>
              <w:top w:val="nil"/>
              <w:left w:val="nil"/>
              <w:bottom w:val="nil"/>
              <w:right w:val="nil"/>
            </w:tcBorders>
            <w:shd w:val="clear" w:color="auto" w:fill="auto"/>
            <w:noWrap/>
            <w:vAlign w:val="bottom"/>
            <w:hideMark/>
          </w:tcPr>
          <w:p w14:paraId="366F1DED"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w:t>
            </w:r>
          </w:p>
        </w:tc>
        <w:tc>
          <w:tcPr>
            <w:tcW w:w="877" w:type="dxa"/>
            <w:tcBorders>
              <w:top w:val="nil"/>
              <w:left w:val="nil"/>
              <w:bottom w:val="nil"/>
              <w:right w:val="nil"/>
            </w:tcBorders>
            <w:shd w:val="clear" w:color="auto" w:fill="auto"/>
            <w:noWrap/>
            <w:vAlign w:val="bottom"/>
            <w:hideMark/>
          </w:tcPr>
          <w:p w14:paraId="5FDBDFAB"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11208368"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r>
      <w:tr w:rsidR="00752811" w:rsidRPr="00FA64FF" w14:paraId="07A41DC1" w14:textId="77777777" w:rsidTr="00333C84">
        <w:trPr>
          <w:trHeight w:val="204"/>
        </w:trPr>
        <w:tc>
          <w:tcPr>
            <w:tcW w:w="3119" w:type="dxa"/>
            <w:tcBorders>
              <w:top w:val="nil"/>
              <w:left w:val="nil"/>
              <w:bottom w:val="nil"/>
              <w:right w:val="nil"/>
            </w:tcBorders>
            <w:shd w:val="clear" w:color="auto" w:fill="auto"/>
            <w:noWrap/>
            <w:vAlign w:val="bottom"/>
            <w:hideMark/>
          </w:tcPr>
          <w:p w14:paraId="59C9DA9E" w14:textId="77777777" w:rsidR="00752811" w:rsidRPr="00FA64FF" w:rsidRDefault="00752811" w:rsidP="00333C84">
            <w:pPr>
              <w:spacing w:after="0" w:line="240" w:lineRule="auto"/>
              <w:jc w:val="left"/>
              <w:rPr>
                <w:rFonts w:ascii="Arial" w:hAnsi="Arial" w:cs="Arial"/>
                <w:b/>
                <w:bCs/>
                <w:i/>
                <w:iCs/>
                <w:color w:val="000000"/>
                <w:sz w:val="16"/>
                <w:szCs w:val="16"/>
              </w:rPr>
            </w:pPr>
            <w:r w:rsidRPr="00FA64FF">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2FD4CDD8"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12,924</w:t>
            </w:r>
          </w:p>
        </w:tc>
        <w:tc>
          <w:tcPr>
            <w:tcW w:w="876" w:type="dxa"/>
            <w:tcBorders>
              <w:top w:val="single" w:sz="4" w:space="0" w:color="000000"/>
              <w:left w:val="nil"/>
              <w:bottom w:val="single" w:sz="4" w:space="0" w:color="000000"/>
              <w:right w:val="nil"/>
            </w:tcBorders>
            <w:shd w:val="clear" w:color="000000" w:fill="E6E6E6"/>
            <w:noWrap/>
            <w:vAlign w:val="bottom"/>
            <w:hideMark/>
          </w:tcPr>
          <w:p w14:paraId="11E9A745"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12,756</w:t>
            </w:r>
          </w:p>
        </w:tc>
        <w:tc>
          <w:tcPr>
            <w:tcW w:w="877" w:type="dxa"/>
            <w:tcBorders>
              <w:top w:val="single" w:sz="4" w:space="0" w:color="000000"/>
              <w:left w:val="nil"/>
              <w:bottom w:val="single" w:sz="4" w:space="0" w:color="000000"/>
              <w:right w:val="nil"/>
            </w:tcBorders>
            <w:shd w:val="clear" w:color="auto" w:fill="auto"/>
            <w:noWrap/>
            <w:vAlign w:val="bottom"/>
            <w:hideMark/>
          </w:tcPr>
          <w:p w14:paraId="4BC2C6B3"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12,820</w:t>
            </w:r>
          </w:p>
        </w:tc>
        <w:tc>
          <w:tcPr>
            <w:tcW w:w="877" w:type="dxa"/>
            <w:tcBorders>
              <w:top w:val="single" w:sz="4" w:space="0" w:color="000000"/>
              <w:left w:val="nil"/>
              <w:bottom w:val="single" w:sz="4" w:space="0" w:color="000000"/>
              <w:right w:val="nil"/>
            </w:tcBorders>
            <w:shd w:val="clear" w:color="auto" w:fill="auto"/>
            <w:noWrap/>
            <w:vAlign w:val="bottom"/>
            <w:hideMark/>
          </w:tcPr>
          <w:p w14:paraId="0A4DA98E"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12,915</w:t>
            </w:r>
          </w:p>
        </w:tc>
        <w:tc>
          <w:tcPr>
            <w:tcW w:w="877" w:type="dxa"/>
            <w:tcBorders>
              <w:top w:val="single" w:sz="4" w:space="0" w:color="000000"/>
              <w:left w:val="nil"/>
              <w:bottom w:val="single" w:sz="4" w:space="0" w:color="000000"/>
              <w:right w:val="nil"/>
            </w:tcBorders>
            <w:shd w:val="clear" w:color="auto" w:fill="auto"/>
            <w:noWrap/>
            <w:vAlign w:val="bottom"/>
            <w:hideMark/>
          </w:tcPr>
          <w:p w14:paraId="606E6EF9"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12,996</w:t>
            </w:r>
          </w:p>
        </w:tc>
      </w:tr>
      <w:tr w:rsidR="00752811" w:rsidRPr="00FA64FF" w14:paraId="6F285A8C" w14:textId="77777777" w:rsidTr="00333C84">
        <w:trPr>
          <w:trHeight w:val="204"/>
        </w:trPr>
        <w:tc>
          <w:tcPr>
            <w:tcW w:w="3119" w:type="dxa"/>
            <w:tcBorders>
              <w:top w:val="nil"/>
              <w:left w:val="nil"/>
              <w:bottom w:val="nil"/>
              <w:right w:val="nil"/>
            </w:tcBorders>
            <w:shd w:val="clear" w:color="auto" w:fill="auto"/>
            <w:noWrap/>
            <w:vAlign w:val="bottom"/>
            <w:hideMark/>
          </w:tcPr>
          <w:p w14:paraId="3E1619AE"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70E3F443" w14:textId="77777777" w:rsidR="00752811" w:rsidRPr="00FA64FF"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41E9630"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474A659"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A1E885D" w14:textId="77777777" w:rsidR="00752811" w:rsidRPr="0016574C"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0621E12" w14:textId="77777777" w:rsidR="00752811" w:rsidRPr="0016574C" w:rsidRDefault="00752811" w:rsidP="00333C84">
            <w:pPr>
              <w:spacing w:after="0" w:line="240" w:lineRule="auto"/>
              <w:jc w:val="right"/>
              <w:rPr>
                <w:rFonts w:ascii="Times New Roman" w:hAnsi="Times New Roman"/>
                <w:sz w:val="16"/>
                <w:szCs w:val="16"/>
              </w:rPr>
            </w:pPr>
          </w:p>
        </w:tc>
      </w:tr>
      <w:tr w:rsidR="00752811" w:rsidRPr="00FA64FF" w14:paraId="7638680D" w14:textId="77777777" w:rsidTr="00333C84">
        <w:trPr>
          <w:trHeight w:val="204"/>
        </w:trPr>
        <w:tc>
          <w:tcPr>
            <w:tcW w:w="3119" w:type="dxa"/>
            <w:tcBorders>
              <w:top w:val="nil"/>
              <w:left w:val="nil"/>
              <w:bottom w:val="nil"/>
              <w:right w:val="nil"/>
            </w:tcBorders>
            <w:shd w:val="clear" w:color="auto" w:fill="auto"/>
            <w:noWrap/>
            <w:vAlign w:val="bottom"/>
            <w:hideMark/>
          </w:tcPr>
          <w:p w14:paraId="7A26AE08"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Employees</w:t>
            </w:r>
          </w:p>
        </w:tc>
        <w:tc>
          <w:tcPr>
            <w:tcW w:w="928" w:type="dxa"/>
            <w:tcBorders>
              <w:top w:val="nil"/>
              <w:left w:val="nil"/>
              <w:bottom w:val="nil"/>
              <w:right w:val="nil"/>
            </w:tcBorders>
            <w:shd w:val="clear" w:color="auto" w:fill="auto"/>
            <w:noWrap/>
            <w:vAlign w:val="bottom"/>
            <w:hideMark/>
          </w:tcPr>
          <w:p w14:paraId="38EF6ECE"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7,708</w:t>
            </w:r>
          </w:p>
        </w:tc>
        <w:tc>
          <w:tcPr>
            <w:tcW w:w="876" w:type="dxa"/>
            <w:tcBorders>
              <w:top w:val="nil"/>
              <w:left w:val="nil"/>
              <w:bottom w:val="nil"/>
              <w:right w:val="nil"/>
            </w:tcBorders>
            <w:shd w:val="clear" w:color="000000" w:fill="E6E6E6"/>
            <w:noWrap/>
            <w:vAlign w:val="bottom"/>
            <w:hideMark/>
          </w:tcPr>
          <w:p w14:paraId="547A9F17"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6,732</w:t>
            </w:r>
          </w:p>
        </w:tc>
        <w:tc>
          <w:tcPr>
            <w:tcW w:w="877" w:type="dxa"/>
            <w:tcBorders>
              <w:top w:val="nil"/>
              <w:left w:val="nil"/>
              <w:bottom w:val="nil"/>
              <w:right w:val="nil"/>
            </w:tcBorders>
            <w:shd w:val="clear" w:color="auto" w:fill="auto"/>
            <w:noWrap/>
            <w:vAlign w:val="bottom"/>
            <w:hideMark/>
          </w:tcPr>
          <w:p w14:paraId="7F360F6A"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7,045</w:t>
            </w:r>
          </w:p>
        </w:tc>
        <w:tc>
          <w:tcPr>
            <w:tcW w:w="877" w:type="dxa"/>
            <w:tcBorders>
              <w:top w:val="nil"/>
              <w:left w:val="nil"/>
              <w:bottom w:val="nil"/>
              <w:right w:val="nil"/>
            </w:tcBorders>
            <w:shd w:val="clear" w:color="auto" w:fill="auto"/>
            <w:noWrap/>
            <w:vAlign w:val="bottom"/>
            <w:hideMark/>
          </w:tcPr>
          <w:p w14:paraId="57FA6272"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7,215</w:t>
            </w:r>
          </w:p>
        </w:tc>
        <w:tc>
          <w:tcPr>
            <w:tcW w:w="877" w:type="dxa"/>
            <w:tcBorders>
              <w:top w:val="nil"/>
              <w:left w:val="nil"/>
              <w:bottom w:val="nil"/>
              <w:right w:val="nil"/>
            </w:tcBorders>
            <w:shd w:val="clear" w:color="auto" w:fill="auto"/>
            <w:noWrap/>
            <w:vAlign w:val="bottom"/>
            <w:hideMark/>
          </w:tcPr>
          <w:p w14:paraId="3B9FA2E1"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7,386</w:t>
            </w:r>
          </w:p>
        </w:tc>
      </w:tr>
      <w:tr w:rsidR="00752811" w:rsidRPr="00FA64FF" w14:paraId="7AEA076F" w14:textId="77777777" w:rsidTr="00333C84">
        <w:trPr>
          <w:trHeight w:val="204"/>
        </w:trPr>
        <w:tc>
          <w:tcPr>
            <w:tcW w:w="3119" w:type="dxa"/>
            <w:tcBorders>
              <w:top w:val="nil"/>
              <w:left w:val="nil"/>
              <w:bottom w:val="nil"/>
              <w:right w:val="nil"/>
            </w:tcBorders>
            <w:shd w:val="clear" w:color="auto" w:fill="auto"/>
            <w:noWrap/>
            <w:vAlign w:val="bottom"/>
            <w:hideMark/>
          </w:tcPr>
          <w:p w14:paraId="6CFCC483"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380BD74B"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6,041</w:t>
            </w:r>
          </w:p>
        </w:tc>
        <w:tc>
          <w:tcPr>
            <w:tcW w:w="876" w:type="dxa"/>
            <w:tcBorders>
              <w:top w:val="nil"/>
              <w:left w:val="nil"/>
              <w:bottom w:val="nil"/>
              <w:right w:val="nil"/>
            </w:tcBorders>
            <w:shd w:val="clear" w:color="000000" w:fill="E6E6E6"/>
            <w:noWrap/>
            <w:vAlign w:val="bottom"/>
            <w:hideMark/>
          </w:tcPr>
          <w:p w14:paraId="394F1BE8"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4,546</w:t>
            </w:r>
          </w:p>
        </w:tc>
        <w:tc>
          <w:tcPr>
            <w:tcW w:w="877" w:type="dxa"/>
            <w:tcBorders>
              <w:top w:val="nil"/>
              <w:left w:val="nil"/>
              <w:bottom w:val="nil"/>
              <w:right w:val="nil"/>
            </w:tcBorders>
            <w:shd w:val="clear" w:color="auto" w:fill="auto"/>
            <w:noWrap/>
            <w:vAlign w:val="bottom"/>
            <w:hideMark/>
          </w:tcPr>
          <w:p w14:paraId="2AEE6DF2"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4,481</w:t>
            </w:r>
          </w:p>
        </w:tc>
        <w:tc>
          <w:tcPr>
            <w:tcW w:w="877" w:type="dxa"/>
            <w:tcBorders>
              <w:top w:val="nil"/>
              <w:left w:val="nil"/>
              <w:bottom w:val="nil"/>
              <w:right w:val="nil"/>
            </w:tcBorders>
            <w:shd w:val="clear" w:color="auto" w:fill="auto"/>
            <w:noWrap/>
            <w:vAlign w:val="bottom"/>
            <w:hideMark/>
          </w:tcPr>
          <w:p w14:paraId="17FCAE84"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4,417</w:t>
            </w:r>
          </w:p>
        </w:tc>
        <w:tc>
          <w:tcPr>
            <w:tcW w:w="877" w:type="dxa"/>
            <w:tcBorders>
              <w:top w:val="nil"/>
              <w:left w:val="nil"/>
              <w:bottom w:val="nil"/>
              <w:right w:val="nil"/>
            </w:tcBorders>
            <w:shd w:val="clear" w:color="auto" w:fill="auto"/>
            <w:noWrap/>
            <w:vAlign w:val="bottom"/>
            <w:hideMark/>
          </w:tcPr>
          <w:p w14:paraId="53BFAA03"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4,572</w:t>
            </w:r>
          </w:p>
        </w:tc>
      </w:tr>
      <w:tr w:rsidR="00752811" w:rsidRPr="00FA64FF" w14:paraId="040CA9CE" w14:textId="77777777" w:rsidTr="00333C84">
        <w:trPr>
          <w:trHeight w:val="204"/>
        </w:trPr>
        <w:tc>
          <w:tcPr>
            <w:tcW w:w="3119" w:type="dxa"/>
            <w:tcBorders>
              <w:top w:val="nil"/>
              <w:left w:val="nil"/>
              <w:bottom w:val="nil"/>
              <w:right w:val="nil"/>
            </w:tcBorders>
            <w:shd w:val="clear" w:color="auto" w:fill="auto"/>
            <w:vAlign w:val="bottom"/>
            <w:hideMark/>
          </w:tcPr>
          <w:p w14:paraId="7F2C1F10" w14:textId="77777777" w:rsidR="00752811" w:rsidRPr="00FA64FF" w:rsidRDefault="00752811" w:rsidP="00333C84">
            <w:pPr>
              <w:spacing w:after="0" w:line="240" w:lineRule="auto"/>
              <w:ind w:left="113"/>
              <w:jc w:val="left"/>
              <w:rPr>
                <w:rFonts w:ascii="Arial" w:hAnsi="Arial" w:cs="Arial"/>
                <w:sz w:val="16"/>
                <w:szCs w:val="16"/>
              </w:rPr>
            </w:pPr>
            <w:r w:rsidRPr="00FA64FF">
              <w:rPr>
                <w:rFonts w:ascii="Arial" w:hAnsi="Arial" w:cs="Arial"/>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5AB09ED3"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42</w:t>
            </w:r>
          </w:p>
        </w:tc>
        <w:tc>
          <w:tcPr>
            <w:tcW w:w="876" w:type="dxa"/>
            <w:tcBorders>
              <w:top w:val="nil"/>
              <w:left w:val="nil"/>
              <w:bottom w:val="nil"/>
              <w:right w:val="nil"/>
            </w:tcBorders>
            <w:shd w:val="clear" w:color="000000" w:fill="E6E6E6"/>
            <w:noWrap/>
            <w:vAlign w:val="bottom"/>
            <w:hideMark/>
          </w:tcPr>
          <w:p w14:paraId="44C9E1CA"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31</w:t>
            </w:r>
          </w:p>
        </w:tc>
        <w:tc>
          <w:tcPr>
            <w:tcW w:w="877" w:type="dxa"/>
            <w:tcBorders>
              <w:top w:val="nil"/>
              <w:left w:val="nil"/>
              <w:bottom w:val="nil"/>
              <w:right w:val="nil"/>
            </w:tcBorders>
            <w:shd w:val="clear" w:color="auto" w:fill="auto"/>
            <w:noWrap/>
            <w:vAlign w:val="bottom"/>
            <w:hideMark/>
          </w:tcPr>
          <w:p w14:paraId="0FE7D3C2"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19</w:t>
            </w:r>
          </w:p>
        </w:tc>
        <w:tc>
          <w:tcPr>
            <w:tcW w:w="877" w:type="dxa"/>
            <w:tcBorders>
              <w:top w:val="nil"/>
              <w:left w:val="nil"/>
              <w:bottom w:val="nil"/>
              <w:right w:val="nil"/>
            </w:tcBorders>
            <w:shd w:val="clear" w:color="auto" w:fill="auto"/>
            <w:noWrap/>
            <w:vAlign w:val="bottom"/>
            <w:hideMark/>
          </w:tcPr>
          <w:p w14:paraId="4BB376FE"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6</w:t>
            </w:r>
          </w:p>
        </w:tc>
        <w:tc>
          <w:tcPr>
            <w:tcW w:w="877" w:type="dxa"/>
            <w:tcBorders>
              <w:top w:val="nil"/>
              <w:left w:val="nil"/>
              <w:bottom w:val="nil"/>
              <w:right w:val="nil"/>
            </w:tcBorders>
            <w:shd w:val="clear" w:color="auto" w:fill="auto"/>
            <w:noWrap/>
            <w:vAlign w:val="bottom"/>
            <w:hideMark/>
          </w:tcPr>
          <w:p w14:paraId="3EE8CCFC"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6</w:t>
            </w:r>
          </w:p>
        </w:tc>
      </w:tr>
      <w:tr w:rsidR="00752811" w:rsidRPr="00FA64FF" w14:paraId="329546E4" w14:textId="77777777" w:rsidTr="00333C84">
        <w:trPr>
          <w:trHeight w:val="204"/>
        </w:trPr>
        <w:tc>
          <w:tcPr>
            <w:tcW w:w="3119" w:type="dxa"/>
            <w:tcBorders>
              <w:top w:val="nil"/>
              <w:left w:val="nil"/>
              <w:bottom w:val="nil"/>
              <w:right w:val="nil"/>
            </w:tcBorders>
            <w:shd w:val="clear" w:color="auto" w:fill="auto"/>
            <w:noWrap/>
            <w:vAlign w:val="bottom"/>
            <w:hideMark/>
          </w:tcPr>
          <w:p w14:paraId="74DAF789" w14:textId="77777777" w:rsidR="00752811" w:rsidRPr="0016574C" w:rsidRDefault="00752811" w:rsidP="00333C84">
            <w:pPr>
              <w:spacing w:after="0" w:line="240" w:lineRule="auto"/>
              <w:ind w:left="113"/>
              <w:jc w:val="left"/>
              <w:rPr>
                <w:rFonts w:ascii="Arial" w:hAnsi="Arial" w:cs="Arial"/>
                <w:sz w:val="16"/>
                <w:szCs w:val="16"/>
              </w:rPr>
            </w:pPr>
            <w:r w:rsidRPr="0016574C">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0F57295A" w14:textId="77777777" w:rsidR="00752811" w:rsidRPr="00FA64FF" w:rsidRDefault="00752811" w:rsidP="00333C84">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876" w:type="dxa"/>
            <w:tcBorders>
              <w:top w:val="nil"/>
              <w:left w:val="nil"/>
              <w:bottom w:val="nil"/>
              <w:right w:val="nil"/>
            </w:tcBorders>
            <w:shd w:val="clear" w:color="000000" w:fill="E6E6E6"/>
            <w:noWrap/>
            <w:vAlign w:val="bottom"/>
            <w:hideMark/>
          </w:tcPr>
          <w:p w14:paraId="1DDA0870"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2</w:t>
            </w:r>
          </w:p>
        </w:tc>
        <w:tc>
          <w:tcPr>
            <w:tcW w:w="877" w:type="dxa"/>
            <w:tcBorders>
              <w:top w:val="nil"/>
              <w:left w:val="nil"/>
              <w:bottom w:val="nil"/>
              <w:right w:val="nil"/>
            </w:tcBorders>
            <w:shd w:val="clear" w:color="auto" w:fill="auto"/>
            <w:noWrap/>
            <w:vAlign w:val="bottom"/>
            <w:hideMark/>
          </w:tcPr>
          <w:p w14:paraId="508260A4" w14:textId="77777777" w:rsidR="00752811" w:rsidRPr="00FA64FF"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34C25702" w14:textId="77777777" w:rsidR="00752811" w:rsidRPr="0016574C" w:rsidRDefault="00752811" w:rsidP="00333C84">
            <w:pPr>
              <w:spacing w:after="0" w:line="240" w:lineRule="auto"/>
              <w:jc w:val="right"/>
              <w:rPr>
                <w:rFonts w:ascii="Times New Roman" w:hAnsi="Times New Roman"/>
                <w:sz w:val="16"/>
                <w:szCs w:val="16"/>
              </w:rPr>
            </w:pPr>
            <w:r>
              <w:rPr>
                <w:rFonts w:ascii="Times New Roman" w:hAnsi="Times New Roman"/>
                <w:sz w:val="16"/>
                <w:szCs w:val="16"/>
              </w:rPr>
              <w:t>-</w:t>
            </w:r>
          </w:p>
        </w:tc>
        <w:tc>
          <w:tcPr>
            <w:tcW w:w="877" w:type="dxa"/>
            <w:tcBorders>
              <w:top w:val="nil"/>
              <w:left w:val="nil"/>
              <w:bottom w:val="nil"/>
              <w:right w:val="nil"/>
            </w:tcBorders>
            <w:shd w:val="clear" w:color="auto" w:fill="auto"/>
            <w:noWrap/>
            <w:vAlign w:val="bottom"/>
            <w:hideMark/>
          </w:tcPr>
          <w:p w14:paraId="1E90C2FE" w14:textId="77777777" w:rsidR="00752811" w:rsidRPr="0016574C" w:rsidRDefault="00752811" w:rsidP="00333C84">
            <w:pPr>
              <w:spacing w:after="0" w:line="240" w:lineRule="auto"/>
              <w:jc w:val="right"/>
              <w:rPr>
                <w:rFonts w:ascii="Times New Roman" w:hAnsi="Times New Roman"/>
                <w:sz w:val="16"/>
                <w:szCs w:val="16"/>
              </w:rPr>
            </w:pPr>
            <w:r>
              <w:rPr>
                <w:rFonts w:ascii="Times New Roman" w:hAnsi="Times New Roman"/>
                <w:sz w:val="16"/>
                <w:szCs w:val="16"/>
              </w:rPr>
              <w:t>-</w:t>
            </w:r>
          </w:p>
        </w:tc>
      </w:tr>
      <w:tr w:rsidR="00752811" w:rsidRPr="00FA64FF" w14:paraId="73B4E6C6" w14:textId="77777777" w:rsidTr="00333C84">
        <w:trPr>
          <w:trHeight w:val="204"/>
        </w:trPr>
        <w:tc>
          <w:tcPr>
            <w:tcW w:w="3119" w:type="dxa"/>
            <w:tcBorders>
              <w:top w:val="nil"/>
              <w:left w:val="nil"/>
              <w:bottom w:val="nil"/>
              <w:right w:val="nil"/>
            </w:tcBorders>
            <w:shd w:val="clear" w:color="auto" w:fill="auto"/>
            <w:noWrap/>
            <w:vAlign w:val="bottom"/>
            <w:hideMark/>
          </w:tcPr>
          <w:p w14:paraId="23CD70A5" w14:textId="77777777" w:rsidR="00752811" w:rsidRPr="00FA64FF" w:rsidRDefault="00752811" w:rsidP="00333C84">
            <w:pPr>
              <w:spacing w:after="0" w:line="240" w:lineRule="auto"/>
              <w:jc w:val="left"/>
              <w:rPr>
                <w:rFonts w:ascii="Arial" w:hAnsi="Arial" w:cs="Arial"/>
                <w:b/>
                <w:bCs/>
                <w:i/>
                <w:iCs/>
                <w:color w:val="000000"/>
                <w:sz w:val="16"/>
                <w:szCs w:val="16"/>
              </w:rPr>
            </w:pPr>
            <w:r w:rsidRPr="00FA64FF">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1B673F4A"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13,791</w:t>
            </w:r>
          </w:p>
        </w:tc>
        <w:tc>
          <w:tcPr>
            <w:tcW w:w="876" w:type="dxa"/>
            <w:tcBorders>
              <w:top w:val="single" w:sz="4" w:space="0" w:color="000000"/>
              <w:left w:val="nil"/>
              <w:bottom w:val="nil"/>
              <w:right w:val="nil"/>
            </w:tcBorders>
            <w:shd w:val="clear" w:color="000000" w:fill="E6E6E6"/>
            <w:noWrap/>
            <w:vAlign w:val="bottom"/>
            <w:hideMark/>
          </w:tcPr>
          <w:p w14:paraId="62F3A916"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11,311</w:t>
            </w:r>
          </w:p>
        </w:tc>
        <w:tc>
          <w:tcPr>
            <w:tcW w:w="877" w:type="dxa"/>
            <w:tcBorders>
              <w:top w:val="single" w:sz="4" w:space="0" w:color="000000"/>
              <w:left w:val="nil"/>
              <w:bottom w:val="nil"/>
              <w:right w:val="nil"/>
            </w:tcBorders>
            <w:shd w:val="clear" w:color="auto" w:fill="auto"/>
            <w:noWrap/>
            <w:vAlign w:val="bottom"/>
            <w:hideMark/>
          </w:tcPr>
          <w:p w14:paraId="38AA9B77"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11,545</w:t>
            </w:r>
          </w:p>
        </w:tc>
        <w:tc>
          <w:tcPr>
            <w:tcW w:w="877" w:type="dxa"/>
            <w:tcBorders>
              <w:top w:val="single" w:sz="4" w:space="0" w:color="000000"/>
              <w:left w:val="nil"/>
              <w:bottom w:val="nil"/>
              <w:right w:val="nil"/>
            </w:tcBorders>
            <w:shd w:val="clear" w:color="auto" w:fill="auto"/>
            <w:noWrap/>
            <w:vAlign w:val="bottom"/>
            <w:hideMark/>
          </w:tcPr>
          <w:p w14:paraId="041B0258"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11,638</w:t>
            </w:r>
          </w:p>
        </w:tc>
        <w:tc>
          <w:tcPr>
            <w:tcW w:w="877" w:type="dxa"/>
            <w:tcBorders>
              <w:top w:val="single" w:sz="4" w:space="0" w:color="000000"/>
              <w:left w:val="nil"/>
              <w:bottom w:val="nil"/>
              <w:right w:val="nil"/>
            </w:tcBorders>
            <w:shd w:val="clear" w:color="auto" w:fill="auto"/>
            <w:noWrap/>
            <w:vAlign w:val="bottom"/>
            <w:hideMark/>
          </w:tcPr>
          <w:p w14:paraId="1B35A2D8"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11,964</w:t>
            </w:r>
          </w:p>
        </w:tc>
      </w:tr>
      <w:tr w:rsidR="00752811" w:rsidRPr="00FA64FF" w14:paraId="7B64B4D6" w14:textId="77777777" w:rsidTr="00333C84">
        <w:trPr>
          <w:trHeight w:val="204"/>
        </w:trPr>
        <w:tc>
          <w:tcPr>
            <w:tcW w:w="3119" w:type="dxa"/>
            <w:tcBorders>
              <w:top w:val="nil"/>
              <w:left w:val="nil"/>
              <w:bottom w:val="nil"/>
              <w:right w:val="nil"/>
            </w:tcBorders>
            <w:shd w:val="clear" w:color="auto" w:fill="auto"/>
            <w:vAlign w:val="bottom"/>
            <w:hideMark/>
          </w:tcPr>
          <w:p w14:paraId="7E061D82"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4BA6ED80"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(867)</w:t>
            </w:r>
          </w:p>
        </w:tc>
        <w:tc>
          <w:tcPr>
            <w:tcW w:w="876" w:type="dxa"/>
            <w:tcBorders>
              <w:top w:val="single" w:sz="4" w:space="0" w:color="auto"/>
              <w:left w:val="nil"/>
              <w:bottom w:val="single" w:sz="4" w:space="0" w:color="auto"/>
              <w:right w:val="nil"/>
            </w:tcBorders>
            <w:shd w:val="clear" w:color="000000" w:fill="E6E6E6"/>
            <w:noWrap/>
            <w:vAlign w:val="bottom"/>
            <w:hideMark/>
          </w:tcPr>
          <w:p w14:paraId="5DF22948"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1,445</w:t>
            </w:r>
          </w:p>
        </w:tc>
        <w:tc>
          <w:tcPr>
            <w:tcW w:w="877" w:type="dxa"/>
            <w:tcBorders>
              <w:top w:val="single" w:sz="4" w:space="0" w:color="auto"/>
              <w:left w:val="nil"/>
              <w:bottom w:val="single" w:sz="4" w:space="0" w:color="auto"/>
              <w:right w:val="nil"/>
            </w:tcBorders>
            <w:shd w:val="clear" w:color="auto" w:fill="auto"/>
            <w:noWrap/>
            <w:vAlign w:val="bottom"/>
            <w:hideMark/>
          </w:tcPr>
          <w:p w14:paraId="2E268A92"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1,275</w:t>
            </w:r>
          </w:p>
        </w:tc>
        <w:tc>
          <w:tcPr>
            <w:tcW w:w="877" w:type="dxa"/>
            <w:tcBorders>
              <w:top w:val="single" w:sz="4" w:space="0" w:color="auto"/>
              <w:left w:val="nil"/>
              <w:bottom w:val="single" w:sz="4" w:space="0" w:color="auto"/>
              <w:right w:val="nil"/>
            </w:tcBorders>
            <w:shd w:val="clear" w:color="auto" w:fill="auto"/>
            <w:noWrap/>
            <w:vAlign w:val="bottom"/>
            <w:hideMark/>
          </w:tcPr>
          <w:p w14:paraId="179ECD98"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1,277</w:t>
            </w:r>
          </w:p>
        </w:tc>
        <w:tc>
          <w:tcPr>
            <w:tcW w:w="877" w:type="dxa"/>
            <w:tcBorders>
              <w:top w:val="single" w:sz="4" w:space="0" w:color="auto"/>
              <w:left w:val="nil"/>
              <w:bottom w:val="single" w:sz="4" w:space="0" w:color="auto"/>
              <w:right w:val="nil"/>
            </w:tcBorders>
            <w:shd w:val="clear" w:color="auto" w:fill="auto"/>
            <w:noWrap/>
            <w:vAlign w:val="bottom"/>
            <w:hideMark/>
          </w:tcPr>
          <w:p w14:paraId="42420FCB"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1,032</w:t>
            </w:r>
          </w:p>
        </w:tc>
      </w:tr>
      <w:tr w:rsidR="00752811" w:rsidRPr="00FA64FF" w14:paraId="24603F73" w14:textId="77777777" w:rsidTr="00333C84">
        <w:trPr>
          <w:trHeight w:val="204"/>
        </w:trPr>
        <w:tc>
          <w:tcPr>
            <w:tcW w:w="3119" w:type="dxa"/>
            <w:tcBorders>
              <w:top w:val="nil"/>
              <w:left w:val="nil"/>
              <w:bottom w:val="nil"/>
              <w:right w:val="nil"/>
            </w:tcBorders>
            <w:shd w:val="clear" w:color="auto" w:fill="auto"/>
            <w:noWrap/>
            <w:vAlign w:val="bottom"/>
            <w:hideMark/>
          </w:tcPr>
          <w:p w14:paraId="617A6AA1"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30598A1E" w14:textId="77777777" w:rsidR="00752811" w:rsidRPr="00FA64FF"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6145C63"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6294AB6"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923EE9F" w14:textId="77777777" w:rsidR="00752811" w:rsidRPr="0016574C"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7286470A" w14:textId="77777777" w:rsidR="00752811" w:rsidRPr="0016574C" w:rsidRDefault="00752811" w:rsidP="00333C84">
            <w:pPr>
              <w:spacing w:after="0" w:line="240" w:lineRule="auto"/>
              <w:jc w:val="right"/>
              <w:rPr>
                <w:rFonts w:ascii="Times New Roman" w:hAnsi="Times New Roman"/>
                <w:sz w:val="16"/>
                <w:szCs w:val="16"/>
              </w:rPr>
            </w:pPr>
          </w:p>
        </w:tc>
      </w:tr>
      <w:tr w:rsidR="00752811" w:rsidRPr="00FA64FF" w14:paraId="27B74EC0" w14:textId="77777777" w:rsidTr="00333C84">
        <w:trPr>
          <w:trHeight w:val="204"/>
        </w:trPr>
        <w:tc>
          <w:tcPr>
            <w:tcW w:w="3119" w:type="dxa"/>
            <w:tcBorders>
              <w:top w:val="nil"/>
              <w:left w:val="nil"/>
              <w:bottom w:val="nil"/>
              <w:right w:val="nil"/>
            </w:tcBorders>
            <w:shd w:val="clear" w:color="auto" w:fill="auto"/>
            <w:noWrap/>
            <w:vAlign w:val="bottom"/>
            <w:hideMark/>
          </w:tcPr>
          <w:p w14:paraId="1B6ED926"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068D4D64" w14:textId="77777777" w:rsidR="00752811" w:rsidRPr="00FA64FF"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5DEACD9"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A99F185"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ED382B5" w14:textId="77777777" w:rsidR="00752811" w:rsidRPr="0016574C"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134A62A7" w14:textId="77777777" w:rsidR="00752811" w:rsidRPr="0016574C" w:rsidRDefault="00752811" w:rsidP="00333C84">
            <w:pPr>
              <w:spacing w:after="0" w:line="240" w:lineRule="auto"/>
              <w:jc w:val="right"/>
              <w:rPr>
                <w:rFonts w:ascii="Times New Roman" w:hAnsi="Times New Roman"/>
                <w:sz w:val="16"/>
                <w:szCs w:val="16"/>
              </w:rPr>
            </w:pPr>
          </w:p>
        </w:tc>
      </w:tr>
      <w:tr w:rsidR="00752811" w:rsidRPr="00FA64FF" w14:paraId="004F5DF3" w14:textId="77777777" w:rsidTr="00333C84">
        <w:trPr>
          <w:trHeight w:val="204"/>
        </w:trPr>
        <w:tc>
          <w:tcPr>
            <w:tcW w:w="3119" w:type="dxa"/>
            <w:tcBorders>
              <w:top w:val="nil"/>
              <w:left w:val="nil"/>
              <w:bottom w:val="nil"/>
              <w:right w:val="nil"/>
            </w:tcBorders>
            <w:shd w:val="clear" w:color="auto" w:fill="auto"/>
            <w:vAlign w:val="bottom"/>
            <w:hideMark/>
          </w:tcPr>
          <w:p w14:paraId="3E54EA6D" w14:textId="77777777" w:rsidR="00752811" w:rsidRPr="00FA64FF" w:rsidRDefault="00752811" w:rsidP="00333C84">
            <w:pPr>
              <w:spacing w:after="0" w:line="240" w:lineRule="auto"/>
              <w:ind w:left="113"/>
              <w:jc w:val="left"/>
              <w:rPr>
                <w:rFonts w:ascii="Arial" w:hAnsi="Arial" w:cs="Arial"/>
                <w:color w:val="000000"/>
                <w:sz w:val="16"/>
                <w:szCs w:val="16"/>
              </w:rPr>
            </w:pPr>
            <w:r w:rsidRPr="0016574C">
              <w:rPr>
                <w:rFonts w:ascii="Arial" w:hAnsi="Arial" w:cs="Arial"/>
                <w:sz w:val="16"/>
                <w:szCs w:val="16"/>
              </w:rPr>
              <w:t>Purchase</w:t>
            </w:r>
            <w:r w:rsidRPr="00FA64FF">
              <w:rPr>
                <w:rFonts w:ascii="Arial" w:hAnsi="Arial" w:cs="Arial"/>
                <w:color w:val="000000"/>
                <w:sz w:val="16"/>
                <w:szCs w:val="16"/>
              </w:rPr>
              <w:t xml:space="preserve"> of property, plant and equipment and intangibles</w:t>
            </w:r>
          </w:p>
        </w:tc>
        <w:tc>
          <w:tcPr>
            <w:tcW w:w="928" w:type="dxa"/>
            <w:tcBorders>
              <w:top w:val="nil"/>
              <w:left w:val="nil"/>
              <w:bottom w:val="nil"/>
              <w:right w:val="nil"/>
            </w:tcBorders>
            <w:shd w:val="clear" w:color="auto" w:fill="auto"/>
            <w:noWrap/>
            <w:vAlign w:val="bottom"/>
            <w:hideMark/>
          </w:tcPr>
          <w:p w14:paraId="5AB226CC"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85</w:t>
            </w:r>
          </w:p>
        </w:tc>
        <w:tc>
          <w:tcPr>
            <w:tcW w:w="876" w:type="dxa"/>
            <w:tcBorders>
              <w:top w:val="nil"/>
              <w:left w:val="nil"/>
              <w:bottom w:val="nil"/>
              <w:right w:val="nil"/>
            </w:tcBorders>
            <w:shd w:val="clear" w:color="000000" w:fill="E6E6E6"/>
            <w:noWrap/>
            <w:vAlign w:val="bottom"/>
            <w:hideMark/>
          </w:tcPr>
          <w:p w14:paraId="7F8739B8"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13</w:t>
            </w:r>
          </w:p>
        </w:tc>
        <w:tc>
          <w:tcPr>
            <w:tcW w:w="877" w:type="dxa"/>
            <w:tcBorders>
              <w:top w:val="nil"/>
              <w:left w:val="nil"/>
              <w:bottom w:val="nil"/>
              <w:right w:val="nil"/>
            </w:tcBorders>
            <w:shd w:val="clear" w:color="auto" w:fill="auto"/>
            <w:noWrap/>
            <w:vAlign w:val="bottom"/>
            <w:hideMark/>
          </w:tcPr>
          <w:p w14:paraId="01BE5157"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91</w:t>
            </w:r>
          </w:p>
        </w:tc>
        <w:tc>
          <w:tcPr>
            <w:tcW w:w="877" w:type="dxa"/>
            <w:tcBorders>
              <w:top w:val="nil"/>
              <w:left w:val="nil"/>
              <w:bottom w:val="nil"/>
              <w:right w:val="nil"/>
            </w:tcBorders>
            <w:shd w:val="clear" w:color="auto" w:fill="auto"/>
            <w:noWrap/>
            <w:vAlign w:val="bottom"/>
            <w:hideMark/>
          </w:tcPr>
          <w:p w14:paraId="7D433611"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60</w:t>
            </w:r>
          </w:p>
        </w:tc>
        <w:tc>
          <w:tcPr>
            <w:tcW w:w="877" w:type="dxa"/>
            <w:tcBorders>
              <w:top w:val="nil"/>
              <w:left w:val="nil"/>
              <w:bottom w:val="nil"/>
              <w:right w:val="nil"/>
            </w:tcBorders>
            <w:shd w:val="clear" w:color="auto" w:fill="auto"/>
            <w:noWrap/>
            <w:vAlign w:val="bottom"/>
            <w:hideMark/>
          </w:tcPr>
          <w:p w14:paraId="167E249D"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133</w:t>
            </w:r>
          </w:p>
        </w:tc>
      </w:tr>
      <w:tr w:rsidR="00752811" w:rsidRPr="00FA64FF" w14:paraId="6426988A" w14:textId="77777777" w:rsidTr="00333C84">
        <w:trPr>
          <w:trHeight w:val="204"/>
        </w:trPr>
        <w:tc>
          <w:tcPr>
            <w:tcW w:w="3119" w:type="dxa"/>
            <w:tcBorders>
              <w:top w:val="nil"/>
              <w:left w:val="nil"/>
              <w:right w:val="nil"/>
            </w:tcBorders>
            <w:shd w:val="clear" w:color="auto" w:fill="auto"/>
            <w:noWrap/>
            <w:vAlign w:val="bottom"/>
            <w:hideMark/>
          </w:tcPr>
          <w:p w14:paraId="7FD3EE9E" w14:textId="77777777" w:rsidR="00752811" w:rsidRPr="00FA64FF" w:rsidRDefault="00752811" w:rsidP="00333C84">
            <w:pPr>
              <w:spacing w:after="0" w:line="240" w:lineRule="auto"/>
              <w:jc w:val="left"/>
              <w:rPr>
                <w:rFonts w:ascii="Arial" w:hAnsi="Arial" w:cs="Arial"/>
                <w:b/>
                <w:bCs/>
                <w:i/>
                <w:iCs/>
                <w:color w:val="000000"/>
                <w:sz w:val="16"/>
                <w:szCs w:val="16"/>
              </w:rPr>
            </w:pPr>
            <w:r w:rsidRPr="00FA64FF">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00761E36"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85</w:t>
            </w:r>
          </w:p>
        </w:tc>
        <w:tc>
          <w:tcPr>
            <w:tcW w:w="876" w:type="dxa"/>
            <w:tcBorders>
              <w:top w:val="single" w:sz="4" w:space="0" w:color="000000"/>
              <w:left w:val="nil"/>
              <w:bottom w:val="single" w:sz="4" w:space="0" w:color="000000"/>
              <w:right w:val="nil"/>
            </w:tcBorders>
            <w:shd w:val="clear" w:color="000000" w:fill="E6E6E6"/>
            <w:noWrap/>
            <w:vAlign w:val="bottom"/>
            <w:hideMark/>
          </w:tcPr>
          <w:p w14:paraId="4E71B464"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13</w:t>
            </w:r>
          </w:p>
        </w:tc>
        <w:tc>
          <w:tcPr>
            <w:tcW w:w="877" w:type="dxa"/>
            <w:tcBorders>
              <w:top w:val="single" w:sz="4" w:space="0" w:color="000000"/>
              <w:left w:val="nil"/>
              <w:bottom w:val="single" w:sz="4" w:space="0" w:color="000000"/>
              <w:right w:val="nil"/>
            </w:tcBorders>
            <w:shd w:val="clear" w:color="auto" w:fill="auto"/>
            <w:noWrap/>
            <w:vAlign w:val="bottom"/>
            <w:hideMark/>
          </w:tcPr>
          <w:p w14:paraId="7B2231B3"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91</w:t>
            </w:r>
          </w:p>
        </w:tc>
        <w:tc>
          <w:tcPr>
            <w:tcW w:w="877" w:type="dxa"/>
            <w:tcBorders>
              <w:top w:val="single" w:sz="4" w:space="0" w:color="000000"/>
              <w:left w:val="nil"/>
              <w:bottom w:val="single" w:sz="4" w:space="0" w:color="000000"/>
              <w:right w:val="nil"/>
            </w:tcBorders>
            <w:shd w:val="clear" w:color="auto" w:fill="auto"/>
            <w:noWrap/>
            <w:vAlign w:val="bottom"/>
            <w:hideMark/>
          </w:tcPr>
          <w:p w14:paraId="69D98F5E"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60</w:t>
            </w:r>
          </w:p>
        </w:tc>
        <w:tc>
          <w:tcPr>
            <w:tcW w:w="877" w:type="dxa"/>
            <w:tcBorders>
              <w:top w:val="single" w:sz="4" w:space="0" w:color="000000"/>
              <w:left w:val="nil"/>
              <w:bottom w:val="single" w:sz="4" w:space="0" w:color="000000"/>
              <w:right w:val="nil"/>
            </w:tcBorders>
            <w:shd w:val="clear" w:color="auto" w:fill="auto"/>
            <w:noWrap/>
            <w:vAlign w:val="bottom"/>
            <w:hideMark/>
          </w:tcPr>
          <w:p w14:paraId="5A5E065A"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133</w:t>
            </w:r>
          </w:p>
        </w:tc>
      </w:tr>
      <w:tr w:rsidR="00752811" w:rsidRPr="00FA64FF" w14:paraId="646E4813" w14:textId="77777777" w:rsidTr="00333C84">
        <w:trPr>
          <w:trHeight w:val="204"/>
        </w:trPr>
        <w:tc>
          <w:tcPr>
            <w:tcW w:w="3119" w:type="dxa"/>
            <w:tcBorders>
              <w:top w:val="nil"/>
              <w:left w:val="nil"/>
              <w:right w:val="nil"/>
            </w:tcBorders>
            <w:shd w:val="clear" w:color="auto" w:fill="auto"/>
            <w:vAlign w:val="bottom"/>
            <w:hideMark/>
          </w:tcPr>
          <w:p w14:paraId="37B6CAEA"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7A93323E"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(85)</w:t>
            </w:r>
          </w:p>
        </w:tc>
        <w:tc>
          <w:tcPr>
            <w:tcW w:w="876" w:type="dxa"/>
            <w:tcBorders>
              <w:top w:val="nil"/>
              <w:left w:val="nil"/>
              <w:bottom w:val="single" w:sz="4" w:space="0" w:color="auto"/>
              <w:right w:val="nil"/>
            </w:tcBorders>
            <w:shd w:val="clear" w:color="000000" w:fill="E6E6E6"/>
            <w:noWrap/>
            <w:vAlign w:val="bottom"/>
            <w:hideMark/>
          </w:tcPr>
          <w:p w14:paraId="7BFB8069"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(13)</w:t>
            </w:r>
          </w:p>
        </w:tc>
        <w:tc>
          <w:tcPr>
            <w:tcW w:w="877" w:type="dxa"/>
            <w:tcBorders>
              <w:top w:val="nil"/>
              <w:left w:val="nil"/>
              <w:bottom w:val="single" w:sz="4" w:space="0" w:color="auto"/>
              <w:right w:val="nil"/>
            </w:tcBorders>
            <w:shd w:val="clear" w:color="auto" w:fill="auto"/>
            <w:noWrap/>
            <w:vAlign w:val="bottom"/>
            <w:hideMark/>
          </w:tcPr>
          <w:p w14:paraId="7A7A4124"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(91)</w:t>
            </w:r>
          </w:p>
        </w:tc>
        <w:tc>
          <w:tcPr>
            <w:tcW w:w="877" w:type="dxa"/>
            <w:tcBorders>
              <w:top w:val="nil"/>
              <w:left w:val="nil"/>
              <w:bottom w:val="single" w:sz="4" w:space="0" w:color="auto"/>
              <w:right w:val="nil"/>
            </w:tcBorders>
            <w:shd w:val="clear" w:color="auto" w:fill="auto"/>
            <w:noWrap/>
            <w:vAlign w:val="bottom"/>
            <w:hideMark/>
          </w:tcPr>
          <w:p w14:paraId="3F21EBCD"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(60)</w:t>
            </w:r>
          </w:p>
        </w:tc>
        <w:tc>
          <w:tcPr>
            <w:tcW w:w="877" w:type="dxa"/>
            <w:tcBorders>
              <w:top w:val="nil"/>
              <w:left w:val="nil"/>
              <w:bottom w:val="single" w:sz="4" w:space="0" w:color="auto"/>
              <w:right w:val="nil"/>
            </w:tcBorders>
            <w:shd w:val="clear" w:color="auto" w:fill="auto"/>
            <w:noWrap/>
            <w:vAlign w:val="bottom"/>
            <w:hideMark/>
          </w:tcPr>
          <w:p w14:paraId="135FFCB4"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(133)</w:t>
            </w:r>
          </w:p>
        </w:tc>
      </w:tr>
      <w:tr w:rsidR="00752811" w:rsidRPr="00FA64FF" w14:paraId="1CF57902" w14:textId="77777777" w:rsidTr="00333C84">
        <w:trPr>
          <w:trHeight w:val="204"/>
        </w:trPr>
        <w:tc>
          <w:tcPr>
            <w:tcW w:w="3119" w:type="dxa"/>
            <w:tcBorders>
              <w:top w:val="nil"/>
              <w:left w:val="nil"/>
              <w:bottom w:val="nil"/>
              <w:right w:val="nil"/>
            </w:tcBorders>
            <w:shd w:val="clear" w:color="auto" w:fill="auto"/>
            <w:noWrap/>
            <w:vAlign w:val="bottom"/>
            <w:hideMark/>
          </w:tcPr>
          <w:p w14:paraId="75CFF410"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45D310FC" w14:textId="77777777" w:rsidR="00752811" w:rsidRPr="00FA64FF"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D3F6119"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37CD5D9"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724B089" w14:textId="77777777" w:rsidR="00752811" w:rsidRPr="0016574C"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15955548" w14:textId="77777777" w:rsidR="00752811" w:rsidRPr="0016574C" w:rsidRDefault="00752811" w:rsidP="00333C84">
            <w:pPr>
              <w:spacing w:after="0" w:line="240" w:lineRule="auto"/>
              <w:jc w:val="right"/>
              <w:rPr>
                <w:rFonts w:ascii="Times New Roman" w:hAnsi="Times New Roman"/>
                <w:sz w:val="16"/>
                <w:szCs w:val="16"/>
              </w:rPr>
            </w:pPr>
          </w:p>
        </w:tc>
      </w:tr>
      <w:tr w:rsidR="00752811" w:rsidRPr="00FA64FF" w14:paraId="6AD8735E" w14:textId="77777777" w:rsidTr="00333C84">
        <w:trPr>
          <w:trHeight w:val="204"/>
        </w:trPr>
        <w:tc>
          <w:tcPr>
            <w:tcW w:w="3119" w:type="dxa"/>
            <w:tcBorders>
              <w:top w:val="nil"/>
              <w:left w:val="nil"/>
              <w:bottom w:val="nil"/>
              <w:right w:val="nil"/>
            </w:tcBorders>
            <w:shd w:val="clear" w:color="auto" w:fill="auto"/>
            <w:noWrap/>
            <w:vAlign w:val="bottom"/>
            <w:hideMark/>
          </w:tcPr>
          <w:p w14:paraId="10301101"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1F090D96" w14:textId="77777777" w:rsidR="00752811" w:rsidRPr="00FA64FF"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95AEC24"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021E0D7" w14:textId="77777777" w:rsidR="00752811" w:rsidRPr="00FA64FF"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EBB880C" w14:textId="77777777" w:rsidR="00752811" w:rsidRPr="0016574C"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5B5F1C95" w14:textId="77777777" w:rsidR="00752811" w:rsidRPr="0016574C" w:rsidRDefault="00752811" w:rsidP="00333C84">
            <w:pPr>
              <w:spacing w:after="0" w:line="240" w:lineRule="auto"/>
              <w:jc w:val="right"/>
              <w:rPr>
                <w:rFonts w:ascii="Times New Roman" w:hAnsi="Times New Roman"/>
                <w:sz w:val="16"/>
                <w:szCs w:val="16"/>
              </w:rPr>
            </w:pPr>
          </w:p>
        </w:tc>
      </w:tr>
      <w:tr w:rsidR="00752811" w:rsidRPr="00FA64FF" w14:paraId="439B5697" w14:textId="77777777" w:rsidTr="00333C84">
        <w:trPr>
          <w:trHeight w:val="204"/>
        </w:trPr>
        <w:tc>
          <w:tcPr>
            <w:tcW w:w="3119" w:type="dxa"/>
            <w:tcBorders>
              <w:top w:val="nil"/>
              <w:left w:val="nil"/>
              <w:bottom w:val="nil"/>
              <w:right w:val="nil"/>
            </w:tcBorders>
            <w:shd w:val="clear" w:color="auto" w:fill="auto"/>
            <w:noWrap/>
            <w:vAlign w:val="bottom"/>
            <w:hideMark/>
          </w:tcPr>
          <w:p w14:paraId="0CCEC4ED" w14:textId="77777777" w:rsidR="00752811" w:rsidRPr="00FA64FF" w:rsidRDefault="00752811" w:rsidP="00333C84">
            <w:pPr>
              <w:spacing w:after="0" w:line="240" w:lineRule="auto"/>
              <w:ind w:left="113"/>
              <w:jc w:val="left"/>
              <w:rPr>
                <w:rFonts w:ascii="Arial" w:hAnsi="Arial" w:cs="Arial"/>
                <w:sz w:val="16"/>
                <w:szCs w:val="16"/>
              </w:rPr>
            </w:pPr>
            <w:r w:rsidRPr="00FA64FF">
              <w:rPr>
                <w:rFonts w:ascii="Arial" w:hAnsi="Arial" w:cs="Arial"/>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73658199"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1,081</w:t>
            </w:r>
          </w:p>
        </w:tc>
        <w:tc>
          <w:tcPr>
            <w:tcW w:w="876" w:type="dxa"/>
            <w:tcBorders>
              <w:top w:val="nil"/>
              <w:left w:val="nil"/>
              <w:bottom w:val="nil"/>
              <w:right w:val="nil"/>
            </w:tcBorders>
            <w:shd w:val="clear" w:color="000000" w:fill="E6E6E6"/>
            <w:noWrap/>
            <w:vAlign w:val="bottom"/>
            <w:hideMark/>
          </w:tcPr>
          <w:p w14:paraId="1829D20E"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1,135</w:t>
            </w:r>
          </w:p>
        </w:tc>
        <w:tc>
          <w:tcPr>
            <w:tcW w:w="877" w:type="dxa"/>
            <w:tcBorders>
              <w:top w:val="nil"/>
              <w:left w:val="nil"/>
              <w:bottom w:val="nil"/>
              <w:right w:val="nil"/>
            </w:tcBorders>
            <w:shd w:val="clear" w:color="auto" w:fill="auto"/>
            <w:noWrap/>
            <w:vAlign w:val="bottom"/>
            <w:hideMark/>
          </w:tcPr>
          <w:p w14:paraId="176C2626"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1,191</w:t>
            </w:r>
          </w:p>
        </w:tc>
        <w:tc>
          <w:tcPr>
            <w:tcW w:w="877" w:type="dxa"/>
            <w:tcBorders>
              <w:top w:val="nil"/>
              <w:left w:val="nil"/>
              <w:bottom w:val="nil"/>
              <w:right w:val="nil"/>
            </w:tcBorders>
            <w:shd w:val="clear" w:color="auto" w:fill="auto"/>
            <w:noWrap/>
            <w:vAlign w:val="bottom"/>
            <w:hideMark/>
          </w:tcPr>
          <w:p w14:paraId="2B004916"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1,142</w:t>
            </w:r>
          </w:p>
        </w:tc>
        <w:tc>
          <w:tcPr>
            <w:tcW w:w="877" w:type="dxa"/>
            <w:tcBorders>
              <w:top w:val="nil"/>
              <w:left w:val="nil"/>
              <w:bottom w:val="nil"/>
              <w:right w:val="nil"/>
            </w:tcBorders>
            <w:shd w:val="clear" w:color="auto" w:fill="auto"/>
            <w:noWrap/>
            <w:vAlign w:val="bottom"/>
            <w:hideMark/>
          </w:tcPr>
          <w:p w14:paraId="45009D32"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1,000</w:t>
            </w:r>
          </w:p>
        </w:tc>
      </w:tr>
      <w:tr w:rsidR="00752811" w:rsidRPr="00FA64FF" w14:paraId="409E6D1F" w14:textId="77777777" w:rsidTr="00333C84">
        <w:trPr>
          <w:trHeight w:val="204"/>
        </w:trPr>
        <w:tc>
          <w:tcPr>
            <w:tcW w:w="3119" w:type="dxa"/>
            <w:tcBorders>
              <w:top w:val="nil"/>
              <w:left w:val="nil"/>
              <w:bottom w:val="nil"/>
              <w:right w:val="nil"/>
            </w:tcBorders>
            <w:shd w:val="clear" w:color="auto" w:fill="auto"/>
            <w:noWrap/>
            <w:vAlign w:val="bottom"/>
            <w:hideMark/>
          </w:tcPr>
          <w:p w14:paraId="3955A703" w14:textId="77777777" w:rsidR="00752811" w:rsidRPr="00FA64FF" w:rsidRDefault="00752811" w:rsidP="00333C84">
            <w:pPr>
              <w:spacing w:after="0" w:line="240" w:lineRule="auto"/>
              <w:jc w:val="left"/>
              <w:rPr>
                <w:rFonts w:ascii="Arial" w:hAnsi="Arial" w:cs="Arial"/>
                <w:b/>
                <w:bCs/>
                <w:i/>
                <w:iCs/>
                <w:color w:val="000000"/>
                <w:sz w:val="16"/>
                <w:szCs w:val="16"/>
              </w:rPr>
            </w:pPr>
            <w:r w:rsidRPr="00FA64FF">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25F4F4DC"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1,081</w:t>
            </w:r>
          </w:p>
        </w:tc>
        <w:tc>
          <w:tcPr>
            <w:tcW w:w="876" w:type="dxa"/>
            <w:tcBorders>
              <w:top w:val="single" w:sz="4" w:space="0" w:color="000000"/>
              <w:left w:val="nil"/>
              <w:bottom w:val="single" w:sz="4" w:space="0" w:color="000000"/>
              <w:right w:val="nil"/>
            </w:tcBorders>
            <w:shd w:val="clear" w:color="000000" w:fill="E6E6E6"/>
            <w:noWrap/>
            <w:vAlign w:val="bottom"/>
            <w:hideMark/>
          </w:tcPr>
          <w:p w14:paraId="41625C6F"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1,135</w:t>
            </w:r>
          </w:p>
        </w:tc>
        <w:tc>
          <w:tcPr>
            <w:tcW w:w="877" w:type="dxa"/>
            <w:tcBorders>
              <w:top w:val="single" w:sz="4" w:space="0" w:color="000000"/>
              <w:left w:val="nil"/>
              <w:bottom w:val="single" w:sz="4" w:space="0" w:color="000000"/>
              <w:right w:val="nil"/>
            </w:tcBorders>
            <w:shd w:val="clear" w:color="auto" w:fill="auto"/>
            <w:noWrap/>
            <w:vAlign w:val="bottom"/>
            <w:hideMark/>
          </w:tcPr>
          <w:p w14:paraId="7580F739"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1,191</w:t>
            </w:r>
          </w:p>
        </w:tc>
        <w:tc>
          <w:tcPr>
            <w:tcW w:w="877" w:type="dxa"/>
            <w:tcBorders>
              <w:top w:val="single" w:sz="4" w:space="0" w:color="000000"/>
              <w:left w:val="nil"/>
              <w:bottom w:val="single" w:sz="4" w:space="0" w:color="000000"/>
              <w:right w:val="nil"/>
            </w:tcBorders>
            <w:shd w:val="clear" w:color="auto" w:fill="auto"/>
            <w:noWrap/>
            <w:vAlign w:val="bottom"/>
            <w:hideMark/>
          </w:tcPr>
          <w:p w14:paraId="6F992AEF"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1,142</w:t>
            </w:r>
          </w:p>
        </w:tc>
        <w:tc>
          <w:tcPr>
            <w:tcW w:w="877" w:type="dxa"/>
            <w:tcBorders>
              <w:top w:val="single" w:sz="4" w:space="0" w:color="000000"/>
              <w:left w:val="nil"/>
              <w:bottom w:val="single" w:sz="4" w:space="0" w:color="000000"/>
              <w:right w:val="nil"/>
            </w:tcBorders>
            <w:shd w:val="clear" w:color="auto" w:fill="auto"/>
            <w:noWrap/>
            <w:vAlign w:val="bottom"/>
            <w:hideMark/>
          </w:tcPr>
          <w:p w14:paraId="6210FBF2" w14:textId="77777777" w:rsidR="00752811" w:rsidRPr="00FA64FF" w:rsidRDefault="00752811" w:rsidP="00333C84">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1,000</w:t>
            </w:r>
          </w:p>
        </w:tc>
      </w:tr>
      <w:tr w:rsidR="00752811" w:rsidRPr="00FA64FF" w14:paraId="748FD704" w14:textId="77777777" w:rsidTr="00333C84">
        <w:trPr>
          <w:trHeight w:val="204"/>
        </w:trPr>
        <w:tc>
          <w:tcPr>
            <w:tcW w:w="3119" w:type="dxa"/>
            <w:tcBorders>
              <w:top w:val="nil"/>
              <w:left w:val="nil"/>
              <w:bottom w:val="nil"/>
              <w:right w:val="nil"/>
            </w:tcBorders>
            <w:shd w:val="clear" w:color="auto" w:fill="auto"/>
            <w:vAlign w:val="bottom"/>
            <w:hideMark/>
          </w:tcPr>
          <w:p w14:paraId="18CD21EB"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109AFE2E"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(1,081)</w:t>
            </w:r>
          </w:p>
        </w:tc>
        <w:tc>
          <w:tcPr>
            <w:tcW w:w="876" w:type="dxa"/>
            <w:tcBorders>
              <w:top w:val="nil"/>
              <w:left w:val="nil"/>
              <w:bottom w:val="single" w:sz="4" w:space="0" w:color="000000"/>
              <w:right w:val="nil"/>
            </w:tcBorders>
            <w:shd w:val="clear" w:color="000000" w:fill="E6E6E6"/>
            <w:noWrap/>
            <w:vAlign w:val="bottom"/>
            <w:hideMark/>
          </w:tcPr>
          <w:p w14:paraId="2515DAF7"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(1,135)</w:t>
            </w:r>
          </w:p>
        </w:tc>
        <w:tc>
          <w:tcPr>
            <w:tcW w:w="877" w:type="dxa"/>
            <w:tcBorders>
              <w:top w:val="nil"/>
              <w:left w:val="nil"/>
              <w:bottom w:val="single" w:sz="4" w:space="0" w:color="000000"/>
              <w:right w:val="nil"/>
            </w:tcBorders>
            <w:shd w:val="clear" w:color="auto" w:fill="auto"/>
            <w:noWrap/>
            <w:vAlign w:val="bottom"/>
            <w:hideMark/>
          </w:tcPr>
          <w:p w14:paraId="527E0EAB"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(1,191)</w:t>
            </w:r>
          </w:p>
        </w:tc>
        <w:tc>
          <w:tcPr>
            <w:tcW w:w="877" w:type="dxa"/>
            <w:tcBorders>
              <w:top w:val="nil"/>
              <w:left w:val="nil"/>
              <w:bottom w:val="single" w:sz="4" w:space="0" w:color="000000"/>
              <w:right w:val="nil"/>
            </w:tcBorders>
            <w:shd w:val="clear" w:color="auto" w:fill="auto"/>
            <w:noWrap/>
            <w:vAlign w:val="bottom"/>
            <w:hideMark/>
          </w:tcPr>
          <w:p w14:paraId="4905A743"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(1,142)</w:t>
            </w:r>
          </w:p>
        </w:tc>
        <w:tc>
          <w:tcPr>
            <w:tcW w:w="877" w:type="dxa"/>
            <w:tcBorders>
              <w:top w:val="nil"/>
              <w:left w:val="nil"/>
              <w:bottom w:val="single" w:sz="4" w:space="0" w:color="000000"/>
              <w:right w:val="nil"/>
            </w:tcBorders>
            <w:shd w:val="clear" w:color="auto" w:fill="auto"/>
            <w:noWrap/>
            <w:vAlign w:val="bottom"/>
            <w:hideMark/>
          </w:tcPr>
          <w:p w14:paraId="78EE99D1"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(1,000)</w:t>
            </w:r>
          </w:p>
        </w:tc>
      </w:tr>
      <w:tr w:rsidR="00752811" w:rsidRPr="00FA64FF" w14:paraId="69CD5A8D" w14:textId="77777777" w:rsidTr="00333C84">
        <w:trPr>
          <w:trHeight w:val="204"/>
        </w:trPr>
        <w:tc>
          <w:tcPr>
            <w:tcW w:w="3119" w:type="dxa"/>
            <w:tcBorders>
              <w:top w:val="nil"/>
              <w:left w:val="nil"/>
              <w:bottom w:val="nil"/>
              <w:right w:val="nil"/>
            </w:tcBorders>
            <w:shd w:val="clear" w:color="auto" w:fill="auto"/>
            <w:vAlign w:val="bottom"/>
            <w:hideMark/>
          </w:tcPr>
          <w:p w14:paraId="4D38AA77"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11F0745F"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(2,033)</w:t>
            </w:r>
          </w:p>
        </w:tc>
        <w:tc>
          <w:tcPr>
            <w:tcW w:w="876" w:type="dxa"/>
            <w:tcBorders>
              <w:top w:val="nil"/>
              <w:left w:val="nil"/>
              <w:bottom w:val="single" w:sz="4" w:space="0" w:color="000000"/>
              <w:right w:val="nil"/>
            </w:tcBorders>
            <w:shd w:val="clear" w:color="000000" w:fill="E6E6E6"/>
            <w:noWrap/>
            <w:vAlign w:val="bottom"/>
            <w:hideMark/>
          </w:tcPr>
          <w:p w14:paraId="50AD0B85"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297</w:t>
            </w:r>
          </w:p>
        </w:tc>
        <w:tc>
          <w:tcPr>
            <w:tcW w:w="877" w:type="dxa"/>
            <w:tcBorders>
              <w:top w:val="nil"/>
              <w:left w:val="nil"/>
              <w:bottom w:val="single" w:sz="4" w:space="0" w:color="000000"/>
              <w:right w:val="nil"/>
            </w:tcBorders>
            <w:shd w:val="clear" w:color="auto" w:fill="auto"/>
            <w:noWrap/>
            <w:vAlign w:val="bottom"/>
            <w:hideMark/>
          </w:tcPr>
          <w:p w14:paraId="199FD133"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(7)</w:t>
            </w:r>
          </w:p>
        </w:tc>
        <w:tc>
          <w:tcPr>
            <w:tcW w:w="877" w:type="dxa"/>
            <w:tcBorders>
              <w:top w:val="nil"/>
              <w:left w:val="nil"/>
              <w:bottom w:val="single" w:sz="4" w:space="0" w:color="000000"/>
              <w:right w:val="nil"/>
            </w:tcBorders>
            <w:shd w:val="clear" w:color="auto" w:fill="auto"/>
            <w:noWrap/>
            <w:vAlign w:val="bottom"/>
            <w:hideMark/>
          </w:tcPr>
          <w:p w14:paraId="232949E0"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75</w:t>
            </w:r>
          </w:p>
        </w:tc>
        <w:tc>
          <w:tcPr>
            <w:tcW w:w="877" w:type="dxa"/>
            <w:tcBorders>
              <w:top w:val="nil"/>
              <w:left w:val="nil"/>
              <w:bottom w:val="single" w:sz="4" w:space="0" w:color="000000"/>
              <w:right w:val="nil"/>
            </w:tcBorders>
            <w:shd w:val="clear" w:color="auto" w:fill="auto"/>
            <w:noWrap/>
            <w:vAlign w:val="bottom"/>
            <w:hideMark/>
          </w:tcPr>
          <w:p w14:paraId="0203E0A2" w14:textId="77777777" w:rsidR="00752811" w:rsidRPr="00FA64FF" w:rsidRDefault="00752811" w:rsidP="00333C84">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(101)</w:t>
            </w:r>
          </w:p>
        </w:tc>
      </w:tr>
      <w:tr w:rsidR="00752811" w:rsidRPr="00FA64FF" w14:paraId="3879C558" w14:textId="77777777" w:rsidTr="00333C84">
        <w:trPr>
          <w:trHeight w:val="204"/>
        </w:trPr>
        <w:tc>
          <w:tcPr>
            <w:tcW w:w="3119" w:type="dxa"/>
            <w:tcBorders>
              <w:top w:val="nil"/>
              <w:left w:val="nil"/>
              <w:bottom w:val="nil"/>
              <w:right w:val="nil"/>
            </w:tcBorders>
            <w:shd w:val="clear" w:color="auto" w:fill="auto"/>
            <w:vAlign w:val="bottom"/>
            <w:hideMark/>
          </w:tcPr>
          <w:p w14:paraId="0617B9CE" w14:textId="77777777" w:rsidR="00752811" w:rsidRPr="00FA64FF" w:rsidRDefault="00752811" w:rsidP="00333C84">
            <w:pPr>
              <w:spacing w:before="60" w:after="0" w:line="240" w:lineRule="auto"/>
              <w:jc w:val="left"/>
              <w:rPr>
                <w:rFonts w:ascii="Arial" w:hAnsi="Arial" w:cs="Arial"/>
                <w:color w:val="000000"/>
                <w:sz w:val="16"/>
                <w:szCs w:val="16"/>
              </w:rPr>
            </w:pPr>
            <w:r w:rsidRPr="00FA64FF">
              <w:rPr>
                <w:rFonts w:ascii="Arial" w:hAnsi="Arial" w:cs="Arial"/>
                <w:color w:val="000000"/>
                <w:sz w:val="16"/>
                <w:szCs w:val="16"/>
              </w:rPr>
              <w:t>Cash and cash equivalents at the</w:t>
            </w:r>
            <w:r>
              <w:rPr>
                <w:rFonts w:ascii="Arial" w:hAnsi="Arial" w:cs="Arial"/>
                <w:color w:val="000000"/>
                <w:sz w:val="16"/>
                <w:szCs w:val="16"/>
              </w:rPr>
              <w:t xml:space="preserve"> </w:t>
            </w:r>
            <w:r w:rsidRPr="00FA64FF">
              <w:rPr>
                <w:rFonts w:ascii="Arial" w:hAnsi="Arial" w:cs="Arial"/>
                <w:color w:val="000000"/>
                <w:sz w:val="16"/>
                <w:szCs w:val="16"/>
              </w:rPr>
              <w:t>beginning of the reporting period</w:t>
            </w:r>
          </w:p>
        </w:tc>
        <w:tc>
          <w:tcPr>
            <w:tcW w:w="928" w:type="dxa"/>
            <w:tcBorders>
              <w:top w:val="nil"/>
              <w:left w:val="nil"/>
              <w:bottom w:val="nil"/>
              <w:right w:val="nil"/>
            </w:tcBorders>
            <w:shd w:val="clear" w:color="auto" w:fill="auto"/>
            <w:noWrap/>
            <w:vAlign w:val="bottom"/>
            <w:hideMark/>
          </w:tcPr>
          <w:p w14:paraId="573FD180"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6,478</w:t>
            </w:r>
          </w:p>
        </w:tc>
        <w:tc>
          <w:tcPr>
            <w:tcW w:w="876" w:type="dxa"/>
            <w:tcBorders>
              <w:top w:val="nil"/>
              <w:left w:val="nil"/>
              <w:bottom w:val="nil"/>
              <w:right w:val="nil"/>
            </w:tcBorders>
            <w:shd w:val="clear" w:color="000000" w:fill="E6E6E6"/>
            <w:noWrap/>
            <w:vAlign w:val="bottom"/>
            <w:hideMark/>
          </w:tcPr>
          <w:p w14:paraId="46550825"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4,445</w:t>
            </w:r>
          </w:p>
        </w:tc>
        <w:tc>
          <w:tcPr>
            <w:tcW w:w="877" w:type="dxa"/>
            <w:tcBorders>
              <w:top w:val="nil"/>
              <w:left w:val="nil"/>
              <w:bottom w:val="nil"/>
              <w:right w:val="nil"/>
            </w:tcBorders>
            <w:shd w:val="clear" w:color="auto" w:fill="auto"/>
            <w:noWrap/>
            <w:vAlign w:val="bottom"/>
            <w:hideMark/>
          </w:tcPr>
          <w:p w14:paraId="47265BD1"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4,742</w:t>
            </w:r>
          </w:p>
        </w:tc>
        <w:tc>
          <w:tcPr>
            <w:tcW w:w="877" w:type="dxa"/>
            <w:tcBorders>
              <w:top w:val="nil"/>
              <w:left w:val="nil"/>
              <w:bottom w:val="nil"/>
              <w:right w:val="nil"/>
            </w:tcBorders>
            <w:shd w:val="clear" w:color="auto" w:fill="auto"/>
            <w:noWrap/>
            <w:vAlign w:val="bottom"/>
            <w:hideMark/>
          </w:tcPr>
          <w:p w14:paraId="259D3BBE"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4,735</w:t>
            </w:r>
          </w:p>
        </w:tc>
        <w:tc>
          <w:tcPr>
            <w:tcW w:w="877" w:type="dxa"/>
            <w:tcBorders>
              <w:top w:val="nil"/>
              <w:left w:val="nil"/>
              <w:bottom w:val="nil"/>
              <w:right w:val="nil"/>
            </w:tcBorders>
            <w:shd w:val="clear" w:color="auto" w:fill="auto"/>
            <w:noWrap/>
            <w:vAlign w:val="bottom"/>
            <w:hideMark/>
          </w:tcPr>
          <w:p w14:paraId="1C09A132" w14:textId="77777777" w:rsidR="00752811" w:rsidRPr="00FA64FF" w:rsidRDefault="00752811" w:rsidP="00333C84">
            <w:pPr>
              <w:spacing w:after="0" w:line="240" w:lineRule="auto"/>
              <w:jc w:val="right"/>
              <w:rPr>
                <w:rFonts w:ascii="Arial" w:hAnsi="Arial" w:cs="Arial"/>
                <w:color w:val="000000"/>
                <w:sz w:val="16"/>
                <w:szCs w:val="16"/>
              </w:rPr>
            </w:pPr>
            <w:r w:rsidRPr="00FA64FF">
              <w:rPr>
                <w:rFonts w:ascii="Arial" w:hAnsi="Arial" w:cs="Arial"/>
                <w:color w:val="000000"/>
                <w:sz w:val="16"/>
                <w:szCs w:val="16"/>
              </w:rPr>
              <w:t>4,810</w:t>
            </w:r>
          </w:p>
        </w:tc>
      </w:tr>
      <w:tr w:rsidR="00752811" w:rsidRPr="00FA64FF" w14:paraId="765DC88E" w14:textId="77777777" w:rsidTr="00333C84">
        <w:trPr>
          <w:trHeight w:val="204"/>
        </w:trPr>
        <w:tc>
          <w:tcPr>
            <w:tcW w:w="3119" w:type="dxa"/>
            <w:tcBorders>
              <w:top w:val="nil"/>
              <w:left w:val="nil"/>
              <w:bottom w:val="single" w:sz="4" w:space="0" w:color="auto"/>
              <w:right w:val="nil"/>
            </w:tcBorders>
            <w:shd w:val="clear" w:color="auto" w:fill="auto"/>
            <w:vAlign w:val="bottom"/>
            <w:hideMark/>
          </w:tcPr>
          <w:p w14:paraId="32949411" w14:textId="77777777" w:rsidR="00752811" w:rsidRPr="00FA64FF" w:rsidRDefault="00752811" w:rsidP="00333C84">
            <w:pPr>
              <w:spacing w:after="0" w:line="240" w:lineRule="auto"/>
              <w:jc w:val="left"/>
              <w:rPr>
                <w:rFonts w:ascii="Arial" w:hAnsi="Arial" w:cs="Arial"/>
                <w:b/>
                <w:bCs/>
                <w:color w:val="000000"/>
                <w:sz w:val="16"/>
                <w:szCs w:val="16"/>
              </w:rPr>
            </w:pPr>
            <w:r w:rsidRPr="00FA64FF">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FA64FF">
              <w:rPr>
                <w:rFonts w:ascii="Arial" w:hAnsi="Arial" w:cs="Arial"/>
                <w:b/>
                <w:bCs/>
                <w:color w:val="000000"/>
                <w:sz w:val="16"/>
                <w:szCs w:val="16"/>
              </w:rPr>
              <w:t>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09011484" w14:textId="77777777" w:rsidR="00752811" w:rsidRPr="00A167BA" w:rsidRDefault="00752811" w:rsidP="00333C84">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4,445</w:t>
            </w:r>
          </w:p>
        </w:tc>
        <w:tc>
          <w:tcPr>
            <w:tcW w:w="876" w:type="dxa"/>
            <w:tcBorders>
              <w:top w:val="single" w:sz="4" w:space="0" w:color="000000"/>
              <w:left w:val="nil"/>
              <w:bottom w:val="single" w:sz="4" w:space="0" w:color="auto"/>
              <w:right w:val="nil"/>
            </w:tcBorders>
            <w:shd w:val="clear" w:color="000000" w:fill="E6E6E6"/>
            <w:noWrap/>
            <w:vAlign w:val="bottom"/>
            <w:hideMark/>
          </w:tcPr>
          <w:p w14:paraId="097CB23F" w14:textId="77777777" w:rsidR="00752811" w:rsidRPr="00A167BA" w:rsidRDefault="00752811" w:rsidP="00333C84">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4,742</w:t>
            </w:r>
          </w:p>
        </w:tc>
        <w:tc>
          <w:tcPr>
            <w:tcW w:w="877" w:type="dxa"/>
            <w:tcBorders>
              <w:top w:val="single" w:sz="4" w:space="0" w:color="000000"/>
              <w:left w:val="nil"/>
              <w:bottom w:val="single" w:sz="4" w:space="0" w:color="auto"/>
              <w:right w:val="nil"/>
            </w:tcBorders>
            <w:shd w:val="clear" w:color="auto" w:fill="auto"/>
            <w:noWrap/>
            <w:vAlign w:val="bottom"/>
            <w:hideMark/>
          </w:tcPr>
          <w:p w14:paraId="0FCEC766" w14:textId="77777777" w:rsidR="00752811" w:rsidRPr="00A167BA" w:rsidRDefault="00752811" w:rsidP="00333C84">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4,735</w:t>
            </w:r>
          </w:p>
        </w:tc>
        <w:tc>
          <w:tcPr>
            <w:tcW w:w="877" w:type="dxa"/>
            <w:tcBorders>
              <w:top w:val="single" w:sz="4" w:space="0" w:color="000000"/>
              <w:left w:val="nil"/>
              <w:bottom w:val="single" w:sz="4" w:space="0" w:color="auto"/>
              <w:right w:val="nil"/>
            </w:tcBorders>
            <w:shd w:val="clear" w:color="auto" w:fill="auto"/>
            <w:noWrap/>
            <w:vAlign w:val="bottom"/>
            <w:hideMark/>
          </w:tcPr>
          <w:p w14:paraId="0AC4437D" w14:textId="77777777" w:rsidR="00752811" w:rsidRPr="00A167BA" w:rsidRDefault="00752811" w:rsidP="00333C84">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4,810</w:t>
            </w:r>
          </w:p>
        </w:tc>
        <w:tc>
          <w:tcPr>
            <w:tcW w:w="877" w:type="dxa"/>
            <w:tcBorders>
              <w:top w:val="single" w:sz="4" w:space="0" w:color="000000"/>
              <w:left w:val="nil"/>
              <w:bottom w:val="single" w:sz="4" w:space="0" w:color="auto"/>
              <w:right w:val="nil"/>
            </w:tcBorders>
            <w:shd w:val="clear" w:color="auto" w:fill="auto"/>
            <w:noWrap/>
            <w:vAlign w:val="bottom"/>
            <w:hideMark/>
          </w:tcPr>
          <w:p w14:paraId="265DC510" w14:textId="77777777" w:rsidR="00752811" w:rsidRPr="00A167BA" w:rsidRDefault="00752811" w:rsidP="00333C84">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4,709</w:t>
            </w:r>
          </w:p>
        </w:tc>
      </w:tr>
    </w:tbl>
    <w:p w14:paraId="06E3F650" w14:textId="77777777" w:rsidR="00752811" w:rsidRPr="00AA03CC" w:rsidRDefault="00752811" w:rsidP="009F30BC">
      <w:pPr>
        <w:spacing w:before="60" w:after="0"/>
      </w:pPr>
      <w:r w:rsidRPr="00FA64FF">
        <w:rPr>
          <w:rFonts w:ascii="Arial" w:hAnsi="Arial" w:cs="Arial"/>
          <w:color w:val="000000"/>
          <w:sz w:val="16"/>
          <w:szCs w:val="16"/>
        </w:rPr>
        <w:t>Prepared on Australian Accounting Standards basis.</w:t>
      </w:r>
    </w:p>
    <w:p w14:paraId="726CFEF3" w14:textId="77777777" w:rsidR="00752811" w:rsidRPr="00F10305" w:rsidRDefault="00752811" w:rsidP="00752811">
      <w:pPr>
        <w:pStyle w:val="TableGraphic"/>
        <w:tabs>
          <w:tab w:val="left" w:pos="6237"/>
        </w:tabs>
      </w:pPr>
    </w:p>
    <w:p w14:paraId="5A7DB0B4" w14:textId="5F3A523A" w:rsidR="00752811" w:rsidRDefault="00752811" w:rsidP="00752811">
      <w:pPr>
        <w:pStyle w:val="TableHeadingcontinued"/>
      </w:pPr>
      <w:r>
        <w:br w:type="page"/>
      </w:r>
      <w:r w:rsidRPr="00D5378E">
        <w:lastRenderedPageBreak/>
        <w:t xml:space="preserve">Table 3.5: </w:t>
      </w:r>
      <w:r w:rsidR="003C4CC6">
        <w:t>Department</w:t>
      </w:r>
      <w:r w:rsidRPr="00D5378E">
        <w:t>al capital budget statement (for the period ended 30 June)</w:t>
      </w:r>
    </w:p>
    <w:tbl>
      <w:tblPr>
        <w:tblW w:w="0" w:type="auto"/>
        <w:tblLayout w:type="fixed"/>
        <w:tblLook w:val="04A0" w:firstRow="1" w:lastRow="0" w:firstColumn="1" w:lastColumn="0" w:noHBand="0" w:noVBand="1"/>
      </w:tblPr>
      <w:tblGrid>
        <w:gridCol w:w="3261"/>
        <w:gridCol w:w="928"/>
        <w:gridCol w:w="856"/>
        <w:gridCol w:w="857"/>
        <w:gridCol w:w="857"/>
        <w:gridCol w:w="857"/>
      </w:tblGrid>
      <w:tr w:rsidR="00752811" w:rsidRPr="00DB1D74" w14:paraId="578E3A91" w14:textId="77777777" w:rsidTr="00333C84">
        <w:trPr>
          <w:trHeight w:val="204"/>
        </w:trPr>
        <w:tc>
          <w:tcPr>
            <w:tcW w:w="3261" w:type="dxa"/>
            <w:tcBorders>
              <w:top w:val="single" w:sz="4" w:space="0" w:color="auto"/>
              <w:left w:val="nil"/>
              <w:bottom w:val="nil"/>
              <w:right w:val="nil"/>
            </w:tcBorders>
            <w:shd w:val="clear" w:color="auto" w:fill="auto"/>
            <w:noWrap/>
            <w:vAlign w:val="bottom"/>
            <w:hideMark/>
          </w:tcPr>
          <w:p w14:paraId="22F0D01F" w14:textId="77777777" w:rsidR="00752811" w:rsidRPr="00DB1D74" w:rsidRDefault="00752811" w:rsidP="00333C84">
            <w:pPr>
              <w:spacing w:after="0" w:line="240" w:lineRule="auto"/>
              <w:jc w:val="left"/>
              <w:rPr>
                <w:rFonts w:ascii="Arial" w:hAnsi="Arial" w:cs="Arial"/>
                <w:b/>
                <w:bCs/>
                <w:sz w:val="16"/>
                <w:szCs w:val="16"/>
              </w:rPr>
            </w:pPr>
            <w:r w:rsidRPr="00DB1D74">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B6CE9DD"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2021-22 Estimated actual</w:t>
            </w:r>
            <w:r w:rsidRPr="00DB1D74">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6C548A64"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2022-23</w:t>
            </w:r>
            <w:r w:rsidRPr="00DB1D74">
              <w:rPr>
                <w:rFonts w:ascii="Arial" w:hAnsi="Arial" w:cs="Arial"/>
                <w:sz w:val="16"/>
                <w:szCs w:val="16"/>
              </w:rPr>
              <w:br/>
              <w:t>Budget</w:t>
            </w:r>
            <w:r w:rsidRPr="00DB1D74">
              <w:rPr>
                <w:rFonts w:ascii="Arial" w:hAnsi="Arial" w:cs="Arial"/>
                <w:sz w:val="16"/>
                <w:szCs w:val="16"/>
              </w:rPr>
              <w:br/>
            </w:r>
            <w:r w:rsidRPr="00DB1D74">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024E06A2"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2023-24 Forward estimate</w:t>
            </w:r>
            <w:r w:rsidRPr="00DB1D74">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06612256"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2024-25 Forward estimate</w:t>
            </w:r>
            <w:r w:rsidRPr="00DB1D74">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576EFA89"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2025-26</w:t>
            </w:r>
            <w:r w:rsidRPr="00DB1D74">
              <w:rPr>
                <w:rFonts w:ascii="Arial" w:hAnsi="Arial" w:cs="Arial"/>
                <w:sz w:val="16"/>
                <w:szCs w:val="16"/>
              </w:rPr>
              <w:br/>
              <w:t>Forward estimate</w:t>
            </w:r>
            <w:r w:rsidRPr="00DB1D74">
              <w:rPr>
                <w:rFonts w:ascii="Arial" w:hAnsi="Arial" w:cs="Arial"/>
                <w:sz w:val="16"/>
                <w:szCs w:val="16"/>
              </w:rPr>
              <w:br/>
              <w:t>$'000</w:t>
            </w:r>
          </w:p>
        </w:tc>
      </w:tr>
      <w:tr w:rsidR="00752811" w:rsidRPr="00DB1D74" w14:paraId="11AFA162" w14:textId="77777777" w:rsidTr="00333C84">
        <w:trPr>
          <w:trHeight w:val="204"/>
        </w:trPr>
        <w:tc>
          <w:tcPr>
            <w:tcW w:w="3261" w:type="dxa"/>
            <w:tcBorders>
              <w:top w:val="nil"/>
              <w:left w:val="nil"/>
              <w:bottom w:val="nil"/>
              <w:right w:val="nil"/>
            </w:tcBorders>
            <w:shd w:val="clear" w:color="auto" w:fill="auto"/>
            <w:vAlign w:val="bottom"/>
            <w:hideMark/>
          </w:tcPr>
          <w:p w14:paraId="0669B14F" w14:textId="77777777" w:rsidR="00752811" w:rsidRPr="00DB1D74" w:rsidRDefault="00752811" w:rsidP="00333C84">
            <w:pPr>
              <w:spacing w:after="0" w:line="240" w:lineRule="auto"/>
              <w:jc w:val="left"/>
              <w:rPr>
                <w:rFonts w:ascii="Arial" w:hAnsi="Arial" w:cs="Arial"/>
                <w:b/>
                <w:bCs/>
                <w:sz w:val="16"/>
                <w:szCs w:val="16"/>
              </w:rPr>
            </w:pPr>
            <w:r w:rsidRPr="00DB1D74">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1FC3D501" w14:textId="77777777" w:rsidR="00752811" w:rsidRPr="00DB1D74" w:rsidRDefault="00752811" w:rsidP="00333C84">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14:paraId="36CF4EC5" w14:textId="77777777" w:rsidR="00752811" w:rsidRPr="00DB1D74"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4A0DB960" w14:textId="77777777" w:rsidR="00752811" w:rsidRPr="00DB1D74"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0B8D819A"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vAlign w:val="bottom"/>
            <w:hideMark/>
          </w:tcPr>
          <w:p w14:paraId="4EB1AFBC" w14:textId="77777777" w:rsidR="00752811" w:rsidRPr="0016574C" w:rsidRDefault="00752811" w:rsidP="00333C84">
            <w:pPr>
              <w:spacing w:after="0" w:line="240" w:lineRule="auto"/>
              <w:jc w:val="right"/>
              <w:rPr>
                <w:rFonts w:ascii="Times New Roman" w:hAnsi="Times New Roman"/>
                <w:sz w:val="16"/>
                <w:szCs w:val="16"/>
              </w:rPr>
            </w:pPr>
          </w:p>
        </w:tc>
      </w:tr>
      <w:tr w:rsidR="00752811" w:rsidRPr="00DB1D74" w14:paraId="6AD5D7D1" w14:textId="77777777" w:rsidTr="00333C84">
        <w:trPr>
          <w:trHeight w:val="204"/>
        </w:trPr>
        <w:tc>
          <w:tcPr>
            <w:tcW w:w="3261" w:type="dxa"/>
            <w:tcBorders>
              <w:top w:val="nil"/>
              <w:left w:val="nil"/>
              <w:bottom w:val="nil"/>
              <w:right w:val="nil"/>
            </w:tcBorders>
            <w:shd w:val="clear" w:color="auto" w:fill="auto"/>
            <w:vAlign w:val="bottom"/>
            <w:hideMark/>
          </w:tcPr>
          <w:p w14:paraId="19CED72A" w14:textId="28C749C5" w:rsidR="00752811" w:rsidRPr="00DB1D74" w:rsidRDefault="00752811" w:rsidP="00333C84">
            <w:pPr>
              <w:spacing w:after="0" w:line="240" w:lineRule="auto"/>
              <w:ind w:left="113"/>
              <w:jc w:val="left"/>
              <w:rPr>
                <w:rFonts w:ascii="Arial" w:hAnsi="Arial" w:cs="Arial"/>
                <w:sz w:val="16"/>
                <w:szCs w:val="16"/>
              </w:rPr>
            </w:pPr>
            <w:r w:rsidRPr="00DB1D74">
              <w:rPr>
                <w:rFonts w:ascii="Arial" w:hAnsi="Arial" w:cs="Arial"/>
                <w:sz w:val="16"/>
                <w:szCs w:val="16"/>
              </w:rPr>
              <w:t xml:space="preserve">Funded internally from </w:t>
            </w:r>
            <w:r w:rsidR="003C4CC6">
              <w:rPr>
                <w:rFonts w:ascii="Arial" w:hAnsi="Arial" w:cs="Arial"/>
                <w:sz w:val="16"/>
                <w:szCs w:val="16"/>
              </w:rPr>
              <w:t>Department</w:t>
            </w:r>
            <w:r w:rsidRPr="00DB1D74">
              <w:rPr>
                <w:rFonts w:ascii="Arial" w:hAnsi="Arial" w:cs="Arial"/>
                <w:sz w:val="16"/>
                <w:szCs w:val="16"/>
              </w:rPr>
              <w:t xml:space="preserve">al resources </w:t>
            </w:r>
            <w:r w:rsidRPr="00DB1D74">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2F212054"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85</w:t>
            </w:r>
          </w:p>
        </w:tc>
        <w:tc>
          <w:tcPr>
            <w:tcW w:w="856" w:type="dxa"/>
            <w:tcBorders>
              <w:top w:val="nil"/>
              <w:left w:val="nil"/>
              <w:bottom w:val="nil"/>
              <w:right w:val="nil"/>
            </w:tcBorders>
            <w:shd w:val="clear" w:color="000000" w:fill="E6E6E6"/>
            <w:noWrap/>
            <w:vAlign w:val="bottom"/>
            <w:hideMark/>
          </w:tcPr>
          <w:p w14:paraId="24E20797"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13</w:t>
            </w:r>
          </w:p>
        </w:tc>
        <w:tc>
          <w:tcPr>
            <w:tcW w:w="857" w:type="dxa"/>
            <w:tcBorders>
              <w:top w:val="nil"/>
              <w:left w:val="nil"/>
              <w:bottom w:val="nil"/>
              <w:right w:val="nil"/>
            </w:tcBorders>
            <w:shd w:val="clear" w:color="auto" w:fill="auto"/>
            <w:noWrap/>
            <w:vAlign w:val="bottom"/>
            <w:hideMark/>
          </w:tcPr>
          <w:p w14:paraId="0E49F3DD"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91</w:t>
            </w:r>
          </w:p>
        </w:tc>
        <w:tc>
          <w:tcPr>
            <w:tcW w:w="857" w:type="dxa"/>
            <w:tcBorders>
              <w:top w:val="nil"/>
              <w:left w:val="nil"/>
              <w:bottom w:val="nil"/>
              <w:right w:val="nil"/>
            </w:tcBorders>
            <w:shd w:val="clear" w:color="auto" w:fill="auto"/>
            <w:noWrap/>
            <w:vAlign w:val="bottom"/>
            <w:hideMark/>
          </w:tcPr>
          <w:p w14:paraId="461D2E1E"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60</w:t>
            </w:r>
          </w:p>
        </w:tc>
        <w:tc>
          <w:tcPr>
            <w:tcW w:w="857" w:type="dxa"/>
            <w:tcBorders>
              <w:top w:val="nil"/>
              <w:left w:val="nil"/>
              <w:bottom w:val="nil"/>
              <w:right w:val="nil"/>
            </w:tcBorders>
            <w:shd w:val="clear" w:color="auto" w:fill="auto"/>
            <w:noWrap/>
            <w:vAlign w:val="bottom"/>
            <w:hideMark/>
          </w:tcPr>
          <w:p w14:paraId="687EFDA7"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133</w:t>
            </w:r>
          </w:p>
        </w:tc>
      </w:tr>
      <w:tr w:rsidR="00752811" w:rsidRPr="00DB1D74" w14:paraId="72C11A49" w14:textId="77777777" w:rsidTr="00333C84">
        <w:trPr>
          <w:trHeight w:val="204"/>
        </w:trPr>
        <w:tc>
          <w:tcPr>
            <w:tcW w:w="3261" w:type="dxa"/>
            <w:tcBorders>
              <w:top w:val="nil"/>
              <w:left w:val="nil"/>
              <w:bottom w:val="nil"/>
              <w:right w:val="nil"/>
            </w:tcBorders>
            <w:shd w:val="clear" w:color="auto" w:fill="auto"/>
            <w:noWrap/>
            <w:vAlign w:val="bottom"/>
            <w:hideMark/>
          </w:tcPr>
          <w:p w14:paraId="28C55933" w14:textId="77777777" w:rsidR="00752811" w:rsidRPr="00DB1D74" w:rsidRDefault="00752811" w:rsidP="00333C84">
            <w:pPr>
              <w:spacing w:after="0" w:line="240" w:lineRule="auto"/>
              <w:jc w:val="left"/>
              <w:rPr>
                <w:rFonts w:ascii="Arial" w:hAnsi="Arial" w:cs="Arial"/>
                <w:b/>
                <w:bCs/>
                <w:sz w:val="16"/>
                <w:szCs w:val="16"/>
              </w:rPr>
            </w:pPr>
            <w:r w:rsidRPr="00DB1D74">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35FBBF23"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85</w:t>
            </w:r>
          </w:p>
        </w:tc>
        <w:tc>
          <w:tcPr>
            <w:tcW w:w="856" w:type="dxa"/>
            <w:tcBorders>
              <w:top w:val="single" w:sz="4" w:space="0" w:color="auto"/>
              <w:left w:val="nil"/>
              <w:bottom w:val="single" w:sz="4" w:space="0" w:color="auto"/>
              <w:right w:val="nil"/>
            </w:tcBorders>
            <w:shd w:val="clear" w:color="000000" w:fill="E6E6E6"/>
            <w:noWrap/>
            <w:vAlign w:val="bottom"/>
            <w:hideMark/>
          </w:tcPr>
          <w:p w14:paraId="15E071BE"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13</w:t>
            </w:r>
          </w:p>
        </w:tc>
        <w:tc>
          <w:tcPr>
            <w:tcW w:w="857" w:type="dxa"/>
            <w:tcBorders>
              <w:top w:val="single" w:sz="4" w:space="0" w:color="auto"/>
              <w:left w:val="nil"/>
              <w:bottom w:val="single" w:sz="4" w:space="0" w:color="auto"/>
              <w:right w:val="nil"/>
            </w:tcBorders>
            <w:shd w:val="clear" w:color="auto" w:fill="auto"/>
            <w:noWrap/>
            <w:vAlign w:val="bottom"/>
            <w:hideMark/>
          </w:tcPr>
          <w:p w14:paraId="5E783933"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91</w:t>
            </w:r>
          </w:p>
        </w:tc>
        <w:tc>
          <w:tcPr>
            <w:tcW w:w="857" w:type="dxa"/>
            <w:tcBorders>
              <w:top w:val="single" w:sz="4" w:space="0" w:color="auto"/>
              <w:left w:val="nil"/>
              <w:bottom w:val="single" w:sz="4" w:space="0" w:color="auto"/>
              <w:right w:val="nil"/>
            </w:tcBorders>
            <w:shd w:val="clear" w:color="auto" w:fill="auto"/>
            <w:noWrap/>
            <w:vAlign w:val="bottom"/>
            <w:hideMark/>
          </w:tcPr>
          <w:p w14:paraId="453735B0"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60</w:t>
            </w:r>
          </w:p>
        </w:tc>
        <w:tc>
          <w:tcPr>
            <w:tcW w:w="857" w:type="dxa"/>
            <w:tcBorders>
              <w:top w:val="single" w:sz="4" w:space="0" w:color="auto"/>
              <w:left w:val="nil"/>
              <w:bottom w:val="single" w:sz="4" w:space="0" w:color="auto"/>
              <w:right w:val="nil"/>
            </w:tcBorders>
            <w:shd w:val="clear" w:color="auto" w:fill="auto"/>
            <w:noWrap/>
            <w:vAlign w:val="bottom"/>
            <w:hideMark/>
          </w:tcPr>
          <w:p w14:paraId="72138ACF"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133</w:t>
            </w:r>
          </w:p>
        </w:tc>
      </w:tr>
      <w:tr w:rsidR="00752811" w:rsidRPr="00DB1D74" w14:paraId="10C11697" w14:textId="77777777" w:rsidTr="00333C84">
        <w:trPr>
          <w:trHeight w:val="204"/>
        </w:trPr>
        <w:tc>
          <w:tcPr>
            <w:tcW w:w="3261" w:type="dxa"/>
            <w:tcBorders>
              <w:top w:val="nil"/>
              <w:left w:val="nil"/>
              <w:bottom w:val="nil"/>
              <w:right w:val="nil"/>
            </w:tcBorders>
            <w:shd w:val="clear" w:color="auto" w:fill="auto"/>
            <w:vAlign w:val="bottom"/>
            <w:hideMark/>
          </w:tcPr>
          <w:p w14:paraId="751A62B8" w14:textId="77777777" w:rsidR="00752811" w:rsidRPr="00DB1D74" w:rsidRDefault="00752811" w:rsidP="00333C84">
            <w:pPr>
              <w:spacing w:after="0" w:line="240" w:lineRule="auto"/>
              <w:jc w:val="left"/>
              <w:rPr>
                <w:rFonts w:ascii="Arial" w:hAnsi="Arial" w:cs="Arial"/>
                <w:b/>
                <w:bCs/>
                <w:sz w:val="16"/>
                <w:szCs w:val="16"/>
              </w:rPr>
            </w:pPr>
            <w:r w:rsidRPr="00DB1D74">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104A24F5" w14:textId="77777777" w:rsidR="00752811" w:rsidRPr="00DB1D74" w:rsidRDefault="00752811" w:rsidP="00333C84">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07788514" w14:textId="77777777" w:rsidR="00752811" w:rsidRPr="00DB1D74"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595FAFA" w14:textId="77777777" w:rsidR="00752811" w:rsidRPr="00DB1D74"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5CA10D3" w14:textId="77777777" w:rsidR="00752811" w:rsidRPr="0016574C"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43F45DD9" w14:textId="77777777" w:rsidR="00752811" w:rsidRPr="0016574C" w:rsidRDefault="00752811" w:rsidP="00333C84">
            <w:pPr>
              <w:spacing w:after="0" w:line="240" w:lineRule="auto"/>
              <w:jc w:val="right"/>
              <w:rPr>
                <w:rFonts w:ascii="Times New Roman" w:hAnsi="Times New Roman"/>
                <w:sz w:val="16"/>
                <w:szCs w:val="16"/>
              </w:rPr>
            </w:pPr>
          </w:p>
        </w:tc>
      </w:tr>
      <w:tr w:rsidR="00752811" w:rsidRPr="00DB1D74" w14:paraId="5D10800C" w14:textId="77777777" w:rsidTr="00333C84">
        <w:trPr>
          <w:trHeight w:val="204"/>
        </w:trPr>
        <w:tc>
          <w:tcPr>
            <w:tcW w:w="3261" w:type="dxa"/>
            <w:tcBorders>
              <w:top w:val="nil"/>
              <w:left w:val="nil"/>
              <w:bottom w:val="nil"/>
              <w:right w:val="nil"/>
            </w:tcBorders>
            <w:shd w:val="clear" w:color="auto" w:fill="auto"/>
            <w:noWrap/>
            <w:vAlign w:val="bottom"/>
            <w:hideMark/>
          </w:tcPr>
          <w:p w14:paraId="5A8C60A4" w14:textId="77777777" w:rsidR="00752811" w:rsidRPr="00DB1D74" w:rsidRDefault="00752811" w:rsidP="00333C84">
            <w:pPr>
              <w:spacing w:after="0" w:line="240" w:lineRule="auto"/>
              <w:ind w:left="113"/>
              <w:jc w:val="left"/>
              <w:rPr>
                <w:rFonts w:ascii="Arial" w:hAnsi="Arial" w:cs="Arial"/>
                <w:sz w:val="16"/>
                <w:szCs w:val="16"/>
              </w:rPr>
            </w:pPr>
            <w:r w:rsidRPr="00DB1D74">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56645FD9"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85</w:t>
            </w:r>
          </w:p>
        </w:tc>
        <w:tc>
          <w:tcPr>
            <w:tcW w:w="856" w:type="dxa"/>
            <w:tcBorders>
              <w:top w:val="nil"/>
              <w:left w:val="nil"/>
              <w:bottom w:val="nil"/>
              <w:right w:val="nil"/>
            </w:tcBorders>
            <w:shd w:val="clear" w:color="000000" w:fill="E6E6E6"/>
            <w:noWrap/>
            <w:vAlign w:val="bottom"/>
            <w:hideMark/>
          </w:tcPr>
          <w:p w14:paraId="63BDF3BA"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13</w:t>
            </w:r>
          </w:p>
        </w:tc>
        <w:tc>
          <w:tcPr>
            <w:tcW w:w="857" w:type="dxa"/>
            <w:tcBorders>
              <w:top w:val="nil"/>
              <w:left w:val="nil"/>
              <w:bottom w:val="nil"/>
              <w:right w:val="nil"/>
            </w:tcBorders>
            <w:shd w:val="clear" w:color="auto" w:fill="auto"/>
            <w:noWrap/>
            <w:vAlign w:val="bottom"/>
            <w:hideMark/>
          </w:tcPr>
          <w:p w14:paraId="093C15FE"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91</w:t>
            </w:r>
          </w:p>
        </w:tc>
        <w:tc>
          <w:tcPr>
            <w:tcW w:w="857" w:type="dxa"/>
            <w:tcBorders>
              <w:top w:val="nil"/>
              <w:left w:val="nil"/>
              <w:bottom w:val="nil"/>
              <w:right w:val="nil"/>
            </w:tcBorders>
            <w:shd w:val="clear" w:color="auto" w:fill="auto"/>
            <w:noWrap/>
            <w:vAlign w:val="bottom"/>
            <w:hideMark/>
          </w:tcPr>
          <w:p w14:paraId="61246892"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60</w:t>
            </w:r>
          </w:p>
        </w:tc>
        <w:tc>
          <w:tcPr>
            <w:tcW w:w="857" w:type="dxa"/>
            <w:tcBorders>
              <w:top w:val="nil"/>
              <w:left w:val="nil"/>
              <w:bottom w:val="nil"/>
              <w:right w:val="nil"/>
            </w:tcBorders>
            <w:shd w:val="clear" w:color="auto" w:fill="auto"/>
            <w:noWrap/>
            <w:vAlign w:val="bottom"/>
            <w:hideMark/>
          </w:tcPr>
          <w:p w14:paraId="4CCC84D3" w14:textId="77777777" w:rsidR="00752811" w:rsidRPr="00DB1D74" w:rsidRDefault="00752811" w:rsidP="00333C84">
            <w:pPr>
              <w:spacing w:after="0" w:line="240" w:lineRule="auto"/>
              <w:jc w:val="right"/>
              <w:rPr>
                <w:rFonts w:ascii="Arial" w:hAnsi="Arial" w:cs="Arial"/>
                <w:sz w:val="16"/>
                <w:szCs w:val="16"/>
              </w:rPr>
            </w:pPr>
            <w:r w:rsidRPr="00DB1D74">
              <w:rPr>
                <w:rFonts w:ascii="Arial" w:hAnsi="Arial" w:cs="Arial"/>
                <w:sz w:val="16"/>
                <w:szCs w:val="16"/>
              </w:rPr>
              <w:t>133</w:t>
            </w:r>
          </w:p>
        </w:tc>
      </w:tr>
      <w:tr w:rsidR="00752811" w:rsidRPr="00DB1D74" w14:paraId="01BF42AD" w14:textId="77777777" w:rsidTr="00333C84">
        <w:trPr>
          <w:trHeight w:val="204"/>
        </w:trPr>
        <w:tc>
          <w:tcPr>
            <w:tcW w:w="3261" w:type="dxa"/>
            <w:tcBorders>
              <w:top w:val="nil"/>
              <w:left w:val="nil"/>
              <w:bottom w:val="single" w:sz="4" w:space="0" w:color="auto"/>
              <w:right w:val="nil"/>
            </w:tcBorders>
            <w:shd w:val="clear" w:color="auto" w:fill="auto"/>
            <w:vAlign w:val="bottom"/>
            <w:hideMark/>
          </w:tcPr>
          <w:p w14:paraId="5D0D2DB1" w14:textId="77777777" w:rsidR="00752811" w:rsidRPr="00DB1D74" w:rsidRDefault="00752811" w:rsidP="00333C84">
            <w:pPr>
              <w:spacing w:after="0" w:line="240" w:lineRule="auto"/>
              <w:jc w:val="left"/>
              <w:rPr>
                <w:rFonts w:ascii="Arial" w:hAnsi="Arial" w:cs="Arial"/>
                <w:b/>
                <w:bCs/>
                <w:sz w:val="16"/>
                <w:szCs w:val="16"/>
              </w:rPr>
            </w:pPr>
            <w:r w:rsidRPr="00DB1D74">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5D9EB744"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85</w:t>
            </w:r>
          </w:p>
        </w:tc>
        <w:tc>
          <w:tcPr>
            <w:tcW w:w="856" w:type="dxa"/>
            <w:tcBorders>
              <w:top w:val="single" w:sz="4" w:space="0" w:color="auto"/>
              <w:left w:val="nil"/>
              <w:bottom w:val="single" w:sz="4" w:space="0" w:color="auto"/>
              <w:right w:val="nil"/>
            </w:tcBorders>
            <w:shd w:val="clear" w:color="000000" w:fill="E6E6E6"/>
            <w:noWrap/>
            <w:vAlign w:val="bottom"/>
            <w:hideMark/>
          </w:tcPr>
          <w:p w14:paraId="2CE98EFC"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13</w:t>
            </w:r>
          </w:p>
        </w:tc>
        <w:tc>
          <w:tcPr>
            <w:tcW w:w="857" w:type="dxa"/>
            <w:tcBorders>
              <w:top w:val="single" w:sz="4" w:space="0" w:color="auto"/>
              <w:left w:val="nil"/>
              <w:bottom w:val="single" w:sz="4" w:space="0" w:color="auto"/>
              <w:right w:val="nil"/>
            </w:tcBorders>
            <w:shd w:val="clear" w:color="auto" w:fill="auto"/>
            <w:noWrap/>
            <w:vAlign w:val="bottom"/>
            <w:hideMark/>
          </w:tcPr>
          <w:p w14:paraId="171F26E0"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91</w:t>
            </w:r>
          </w:p>
        </w:tc>
        <w:tc>
          <w:tcPr>
            <w:tcW w:w="857" w:type="dxa"/>
            <w:tcBorders>
              <w:top w:val="single" w:sz="4" w:space="0" w:color="auto"/>
              <w:left w:val="nil"/>
              <w:bottom w:val="single" w:sz="4" w:space="0" w:color="auto"/>
              <w:right w:val="nil"/>
            </w:tcBorders>
            <w:shd w:val="clear" w:color="auto" w:fill="auto"/>
            <w:noWrap/>
            <w:vAlign w:val="bottom"/>
            <w:hideMark/>
          </w:tcPr>
          <w:p w14:paraId="2123243C"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60</w:t>
            </w:r>
          </w:p>
        </w:tc>
        <w:tc>
          <w:tcPr>
            <w:tcW w:w="857" w:type="dxa"/>
            <w:tcBorders>
              <w:top w:val="single" w:sz="4" w:space="0" w:color="auto"/>
              <w:left w:val="nil"/>
              <w:bottom w:val="single" w:sz="4" w:space="0" w:color="auto"/>
              <w:right w:val="nil"/>
            </w:tcBorders>
            <w:shd w:val="clear" w:color="auto" w:fill="auto"/>
            <w:noWrap/>
            <w:vAlign w:val="bottom"/>
            <w:hideMark/>
          </w:tcPr>
          <w:p w14:paraId="5C31E8DD" w14:textId="77777777" w:rsidR="00752811" w:rsidRPr="00DB1D74" w:rsidRDefault="00752811" w:rsidP="00333C84">
            <w:pPr>
              <w:spacing w:after="0" w:line="240" w:lineRule="auto"/>
              <w:jc w:val="right"/>
              <w:rPr>
                <w:rFonts w:ascii="Arial" w:hAnsi="Arial" w:cs="Arial"/>
                <w:b/>
                <w:bCs/>
                <w:sz w:val="16"/>
                <w:szCs w:val="16"/>
              </w:rPr>
            </w:pPr>
            <w:r w:rsidRPr="00DB1D74">
              <w:rPr>
                <w:rFonts w:ascii="Arial" w:hAnsi="Arial" w:cs="Arial"/>
                <w:b/>
                <w:bCs/>
                <w:sz w:val="16"/>
                <w:szCs w:val="16"/>
              </w:rPr>
              <w:t>133</w:t>
            </w:r>
          </w:p>
        </w:tc>
      </w:tr>
    </w:tbl>
    <w:p w14:paraId="216D98E7" w14:textId="77777777" w:rsidR="00752811" w:rsidRDefault="00752811" w:rsidP="00752811">
      <w:pPr>
        <w:pStyle w:val="TableGraphic"/>
        <w:spacing w:before="60"/>
      </w:pPr>
      <w:r w:rsidRPr="00DB1D74">
        <w:rPr>
          <w:rFonts w:ascii="Arial" w:hAnsi="Arial" w:cs="Arial"/>
          <w:sz w:val="16"/>
          <w:szCs w:val="16"/>
        </w:rPr>
        <w:t>Prepared on Australian Accounting Standards basis.</w:t>
      </w:r>
    </w:p>
    <w:p w14:paraId="048F964A" w14:textId="2BB77F69" w:rsidR="00752811" w:rsidRPr="00D5378E" w:rsidRDefault="00752811" w:rsidP="00787991">
      <w:pPr>
        <w:pStyle w:val="ListParagraph"/>
        <w:numPr>
          <w:ilvl w:val="0"/>
          <w:numId w:val="244"/>
        </w:numPr>
        <w:spacing w:after="0" w:line="240" w:lineRule="auto"/>
        <w:ind w:left="284" w:hanging="284"/>
      </w:pPr>
      <w:r w:rsidRPr="001C30CB">
        <w:rPr>
          <w:rFonts w:ascii="Arial" w:hAnsi="Arial" w:cs="Arial"/>
          <w:sz w:val="16"/>
          <w:szCs w:val="16"/>
        </w:rPr>
        <w:t>Includes the following sources of funding: current Bill 1 and prior year Act 1/3/5 appropriations (excluding amounts from the DCB).</w:t>
      </w:r>
    </w:p>
    <w:p w14:paraId="13853A20" w14:textId="77777777" w:rsidR="00752811" w:rsidRDefault="00752811" w:rsidP="00752811">
      <w:pPr>
        <w:spacing w:after="0" w:line="240" w:lineRule="auto"/>
        <w:jc w:val="left"/>
        <w:rPr>
          <w:rFonts w:ascii="Arial" w:hAnsi="Arial"/>
          <w:b/>
          <w:color w:val="000000"/>
          <w:highlight w:val="green"/>
          <w:lang w:val="x-none" w:eastAsia="x-none"/>
        </w:rPr>
      </w:pPr>
      <w:r>
        <w:rPr>
          <w:highlight w:val="green"/>
        </w:rPr>
        <w:br w:type="page"/>
      </w:r>
    </w:p>
    <w:p w14:paraId="79139BAA" w14:textId="5D409AC0" w:rsidR="00752811" w:rsidRDefault="00752811" w:rsidP="00752811">
      <w:pPr>
        <w:pStyle w:val="TableHeading"/>
      </w:pPr>
      <w:r w:rsidRPr="00C031B6">
        <w:lastRenderedPageBreak/>
        <w:t xml:space="preserve">Table 3.6: Statement of </w:t>
      </w:r>
      <w:r w:rsidR="003C4CC6">
        <w:rPr>
          <w:lang w:val="en-AU"/>
        </w:rPr>
        <w:t>Department</w:t>
      </w:r>
      <w:r w:rsidRPr="00C031B6">
        <w:rPr>
          <w:lang w:val="en-AU"/>
        </w:rPr>
        <w:t xml:space="preserve">al </w:t>
      </w:r>
      <w:r w:rsidRPr="00C031B6">
        <w:t xml:space="preserve">asset movements (Budget year </w:t>
      </w:r>
      <w:r w:rsidRPr="00C031B6">
        <w:rPr>
          <w:lang w:val="en-AU"/>
        </w:rPr>
        <w:t>2022-23</w:t>
      </w:r>
      <w:r w:rsidRPr="00C031B6">
        <w:t>)</w:t>
      </w:r>
    </w:p>
    <w:tbl>
      <w:tblPr>
        <w:tblW w:w="7571" w:type="dxa"/>
        <w:tblLook w:val="04A0" w:firstRow="1" w:lastRow="0" w:firstColumn="1" w:lastColumn="0" w:noHBand="0" w:noVBand="1"/>
      </w:tblPr>
      <w:tblGrid>
        <w:gridCol w:w="4820"/>
        <w:gridCol w:w="895"/>
        <w:gridCol w:w="964"/>
        <w:gridCol w:w="892"/>
      </w:tblGrid>
      <w:tr w:rsidR="00A167BA" w:rsidRPr="00DB1D74" w14:paraId="727B7341" w14:textId="77777777" w:rsidTr="004F42E7">
        <w:trPr>
          <w:trHeight w:val="204"/>
        </w:trPr>
        <w:tc>
          <w:tcPr>
            <w:tcW w:w="4820" w:type="dxa"/>
            <w:tcBorders>
              <w:top w:val="single" w:sz="4" w:space="0" w:color="auto"/>
              <w:left w:val="nil"/>
              <w:bottom w:val="nil"/>
              <w:right w:val="nil"/>
            </w:tcBorders>
            <w:shd w:val="clear" w:color="auto" w:fill="auto"/>
            <w:noWrap/>
            <w:vAlign w:val="bottom"/>
            <w:hideMark/>
          </w:tcPr>
          <w:p w14:paraId="0047B1E3" w14:textId="77777777" w:rsidR="00A167BA" w:rsidRPr="00DB1D74" w:rsidRDefault="00A167BA" w:rsidP="00333C84">
            <w:pPr>
              <w:spacing w:after="0" w:line="240" w:lineRule="auto"/>
              <w:jc w:val="left"/>
              <w:rPr>
                <w:rFonts w:ascii="Arial" w:hAnsi="Arial" w:cs="Arial"/>
                <w:sz w:val="16"/>
                <w:szCs w:val="16"/>
              </w:rPr>
            </w:pPr>
            <w:r w:rsidRPr="00DB1D74">
              <w:rPr>
                <w:rFonts w:ascii="Arial" w:hAnsi="Arial" w:cs="Arial"/>
                <w:sz w:val="16"/>
                <w:szCs w:val="16"/>
              </w:rPr>
              <w:t> </w:t>
            </w:r>
          </w:p>
        </w:tc>
        <w:tc>
          <w:tcPr>
            <w:tcW w:w="2751" w:type="dxa"/>
            <w:gridSpan w:val="3"/>
            <w:tcBorders>
              <w:top w:val="single" w:sz="4" w:space="0" w:color="auto"/>
              <w:left w:val="nil"/>
              <w:bottom w:val="single" w:sz="4" w:space="0" w:color="auto"/>
              <w:right w:val="nil"/>
            </w:tcBorders>
            <w:shd w:val="clear" w:color="auto" w:fill="auto"/>
            <w:vAlign w:val="bottom"/>
          </w:tcPr>
          <w:p w14:paraId="0DCC523C" w14:textId="0E5611E6" w:rsidR="00A167BA" w:rsidRPr="00A167BA" w:rsidRDefault="00A167BA" w:rsidP="00A167BA">
            <w:pPr>
              <w:spacing w:after="0" w:line="240" w:lineRule="auto"/>
              <w:jc w:val="center"/>
              <w:rPr>
                <w:rFonts w:ascii="Arial" w:hAnsi="Arial" w:cs="Arial"/>
                <w:b/>
                <w:sz w:val="16"/>
                <w:szCs w:val="16"/>
              </w:rPr>
            </w:pPr>
            <w:r w:rsidRPr="00A167BA">
              <w:rPr>
                <w:rFonts w:ascii="Arial" w:hAnsi="Arial" w:cs="Arial"/>
                <w:b/>
                <w:sz w:val="16"/>
                <w:szCs w:val="16"/>
              </w:rPr>
              <w:t>Asset Category</w:t>
            </w:r>
          </w:p>
        </w:tc>
      </w:tr>
      <w:tr w:rsidR="00A167BA" w:rsidRPr="00DB1D74" w14:paraId="4F51E5AF" w14:textId="77777777" w:rsidTr="00A167BA">
        <w:trPr>
          <w:trHeight w:val="204"/>
        </w:trPr>
        <w:tc>
          <w:tcPr>
            <w:tcW w:w="4820" w:type="dxa"/>
            <w:tcBorders>
              <w:left w:val="nil"/>
              <w:bottom w:val="nil"/>
              <w:right w:val="nil"/>
            </w:tcBorders>
            <w:shd w:val="clear" w:color="auto" w:fill="auto"/>
            <w:noWrap/>
            <w:vAlign w:val="bottom"/>
          </w:tcPr>
          <w:p w14:paraId="2445F01C" w14:textId="77777777" w:rsidR="00A167BA" w:rsidRPr="00DB1D74" w:rsidRDefault="00A167BA" w:rsidP="00A167BA">
            <w:pPr>
              <w:spacing w:after="0" w:line="240" w:lineRule="auto"/>
              <w:jc w:val="left"/>
              <w:rPr>
                <w:rFonts w:ascii="Arial" w:hAnsi="Arial" w:cs="Arial"/>
                <w:sz w:val="16"/>
                <w:szCs w:val="16"/>
              </w:rPr>
            </w:pPr>
          </w:p>
        </w:tc>
        <w:tc>
          <w:tcPr>
            <w:tcW w:w="895" w:type="dxa"/>
            <w:tcBorders>
              <w:top w:val="single" w:sz="4" w:space="0" w:color="auto"/>
              <w:left w:val="nil"/>
              <w:bottom w:val="single" w:sz="4" w:space="0" w:color="auto"/>
              <w:right w:val="nil"/>
            </w:tcBorders>
            <w:shd w:val="clear" w:color="auto" w:fill="auto"/>
            <w:vAlign w:val="bottom"/>
          </w:tcPr>
          <w:p w14:paraId="2A192C81" w14:textId="3EF4B681"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Buildings</w:t>
            </w:r>
            <w:r w:rsidRPr="00DB1D74">
              <w:rPr>
                <w:rFonts w:ascii="Arial" w:hAnsi="Arial" w:cs="Arial"/>
                <w:sz w:val="16"/>
                <w:szCs w:val="16"/>
              </w:rPr>
              <w:br/>
            </w:r>
            <w:r w:rsidRPr="00DB1D74">
              <w:rPr>
                <w:rFonts w:ascii="Arial" w:hAnsi="Arial" w:cs="Arial"/>
                <w:sz w:val="16"/>
                <w:szCs w:val="16"/>
              </w:rPr>
              <w:br/>
            </w:r>
            <w:r w:rsidRPr="00DB1D74">
              <w:rPr>
                <w:rFonts w:ascii="Arial" w:hAnsi="Arial" w:cs="Arial"/>
                <w:sz w:val="16"/>
                <w:szCs w:val="16"/>
              </w:rPr>
              <w:br/>
            </w:r>
            <w:r w:rsidRPr="00DB1D74">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tcPr>
          <w:p w14:paraId="22CD0B89" w14:textId="4D0A36E6"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Other</w:t>
            </w:r>
            <w:r w:rsidRPr="00DB1D74">
              <w:rPr>
                <w:rFonts w:ascii="Arial" w:hAnsi="Arial" w:cs="Arial"/>
                <w:sz w:val="16"/>
                <w:szCs w:val="16"/>
              </w:rPr>
              <w:br/>
              <w:t>property,</w:t>
            </w:r>
            <w:r w:rsidRPr="00DB1D74">
              <w:rPr>
                <w:rFonts w:ascii="Arial" w:hAnsi="Arial" w:cs="Arial"/>
                <w:sz w:val="16"/>
                <w:szCs w:val="16"/>
              </w:rPr>
              <w:br/>
              <w:t>plant and</w:t>
            </w:r>
            <w:r w:rsidRPr="00DB1D74">
              <w:rPr>
                <w:rFonts w:ascii="Arial" w:hAnsi="Arial" w:cs="Arial"/>
                <w:sz w:val="16"/>
                <w:szCs w:val="16"/>
              </w:rPr>
              <w:br/>
              <w:t>equipment</w:t>
            </w:r>
            <w:r w:rsidRPr="00DB1D74">
              <w:rPr>
                <w:rFonts w:ascii="Arial" w:hAnsi="Arial" w:cs="Arial"/>
                <w:sz w:val="16"/>
                <w:szCs w:val="16"/>
              </w:rPr>
              <w:br/>
              <w:t>$'000</w:t>
            </w:r>
          </w:p>
        </w:tc>
        <w:tc>
          <w:tcPr>
            <w:tcW w:w="892" w:type="dxa"/>
            <w:tcBorders>
              <w:top w:val="single" w:sz="4" w:space="0" w:color="auto"/>
              <w:left w:val="nil"/>
              <w:bottom w:val="single" w:sz="4" w:space="0" w:color="auto"/>
              <w:right w:val="nil"/>
            </w:tcBorders>
            <w:shd w:val="clear" w:color="auto" w:fill="auto"/>
            <w:vAlign w:val="bottom"/>
          </w:tcPr>
          <w:p w14:paraId="2F4042DD" w14:textId="1BE8ECB3"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Total</w:t>
            </w:r>
            <w:r w:rsidRPr="00DB1D74">
              <w:rPr>
                <w:rFonts w:ascii="Arial" w:hAnsi="Arial" w:cs="Arial"/>
                <w:sz w:val="16"/>
                <w:szCs w:val="16"/>
              </w:rPr>
              <w:br/>
            </w:r>
            <w:r w:rsidRPr="00DB1D74">
              <w:rPr>
                <w:rFonts w:ascii="Arial" w:hAnsi="Arial" w:cs="Arial"/>
                <w:sz w:val="16"/>
                <w:szCs w:val="16"/>
              </w:rPr>
              <w:br/>
            </w:r>
            <w:r w:rsidRPr="00DB1D74">
              <w:rPr>
                <w:rFonts w:ascii="Arial" w:hAnsi="Arial" w:cs="Arial"/>
                <w:sz w:val="16"/>
                <w:szCs w:val="16"/>
              </w:rPr>
              <w:br/>
            </w:r>
            <w:r w:rsidRPr="00DB1D74">
              <w:rPr>
                <w:rFonts w:ascii="Arial" w:hAnsi="Arial" w:cs="Arial"/>
                <w:sz w:val="16"/>
                <w:szCs w:val="16"/>
              </w:rPr>
              <w:br/>
              <w:t>$'000</w:t>
            </w:r>
          </w:p>
        </w:tc>
      </w:tr>
      <w:tr w:rsidR="00A167BA" w:rsidRPr="00DB1D74" w14:paraId="5856D606" w14:textId="77777777" w:rsidTr="00333C84">
        <w:trPr>
          <w:trHeight w:val="204"/>
        </w:trPr>
        <w:tc>
          <w:tcPr>
            <w:tcW w:w="4820" w:type="dxa"/>
            <w:tcBorders>
              <w:top w:val="nil"/>
              <w:left w:val="nil"/>
              <w:bottom w:val="nil"/>
              <w:right w:val="nil"/>
            </w:tcBorders>
            <w:shd w:val="clear" w:color="auto" w:fill="auto"/>
            <w:vAlign w:val="bottom"/>
            <w:hideMark/>
          </w:tcPr>
          <w:p w14:paraId="05016BF1" w14:textId="77777777" w:rsidR="00A167BA" w:rsidRPr="00DB1D74" w:rsidRDefault="00A167BA" w:rsidP="00A167BA">
            <w:pPr>
              <w:spacing w:after="0" w:line="240" w:lineRule="auto"/>
              <w:jc w:val="left"/>
              <w:rPr>
                <w:rFonts w:ascii="Arial" w:hAnsi="Arial" w:cs="Arial"/>
                <w:b/>
                <w:bCs/>
                <w:sz w:val="16"/>
                <w:szCs w:val="16"/>
              </w:rPr>
            </w:pPr>
            <w:r w:rsidRPr="00DB1D74">
              <w:rPr>
                <w:rFonts w:ascii="Arial" w:hAnsi="Arial" w:cs="Arial"/>
                <w:b/>
                <w:bCs/>
                <w:sz w:val="16"/>
                <w:szCs w:val="16"/>
              </w:rPr>
              <w:t>As at 1 July 2022</w:t>
            </w:r>
          </w:p>
        </w:tc>
        <w:tc>
          <w:tcPr>
            <w:tcW w:w="895" w:type="dxa"/>
            <w:tcBorders>
              <w:top w:val="nil"/>
              <w:left w:val="nil"/>
              <w:bottom w:val="nil"/>
              <w:right w:val="nil"/>
            </w:tcBorders>
            <w:shd w:val="clear" w:color="auto" w:fill="auto"/>
            <w:noWrap/>
            <w:vAlign w:val="bottom"/>
            <w:hideMark/>
          </w:tcPr>
          <w:p w14:paraId="2296C29C" w14:textId="77777777" w:rsidR="00A167BA" w:rsidRPr="00DB1D74" w:rsidRDefault="00A167BA" w:rsidP="00A167BA">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0CB4AE25" w14:textId="77777777" w:rsidR="00A167BA" w:rsidRPr="0016574C" w:rsidRDefault="00A167BA" w:rsidP="00A167BA">
            <w:pPr>
              <w:spacing w:after="0" w:line="240" w:lineRule="auto"/>
              <w:jc w:val="right"/>
              <w:rPr>
                <w:rFonts w:ascii="Arial" w:hAnsi="Arial" w:cs="Arial"/>
                <w:sz w:val="16"/>
                <w:szCs w:val="16"/>
              </w:rPr>
            </w:pPr>
          </w:p>
        </w:tc>
        <w:tc>
          <w:tcPr>
            <w:tcW w:w="892" w:type="dxa"/>
            <w:tcBorders>
              <w:top w:val="nil"/>
              <w:left w:val="nil"/>
              <w:bottom w:val="nil"/>
              <w:right w:val="nil"/>
            </w:tcBorders>
            <w:shd w:val="clear" w:color="auto" w:fill="auto"/>
            <w:noWrap/>
            <w:vAlign w:val="bottom"/>
            <w:hideMark/>
          </w:tcPr>
          <w:p w14:paraId="0A898242" w14:textId="77777777" w:rsidR="00A167BA" w:rsidRPr="0016574C" w:rsidRDefault="00A167BA" w:rsidP="00A167BA">
            <w:pPr>
              <w:spacing w:after="0" w:line="240" w:lineRule="auto"/>
              <w:jc w:val="right"/>
              <w:rPr>
                <w:rFonts w:ascii="Arial" w:hAnsi="Arial" w:cs="Arial"/>
                <w:sz w:val="16"/>
                <w:szCs w:val="16"/>
              </w:rPr>
            </w:pPr>
          </w:p>
        </w:tc>
      </w:tr>
      <w:tr w:rsidR="00A167BA" w:rsidRPr="00DB1D74" w14:paraId="78C2FEAF" w14:textId="77777777" w:rsidTr="00333C84">
        <w:trPr>
          <w:trHeight w:val="204"/>
        </w:trPr>
        <w:tc>
          <w:tcPr>
            <w:tcW w:w="4820" w:type="dxa"/>
            <w:tcBorders>
              <w:top w:val="nil"/>
              <w:left w:val="nil"/>
              <w:bottom w:val="nil"/>
              <w:right w:val="nil"/>
            </w:tcBorders>
            <w:shd w:val="clear" w:color="auto" w:fill="auto"/>
            <w:vAlign w:val="bottom"/>
            <w:hideMark/>
          </w:tcPr>
          <w:p w14:paraId="165D78ED" w14:textId="77777777" w:rsidR="00A167BA" w:rsidRPr="00DB1D74" w:rsidRDefault="00A167BA" w:rsidP="00A167BA">
            <w:pPr>
              <w:spacing w:after="0" w:line="240" w:lineRule="auto"/>
              <w:ind w:left="113"/>
              <w:jc w:val="left"/>
              <w:rPr>
                <w:rFonts w:ascii="Arial" w:hAnsi="Arial" w:cs="Arial"/>
                <w:sz w:val="16"/>
                <w:szCs w:val="16"/>
              </w:rPr>
            </w:pPr>
            <w:r w:rsidRPr="00DB1D74">
              <w:rPr>
                <w:rFonts w:ascii="Arial" w:hAnsi="Arial" w:cs="Arial"/>
                <w:sz w:val="16"/>
                <w:szCs w:val="16"/>
              </w:rPr>
              <w:t xml:space="preserve">Gross book value </w:t>
            </w:r>
          </w:p>
        </w:tc>
        <w:tc>
          <w:tcPr>
            <w:tcW w:w="895" w:type="dxa"/>
            <w:tcBorders>
              <w:top w:val="nil"/>
              <w:left w:val="nil"/>
              <w:bottom w:val="nil"/>
              <w:right w:val="nil"/>
            </w:tcBorders>
            <w:shd w:val="clear" w:color="auto" w:fill="auto"/>
            <w:noWrap/>
            <w:vAlign w:val="bottom"/>
            <w:hideMark/>
          </w:tcPr>
          <w:p w14:paraId="1AF4E049"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1,207</w:t>
            </w:r>
          </w:p>
        </w:tc>
        <w:tc>
          <w:tcPr>
            <w:tcW w:w="964" w:type="dxa"/>
            <w:tcBorders>
              <w:top w:val="nil"/>
              <w:left w:val="nil"/>
              <w:bottom w:val="nil"/>
              <w:right w:val="nil"/>
            </w:tcBorders>
            <w:shd w:val="clear" w:color="auto" w:fill="auto"/>
            <w:noWrap/>
            <w:vAlign w:val="bottom"/>
            <w:hideMark/>
          </w:tcPr>
          <w:p w14:paraId="3F4D0F3C"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715</w:t>
            </w:r>
          </w:p>
        </w:tc>
        <w:tc>
          <w:tcPr>
            <w:tcW w:w="892" w:type="dxa"/>
            <w:tcBorders>
              <w:top w:val="nil"/>
              <w:left w:val="nil"/>
              <w:bottom w:val="nil"/>
              <w:right w:val="nil"/>
            </w:tcBorders>
            <w:shd w:val="clear" w:color="auto" w:fill="auto"/>
            <w:noWrap/>
            <w:vAlign w:val="bottom"/>
            <w:hideMark/>
          </w:tcPr>
          <w:p w14:paraId="0A4E4BEA"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1,922</w:t>
            </w:r>
          </w:p>
        </w:tc>
      </w:tr>
      <w:tr w:rsidR="00A167BA" w:rsidRPr="00DB1D74" w14:paraId="160B8F17" w14:textId="77777777" w:rsidTr="00333C84">
        <w:trPr>
          <w:trHeight w:val="204"/>
        </w:trPr>
        <w:tc>
          <w:tcPr>
            <w:tcW w:w="4820" w:type="dxa"/>
            <w:tcBorders>
              <w:top w:val="nil"/>
              <w:left w:val="nil"/>
              <w:bottom w:val="nil"/>
              <w:right w:val="nil"/>
            </w:tcBorders>
            <w:shd w:val="clear" w:color="auto" w:fill="auto"/>
            <w:noWrap/>
            <w:vAlign w:val="bottom"/>
            <w:hideMark/>
          </w:tcPr>
          <w:p w14:paraId="6BB185FE" w14:textId="77777777" w:rsidR="00A167BA" w:rsidRPr="00DB1D74" w:rsidRDefault="00A167BA" w:rsidP="00A167BA">
            <w:pPr>
              <w:spacing w:after="0" w:line="240" w:lineRule="auto"/>
              <w:ind w:left="113"/>
              <w:jc w:val="left"/>
              <w:rPr>
                <w:rFonts w:ascii="Arial" w:hAnsi="Arial" w:cs="Arial"/>
                <w:sz w:val="16"/>
                <w:szCs w:val="16"/>
              </w:rPr>
            </w:pPr>
            <w:r w:rsidRPr="00DB1D74">
              <w:rPr>
                <w:rFonts w:ascii="Arial" w:hAnsi="Arial" w:cs="Arial"/>
                <w:sz w:val="16"/>
                <w:szCs w:val="16"/>
              </w:rPr>
              <w:t>Gross book value - ROU assets</w:t>
            </w:r>
          </w:p>
        </w:tc>
        <w:tc>
          <w:tcPr>
            <w:tcW w:w="895" w:type="dxa"/>
            <w:tcBorders>
              <w:top w:val="nil"/>
              <w:left w:val="nil"/>
              <w:bottom w:val="nil"/>
              <w:right w:val="nil"/>
            </w:tcBorders>
            <w:shd w:val="clear" w:color="auto" w:fill="auto"/>
            <w:noWrap/>
            <w:vAlign w:val="bottom"/>
            <w:hideMark/>
          </w:tcPr>
          <w:p w14:paraId="146E5C62"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4,744</w:t>
            </w:r>
          </w:p>
        </w:tc>
        <w:tc>
          <w:tcPr>
            <w:tcW w:w="964" w:type="dxa"/>
            <w:tcBorders>
              <w:top w:val="nil"/>
              <w:left w:val="nil"/>
              <w:bottom w:val="nil"/>
              <w:right w:val="nil"/>
            </w:tcBorders>
            <w:shd w:val="clear" w:color="auto" w:fill="auto"/>
            <w:noWrap/>
            <w:vAlign w:val="bottom"/>
            <w:hideMark/>
          </w:tcPr>
          <w:p w14:paraId="68DADFDC" w14:textId="7B578385" w:rsidR="00A167BA" w:rsidRPr="00DB1D74" w:rsidRDefault="00A167BA" w:rsidP="00A167BA">
            <w:pPr>
              <w:spacing w:after="0" w:line="240" w:lineRule="auto"/>
              <w:jc w:val="right"/>
              <w:rPr>
                <w:rFonts w:ascii="Arial" w:hAnsi="Arial" w:cs="Arial"/>
                <w:sz w:val="16"/>
                <w:szCs w:val="16"/>
              </w:rPr>
            </w:pPr>
            <w:r>
              <w:rPr>
                <w:rFonts w:ascii="Arial" w:hAnsi="Arial" w:cs="Arial"/>
                <w:sz w:val="16"/>
                <w:szCs w:val="16"/>
              </w:rPr>
              <w:t>-</w:t>
            </w:r>
          </w:p>
        </w:tc>
        <w:tc>
          <w:tcPr>
            <w:tcW w:w="892" w:type="dxa"/>
            <w:tcBorders>
              <w:top w:val="nil"/>
              <w:left w:val="nil"/>
              <w:bottom w:val="nil"/>
              <w:right w:val="nil"/>
            </w:tcBorders>
            <w:shd w:val="clear" w:color="auto" w:fill="auto"/>
            <w:noWrap/>
            <w:vAlign w:val="bottom"/>
            <w:hideMark/>
          </w:tcPr>
          <w:p w14:paraId="2FCAE6F8"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4,744</w:t>
            </w:r>
          </w:p>
        </w:tc>
      </w:tr>
      <w:tr w:rsidR="00A167BA" w:rsidRPr="00DB1D74" w14:paraId="6581A4D2" w14:textId="77777777" w:rsidTr="00333C84">
        <w:trPr>
          <w:trHeight w:val="204"/>
        </w:trPr>
        <w:tc>
          <w:tcPr>
            <w:tcW w:w="4820" w:type="dxa"/>
            <w:tcBorders>
              <w:top w:val="nil"/>
              <w:left w:val="nil"/>
              <w:bottom w:val="nil"/>
              <w:right w:val="nil"/>
            </w:tcBorders>
            <w:shd w:val="clear" w:color="auto" w:fill="auto"/>
            <w:vAlign w:val="bottom"/>
            <w:hideMark/>
          </w:tcPr>
          <w:p w14:paraId="547D1469" w14:textId="77777777" w:rsidR="00A167BA" w:rsidRPr="00DB1D74" w:rsidRDefault="00A167BA" w:rsidP="00A167BA">
            <w:pPr>
              <w:spacing w:after="0" w:line="240" w:lineRule="auto"/>
              <w:ind w:left="113"/>
              <w:jc w:val="left"/>
              <w:rPr>
                <w:rFonts w:ascii="Arial" w:hAnsi="Arial" w:cs="Arial"/>
                <w:sz w:val="16"/>
                <w:szCs w:val="16"/>
              </w:rPr>
            </w:pPr>
            <w:r w:rsidRPr="00DB1D74">
              <w:rPr>
                <w:rFonts w:ascii="Arial" w:hAnsi="Arial" w:cs="Arial"/>
                <w:sz w:val="16"/>
                <w:szCs w:val="16"/>
              </w:rPr>
              <w:t>Accumulated depreciation/amortisation and impairment</w:t>
            </w:r>
          </w:p>
        </w:tc>
        <w:tc>
          <w:tcPr>
            <w:tcW w:w="895" w:type="dxa"/>
            <w:tcBorders>
              <w:top w:val="nil"/>
              <w:left w:val="nil"/>
              <w:bottom w:val="nil"/>
              <w:right w:val="nil"/>
            </w:tcBorders>
            <w:shd w:val="clear" w:color="auto" w:fill="auto"/>
            <w:noWrap/>
            <w:vAlign w:val="bottom"/>
            <w:hideMark/>
          </w:tcPr>
          <w:p w14:paraId="5D84DCAE"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(485)</w:t>
            </w:r>
          </w:p>
        </w:tc>
        <w:tc>
          <w:tcPr>
            <w:tcW w:w="964" w:type="dxa"/>
            <w:tcBorders>
              <w:top w:val="nil"/>
              <w:left w:val="nil"/>
              <w:bottom w:val="nil"/>
              <w:right w:val="nil"/>
            </w:tcBorders>
            <w:shd w:val="clear" w:color="auto" w:fill="auto"/>
            <w:noWrap/>
            <w:vAlign w:val="bottom"/>
            <w:hideMark/>
          </w:tcPr>
          <w:p w14:paraId="4D12E590"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(235)</w:t>
            </w:r>
          </w:p>
        </w:tc>
        <w:tc>
          <w:tcPr>
            <w:tcW w:w="892" w:type="dxa"/>
            <w:tcBorders>
              <w:top w:val="nil"/>
              <w:left w:val="nil"/>
              <w:bottom w:val="nil"/>
              <w:right w:val="nil"/>
            </w:tcBorders>
            <w:shd w:val="clear" w:color="auto" w:fill="auto"/>
            <w:noWrap/>
            <w:vAlign w:val="bottom"/>
            <w:hideMark/>
          </w:tcPr>
          <w:p w14:paraId="68FDA3CB"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(720)</w:t>
            </w:r>
          </w:p>
        </w:tc>
      </w:tr>
      <w:tr w:rsidR="00A167BA" w:rsidRPr="00DB1D74" w14:paraId="1030CCA2" w14:textId="77777777" w:rsidTr="00333C84">
        <w:trPr>
          <w:trHeight w:val="204"/>
        </w:trPr>
        <w:tc>
          <w:tcPr>
            <w:tcW w:w="4820" w:type="dxa"/>
            <w:tcBorders>
              <w:top w:val="nil"/>
              <w:left w:val="nil"/>
              <w:bottom w:val="nil"/>
              <w:right w:val="nil"/>
            </w:tcBorders>
            <w:shd w:val="clear" w:color="auto" w:fill="auto"/>
            <w:vAlign w:val="bottom"/>
            <w:hideMark/>
          </w:tcPr>
          <w:p w14:paraId="399CF2B7" w14:textId="77777777" w:rsidR="00A167BA" w:rsidRPr="00DB1D74" w:rsidRDefault="00A167BA" w:rsidP="00A167BA">
            <w:pPr>
              <w:spacing w:after="0" w:line="240" w:lineRule="auto"/>
              <w:ind w:left="113"/>
              <w:jc w:val="left"/>
              <w:rPr>
                <w:rFonts w:ascii="Arial" w:hAnsi="Arial" w:cs="Arial"/>
                <w:sz w:val="16"/>
                <w:szCs w:val="16"/>
              </w:rPr>
            </w:pPr>
            <w:r w:rsidRPr="00DB1D74">
              <w:rPr>
                <w:rFonts w:ascii="Arial" w:hAnsi="Arial" w:cs="Arial"/>
                <w:sz w:val="16"/>
                <w:szCs w:val="16"/>
              </w:rPr>
              <w:t>Accumulated depreciation/</w:t>
            </w:r>
            <w:r>
              <w:rPr>
                <w:rFonts w:ascii="Arial" w:hAnsi="Arial" w:cs="Arial"/>
                <w:sz w:val="16"/>
                <w:szCs w:val="16"/>
              </w:rPr>
              <w:t xml:space="preserve"> </w:t>
            </w:r>
            <w:r w:rsidRPr="00DB1D74">
              <w:rPr>
                <w:rFonts w:ascii="Arial" w:hAnsi="Arial" w:cs="Arial"/>
                <w:sz w:val="16"/>
                <w:szCs w:val="16"/>
              </w:rPr>
              <w:t>amortisation and impairment - ROU assets</w:t>
            </w:r>
          </w:p>
        </w:tc>
        <w:tc>
          <w:tcPr>
            <w:tcW w:w="895" w:type="dxa"/>
            <w:tcBorders>
              <w:top w:val="nil"/>
              <w:left w:val="nil"/>
              <w:bottom w:val="nil"/>
              <w:right w:val="nil"/>
            </w:tcBorders>
            <w:shd w:val="clear" w:color="auto" w:fill="auto"/>
            <w:noWrap/>
            <w:vAlign w:val="bottom"/>
            <w:hideMark/>
          </w:tcPr>
          <w:p w14:paraId="55183BEF"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(2,029)</w:t>
            </w:r>
          </w:p>
        </w:tc>
        <w:tc>
          <w:tcPr>
            <w:tcW w:w="964" w:type="dxa"/>
            <w:tcBorders>
              <w:top w:val="nil"/>
              <w:left w:val="nil"/>
              <w:bottom w:val="nil"/>
              <w:right w:val="nil"/>
            </w:tcBorders>
            <w:shd w:val="clear" w:color="auto" w:fill="auto"/>
            <w:noWrap/>
            <w:vAlign w:val="bottom"/>
            <w:hideMark/>
          </w:tcPr>
          <w:p w14:paraId="1DC0176B"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w:t>
            </w:r>
          </w:p>
        </w:tc>
        <w:tc>
          <w:tcPr>
            <w:tcW w:w="892" w:type="dxa"/>
            <w:tcBorders>
              <w:top w:val="nil"/>
              <w:left w:val="nil"/>
              <w:bottom w:val="nil"/>
              <w:right w:val="nil"/>
            </w:tcBorders>
            <w:shd w:val="clear" w:color="auto" w:fill="auto"/>
            <w:noWrap/>
            <w:vAlign w:val="bottom"/>
            <w:hideMark/>
          </w:tcPr>
          <w:p w14:paraId="6D4F244F"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(2,029)</w:t>
            </w:r>
          </w:p>
        </w:tc>
      </w:tr>
      <w:tr w:rsidR="00A167BA" w:rsidRPr="00DB1D74" w14:paraId="5C685207" w14:textId="77777777" w:rsidTr="00333C84">
        <w:trPr>
          <w:trHeight w:val="204"/>
        </w:trPr>
        <w:tc>
          <w:tcPr>
            <w:tcW w:w="4820" w:type="dxa"/>
            <w:tcBorders>
              <w:top w:val="nil"/>
              <w:left w:val="nil"/>
              <w:bottom w:val="nil"/>
              <w:right w:val="nil"/>
            </w:tcBorders>
            <w:shd w:val="clear" w:color="auto" w:fill="auto"/>
            <w:vAlign w:val="bottom"/>
            <w:hideMark/>
          </w:tcPr>
          <w:p w14:paraId="3B2725EA" w14:textId="77777777" w:rsidR="00A167BA" w:rsidRPr="00DB1D74" w:rsidRDefault="00A167BA" w:rsidP="00A167BA">
            <w:pPr>
              <w:spacing w:after="0" w:line="240" w:lineRule="auto"/>
              <w:jc w:val="left"/>
              <w:rPr>
                <w:rFonts w:ascii="Arial" w:hAnsi="Arial" w:cs="Arial"/>
                <w:b/>
                <w:bCs/>
                <w:sz w:val="16"/>
                <w:szCs w:val="16"/>
              </w:rPr>
            </w:pPr>
            <w:r w:rsidRPr="00DB1D74">
              <w:rPr>
                <w:rFonts w:ascii="Arial" w:hAnsi="Arial" w:cs="Arial"/>
                <w:b/>
                <w:bCs/>
                <w:sz w:val="16"/>
                <w:szCs w:val="16"/>
              </w:rPr>
              <w:t>Opening net book balance</w:t>
            </w:r>
          </w:p>
        </w:tc>
        <w:tc>
          <w:tcPr>
            <w:tcW w:w="895" w:type="dxa"/>
            <w:tcBorders>
              <w:top w:val="single" w:sz="4" w:space="0" w:color="auto"/>
              <w:left w:val="nil"/>
              <w:bottom w:val="single" w:sz="4" w:space="0" w:color="auto"/>
              <w:right w:val="nil"/>
            </w:tcBorders>
            <w:shd w:val="clear" w:color="auto" w:fill="auto"/>
            <w:noWrap/>
            <w:vAlign w:val="bottom"/>
            <w:hideMark/>
          </w:tcPr>
          <w:p w14:paraId="67E64B49"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3,437</w:t>
            </w:r>
          </w:p>
        </w:tc>
        <w:tc>
          <w:tcPr>
            <w:tcW w:w="964" w:type="dxa"/>
            <w:tcBorders>
              <w:top w:val="single" w:sz="4" w:space="0" w:color="auto"/>
              <w:left w:val="nil"/>
              <w:bottom w:val="single" w:sz="4" w:space="0" w:color="auto"/>
              <w:right w:val="nil"/>
            </w:tcBorders>
            <w:shd w:val="clear" w:color="auto" w:fill="auto"/>
            <w:noWrap/>
            <w:vAlign w:val="bottom"/>
            <w:hideMark/>
          </w:tcPr>
          <w:p w14:paraId="08E32217"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480</w:t>
            </w:r>
          </w:p>
        </w:tc>
        <w:tc>
          <w:tcPr>
            <w:tcW w:w="892" w:type="dxa"/>
            <w:tcBorders>
              <w:top w:val="single" w:sz="4" w:space="0" w:color="auto"/>
              <w:left w:val="nil"/>
              <w:bottom w:val="single" w:sz="4" w:space="0" w:color="auto"/>
              <w:right w:val="nil"/>
            </w:tcBorders>
            <w:shd w:val="clear" w:color="auto" w:fill="auto"/>
            <w:noWrap/>
            <w:vAlign w:val="bottom"/>
            <w:hideMark/>
          </w:tcPr>
          <w:p w14:paraId="0C9F756B"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3,917</w:t>
            </w:r>
          </w:p>
        </w:tc>
      </w:tr>
      <w:tr w:rsidR="00A167BA" w:rsidRPr="00DB1D74" w14:paraId="50A83E93" w14:textId="77777777" w:rsidTr="00333C84">
        <w:trPr>
          <w:trHeight w:val="204"/>
        </w:trPr>
        <w:tc>
          <w:tcPr>
            <w:tcW w:w="4820" w:type="dxa"/>
            <w:tcBorders>
              <w:top w:val="nil"/>
              <w:left w:val="nil"/>
              <w:bottom w:val="nil"/>
              <w:right w:val="nil"/>
            </w:tcBorders>
            <w:shd w:val="clear" w:color="auto" w:fill="auto"/>
            <w:vAlign w:val="bottom"/>
            <w:hideMark/>
          </w:tcPr>
          <w:p w14:paraId="291FAD50" w14:textId="77777777" w:rsidR="00A167BA" w:rsidRPr="00DB1D74" w:rsidRDefault="00A167BA" w:rsidP="00A167BA">
            <w:pPr>
              <w:spacing w:after="0" w:line="240" w:lineRule="auto"/>
              <w:jc w:val="left"/>
              <w:rPr>
                <w:rFonts w:ascii="Arial" w:hAnsi="Arial" w:cs="Arial"/>
                <w:b/>
                <w:bCs/>
                <w:sz w:val="16"/>
                <w:szCs w:val="16"/>
              </w:rPr>
            </w:pPr>
            <w:r w:rsidRPr="00DB1D74">
              <w:rPr>
                <w:rFonts w:ascii="Arial" w:hAnsi="Arial" w:cs="Arial"/>
                <w:b/>
                <w:bCs/>
                <w:sz w:val="16"/>
                <w:szCs w:val="16"/>
              </w:rPr>
              <w:t>Capital asset additions</w:t>
            </w:r>
          </w:p>
        </w:tc>
        <w:tc>
          <w:tcPr>
            <w:tcW w:w="895" w:type="dxa"/>
            <w:tcBorders>
              <w:top w:val="nil"/>
              <w:left w:val="nil"/>
              <w:bottom w:val="nil"/>
              <w:right w:val="nil"/>
            </w:tcBorders>
            <w:shd w:val="clear" w:color="auto" w:fill="auto"/>
            <w:noWrap/>
            <w:vAlign w:val="bottom"/>
            <w:hideMark/>
          </w:tcPr>
          <w:p w14:paraId="3F489693" w14:textId="77777777" w:rsidR="00A167BA" w:rsidRPr="00DB1D74" w:rsidRDefault="00A167BA" w:rsidP="00A167BA">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5EC56E4D" w14:textId="77777777" w:rsidR="00A167BA" w:rsidRPr="0016574C" w:rsidRDefault="00A167BA" w:rsidP="00A167BA">
            <w:pPr>
              <w:spacing w:after="0" w:line="240" w:lineRule="auto"/>
              <w:jc w:val="right"/>
              <w:rPr>
                <w:rFonts w:ascii="Arial" w:hAnsi="Arial" w:cs="Arial"/>
                <w:sz w:val="16"/>
                <w:szCs w:val="16"/>
              </w:rPr>
            </w:pPr>
          </w:p>
        </w:tc>
        <w:tc>
          <w:tcPr>
            <w:tcW w:w="892" w:type="dxa"/>
            <w:tcBorders>
              <w:top w:val="nil"/>
              <w:left w:val="nil"/>
              <w:bottom w:val="nil"/>
              <w:right w:val="nil"/>
            </w:tcBorders>
            <w:shd w:val="clear" w:color="auto" w:fill="auto"/>
            <w:noWrap/>
            <w:vAlign w:val="bottom"/>
            <w:hideMark/>
          </w:tcPr>
          <w:p w14:paraId="57256533" w14:textId="77777777" w:rsidR="00A167BA" w:rsidRPr="0016574C" w:rsidRDefault="00A167BA" w:rsidP="00A167BA">
            <w:pPr>
              <w:spacing w:after="0" w:line="240" w:lineRule="auto"/>
              <w:jc w:val="right"/>
              <w:rPr>
                <w:rFonts w:ascii="Arial" w:hAnsi="Arial" w:cs="Arial"/>
                <w:sz w:val="16"/>
                <w:szCs w:val="16"/>
              </w:rPr>
            </w:pPr>
          </w:p>
        </w:tc>
      </w:tr>
      <w:tr w:rsidR="00A167BA" w:rsidRPr="00DB1D74" w14:paraId="04D6C4E9" w14:textId="77777777" w:rsidTr="00333C84">
        <w:trPr>
          <w:trHeight w:val="204"/>
        </w:trPr>
        <w:tc>
          <w:tcPr>
            <w:tcW w:w="4820" w:type="dxa"/>
            <w:tcBorders>
              <w:top w:val="nil"/>
              <w:left w:val="nil"/>
              <w:bottom w:val="nil"/>
              <w:right w:val="nil"/>
            </w:tcBorders>
            <w:shd w:val="clear" w:color="auto" w:fill="auto"/>
            <w:vAlign w:val="bottom"/>
            <w:hideMark/>
          </w:tcPr>
          <w:p w14:paraId="61758091" w14:textId="77777777" w:rsidR="00A167BA" w:rsidRPr="00DB1D74" w:rsidRDefault="00A167BA" w:rsidP="00A167BA">
            <w:pPr>
              <w:spacing w:after="0" w:line="240" w:lineRule="auto"/>
              <w:ind w:left="113"/>
              <w:jc w:val="left"/>
              <w:rPr>
                <w:rFonts w:ascii="Arial" w:hAnsi="Arial" w:cs="Arial"/>
                <w:b/>
                <w:bCs/>
                <w:sz w:val="16"/>
                <w:szCs w:val="16"/>
              </w:rPr>
            </w:pPr>
            <w:r w:rsidRPr="00DB1D74">
              <w:rPr>
                <w:rFonts w:ascii="Arial" w:hAnsi="Arial" w:cs="Arial"/>
                <w:b/>
                <w:bCs/>
                <w:sz w:val="16"/>
                <w:szCs w:val="16"/>
              </w:rPr>
              <w:t>Estimated expenditure on new or replacement assets</w:t>
            </w:r>
          </w:p>
        </w:tc>
        <w:tc>
          <w:tcPr>
            <w:tcW w:w="895" w:type="dxa"/>
            <w:tcBorders>
              <w:top w:val="nil"/>
              <w:left w:val="nil"/>
              <w:bottom w:val="nil"/>
              <w:right w:val="nil"/>
            </w:tcBorders>
            <w:shd w:val="clear" w:color="auto" w:fill="auto"/>
            <w:noWrap/>
            <w:vAlign w:val="bottom"/>
            <w:hideMark/>
          </w:tcPr>
          <w:p w14:paraId="73D21B7B" w14:textId="77777777" w:rsidR="00A167BA" w:rsidRPr="00DB1D74" w:rsidRDefault="00A167BA" w:rsidP="00A167BA">
            <w:pPr>
              <w:spacing w:after="0" w:line="240" w:lineRule="auto"/>
              <w:ind w:firstLineChars="100" w:firstLine="160"/>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5E753199" w14:textId="77777777" w:rsidR="00A167BA" w:rsidRPr="0016574C" w:rsidRDefault="00A167BA" w:rsidP="00A167BA">
            <w:pPr>
              <w:spacing w:after="0" w:line="240" w:lineRule="auto"/>
              <w:jc w:val="right"/>
              <w:rPr>
                <w:rFonts w:ascii="Arial" w:hAnsi="Arial" w:cs="Arial"/>
                <w:sz w:val="16"/>
                <w:szCs w:val="16"/>
              </w:rPr>
            </w:pPr>
          </w:p>
        </w:tc>
        <w:tc>
          <w:tcPr>
            <w:tcW w:w="892" w:type="dxa"/>
            <w:tcBorders>
              <w:top w:val="nil"/>
              <w:left w:val="nil"/>
              <w:bottom w:val="nil"/>
              <w:right w:val="nil"/>
            </w:tcBorders>
            <w:shd w:val="clear" w:color="auto" w:fill="auto"/>
            <w:noWrap/>
            <w:vAlign w:val="bottom"/>
            <w:hideMark/>
          </w:tcPr>
          <w:p w14:paraId="50FC946C" w14:textId="77777777" w:rsidR="00A167BA" w:rsidRPr="0016574C" w:rsidRDefault="00A167BA" w:rsidP="00A167BA">
            <w:pPr>
              <w:spacing w:after="0" w:line="240" w:lineRule="auto"/>
              <w:jc w:val="right"/>
              <w:rPr>
                <w:rFonts w:ascii="Arial" w:hAnsi="Arial" w:cs="Arial"/>
                <w:sz w:val="16"/>
                <w:szCs w:val="16"/>
              </w:rPr>
            </w:pPr>
          </w:p>
        </w:tc>
      </w:tr>
      <w:tr w:rsidR="00A167BA" w:rsidRPr="00DB1D74" w14:paraId="793146CA" w14:textId="77777777" w:rsidTr="00333C84">
        <w:trPr>
          <w:trHeight w:val="204"/>
        </w:trPr>
        <w:tc>
          <w:tcPr>
            <w:tcW w:w="4820" w:type="dxa"/>
            <w:tcBorders>
              <w:top w:val="nil"/>
              <w:left w:val="nil"/>
              <w:bottom w:val="nil"/>
              <w:right w:val="nil"/>
            </w:tcBorders>
            <w:shd w:val="clear" w:color="auto" w:fill="auto"/>
            <w:vAlign w:val="bottom"/>
            <w:hideMark/>
          </w:tcPr>
          <w:p w14:paraId="3E4CD1AC" w14:textId="77777777" w:rsidR="00A167BA" w:rsidRPr="00DB1D74" w:rsidRDefault="00A167BA" w:rsidP="00A167BA">
            <w:pPr>
              <w:spacing w:after="0" w:line="240" w:lineRule="auto"/>
              <w:ind w:left="227"/>
              <w:jc w:val="left"/>
              <w:rPr>
                <w:rFonts w:ascii="Arial" w:hAnsi="Arial" w:cs="Arial"/>
                <w:sz w:val="16"/>
                <w:szCs w:val="16"/>
              </w:rPr>
            </w:pPr>
            <w:r w:rsidRPr="00DB1D74">
              <w:rPr>
                <w:rFonts w:ascii="Arial" w:hAnsi="Arial" w:cs="Arial"/>
                <w:sz w:val="16"/>
                <w:szCs w:val="16"/>
              </w:rPr>
              <w:t>By purchase - appropriation ordinary annual services</w:t>
            </w:r>
            <w:r w:rsidRPr="00DB1D74">
              <w:rPr>
                <w:rFonts w:ascii="Arial" w:hAnsi="Arial" w:cs="Arial"/>
                <w:sz w:val="16"/>
                <w:szCs w:val="16"/>
                <w:vertAlign w:val="superscript"/>
              </w:rPr>
              <w:t xml:space="preserve"> (a)</w:t>
            </w:r>
          </w:p>
        </w:tc>
        <w:tc>
          <w:tcPr>
            <w:tcW w:w="895" w:type="dxa"/>
            <w:tcBorders>
              <w:top w:val="nil"/>
              <w:left w:val="nil"/>
              <w:bottom w:val="nil"/>
              <w:right w:val="nil"/>
            </w:tcBorders>
            <w:shd w:val="clear" w:color="auto" w:fill="auto"/>
            <w:noWrap/>
            <w:vAlign w:val="bottom"/>
            <w:hideMark/>
          </w:tcPr>
          <w:p w14:paraId="241481B6" w14:textId="608446DE" w:rsidR="00A167BA" w:rsidRPr="00DB1D74" w:rsidRDefault="00A167BA" w:rsidP="00A167BA">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41C0EEDF"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18</w:t>
            </w:r>
          </w:p>
        </w:tc>
        <w:tc>
          <w:tcPr>
            <w:tcW w:w="892" w:type="dxa"/>
            <w:tcBorders>
              <w:top w:val="nil"/>
              <w:left w:val="nil"/>
              <w:bottom w:val="nil"/>
              <w:right w:val="nil"/>
            </w:tcBorders>
            <w:shd w:val="clear" w:color="auto" w:fill="auto"/>
            <w:noWrap/>
            <w:vAlign w:val="bottom"/>
            <w:hideMark/>
          </w:tcPr>
          <w:p w14:paraId="2198ACFE"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18</w:t>
            </w:r>
          </w:p>
        </w:tc>
      </w:tr>
      <w:tr w:rsidR="00A167BA" w:rsidRPr="00DB1D74" w14:paraId="5317F500" w14:textId="77777777" w:rsidTr="00333C84">
        <w:trPr>
          <w:trHeight w:val="204"/>
        </w:trPr>
        <w:tc>
          <w:tcPr>
            <w:tcW w:w="4820" w:type="dxa"/>
            <w:tcBorders>
              <w:top w:val="nil"/>
              <w:left w:val="nil"/>
              <w:bottom w:val="nil"/>
              <w:right w:val="nil"/>
            </w:tcBorders>
            <w:shd w:val="clear" w:color="auto" w:fill="auto"/>
            <w:vAlign w:val="bottom"/>
            <w:hideMark/>
          </w:tcPr>
          <w:p w14:paraId="7275AE43" w14:textId="77777777" w:rsidR="00A167BA" w:rsidRPr="00DB1D74" w:rsidRDefault="00A167BA" w:rsidP="00A167BA">
            <w:pPr>
              <w:spacing w:after="0" w:line="240" w:lineRule="auto"/>
              <w:ind w:left="113"/>
              <w:jc w:val="left"/>
              <w:rPr>
                <w:rFonts w:ascii="Arial" w:hAnsi="Arial" w:cs="Arial"/>
                <w:b/>
                <w:bCs/>
                <w:sz w:val="16"/>
                <w:szCs w:val="16"/>
              </w:rPr>
            </w:pPr>
            <w:r w:rsidRPr="00DB1D74">
              <w:rPr>
                <w:rFonts w:ascii="Arial" w:hAnsi="Arial" w:cs="Arial"/>
                <w:b/>
                <w:bCs/>
                <w:sz w:val="16"/>
                <w:szCs w:val="16"/>
              </w:rPr>
              <w:t>Total additions</w:t>
            </w:r>
          </w:p>
        </w:tc>
        <w:tc>
          <w:tcPr>
            <w:tcW w:w="895" w:type="dxa"/>
            <w:tcBorders>
              <w:top w:val="single" w:sz="4" w:space="0" w:color="auto"/>
              <w:left w:val="nil"/>
              <w:bottom w:val="nil"/>
              <w:right w:val="nil"/>
            </w:tcBorders>
            <w:shd w:val="clear" w:color="auto" w:fill="auto"/>
            <w:noWrap/>
            <w:vAlign w:val="bottom"/>
            <w:hideMark/>
          </w:tcPr>
          <w:p w14:paraId="27AB3C59"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w:t>
            </w:r>
          </w:p>
        </w:tc>
        <w:tc>
          <w:tcPr>
            <w:tcW w:w="964" w:type="dxa"/>
            <w:tcBorders>
              <w:top w:val="single" w:sz="4" w:space="0" w:color="auto"/>
              <w:left w:val="nil"/>
              <w:bottom w:val="nil"/>
              <w:right w:val="nil"/>
            </w:tcBorders>
            <w:shd w:val="clear" w:color="auto" w:fill="auto"/>
            <w:noWrap/>
            <w:vAlign w:val="bottom"/>
            <w:hideMark/>
          </w:tcPr>
          <w:p w14:paraId="6F36ED7C"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18</w:t>
            </w:r>
          </w:p>
        </w:tc>
        <w:tc>
          <w:tcPr>
            <w:tcW w:w="892" w:type="dxa"/>
            <w:tcBorders>
              <w:top w:val="single" w:sz="4" w:space="0" w:color="auto"/>
              <w:left w:val="nil"/>
              <w:bottom w:val="nil"/>
              <w:right w:val="nil"/>
            </w:tcBorders>
            <w:shd w:val="clear" w:color="auto" w:fill="auto"/>
            <w:noWrap/>
            <w:vAlign w:val="bottom"/>
            <w:hideMark/>
          </w:tcPr>
          <w:p w14:paraId="29418F01"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18</w:t>
            </w:r>
          </w:p>
        </w:tc>
      </w:tr>
      <w:tr w:rsidR="00A167BA" w:rsidRPr="00DB1D74" w14:paraId="2C1091E7" w14:textId="77777777" w:rsidTr="00333C84">
        <w:trPr>
          <w:trHeight w:val="204"/>
        </w:trPr>
        <w:tc>
          <w:tcPr>
            <w:tcW w:w="4820" w:type="dxa"/>
            <w:tcBorders>
              <w:top w:val="nil"/>
              <w:left w:val="nil"/>
              <w:bottom w:val="nil"/>
              <w:right w:val="nil"/>
            </w:tcBorders>
            <w:shd w:val="clear" w:color="auto" w:fill="auto"/>
            <w:vAlign w:val="bottom"/>
            <w:hideMark/>
          </w:tcPr>
          <w:p w14:paraId="591EE075" w14:textId="77777777" w:rsidR="00A167BA" w:rsidRPr="00DB1D74" w:rsidRDefault="00A167BA" w:rsidP="00A167BA">
            <w:pPr>
              <w:spacing w:after="0" w:line="240" w:lineRule="auto"/>
              <w:ind w:left="113"/>
              <w:jc w:val="left"/>
              <w:rPr>
                <w:rFonts w:ascii="Arial" w:hAnsi="Arial" w:cs="Arial"/>
                <w:b/>
                <w:bCs/>
                <w:sz w:val="16"/>
                <w:szCs w:val="16"/>
              </w:rPr>
            </w:pPr>
            <w:r w:rsidRPr="00DB1D74">
              <w:rPr>
                <w:rFonts w:ascii="Arial" w:hAnsi="Arial" w:cs="Arial"/>
                <w:b/>
                <w:bCs/>
                <w:sz w:val="16"/>
                <w:szCs w:val="16"/>
              </w:rPr>
              <w:t>Other movements</w:t>
            </w:r>
          </w:p>
        </w:tc>
        <w:tc>
          <w:tcPr>
            <w:tcW w:w="895" w:type="dxa"/>
            <w:tcBorders>
              <w:top w:val="single" w:sz="4" w:space="0" w:color="auto"/>
              <w:left w:val="nil"/>
              <w:bottom w:val="nil"/>
              <w:right w:val="nil"/>
            </w:tcBorders>
            <w:shd w:val="clear" w:color="auto" w:fill="auto"/>
            <w:noWrap/>
            <w:vAlign w:val="bottom"/>
            <w:hideMark/>
          </w:tcPr>
          <w:p w14:paraId="1095D215" w14:textId="77777777" w:rsidR="00A167BA" w:rsidRPr="00DB1D74" w:rsidRDefault="00A167BA" w:rsidP="00A167BA">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5EA9207B" w14:textId="77777777" w:rsidR="00A167BA" w:rsidRPr="00DB1D74" w:rsidRDefault="00A167BA" w:rsidP="00A167BA">
            <w:pPr>
              <w:spacing w:after="0" w:line="240" w:lineRule="auto"/>
              <w:jc w:val="right"/>
              <w:rPr>
                <w:rFonts w:ascii="Arial" w:hAnsi="Arial" w:cs="Arial"/>
                <w:b/>
                <w:bCs/>
                <w:sz w:val="16"/>
                <w:szCs w:val="16"/>
              </w:rPr>
            </w:pPr>
          </w:p>
        </w:tc>
        <w:tc>
          <w:tcPr>
            <w:tcW w:w="892" w:type="dxa"/>
            <w:tcBorders>
              <w:top w:val="single" w:sz="4" w:space="0" w:color="auto"/>
              <w:left w:val="nil"/>
              <w:bottom w:val="nil"/>
              <w:right w:val="nil"/>
            </w:tcBorders>
            <w:shd w:val="clear" w:color="auto" w:fill="auto"/>
            <w:noWrap/>
            <w:vAlign w:val="bottom"/>
            <w:hideMark/>
          </w:tcPr>
          <w:p w14:paraId="194FF902" w14:textId="77777777" w:rsidR="00A167BA" w:rsidRPr="00DB1D74" w:rsidRDefault="00A167BA" w:rsidP="00A167BA">
            <w:pPr>
              <w:spacing w:after="0" w:line="240" w:lineRule="auto"/>
              <w:jc w:val="right"/>
              <w:rPr>
                <w:rFonts w:ascii="Arial" w:hAnsi="Arial" w:cs="Arial"/>
                <w:b/>
                <w:bCs/>
                <w:sz w:val="16"/>
                <w:szCs w:val="16"/>
              </w:rPr>
            </w:pPr>
          </w:p>
        </w:tc>
      </w:tr>
      <w:tr w:rsidR="00A167BA" w:rsidRPr="00DB1D74" w14:paraId="6D00BF4F" w14:textId="77777777" w:rsidTr="00333C84">
        <w:trPr>
          <w:trHeight w:val="204"/>
        </w:trPr>
        <w:tc>
          <w:tcPr>
            <w:tcW w:w="4820" w:type="dxa"/>
            <w:tcBorders>
              <w:top w:val="nil"/>
              <w:left w:val="nil"/>
              <w:right w:val="nil"/>
            </w:tcBorders>
            <w:shd w:val="clear" w:color="auto" w:fill="auto"/>
            <w:vAlign w:val="bottom"/>
            <w:hideMark/>
          </w:tcPr>
          <w:p w14:paraId="12BA0C09" w14:textId="77777777" w:rsidR="00A167BA" w:rsidRPr="00DB1D74" w:rsidRDefault="00A167BA" w:rsidP="00A167BA">
            <w:pPr>
              <w:spacing w:after="0" w:line="240" w:lineRule="auto"/>
              <w:ind w:left="227"/>
              <w:jc w:val="left"/>
              <w:rPr>
                <w:rFonts w:ascii="Arial" w:hAnsi="Arial" w:cs="Arial"/>
                <w:sz w:val="16"/>
                <w:szCs w:val="16"/>
              </w:rPr>
            </w:pPr>
            <w:r w:rsidRPr="00DB1D74">
              <w:rPr>
                <w:rFonts w:ascii="Arial" w:hAnsi="Arial" w:cs="Arial"/>
                <w:sz w:val="16"/>
                <w:szCs w:val="16"/>
              </w:rPr>
              <w:t>Depreciation/amortisation expense</w:t>
            </w:r>
          </w:p>
        </w:tc>
        <w:tc>
          <w:tcPr>
            <w:tcW w:w="895" w:type="dxa"/>
            <w:tcBorders>
              <w:top w:val="nil"/>
              <w:left w:val="nil"/>
              <w:bottom w:val="nil"/>
              <w:right w:val="nil"/>
            </w:tcBorders>
            <w:shd w:val="clear" w:color="auto" w:fill="auto"/>
            <w:noWrap/>
            <w:vAlign w:val="bottom"/>
            <w:hideMark/>
          </w:tcPr>
          <w:p w14:paraId="066C62D4"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(242)</w:t>
            </w:r>
          </w:p>
        </w:tc>
        <w:tc>
          <w:tcPr>
            <w:tcW w:w="964" w:type="dxa"/>
            <w:tcBorders>
              <w:top w:val="nil"/>
              <w:left w:val="nil"/>
              <w:bottom w:val="nil"/>
              <w:right w:val="nil"/>
            </w:tcBorders>
            <w:shd w:val="clear" w:color="auto" w:fill="auto"/>
            <w:noWrap/>
            <w:vAlign w:val="bottom"/>
            <w:hideMark/>
          </w:tcPr>
          <w:p w14:paraId="07182347"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(120)</w:t>
            </w:r>
          </w:p>
        </w:tc>
        <w:tc>
          <w:tcPr>
            <w:tcW w:w="892" w:type="dxa"/>
            <w:tcBorders>
              <w:top w:val="nil"/>
              <w:left w:val="nil"/>
              <w:bottom w:val="nil"/>
              <w:right w:val="nil"/>
            </w:tcBorders>
            <w:shd w:val="clear" w:color="auto" w:fill="auto"/>
            <w:noWrap/>
            <w:vAlign w:val="bottom"/>
            <w:hideMark/>
          </w:tcPr>
          <w:p w14:paraId="440E207A"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(362)</w:t>
            </w:r>
          </w:p>
        </w:tc>
      </w:tr>
      <w:tr w:rsidR="00A167BA" w:rsidRPr="00DB1D74" w14:paraId="7755E284" w14:textId="77777777" w:rsidTr="00333C84">
        <w:trPr>
          <w:trHeight w:val="204"/>
        </w:trPr>
        <w:tc>
          <w:tcPr>
            <w:tcW w:w="4820" w:type="dxa"/>
            <w:tcBorders>
              <w:top w:val="nil"/>
              <w:left w:val="nil"/>
              <w:bottom w:val="nil"/>
              <w:right w:val="nil"/>
            </w:tcBorders>
            <w:shd w:val="clear" w:color="auto" w:fill="auto"/>
            <w:vAlign w:val="bottom"/>
            <w:hideMark/>
          </w:tcPr>
          <w:p w14:paraId="50B8357B" w14:textId="77777777" w:rsidR="00A167BA" w:rsidRPr="00DB1D74" w:rsidRDefault="00A167BA" w:rsidP="00A167BA">
            <w:pPr>
              <w:spacing w:after="0" w:line="240" w:lineRule="auto"/>
              <w:ind w:left="227"/>
              <w:jc w:val="left"/>
              <w:rPr>
                <w:rFonts w:ascii="Arial" w:hAnsi="Arial" w:cs="Arial"/>
                <w:sz w:val="16"/>
                <w:szCs w:val="16"/>
              </w:rPr>
            </w:pPr>
            <w:r w:rsidRPr="00DB1D74">
              <w:rPr>
                <w:rFonts w:ascii="Arial" w:hAnsi="Arial" w:cs="Arial"/>
                <w:sz w:val="16"/>
                <w:szCs w:val="16"/>
              </w:rPr>
              <w:t>Depreciation/amortisation on ROU assets</w:t>
            </w:r>
          </w:p>
        </w:tc>
        <w:tc>
          <w:tcPr>
            <w:tcW w:w="895" w:type="dxa"/>
            <w:tcBorders>
              <w:top w:val="nil"/>
              <w:left w:val="nil"/>
              <w:bottom w:val="nil"/>
              <w:right w:val="nil"/>
            </w:tcBorders>
            <w:shd w:val="clear" w:color="auto" w:fill="auto"/>
            <w:noWrap/>
            <w:vAlign w:val="bottom"/>
            <w:hideMark/>
          </w:tcPr>
          <w:p w14:paraId="45E88C38"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(904)</w:t>
            </w:r>
          </w:p>
        </w:tc>
        <w:tc>
          <w:tcPr>
            <w:tcW w:w="964" w:type="dxa"/>
            <w:tcBorders>
              <w:top w:val="nil"/>
              <w:left w:val="nil"/>
              <w:bottom w:val="nil"/>
              <w:right w:val="nil"/>
            </w:tcBorders>
            <w:shd w:val="clear" w:color="auto" w:fill="auto"/>
            <w:noWrap/>
            <w:vAlign w:val="bottom"/>
            <w:hideMark/>
          </w:tcPr>
          <w:p w14:paraId="055826B3"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w:t>
            </w:r>
          </w:p>
        </w:tc>
        <w:tc>
          <w:tcPr>
            <w:tcW w:w="892" w:type="dxa"/>
            <w:tcBorders>
              <w:top w:val="nil"/>
              <w:left w:val="nil"/>
              <w:bottom w:val="nil"/>
              <w:right w:val="nil"/>
            </w:tcBorders>
            <w:shd w:val="clear" w:color="auto" w:fill="auto"/>
            <w:noWrap/>
            <w:vAlign w:val="bottom"/>
            <w:hideMark/>
          </w:tcPr>
          <w:p w14:paraId="21D15927"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(904)</w:t>
            </w:r>
          </w:p>
        </w:tc>
      </w:tr>
      <w:tr w:rsidR="00A167BA" w:rsidRPr="00DB1D74" w14:paraId="1344F2B3" w14:textId="77777777" w:rsidTr="00333C84">
        <w:trPr>
          <w:trHeight w:val="204"/>
        </w:trPr>
        <w:tc>
          <w:tcPr>
            <w:tcW w:w="4820" w:type="dxa"/>
            <w:tcBorders>
              <w:top w:val="nil"/>
              <w:left w:val="nil"/>
              <w:right w:val="nil"/>
            </w:tcBorders>
            <w:shd w:val="clear" w:color="auto" w:fill="auto"/>
            <w:vAlign w:val="bottom"/>
            <w:hideMark/>
          </w:tcPr>
          <w:p w14:paraId="34DFC862" w14:textId="77777777" w:rsidR="00A167BA" w:rsidRPr="00DB1D74" w:rsidRDefault="00A167BA" w:rsidP="00A167BA">
            <w:pPr>
              <w:spacing w:after="0" w:line="240" w:lineRule="auto"/>
              <w:ind w:left="113"/>
              <w:jc w:val="left"/>
              <w:rPr>
                <w:rFonts w:ascii="Arial" w:hAnsi="Arial" w:cs="Arial"/>
                <w:b/>
                <w:bCs/>
                <w:sz w:val="16"/>
                <w:szCs w:val="16"/>
              </w:rPr>
            </w:pPr>
            <w:r w:rsidRPr="00DB1D74">
              <w:rPr>
                <w:rFonts w:ascii="Arial" w:hAnsi="Arial" w:cs="Arial"/>
                <w:b/>
                <w:bCs/>
                <w:sz w:val="16"/>
                <w:szCs w:val="16"/>
              </w:rPr>
              <w:t>Total other movements</w:t>
            </w:r>
          </w:p>
        </w:tc>
        <w:tc>
          <w:tcPr>
            <w:tcW w:w="895" w:type="dxa"/>
            <w:tcBorders>
              <w:top w:val="single" w:sz="4" w:space="0" w:color="auto"/>
              <w:left w:val="nil"/>
              <w:bottom w:val="single" w:sz="4" w:space="0" w:color="auto"/>
              <w:right w:val="nil"/>
            </w:tcBorders>
            <w:shd w:val="clear" w:color="auto" w:fill="auto"/>
            <w:noWrap/>
            <w:vAlign w:val="bottom"/>
            <w:hideMark/>
          </w:tcPr>
          <w:p w14:paraId="081716C5"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(1,146)</w:t>
            </w:r>
          </w:p>
        </w:tc>
        <w:tc>
          <w:tcPr>
            <w:tcW w:w="964" w:type="dxa"/>
            <w:tcBorders>
              <w:top w:val="single" w:sz="4" w:space="0" w:color="auto"/>
              <w:left w:val="nil"/>
              <w:bottom w:val="single" w:sz="4" w:space="0" w:color="auto"/>
              <w:right w:val="nil"/>
            </w:tcBorders>
            <w:shd w:val="clear" w:color="auto" w:fill="auto"/>
            <w:noWrap/>
            <w:vAlign w:val="bottom"/>
            <w:hideMark/>
          </w:tcPr>
          <w:p w14:paraId="78D13BC2"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(120)</w:t>
            </w:r>
          </w:p>
        </w:tc>
        <w:tc>
          <w:tcPr>
            <w:tcW w:w="892" w:type="dxa"/>
            <w:tcBorders>
              <w:top w:val="single" w:sz="4" w:space="0" w:color="auto"/>
              <w:left w:val="nil"/>
              <w:bottom w:val="single" w:sz="4" w:space="0" w:color="auto"/>
              <w:right w:val="nil"/>
            </w:tcBorders>
            <w:shd w:val="clear" w:color="auto" w:fill="auto"/>
            <w:noWrap/>
            <w:vAlign w:val="bottom"/>
            <w:hideMark/>
          </w:tcPr>
          <w:p w14:paraId="0DEE8A86"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(1,266)</w:t>
            </w:r>
          </w:p>
        </w:tc>
      </w:tr>
      <w:tr w:rsidR="00A167BA" w:rsidRPr="00DB1D74" w14:paraId="5CDDA71C" w14:textId="77777777" w:rsidTr="00333C84">
        <w:trPr>
          <w:trHeight w:val="204"/>
        </w:trPr>
        <w:tc>
          <w:tcPr>
            <w:tcW w:w="4820" w:type="dxa"/>
            <w:tcBorders>
              <w:top w:val="nil"/>
              <w:left w:val="nil"/>
              <w:bottom w:val="nil"/>
              <w:right w:val="nil"/>
            </w:tcBorders>
            <w:shd w:val="clear" w:color="auto" w:fill="auto"/>
            <w:vAlign w:val="bottom"/>
            <w:hideMark/>
          </w:tcPr>
          <w:p w14:paraId="571F8375" w14:textId="77777777" w:rsidR="00A167BA" w:rsidRPr="00DB1D74" w:rsidRDefault="00A167BA" w:rsidP="00A167BA">
            <w:pPr>
              <w:spacing w:after="0" w:line="240" w:lineRule="auto"/>
              <w:jc w:val="left"/>
              <w:rPr>
                <w:rFonts w:ascii="Arial" w:hAnsi="Arial" w:cs="Arial"/>
                <w:b/>
                <w:bCs/>
                <w:sz w:val="16"/>
                <w:szCs w:val="16"/>
              </w:rPr>
            </w:pPr>
            <w:r w:rsidRPr="00DB1D74">
              <w:rPr>
                <w:rFonts w:ascii="Arial" w:hAnsi="Arial" w:cs="Arial"/>
                <w:b/>
                <w:bCs/>
                <w:sz w:val="16"/>
                <w:szCs w:val="16"/>
              </w:rPr>
              <w:t>As at 30 June 2023</w:t>
            </w:r>
          </w:p>
        </w:tc>
        <w:tc>
          <w:tcPr>
            <w:tcW w:w="895" w:type="dxa"/>
            <w:tcBorders>
              <w:top w:val="nil"/>
              <w:left w:val="nil"/>
              <w:bottom w:val="nil"/>
              <w:right w:val="nil"/>
            </w:tcBorders>
            <w:shd w:val="clear" w:color="auto" w:fill="auto"/>
            <w:noWrap/>
            <w:vAlign w:val="bottom"/>
            <w:hideMark/>
          </w:tcPr>
          <w:p w14:paraId="6F0315D0" w14:textId="77777777" w:rsidR="00A167BA" w:rsidRPr="00DB1D74" w:rsidRDefault="00A167BA" w:rsidP="00A167BA">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6468C57F" w14:textId="77777777" w:rsidR="00A167BA" w:rsidRPr="0016574C" w:rsidRDefault="00A167BA" w:rsidP="00A167BA">
            <w:pPr>
              <w:spacing w:after="0" w:line="240" w:lineRule="auto"/>
              <w:jc w:val="right"/>
              <w:rPr>
                <w:rFonts w:ascii="Arial" w:hAnsi="Arial" w:cs="Arial"/>
                <w:sz w:val="16"/>
                <w:szCs w:val="16"/>
              </w:rPr>
            </w:pPr>
          </w:p>
        </w:tc>
        <w:tc>
          <w:tcPr>
            <w:tcW w:w="892" w:type="dxa"/>
            <w:tcBorders>
              <w:top w:val="nil"/>
              <w:left w:val="nil"/>
              <w:bottom w:val="nil"/>
              <w:right w:val="nil"/>
            </w:tcBorders>
            <w:shd w:val="clear" w:color="auto" w:fill="auto"/>
            <w:noWrap/>
            <w:vAlign w:val="bottom"/>
            <w:hideMark/>
          </w:tcPr>
          <w:p w14:paraId="226D7992" w14:textId="77777777" w:rsidR="00A167BA" w:rsidRPr="0016574C" w:rsidRDefault="00A167BA" w:rsidP="00A167BA">
            <w:pPr>
              <w:spacing w:after="0" w:line="240" w:lineRule="auto"/>
              <w:jc w:val="right"/>
              <w:rPr>
                <w:rFonts w:ascii="Arial" w:hAnsi="Arial" w:cs="Arial"/>
                <w:sz w:val="16"/>
                <w:szCs w:val="16"/>
              </w:rPr>
            </w:pPr>
          </w:p>
        </w:tc>
      </w:tr>
      <w:tr w:rsidR="00A167BA" w:rsidRPr="00DB1D74" w14:paraId="38F27041" w14:textId="77777777" w:rsidTr="00333C84">
        <w:trPr>
          <w:trHeight w:val="204"/>
        </w:trPr>
        <w:tc>
          <w:tcPr>
            <w:tcW w:w="4820" w:type="dxa"/>
            <w:tcBorders>
              <w:top w:val="nil"/>
              <w:left w:val="nil"/>
              <w:bottom w:val="nil"/>
              <w:right w:val="nil"/>
            </w:tcBorders>
            <w:shd w:val="clear" w:color="auto" w:fill="auto"/>
            <w:vAlign w:val="bottom"/>
            <w:hideMark/>
          </w:tcPr>
          <w:p w14:paraId="3E60CB8B" w14:textId="77777777" w:rsidR="00A167BA" w:rsidRPr="00DB1D74" w:rsidRDefault="00A167BA" w:rsidP="00A167BA">
            <w:pPr>
              <w:spacing w:after="0" w:line="240" w:lineRule="auto"/>
              <w:ind w:left="113"/>
              <w:jc w:val="left"/>
              <w:rPr>
                <w:rFonts w:ascii="Arial" w:hAnsi="Arial" w:cs="Arial"/>
                <w:sz w:val="16"/>
                <w:szCs w:val="16"/>
              </w:rPr>
            </w:pPr>
            <w:r w:rsidRPr="00DB1D74">
              <w:rPr>
                <w:rFonts w:ascii="Arial" w:hAnsi="Arial" w:cs="Arial"/>
                <w:sz w:val="16"/>
                <w:szCs w:val="16"/>
              </w:rPr>
              <w:t>Gross book value</w:t>
            </w:r>
          </w:p>
        </w:tc>
        <w:tc>
          <w:tcPr>
            <w:tcW w:w="895" w:type="dxa"/>
            <w:tcBorders>
              <w:top w:val="nil"/>
              <w:left w:val="nil"/>
              <w:bottom w:val="nil"/>
              <w:right w:val="nil"/>
            </w:tcBorders>
            <w:shd w:val="clear" w:color="auto" w:fill="auto"/>
            <w:noWrap/>
            <w:vAlign w:val="bottom"/>
            <w:hideMark/>
          </w:tcPr>
          <w:p w14:paraId="226D5C54"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1,207</w:t>
            </w:r>
          </w:p>
        </w:tc>
        <w:tc>
          <w:tcPr>
            <w:tcW w:w="964" w:type="dxa"/>
            <w:tcBorders>
              <w:top w:val="nil"/>
              <w:left w:val="nil"/>
              <w:bottom w:val="nil"/>
              <w:right w:val="nil"/>
            </w:tcBorders>
            <w:shd w:val="clear" w:color="auto" w:fill="auto"/>
            <w:noWrap/>
            <w:vAlign w:val="bottom"/>
            <w:hideMark/>
          </w:tcPr>
          <w:p w14:paraId="587BCB45"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733</w:t>
            </w:r>
          </w:p>
        </w:tc>
        <w:tc>
          <w:tcPr>
            <w:tcW w:w="892" w:type="dxa"/>
            <w:tcBorders>
              <w:top w:val="nil"/>
              <w:left w:val="nil"/>
              <w:bottom w:val="nil"/>
              <w:right w:val="nil"/>
            </w:tcBorders>
            <w:shd w:val="clear" w:color="auto" w:fill="auto"/>
            <w:noWrap/>
            <w:vAlign w:val="bottom"/>
            <w:hideMark/>
          </w:tcPr>
          <w:p w14:paraId="2031FE38"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1,940</w:t>
            </w:r>
          </w:p>
        </w:tc>
      </w:tr>
      <w:tr w:rsidR="00A167BA" w:rsidRPr="00DB1D74" w14:paraId="3BA35367" w14:textId="77777777" w:rsidTr="00333C84">
        <w:trPr>
          <w:trHeight w:val="204"/>
        </w:trPr>
        <w:tc>
          <w:tcPr>
            <w:tcW w:w="4820" w:type="dxa"/>
            <w:tcBorders>
              <w:top w:val="nil"/>
              <w:left w:val="nil"/>
              <w:bottom w:val="nil"/>
              <w:right w:val="nil"/>
            </w:tcBorders>
            <w:shd w:val="clear" w:color="auto" w:fill="auto"/>
            <w:vAlign w:val="bottom"/>
            <w:hideMark/>
          </w:tcPr>
          <w:p w14:paraId="47C93326" w14:textId="77777777" w:rsidR="00A167BA" w:rsidRPr="00DB1D74" w:rsidRDefault="00A167BA" w:rsidP="00A167BA">
            <w:pPr>
              <w:spacing w:after="0" w:line="240" w:lineRule="auto"/>
              <w:ind w:left="113"/>
              <w:jc w:val="left"/>
              <w:rPr>
                <w:rFonts w:ascii="Arial" w:hAnsi="Arial" w:cs="Arial"/>
                <w:sz w:val="16"/>
                <w:szCs w:val="16"/>
              </w:rPr>
            </w:pPr>
            <w:r w:rsidRPr="00DB1D74">
              <w:rPr>
                <w:rFonts w:ascii="Arial" w:hAnsi="Arial" w:cs="Arial"/>
                <w:sz w:val="16"/>
                <w:szCs w:val="16"/>
              </w:rPr>
              <w:t>Gross book value - ROU assets</w:t>
            </w:r>
          </w:p>
        </w:tc>
        <w:tc>
          <w:tcPr>
            <w:tcW w:w="895" w:type="dxa"/>
            <w:tcBorders>
              <w:top w:val="nil"/>
              <w:left w:val="nil"/>
              <w:bottom w:val="nil"/>
              <w:right w:val="nil"/>
            </w:tcBorders>
            <w:shd w:val="clear" w:color="auto" w:fill="auto"/>
            <w:noWrap/>
            <w:vAlign w:val="bottom"/>
            <w:hideMark/>
          </w:tcPr>
          <w:p w14:paraId="0CBC01DD"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4,744</w:t>
            </w:r>
          </w:p>
        </w:tc>
        <w:tc>
          <w:tcPr>
            <w:tcW w:w="964" w:type="dxa"/>
            <w:tcBorders>
              <w:top w:val="nil"/>
              <w:left w:val="nil"/>
              <w:bottom w:val="nil"/>
              <w:right w:val="nil"/>
            </w:tcBorders>
            <w:shd w:val="clear" w:color="auto" w:fill="auto"/>
            <w:noWrap/>
            <w:vAlign w:val="bottom"/>
            <w:hideMark/>
          </w:tcPr>
          <w:p w14:paraId="23A03296"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w:t>
            </w:r>
          </w:p>
        </w:tc>
        <w:tc>
          <w:tcPr>
            <w:tcW w:w="892" w:type="dxa"/>
            <w:tcBorders>
              <w:top w:val="nil"/>
              <w:left w:val="nil"/>
              <w:bottom w:val="nil"/>
              <w:right w:val="nil"/>
            </w:tcBorders>
            <w:shd w:val="clear" w:color="auto" w:fill="auto"/>
            <w:noWrap/>
            <w:vAlign w:val="bottom"/>
            <w:hideMark/>
          </w:tcPr>
          <w:p w14:paraId="53C159EA"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4,744</w:t>
            </w:r>
          </w:p>
        </w:tc>
      </w:tr>
      <w:tr w:rsidR="00A167BA" w:rsidRPr="00DB1D74" w14:paraId="4524835A" w14:textId="77777777" w:rsidTr="00333C84">
        <w:trPr>
          <w:trHeight w:val="204"/>
        </w:trPr>
        <w:tc>
          <w:tcPr>
            <w:tcW w:w="4820" w:type="dxa"/>
            <w:tcBorders>
              <w:top w:val="nil"/>
              <w:left w:val="nil"/>
              <w:bottom w:val="nil"/>
              <w:right w:val="nil"/>
            </w:tcBorders>
            <w:shd w:val="clear" w:color="auto" w:fill="auto"/>
            <w:vAlign w:val="bottom"/>
            <w:hideMark/>
          </w:tcPr>
          <w:p w14:paraId="03C377C1" w14:textId="77777777" w:rsidR="00A167BA" w:rsidRPr="00DB1D74" w:rsidRDefault="00A167BA" w:rsidP="00A167BA">
            <w:pPr>
              <w:spacing w:after="0" w:line="240" w:lineRule="auto"/>
              <w:ind w:left="113"/>
              <w:jc w:val="left"/>
              <w:rPr>
                <w:rFonts w:ascii="Arial" w:hAnsi="Arial" w:cs="Arial"/>
                <w:sz w:val="16"/>
                <w:szCs w:val="16"/>
              </w:rPr>
            </w:pPr>
            <w:r w:rsidRPr="00DB1D74">
              <w:rPr>
                <w:rFonts w:ascii="Arial" w:hAnsi="Arial" w:cs="Arial"/>
                <w:sz w:val="16"/>
                <w:szCs w:val="16"/>
              </w:rPr>
              <w:t>Accumulated depreciation/amortisation and impairment</w:t>
            </w:r>
          </w:p>
        </w:tc>
        <w:tc>
          <w:tcPr>
            <w:tcW w:w="895" w:type="dxa"/>
            <w:tcBorders>
              <w:top w:val="nil"/>
              <w:left w:val="nil"/>
              <w:bottom w:val="nil"/>
              <w:right w:val="nil"/>
            </w:tcBorders>
            <w:shd w:val="clear" w:color="auto" w:fill="auto"/>
            <w:noWrap/>
            <w:vAlign w:val="bottom"/>
            <w:hideMark/>
          </w:tcPr>
          <w:p w14:paraId="7CD5D8B6"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(727)</w:t>
            </w:r>
          </w:p>
        </w:tc>
        <w:tc>
          <w:tcPr>
            <w:tcW w:w="964" w:type="dxa"/>
            <w:tcBorders>
              <w:top w:val="nil"/>
              <w:left w:val="nil"/>
              <w:bottom w:val="nil"/>
              <w:right w:val="nil"/>
            </w:tcBorders>
            <w:shd w:val="clear" w:color="auto" w:fill="auto"/>
            <w:noWrap/>
            <w:vAlign w:val="bottom"/>
            <w:hideMark/>
          </w:tcPr>
          <w:p w14:paraId="32E7C7C3"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(355)</w:t>
            </w:r>
          </w:p>
        </w:tc>
        <w:tc>
          <w:tcPr>
            <w:tcW w:w="892" w:type="dxa"/>
            <w:tcBorders>
              <w:top w:val="nil"/>
              <w:left w:val="nil"/>
              <w:bottom w:val="nil"/>
              <w:right w:val="nil"/>
            </w:tcBorders>
            <w:shd w:val="clear" w:color="auto" w:fill="auto"/>
            <w:noWrap/>
            <w:vAlign w:val="bottom"/>
            <w:hideMark/>
          </w:tcPr>
          <w:p w14:paraId="00E7513F"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(1,082)</w:t>
            </w:r>
          </w:p>
        </w:tc>
      </w:tr>
      <w:tr w:rsidR="00A167BA" w:rsidRPr="00DB1D74" w14:paraId="3B15E39F" w14:textId="77777777" w:rsidTr="00333C84">
        <w:trPr>
          <w:trHeight w:val="204"/>
        </w:trPr>
        <w:tc>
          <w:tcPr>
            <w:tcW w:w="4820" w:type="dxa"/>
            <w:tcBorders>
              <w:top w:val="nil"/>
              <w:left w:val="nil"/>
              <w:bottom w:val="nil"/>
              <w:right w:val="nil"/>
            </w:tcBorders>
            <w:shd w:val="clear" w:color="auto" w:fill="auto"/>
            <w:vAlign w:val="bottom"/>
            <w:hideMark/>
          </w:tcPr>
          <w:p w14:paraId="24CFE6A5" w14:textId="77777777" w:rsidR="00A167BA" w:rsidRPr="00DB1D74" w:rsidRDefault="00A167BA" w:rsidP="00A167BA">
            <w:pPr>
              <w:spacing w:after="0" w:line="240" w:lineRule="auto"/>
              <w:ind w:left="113"/>
              <w:jc w:val="left"/>
              <w:rPr>
                <w:rFonts w:ascii="Arial" w:hAnsi="Arial" w:cs="Arial"/>
                <w:sz w:val="16"/>
                <w:szCs w:val="16"/>
              </w:rPr>
            </w:pPr>
            <w:r w:rsidRPr="00DB1D74">
              <w:rPr>
                <w:rFonts w:ascii="Arial" w:hAnsi="Arial" w:cs="Arial"/>
                <w:sz w:val="16"/>
                <w:szCs w:val="16"/>
              </w:rPr>
              <w:t>Accumulated depreciation/amortisation and impairment - ROU assets</w:t>
            </w:r>
          </w:p>
        </w:tc>
        <w:tc>
          <w:tcPr>
            <w:tcW w:w="895" w:type="dxa"/>
            <w:tcBorders>
              <w:top w:val="nil"/>
              <w:left w:val="nil"/>
              <w:bottom w:val="nil"/>
              <w:right w:val="nil"/>
            </w:tcBorders>
            <w:shd w:val="clear" w:color="auto" w:fill="auto"/>
            <w:noWrap/>
            <w:vAlign w:val="bottom"/>
            <w:hideMark/>
          </w:tcPr>
          <w:p w14:paraId="56D009CD"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(2,933)</w:t>
            </w:r>
          </w:p>
        </w:tc>
        <w:tc>
          <w:tcPr>
            <w:tcW w:w="964" w:type="dxa"/>
            <w:tcBorders>
              <w:top w:val="nil"/>
              <w:left w:val="nil"/>
              <w:bottom w:val="nil"/>
              <w:right w:val="nil"/>
            </w:tcBorders>
            <w:shd w:val="clear" w:color="auto" w:fill="auto"/>
            <w:noWrap/>
            <w:vAlign w:val="bottom"/>
            <w:hideMark/>
          </w:tcPr>
          <w:p w14:paraId="0614F0B7"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w:t>
            </w:r>
          </w:p>
        </w:tc>
        <w:tc>
          <w:tcPr>
            <w:tcW w:w="892" w:type="dxa"/>
            <w:tcBorders>
              <w:top w:val="nil"/>
              <w:left w:val="nil"/>
              <w:bottom w:val="nil"/>
              <w:right w:val="nil"/>
            </w:tcBorders>
            <w:shd w:val="clear" w:color="auto" w:fill="auto"/>
            <w:noWrap/>
            <w:vAlign w:val="bottom"/>
            <w:hideMark/>
          </w:tcPr>
          <w:p w14:paraId="6C635DE4" w14:textId="77777777" w:rsidR="00A167BA" w:rsidRPr="00DB1D74" w:rsidRDefault="00A167BA" w:rsidP="00A167BA">
            <w:pPr>
              <w:spacing w:after="0" w:line="240" w:lineRule="auto"/>
              <w:jc w:val="right"/>
              <w:rPr>
                <w:rFonts w:ascii="Arial" w:hAnsi="Arial" w:cs="Arial"/>
                <w:sz w:val="16"/>
                <w:szCs w:val="16"/>
              </w:rPr>
            </w:pPr>
            <w:r w:rsidRPr="00DB1D74">
              <w:rPr>
                <w:rFonts w:ascii="Arial" w:hAnsi="Arial" w:cs="Arial"/>
                <w:sz w:val="16"/>
                <w:szCs w:val="16"/>
              </w:rPr>
              <w:t>(2,933)</w:t>
            </w:r>
          </w:p>
        </w:tc>
      </w:tr>
      <w:tr w:rsidR="00A167BA" w:rsidRPr="00DB1D74" w14:paraId="25D983E7" w14:textId="77777777" w:rsidTr="00333C84">
        <w:trPr>
          <w:trHeight w:val="204"/>
        </w:trPr>
        <w:tc>
          <w:tcPr>
            <w:tcW w:w="4820" w:type="dxa"/>
            <w:tcBorders>
              <w:top w:val="nil"/>
              <w:left w:val="nil"/>
              <w:bottom w:val="single" w:sz="4" w:space="0" w:color="auto"/>
              <w:right w:val="nil"/>
            </w:tcBorders>
            <w:shd w:val="clear" w:color="auto" w:fill="auto"/>
            <w:noWrap/>
            <w:vAlign w:val="bottom"/>
            <w:hideMark/>
          </w:tcPr>
          <w:p w14:paraId="51CA24E6" w14:textId="77777777" w:rsidR="00A167BA" w:rsidRPr="00DB1D74" w:rsidRDefault="00A167BA" w:rsidP="00A167BA">
            <w:pPr>
              <w:spacing w:after="0" w:line="240" w:lineRule="auto"/>
              <w:jc w:val="left"/>
              <w:rPr>
                <w:rFonts w:ascii="Arial" w:hAnsi="Arial" w:cs="Arial"/>
                <w:b/>
                <w:bCs/>
                <w:sz w:val="16"/>
                <w:szCs w:val="16"/>
              </w:rPr>
            </w:pPr>
            <w:r w:rsidRPr="00DB1D74">
              <w:rPr>
                <w:rFonts w:ascii="Arial" w:hAnsi="Arial" w:cs="Arial"/>
                <w:b/>
                <w:bCs/>
                <w:sz w:val="16"/>
                <w:szCs w:val="16"/>
              </w:rPr>
              <w:t>Closing net book balance</w:t>
            </w:r>
          </w:p>
        </w:tc>
        <w:tc>
          <w:tcPr>
            <w:tcW w:w="895" w:type="dxa"/>
            <w:tcBorders>
              <w:top w:val="single" w:sz="4" w:space="0" w:color="auto"/>
              <w:left w:val="nil"/>
              <w:bottom w:val="single" w:sz="4" w:space="0" w:color="auto"/>
              <w:right w:val="nil"/>
            </w:tcBorders>
            <w:shd w:val="clear" w:color="auto" w:fill="auto"/>
            <w:noWrap/>
            <w:vAlign w:val="bottom"/>
            <w:hideMark/>
          </w:tcPr>
          <w:p w14:paraId="52F67919"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2,291</w:t>
            </w:r>
          </w:p>
        </w:tc>
        <w:tc>
          <w:tcPr>
            <w:tcW w:w="964" w:type="dxa"/>
            <w:tcBorders>
              <w:top w:val="single" w:sz="4" w:space="0" w:color="auto"/>
              <w:left w:val="nil"/>
              <w:bottom w:val="single" w:sz="4" w:space="0" w:color="auto"/>
              <w:right w:val="nil"/>
            </w:tcBorders>
            <w:shd w:val="clear" w:color="auto" w:fill="auto"/>
            <w:noWrap/>
            <w:vAlign w:val="bottom"/>
            <w:hideMark/>
          </w:tcPr>
          <w:p w14:paraId="5490A35A"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378</w:t>
            </w:r>
          </w:p>
        </w:tc>
        <w:tc>
          <w:tcPr>
            <w:tcW w:w="892" w:type="dxa"/>
            <w:tcBorders>
              <w:top w:val="single" w:sz="4" w:space="0" w:color="auto"/>
              <w:left w:val="nil"/>
              <w:bottom w:val="single" w:sz="4" w:space="0" w:color="auto"/>
              <w:right w:val="nil"/>
            </w:tcBorders>
            <w:shd w:val="clear" w:color="auto" w:fill="auto"/>
            <w:noWrap/>
            <w:vAlign w:val="bottom"/>
            <w:hideMark/>
          </w:tcPr>
          <w:p w14:paraId="4BD7836B" w14:textId="77777777" w:rsidR="00A167BA" w:rsidRPr="00DB1D74" w:rsidRDefault="00A167BA" w:rsidP="00A167BA">
            <w:pPr>
              <w:spacing w:after="0" w:line="240" w:lineRule="auto"/>
              <w:jc w:val="right"/>
              <w:rPr>
                <w:rFonts w:ascii="Arial" w:hAnsi="Arial" w:cs="Arial"/>
                <w:b/>
                <w:bCs/>
                <w:sz w:val="16"/>
                <w:szCs w:val="16"/>
              </w:rPr>
            </w:pPr>
            <w:r w:rsidRPr="00DB1D74">
              <w:rPr>
                <w:rFonts w:ascii="Arial" w:hAnsi="Arial" w:cs="Arial"/>
                <w:b/>
                <w:bCs/>
                <w:sz w:val="16"/>
                <w:szCs w:val="16"/>
              </w:rPr>
              <w:t>2,669</w:t>
            </w:r>
          </w:p>
        </w:tc>
      </w:tr>
    </w:tbl>
    <w:p w14:paraId="24A5FB34" w14:textId="77777777" w:rsidR="00752811" w:rsidRDefault="00752811" w:rsidP="00752811">
      <w:pPr>
        <w:spacing w:before="60" w:after="0" w:line="240" w:lineRule="auto"/>
        <w:jc w:val="left"/>
        <w:rPr>
          <w:rFonts w:cs="Arial"/>
          <w:sz w:val="16"/>
          <w:szCs w:val="16"/>
        </w:rPr>
      </w:pPr>
      <w:r w:rsidRPr="00DB1D74">
        <w:rPr>
          <w:rFonts w:ascii="Arial" w:hAnsi="Arial" w:cs="Arial"/>
          <w:color w:val="000000"/>
          <w:sz w:val="16"/>
          <w:szCs w:val="16"/>
        </w:rPr>
        <w:t>Prepared on Australian Accounting Standards basis.</w:t>
      </w:r>
    </w:p>
    <w:p w14:paraId="0EA2BBE8" w14:textId="76302EF2" w:rsidR="00752811" w:rsidRPr="009F30BC" w:rsidRDefault="00752811" w:rsidP="00787991">
      <w:pPr>
        <w:pStyle w:val="ListParagraph"/>
        <w:numPr>
          <w:ilvl w:val="0"/>
          <w:numId w:val="165"/>
        </w:numPr>
        <w:spacing w:after="0" w:line="240" w:lineRule="auto"/>
        <w:ind w:left="284" w:hanging="284"/>
        <w:rPr>
          <w:rFonts w:ascii="Arial" w:hAnsi="Arial" w:cs="Arial"/>
          <w:sz w:val="16"/>
          <w:szCs w:val="16"/>
        </w:rPr>
      </w:pPr>
      <w:r w:rsidRPr="009F30BC">
        <w:rPr>
          <w:rFonts w:ascii="Arial" w:hAnsi="Arial" w:cs="Arial"/>
          <w:sz w:val="16"/>
          <w:szCs w:val="16"/>
        </w:rPr>
        <w:t>'Appropriation ordinary annual services' refers to funding provided through Appropriation Bill (No. 1) 2022-23 for depreciation/</w:t>
      </w:r>
      <w:proofErr w:type="spellStart"/>
      <w:r w:rsidRPr="009F30BC">
        <w:rPr>
          <w:rFonts w:ascii="Arial" w:hAnsi="Arial" w:cs="Arial"/>
          <w:sz w:val="16"/>
          <w:szCs w:val="16"/>
        </w:rPr>
        <w:t>amortisation</w:t>
      </w:r>
      <w:proofErr w:type="spellEnd"/>
      <w:r w:rsidRPr="009F30BC">
        <w:rPr>
          <w:rFonts w:ascii="Arial" w:hAnsi="Arial" w:cs="Arial"/>
          <w:sz w:val="16"/>
          <w:szCs w:val="16"/>
        </w:rPr>
        <w:t xml:space="preserve"> expenses, </w:t>
      </w:r>
      <w:r w:rsidR="003C4CC6">
        <w:rPr>
          <w:rFonts w:ascii="Arial" w:hAnsi="Arial" w:cs="Arial"/>
          <w:sz w:val="16"/>
          <w:szCs w:val="16"/>
        </w:rPr>
        <w:t>Department</w:t>
      </w:r>
      <w:r w:rsidRPr="009F30BC">
        <w:rPr>
          <w:rFonts w:ascii="Arial" w:hAnsi="Arial" w:cs="Arial"/>
          <w:sz w:val="16"/>
          <w:szCs w:val="16"/>
        </w:rPr>
        <w:t>al capital budget or other operational expenses.</w:t>
      </w:r>
    </w:p>
    <w:p w14:paraId="3AD1C838" w14:textId="7D36A78D" w:rsidR="009F30BC" w:rsidRDefault="009F30BC" w:rsidP="009F30BC">
      <w:pPr>
        <w:spacing w:after="0" w:line="240" w:lineRule="auto"/>
        <w:ind w:left="360"/>
        <w:rPr>
          <w:rFonts w:cs="Arial"/>
          <w:sz w:val="16"/>
          <w:szCs w:val="16"/>
        </w:rPr>
      </w:pPr>
    </w:p>
    <w:bookmarkEnd w:id="0"/>
    <w:bookmarkEnd w:id="1"/>
    <w:sectPr w:rsidR="009F30BC" w:rsidSect="00B33897">
      <w:headerReference w:type="even" r:id="rId27"/>
      <w:headerReference w:type="default" r:id="rId28"/>
      <w:headerReference w:type="first" r:id="rId29"/>
      <w:footerReference w:type="first" r:id="rId30"/>
      <w:pgSz w:w="11906" w:h="16838" w:code="9"/>
      <w:pgMar w:top="2466"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53BF" w14:textId="77777777" w:rsidR="003B6D98" w:rsidRDefault="003B6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A71A" w14:textId="23A8CC3E" w:rsidR="003B6D98" w:rsidRDefault="003B6D98" w:rsidP="003B6D98">
    <w:pPr>
      <w:pStyle w:val="FooterOdd"/>
      <w:rPr>
        <w:b/>
        <w:bCs/>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Pr>
        <w:rStyle w:val="PageNumber"/>
        <w:noProof/>
        <w:lang w:val="en-AU"/>
      </w:rPr>
      <w:t>Infrastructure Australia</w:t>
    </w:r>
    <w:r>
      <w:rPr>
        <w:rStyle w:val="PageNumber"/>
        <w:lang w:val="en-AU"/>
      </w:rPr>
      <w:fldChar w:fldCharType="end"/>
    </w:r>
    <w:r w:rsidRPr="00B628E8">
      <w:rPr>
        <w:rStyle w:val="PageNumber"/>
      </w:rPr>
      <w:t xml:space="preserve"> </w:t>
    </w:r>
    <w:r>
      <w:rPr>
        <w:rStyle w:val="PageNumber"/>
        <w:lang w:val="en-AU"/>
      </w:rPr>
      <w:t xml:space="preserve"> </w:t>
    </w:r>
    <w:proofErr w:type="gramStart"/>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b/>
        <w:bCs/>
      </w:rPr>
      <w:fldChar w:fldCharType="begin"/>
    </w:r>
    <w:r w:rsidRPr="00B628E8">
      <w:rPr>
        <w:b/>
        <w:bCs/>
      </w:rPr>
      <w:instrText xml:space="preserve"> PAGE   \* MERGEFORMAT </w:instrText>
    </w:r>
    <w:r w:rsidRPr="00B628E8">
      <w:rPr>
        <w:b/>
        <w:bCs/>
      </w:rPr>
      <w:fldChar w:fldCharType="separate"/>
    </w:r>
    <w:r>
      <w:rPr>
        <w:b/>
        <w:bCs/>
        <w:noProof/>
      </w:rPr>
      <w:t>275</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93996" w14:textId="77777777" w:rsidR="00A54065" w:rsidRPr="00D31521" w:rsidRDefault="00A54065" w:rsidP="00333C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1B0D" w14:textId="77777777" w:rsidR="00A54065" w:rsidRPr="001808A4" w:rsidRDefault="00A54065" w:rsidP="0049200C">
    <w:pPr>
      <w:pStyle w:val="FooterBas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0016" w14:textId="0BDCFF3F"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3B6D98">
      <w:rPr>
        <w:rStyle w:val="PageNumber"/>
        <w:b/>
        <w:bCs w:val="0"/>
        <w:noProof/>
      </w:rPr>
      <w:t>276</w:t>
    </w:r>
    <w:r w:rsidRPr="003F0C8B">
      <w:rPr>
        <w:rStyle w:val="PageNumber"/>
        <w:b/>
        <w:bCs w:val="0"/>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sidR="003B6D98">
      <w:rPr>
        <w:rStyle w:val="PageNumber"/>
        <w:noProof/>
      </w:rPr>
      <w:t>Infrastructure Australia</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6A07" w14:textId="754CD76D" w:rsidR="00A54065" w:rsidRDefault="00A54065" w:rsidP="00782467">
    <w:pPr>
      <w:pStyle w:val="FooterOdd"/>
      <w:rPr>
        <w:b/>
        <w:bCs/>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3B6D98">
      <w:rPr>
        <w:rStyle w:val="PageNumber"/>
        <w:noProof/>
        <w:lang w:val="en-AU"/>
      </w:rPr>
      <w:t>Infrastructure Australia</w:t>
    </w:r>
    <w:r>
      <w:rPr>
        <w:rStyle w:val="PageNumber"/>
        <w:lang w:val="en-AU"/>
      </w:rPr>
      <w:fldChar w:fldCharType="end"/>
    </w:r>
    <w:r w:rsidRPr="00B628E8">
      <w:rPr>
        <w:rStyle w:val="PageNumber"/>
      </w:rPr>
      <w:t xml:space="preserve"> </w:t>
    </w:r>
    <w:r>
      <w:rPr>
        <w:rStyle w:val="PageNumber"/>
        <w:lang w:val="en-AU"/>
      </w:rPr>
      <w:t xml:space="preserve"> </w:t>
    </w:r>
    <w:proofErr w:type="gramStart"/>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3B6D98">
      <w:rPr>
        <w:b/>
        <w:bCs/>
        <w:noProof/>
      </w:rPr>
      <w:t>273</w:t>
    </w:r>
    <w:r w:rsidRPr="00B628E8">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3926F58B"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3B6D98">
      <w:rPr>
        <w:rStyle w:val="PageNumber"/>
        <w:noProof/>
      </w:rPr>
      <w:t>Infrastructure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3B6D98">
      <w:rPr>
        <w:rStyle w:val="PageNumber"/>
        <w:b/>
        <w:bCs/>
        <w:noProof/>
      </w:rPr>
      <w:t>277</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8E5B" w14:textId="77777777" w:rsidR="003B6D98" w:rsidRDefault="003B6D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75E3" w14:textId="77777777" w:rsidR="003B6D98" w:rsidRDefault="003B6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AD09" w14:textId="77777777" w:rsidR="00A54065" w:rsidRPr="00B4084B" w:rsidRDefault="00A54065"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5067" w14:textId="77777777" w:rsidR="00A54065" w:rsidRPr="00B4084B" w:rsidRDefault="00A54065"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01BF54B2" w14:textId="77777777" w:rsidTr="00333C84">
      <w:trPr>
        <w:trHeight w:hRule="exact" w:val="340"/>
      </w:trPr>
      <w:tc>
        <w:tcPr>
          <w:tcW w:w="7797" w:type="dxa"/>
        </w:tcPr>
        <w:p w14:paraId="4ACBA680" w14:textId="5983ACA1" w:rsidR="00A54065" w:rsidRDefault="00A54065" w:rsidP="00333C84">
          <w:pPr>
            <w:pStyle w:val="HeaderEven"/>
            <w:ind w:left="-113"/>
          </w:pPr>
          <w:r w:rsidRPr="000635BE">
            <w:rPr>
              <w:rFonts w:ascii="Arial Bold" w:hAnsi="Arial Bold"/>
              <w:b/>
              <w:bCs/>
              <w:noProof/>
              <w:position w:val="-10"/>
            </w:rPr>
            <w:drawing>
              <wp:inline distT="0" distB="0" distL="0" distR="0" wp14:anchorId="768DC4A1" wp14:editId="37BD5AC3">
                <wp:extent cx="989308" cy="17012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2420DC20" w14:textId="77777777" w:rsidR="00A54065" w:rsidRPr="00F00984" w:rsidRDefault="00A54065"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1946C2E8" w14:textId="77777777" w:rsidTr="00333C84">
      <w:trPr>
        <w:trHeight w:hRule="exact" w:val="340"/>
      </w:trPr>
      <w:tc>
        <w:tcPr>
          <w:tcW w:w="7797" w:type="dxa"/>
        </w:tcPr>
        <w:p w14:paraId="4F8415D7" w14:textId="4ACAFA9B" w:rsidR="00A54065" w:rsidRDefault="00A54065" w:rsidP="00050A97">
          <w:pPr>
            <w:pStyle w:val="HeaderOdd"/>
          </w:pPr>
          <w:bookmarkStart w:id="38" w:name="_GoBack"/>
          <w:bookmarkEnd w:id="38"/>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764FB17F" wp14:editId="6A5939FD">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AB0040A" w14:textId="77777777" w:rsidR="00A54065" w:rsidRDefault="00A54065"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401EF5DD" w14:textId="77777777" w:rsidTr="00333C84">
      <w:trPr>
        <w:trHeight w:hRule="exact" w:val="340"/>
      </w:trPr>
      <w:tc>
        <w:tcPr>
          <w:tcW w:w="7797" w:type="dxa"/>
        </w:tcPr>
        <w:p w14:paraId="24508585" w14:textId="6ADCBF92"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7C128BA1" wp14:editId="6E838ED4">
                <wp:extent cx="989308" cy="170121"/>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7ECB021D" w14:textId="77777777" w:rsidR="00A54065" w:rsidRPr="00B4084B" w:rsidRDefault="00A54065" w:rsidP="0049200C">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p w14:paraId="76333840" w14:textId="77777777" w:rsidR="00A54065" w:rsidRDefault="00A54065" w:rsidP="004461A4">
    <w:pPr>
      <w:pStyle w:val="SecurityClassification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4AD"/>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6D98"/>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4A26"/>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897"/>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schemas.microsoft.com/office/2006/documentManagement/types"/>
    <ds:schemaRef ds:uri="82ff9d9b-d3fc-4aad-bc42-9949ee83b815"/>
    <ds:schemaRef ds:uri="http://purl.org/dc/elements/1.1/"/>
    <ds:schemaRef ds:uri="http://schemas.openxmlformats.org/package/2006/metadata/core-properties"/>
    <ds:schemaRef ds:uri="http://schemas.microsoft.com/sharepoint/v3"/>
    <ds:schemaRef ds:uri="http://purl.org/dc/dcmitype/"/>
    <ds:schemaRef ds:uri="7f038680-7400-4805-8f95-861f74a21749"/>
    <ds:schemaRef ds:uri="http://www.w3.org/XML/1998/namespace"/>
    <ds:schemaRef ds:uri="http://purl.org/dc/terms/"/>
  </ds:schemaRefs>
</ds:datastoreItem>
</file>

<file path=customXml/itemProps4.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0A460BB8-02D9-4078-8936-339AA67A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2891</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2022-03-27T07:43:00Z</dcterms:created>
  <dcterms:modified xsi:type="dcterms:W3CDTF">2022-03-27T10:54:00Z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